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cs="仿宋"/>
          <w:b/>
          <w:color w:val="auto"/>
          <w:sz w:val="56"/>
          <w:szCs w:val="56"/>
          <w:highlight w:val="none"/>
        </w:rPr>
      </w:pPr>
    </w:p>
    <w:p>
      <w:pPr>
        <w:snapToGrid w:val="0"/>
        <w:spacing w:line="36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湖州市中心医院新医院安全保卫服务项目</w:t>
      </w:r>
    </w:p>
    <w:p>
      <w:pPr>
        <w:snapToGrid w:val="0"/>
        <w:spacing w:line="360" w:lineRule="auto"/>
        <w:jc w:val="center"/>
        <w:rPr>
          <w:rFonts w:ascii="仿宋" w:hAnsi="仿宋" w:eastAsia="仿宋" w:cs="仿宋"/>
          <w:b/>
          <w:snapToGrid w:val="0"/>
          <w:color w:val="auto"/>
          <w:szCs w:val="28"/>
          <w:highlight w:val="none"/>
        </w:rPr>
      </w:pPr>
      <w:r>
        <w:rPr>
          <w:rFonts w:hint="eastAsia" w:ascii="仿宋" w:hAnsi="仿宋" w:eastAsia="仿宋" w:cs="仿宋"/>
          <w:b/>
          <w:snapToGrid w:val="0"/>
          <w:color w:val="auto"/>
          <w:szCs w:val="28"/>
          <w:highlight w:val="none"/>
        </w:rPr>
        <w:t>（财政审批编号：HZCG【2020】548号）</w:t>
      </w:r>
    </w:p>
    <w:p>
      <w:pPr>
        <w:snapToGrid w:val="0"/>
        <w:spacing w:line="360" w:lineRule="auto"/>
        <w:jc w:val="center"/>
        <w:rPr>
          <w:rFonts w:ascii="仿宋" w:hAnsi="仿宋" w:eastAsia="仿宋" w:cs="仿宋"/>
          <w:b/>
          <w:color w:val="auto"/>
          <w:sz w:val="28"/>
          <w:szCs w:val="28"/>
          <w:highlight w:val="none"/>
        </w:rPr>
      </w:pPr>
    </w:p>
    <w:p>
      <w:pPr>
        <w:snapToGrid w:val="0"/>
        <w:spacing w:line="360" w:lineRule="auto"/>
        <w:jc w:val="center"/>
        <w:rPr>
          <w:rFonts w:ascii="仿宋" w:hAnsi="仿宋" w:eastAsia="仿宋" w:cs="仿宋"/>
          <w:b/>
          <w:color w:val="auto"/>
          <w:sz w:val="32"/>
          <w:szCs w:val="32"/>
          <w:highlight w:val="none"/>
          <w:lang w:val="zh-CN"/>
        </w:rPr>
      </w:pPr>
    </w:p>
    <w:p>
      <w:pPr>
        <w:snapToGrid w:val="0"/>
        <w:spacing w:line="360" w:lineRule="auto"/>
        <w:jc w:val="center"/>
        <w:rPr>
          <w:rFonts w:ascii="仿宋" w:hAnsi="仿宋" w:eastAsia="仿宋" w:cs="仿宋"/>
          <w:b/>
          <w:color w:val="auto"/>
          <w:sz w:val="32"/>
          <w:szCs w:val="32"/>
          <w:highlight w:val="none"/>
        </w:rPr>
      </w:pPr>
      <w:bookmarkStart w:id="0" w:name="_Toc18807"/>
      <w:bookmarkStart w:id="1" w:name="_Toc17877"/>
      <w:bookmarkStart w:id="2" w:name="_Toc25570"/>
      <w:bookmarkStart w:id="3" w:name="_Toc23896"/>
      <w:bookmarkStart w:id="4" w:name="_Toc12293"/>
      <w:bookmarkStart w:id="5" w:name="_Toc6938"/>
      <w:bookmarkStart w:id="6" w:name="_Toc9708"/>
      <w:bookmarkStart w:id="7" w:name="_Toc15413"/>
      <w:bookmarkStart w:id="8" w:name="_Toc3577"/>
      <w:bookmarkStart w:id="9" w:name="_Toc7234"/>
      <w:bookmarkStart w:id="10" w:name="_Toc8286"/>
      <w:bookmarkStart w:id="11" w:name="_Toc19286"/>
      <w:bookmarkStart w:id="12" w:name="_Toc23189"/>
      <w:bookmarkStart w:id="13" w:name="_Toc15966"/>
      <w:bookmarkStart w:id="14" w:name="_Toc32192"/>
      <w:bookmarkStart w:id="15" w:name="_Toc21122"/>
      <w:bookmarkStart w:id="16" w:name="_Toc24056"/>
      <w:bookmarkStart w:id="17" w:name="_Toc29768"/>
    </w:p>
    <w:p>
      <w:pPr>
        <w:pStyle w:val="12"/>
        <w:rPr>
          <w:rFonts w:ascii="仿宋" w:hAnsi="仿宋" w:eastAsia="仿宋" w:cs="仿宋"/>
          <w:b/>
          <w:color w:val="auto"/>
          <w:sz w:val="32"/>
          <w:szCs w:val="32"/>
          <w:highlight w:val="none"/>
        </w:rPr>
      </w:pPr>
    </w:p>
    <w:p>
      <w:pPr>
        <w:snapToGrid w:val="0"/>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 xml:space="preserve"> 招 标 文 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widowControl/>
        <w:spacing w:line="600" w:lineRule="exact"/>
        <w:ind w:right="-2"/>
        <w:jc w:val="center"/>
        <w:rPr>
          <w:rFonts w:ascii="仿宋" w:hAnsi="仿宋" w:eastAsia="仿宋" w:cs="仿宋"/>
          <w:b/>
          <w:color w:val="auto"/>
          <w:sz w:val="52"/>
          <w:szCs w:val="52"/>
          <w:highlight w:val="none"/>
        </w:rPr>
      </w:pPr>
      <w:r>
        <w:rPr>
          <w:rFonts w:hint="eastAsia" w:ascii="仿宋" w:hAnsi="仿宋" w:eastAsia="仿宋" w:cs="仿宋"/>
          <w:b/>
          <w:color w:val="auto"/>
          <w:sz w:val="52"/>
          <w:szCs w:val="52"/>
          <w:highlight w:val="none"/>
        </w:rPr>
        <w:t xml:space="preserve"> （线上电子招投标）</w:t>
      </w:r>
    </w:p>
    <w:p>
      <w:pPr>
        <w:pStyle w:val="44"/>
        <w:ind w:firstLine="480"/>
        <w:rPr>
          <w:rFonts w:ascii="仿宋" w:hAnsi="仿宋" w:eastAsia="仿宋" w:cs="仿宋"/>
          <w:color w:val="auto"/>
          <w:highlight w:val="none"/>
        </w:rPr>
      </w:pPr>
    </w:p>
    <w:p>
      <w:pPr>
        <w:pStyle w:val="46"/>
        <w:rPr>
          <w:rFonts w:ascii="仿宋" w:hAnsi="仿宋" w:eastAsia="仿宋" w:cs="仿宋"/>
          <w:color w:val="auto"/>
          <w:highlight w:val="none"/>
          <w:lang w:eastAsia="zh-CN"/>
        </w:rPr>
      </w:pPr>
    </w:p>
    <w:p>
      <w:pPr>
        <w:pStyle w:val="12"/>
        <w:ind w:firstLine="420"/>
        <w:rPr>
          <w:rFonts w:ascii="仿宋" w:hAnsi="仿宋" w:eastAsia="仿宋" w:cs="仿宋"/>
          <w:color w:val="auto"/>
          <w:highlight w:val="none"/>
        </w:rPr>
      </w:pPr>
    </w:p>
    <w:p>
      <w:pPr>
        <w:tabs>
          <w:tab w:val="left" w:pos="1260"/>
        </w:tabs>
        <w:spacing w:line="360" w:lineRule="auto"/>
        <w:ind w:firstLine="1205" w:firstLineChars="400"/>
        <w:jc w:val="center"/>
        <w:rPr>
          <w:rFonts w:ascii="仿宋" w:hAnsi="仿宋" w:eastAsia="仿宋" w:cs="仿宋"/>
          <w:b/>
          <w:color w:val="auto"/>
          <w:sz w:val="30"/>
          <w:szCs w:val="30"/>
          <w:highlight w:val="none"/>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snapToGrid w:val="0"/>
        <w:spacing w:line="360" w:lineRule="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zh-CN"/>
        </w:rPr>
        <w:t>采购编号：湖江采字</w:t>
      </w:r>
      <w:r>
        <w:rPr>
          <w:rFonts w:hint="eastAsia" w:ascii="仿宋" w:hAnsi="仿宋" w:eastAsia="仿宋" w:cs="仿宋"/>
          <w:b/>
          <w:color w:val="auto"/>
          <w:sz w:val="32"/>
          <w:szCs w:val="32"/>
          <w:highlight w:val="none"/>
        </w:rPr>
        <w:t>2020-018</w:t>
      </w:r>
    </w:p>
    <w:p>
      <w:pPr>
        <w:snapToGrid w:val="0"/>
        <w:spacing w:line="360" w:lineRule="auto"/>
        <w:rPr>
          <w:rFonts w:ascii="仿宋" w:hAnsi="仿宋" w:eastAsia="仿宋" w:cs="仿宋"/>
          <w:b/>
          <w:color w:val="auto"/>
          <w:sz w:val="32"/>
          <w:szCs w:val="32"/>
          <w:highlight w:val="none"/>
          <w:lang w:val="zh-CN"/>
        </w:rPr>
      </w:pPr>
      <w:r>
        <w:rPr>
          <w:rFonts w:hint="eastAsia" w:ascii="仿宋" w:hAnsi="仿宋" w:eastAsia="仿宋" w:cs="仿宋"/>
          <w:b/>
          <w:color w:val="auto"/>
          <w:sz w:val="32"/>
          <w:szCs w:val="32"/>
          <w:highlight w:val="none"/>
          <w:lang w:val="zh-CN"/>
        </w:rPr>
        <w:t>采购单位：湖州市中心医院</w:t>
      </w:r>
    </w:p>
    <w:p>
      <w:pPr>
        <w:snapToGrid w:val="0"/>
        <w:spacing w:line="360" w:lineRule="auto"/>
        <w:rPr>
          <w:rFonts w:ascii="仿宋" w:hAnsi="仿宋" w:eastAsia="仿宋" w:cs="仿宋"/>
          <w:b/>
          <w:color w:val="auto"/>
          <w:sz w:val="32"/>
          <w:szCs w:val="32"/>
          <w:highlight w:val="none"/>
          <w:lang w:val="zh-CN"/>
        </w:rPr>
      </w:pPr>
      <w:r>
        <w:rPr>
          <w:rFonts w:hint="eastAsia" w:ascii="仿宋" w:hAnsi="仿宋" w:eastAsia="仿宋" w:cs="仿宋"/>
          <w:b/>
          <w:color w:val="auto"/>
          <w:sz w:val="32"/>
          <w:szCs w:val="32"/>
          <w:highlight w:val="none"/>
          <w:lang w:val="zh-CN"/>
        </w:rPr>
        <w:t xml:space="preserve">采购代理机构：湖州江南工程管理有限公司  </w:t>
      </w:r>
    </w:p>
    <w:p>
      <w:pPr>
        <w:spacing w:line="360" w:lineRule="auto"/>
        <w:ind w:firstLine="643"/>
        <w:rPr>
          <w:rFonts w:ascii="仿宋" w:hAnsi="仿宋" w:eastAsia="仿宋" w:cs="仿宋"/>
          <w:color w:val="auto"/>
          <w:highlight w:val="none"/>
          <w:lang w:val="zh-CN"/>
        </w:rPr>
        <w:sectPr>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b/>
          <w:color w:val="auto"/>
          <w:sz w:val="32"/>
          <w:szCs w:val="32"/>
          <w:highlight w:val="none"/>
          <w:lang w:val="zh-CN"/>
        </w:rPr>
        <w:t>日    期：</w:t>
      </w:r>
      <w:r>
        <w:rPr>
          <w:rFonts w:hint="eastAsia" w:ascii="仿宋" w:hAnsi="仿宋" w:eastAsia="仿宋" w:cs="仿宋"/>
          <w:b/>
          <w:color w:val="auto"/>
          <w:sz w:val="32"/>
          <w:szCs w:val="32"/>
          <w:highlight w:val="none"/>
        </w:rPr>
        <w:t>2020年</w:t>
      </w:r>
      <w:r>
        <w:rPr>
          <w:rFonts w:hint="eastAsia" w:ascii="仿宋" w:hAnsi="仿宋" w:eastAsia="仿宋" w:cs="仿宋"/>
          <w:b/>
          <w:color w:val="auto"/>
          <w:sz w:val="32"/>
          <w:szCs w:val="32"/>
          <w:highlight w:val="none"/>
          <w:lang w:val="en-US" w:eastAsia="zh-CN"/>
        </w:rPr>
        <w:t>6</w:t>
      </w:r>
      <w:r>
        <w:rPr>
          <w:rFonts w:hint="eastAsia" w:ascii="仿宋" w:hAnsi="仿宋" w:eastAsia="仿宋" w:cs="仿宋"/>
          <w:b/>
          <w:color w:val="auto"/>
          <w:sz w:val="32"/>
          <w:szCs w:val="32"/>
          <w:highlight w:val="none"/>
        </w:rPr>
        <w:t>月</w:t>
      </w:r>
    </w:p>
    <w:p>
      <w:pPr>
        <w:jc w:val="center"/>
        <w:rPr>
          <w:rFonts w:ascii="仿宋" w:hAnsi="仿宋" w:eastAsia="仿宋" w:cs="仿宋"/>
          <w:color w:val="auto"/>
          <w:highlight w:val="none"/>
        </w:rPr>
      </w:pPr>
      <w:r>
        <w:rPr>
          <w:rFonts w:hint="eastAsia" w:ascii="仿宋" w:hAnsi="仿宋" w:eastAsia="仿宋" w:cs="仿宋"/>
          <w:b/>
          <w:color w:val="auto"/>
          <w:sz w:val="44"/>
          <w:szCs w:val="44"/>
          <w:highlight w:val="none"/>
        </w:rPr>
        <w:t>目  录</w:t>
      </w:r>
    </w:p>
    <w:p>
      <w:pPr>
        <w:spacing w:line="500" w:lineRule="exact"/>
        <w:rPr>
          <w:rFonts w:ascii="仿宋" w:hAnsi="仿宋" w:eastAsia="仿宋" w:cs="仿宋"/>
          <w:color w:val="auto"/>
          <w:highlight w:val="none"/>
        </w:rPr>
      </w:pPr>
    </w:p>
    <w:p>
      <w:pPr>
        <w:pStyle w:val="19"/>
        <w:tabs>
          <w:tab w:val="right" w:leader="dot" w:pos="8997"/>
        </w:tabs>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TOC \o "1-2" \h \u </w:instrText>
      </w:r>
      <w:r>
        <w:rPr>
          <w:rFonts w:hint="eastAsia" w:ascii="仿宋" w:hAnsi="仿宋" w:eastAsia="仿宋" w:cs="仿宋"/>
          <w:color w:val="auto"/>
          <w:sz w:val="30"/>
          <w:szCs w:val="30"/>
          <w:highlight w:val="none"/>
        </w:rPr>
        <w:fldChar w:fldCharType="separate"/>
      </w:r>
      <w:r>
        <w:rPr>
          <w:color w:val="auto"/>
          <w:highlight w:val="none"/>
        </w:rPr>
        <w:fldChar w:fldCharType="begin"/>
      </w:r>
      <w:r>
        <w:rPr>
          <w:color w:val="auto"/>
          <w:highlight w:val="none"/>
        </w:rPr>
        <w:instrText xml:space="preserve"> HYPERLINK \l "_Toc9173" </w:instrText>
      </w:r>
      <w:r>
        <w:rPr>
          <w:color w:val="auto"/>
          <w:highlight w:val="none"/>
        </w:rPr>
        <w:fldChar w:fldCharType="separate"/>
      </w:r>
      <w:r>
        <w:rPr>
          <w:rFonts w:hint="eastAsia" w:ascii="仿宋" w:hAnsi="仿宋" w:eastAsia="仿宋" w:cs="仿宋"/>
          <w:color w:val="auto"/>
          <w:sz w:val="30"/>
          <w:szCs w:val="30"/>
          <w:highlight w:val="none"/>
        </w:rPr>
        <w:t>第一章  公开招标公告</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rPr>
        <w:t>2</w:t>
      </w:r>
    </w:p>
    <w:p>
      <w:pPr>
        <w:pStyle w:val="19"/>
        <w:tabs>
          <w:tab w:val="right" w:leader="dot" w:pos="8997"/>
        </w:tabs>
        <w:spacing w:line="500" w:lineRule="exact"/>
        <w:rPr>
          <w:rFonts w:ascii="仿宋" w:hAnsi="仿宋" w:eastAsia="仿宋" w:cs="仿宋"/>
          <w:color w:val="auto"/>
          <w:sz w:val="30"/>
          <w:szCs w:val="30"/>
          <w:highlight w:val="none"/>
        </w:rPr>
      </w:pPr>
      <w:r>
        <w:rPr>
          <w:color w:val="auto"/>
          <w:highlight w:val="none"/>
        </w:rPr>
        <w:fldChar w:fldCharType="begin"/>
      </w:r>
      <w:r>
        <w:rPr>
          <w:color w:val="auto"/>
          <w:highlight w:val="none"/>
        </w:rPr>
        <w:instrText xml:space="preserve"> HYPERLINK \l "_Toc30327" </w:instrText>
      </w:r>
      <w:r>
        <w:rPr>
          <w:color w:val="auto"/>
          <w:highlight w:val="none"/>
        </w:rPr>
        <w:fldChar w:fldCharType="separate"/>
      </w:r>
      <w:r>
        <w:rPr>
          <w:rFonts w:hint="eastAsia" w:ascii="仿宋" w:hAnsi="仿宋" w:eastAsia="仿宋" w:cs="仿宋"/>
          <w:color w:val="auto"/>
          <w:sz w:val="30"/>
          <w:szCs w:val="30"/>
          <w:highlight w:val="none"/>
        </w:rPr>
        <w:t>第二章  招标需求</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rPr>
        <w:fldChar w:fldCharType="end"/>
      </w:r>
    </w:p>
    <w:p>
      <w:pPr>
        <w:pStyle w:val="19"/>
        <w:tabs>
          <w:tab w:val="right" w:leader="dot" w:pos="8997"/>
        </w:tabs>
        <w:spacing w:line="500" w:lineRule="exact"/>
        <w:rPr>
          <w:rFonts w:hint="eastAsia"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"_Toc23299" </w:instrText>
      </w:r>
      <w:r>
        <w:rPr>
          <w:color w:val="auto"/>
          <w:highlight w:val="none"/>
        </w:rPr>
        <w:fldChar w:fldCharType="separate"/>
      </w:r>
      <w:r>
        <w:rPr>
          <w:rFonts w:hint="eastAsia" w:ascii="仿宋" w:hAnsi="仿宋" w:eastAsia="仿宋" w:cs="仿宋"/>
          <w:color w:val="auto"/>
          <w:sz w:val="30"/>
          <w:szCs w:val="30"/>
          <w:highlight w:val="none"/>
        </w:rPr>
        <w:t>第三章  投标人须知</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19</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"_Toc27957" </w:instrText>
      </w:r>
      <w:r>
        <w:rPr>
          <w:color w:val="auto"/>
          <w:highlight w:val="none"/>
        </w:rPr>
        <w:fldChar w:fldCharType="separate"/>
      </w:r>
      <w:r>
        <w:rPr>
          <w:rFonts w:hint="eastAsia" w:ascii="仿宋" w:hAnsi="仿宋" w:eastAsia="仿宋" w:cs="仿宋"/>
          <w:color w:val="auto"/>
          <w:sz w:val="30"/>
          <w:szCs w:val="30"/>
          <w:highlight w:val="none"/>
        </w:rPr>
        <w:t>一、总  则</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21</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"_Toc15152" </w:instrText>
      </w:r>
      <w:r>
        <w:rPr>
          <w:color w:val="auto"/>
          <w:highlight w:val="none"/>
        </w:rPr>
        <w:fldChar w:fldCharType="separate"/>
      </w:r>
      <w:r>
        <w:rPr>
          <w:rFonts w:hint="eastAsia" w:ascii="仿宋" w:hAnsi="仿宋" w:eastAsia="仿宋" w:cs="仿宋"/>
          <w:color w:val="auto"/>
          <w:sz w:val="30"/>
          <w:szCs w:val="30"/>
          <w:highlight w:val="none"/>
        </w:rPr>
        <w:t>二、招标文件</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24</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"_Toc21600" </w:instrText>
      </w:r>
      <w:r>
        <w:rPr>
          <w:color w:val="auto"/>
          <w:highlight w:val="none"/>
        </w:rPr>
        <w:fldChar w:fldCharType="separate"/>
      </w:r>
      <w:r>
        <w:rPr>
          <w:rFonts w:hint="eastAsia" w:ascii="仿宋" w:hAnsi="仿宋" w:eastAsia="仿宋" w:cs="仿宋"/>
          <w:color w:val="auto"/>
          <w:sz w:val="30"/>
          <w:szCs w:val="30"/>
          <w:highlight w:val="none"/>
        </w:rPr>
        <w:t>三、投标文件的编制</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25</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"_Toc20030" </w:instrText>
      </w:r>
      <w:r>
        <w:rPr>
          <w:color w:val="auto"/>
          <w:highlight w:val="none"/>
        </w:rPr>
        <w:fldChar w:fldCharType="separate"/>
      </w:r>
      <w:r>
        <w:rPr>
          <w:rFonts w:hint="eastAsia" w:ascii="仿宋" w:hAnsi="仿宋" w:eastAsia="仿宋" w:cs="仿宋"/>
          <w:color w:val="auto"/>
          <w:sz w:val="30"/>
          <w:szCs w:val="30"/>
          <w:highlight w:val="none"/>
        </w:rPr>
        <w:t>四、开标</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31</w:t>
      </w:r>
    </w:p>
    <w:p>
      <w:pPr>
        <w:pStyle w:val="19"/>
        <w:tabs>
          <w:tab w:val="right" w:leader="dot" w:pos="8997"/>
        </w:tabs>
        <w:spacing w:line="500" w:lineRule="exact"/>
        <w:rPr>
          <w:rFonts w:hint="eastAsia"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"_Toc25573" </w:instrText>
      </w:r>
      <w:r>
        <w:rPr>
          <w:color w:val="auto"/>
          <w:highlight w:val="none"/>
        </w:rPr>
        <w:fldChar w:fldCharType="separate"/>
      </w:r>
      <w:r>
        <w:rPr>
          <w:rFonts w:hint="eastAsia" w:ascii="仿宋" w:hAnsi="仿宋" w:eastAsia="仿宋" w:cs="仿宋"/>
          <w:color w:val="auto"/>
          <w:sz w:val="30"/>
          <w:szCs w:val="30"/>
          <w:highlight w:val="none"/>
        </w:rPr>
        <w:t>五、评标</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33</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"_Toc31897" </w:instrText>
      </w:r>
      <w:r>
        <w:rPr>
          <w:color w:val="auto"/>
          <w:highlight w:val="none"/>
        </w:rPr>
        <w:fldChar w:fldCharType="separate"/>
      </w:r>
      <w:r>
        <w:rPr>
          <w:rFonts w:hint="eastAsia" w:ascii="仿宋" w:hAnsi="仿宋" w:eastAsia="仿宋" w:cs="仿宋"/>
          <w:color w:val="auto"/>
          <w:sz w:val="30"/>
          <w:szCs w:val="30"/>
          <w:highlight w:val="none"/>
        </w:rPr>
        <w:t>六、定标</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35</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"_Toc15152" </w:instrText>
      </w:r>
      <w:r>
        <w:rPr>
          <w:color w:val="auto"/>
          <w:highlight w:val="none"/>
        </w:rPr>
        <w:fldChar w:fldCharType="separate"/>
      </w:r>
      <w:r>
        <w:rPr>
          <w:rFonts w:hint="eastAsia" w:ascii="仿宋" w:hAnsi="仿宋" w:eastAsia="仿宋" w:cs="仿宋"/>
          <w:color w:val="auto"/>
          <w:sz w:val="30"/>
          <w:szCs w:val="30"/>
          <w:highlight w:val="none"/>
        </w:rPr>
        <w:t>七、合同授予</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35</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"_Toc25668" </w:instrText>
      </w:r>
      <w:r>
        <w:rPr>
          <w:color w:val="auto"/>
          <w:highlight w:val="none"/>
        </w:rPr>
        <w:fldChar w:fldCharType="separate"/>
      </w:r>
      <w:r>
        <w:rPr>
          <w:rFonts w:hint="eastAsia" w:ascii="仿宋" w:hAnsi="仿宋" w:eastAsia="仿宋" w:cs="仿宋"/>
          <w:color w:val="auto"/>
          <w:sz w:val="30"/>
          <w:szCs w:val="30"/>
          <w:highlight w:val="none"/>
        </w:rPr>
        <w:t>第四章  评标办法及评分标准</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36</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"_Toc32178" </w:instrText>
      </w:r>
      <w:r>
        <w:rPr>
          <w:color w:val="auto"/>
          <w:highlight w:val="none"/>
        </w:rPr>
        <w:fldChar w:fldCharType="separate"/>
      </w:r>
      <w:r>
        <w:rPr>
          <w:rFonts w:hint="eastAsia" w:ascii="仿宋" w:hAnsi="仿宋" w:eastAsia="仿宋" w:cs="仿宋"/>
          <w:color w:val="auto"/>
          <w:sz w:val="30"/>
          <w:szCs w:val="30"/>
          <w:highlight w:val="none"/>
        </w:rPr>
        <w:t>第五章  合同主要条款</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40</w:t>
      </w:r>
    </w:p>
    <w:p>
      <w:pPr>
        <w:pStyle w:val="19"/>
        <w:tabs>
          <w:tab w:val="right" w:leader="dot" w:pos="8997"/>
        </w:tabs>
        <w:spacing w:line="500" w:lineRule="exact"/>
        <w:rPr>
          <w:rFonts w:hint="default" w:ascii="仿宋" w:hAnsi="仿宋" w:eastAsia="仿宋" w:cs="仿宋"/>
          <w:color w:val="auto"/>
          <w:highlight w:val="none"/>
          <w:lang w:val="en-US" w:eastAsia="zh-CN"/>
        </w:rPr>
      </w:pPr>
      <w:r>
        <w:rPr>
          <w:rFonts w:hint="eastAsia" w:ascii="仿宋" w:hAnsi="仿宋" w:eastAsia="仿宋" w:cs="仿宋"/>
          <w:color w:val="auto"/>
          <w:highlight w:val="none"/>
        </w:rPr>
        <w:t xml:space="preserve">第六章  </w:t>
      </w:r>
      <w:r>
        <w:rPr>
          <w:rFonts w:hint="eastAsia" w:ascii="仿宋" w:hAnsi="仿宋" w:eastAsia="仿宋" w:cs="仿宋"/>
          <w:color w:val="auto"/>
          <w:sz w:val="30"/>
          <w:szCs w:val="30"/>
          <w:highlight w:val="none"/>
        </w:rPr>
        <w:t>投标文件格式及附件</w:t>
      </w:r>
      <w:r>
        <w:rPr>
          <w:rFonts w:hint="eastAsia" w:ascii="仿宋" w:hAnsi="仿宋" w:eastAsia="仿宋" w:cs="仿宋"/>
          <w:color w:val="auto"/>
          <w:highlight w:val="none"/>
        </w:rPr>
        <w:tab/>
      </w:r>
      <w:r>
        <w:rPr>
          <w:rFonts w:hint="eastAsia" w:ascii="仿宋" w:hAnsi="仿宋" w:eastAsia="仿宋" w:cs="仿宋"/>
          <w:color w:val="auto"/>
          <w:highlight w:val="none"/>
          <w:lang w:val="en-US" w:eastAsia="zh-CN"/>
        </w:rPr>
        <w:t>44</w:t>
      </w:r>
    </w:p>
    <w:p>
      <w:pPr>
        <w:pStyle w:val="19"/>
        <w:tabs>
          <w:tab w:val="right" w:leader="dot" w:pos="8997"/>
        </w:tabs>
        <w:spacing w:line="500" w:lineRule="exact"/>
        <w:rPr>
          <w:rFonts w:hint="default" w:ascii="仿宋" w:hAnsi="仿宋" w:eastAsia="仿宋" w:cs="仿宋"/>
          <w:color w:val="auto"/>
          <w:sz w:val="30"/>
          <w:szCs w:val="30"/>
          <w:highlight w:val="none"/>
          <w:lang w:val="en-US" w:eastAsia="zh-CN"/>
        </w:rPr>
      </w:pPr>
      <w:r>
        <w:rPr>
          <w:color w:val="auto"/>
          <w:highlight w:val="none"/>
        </w:rPr>
        <w:fldChar w:fldCharType="begin"/>
      </w:r>
      <w:r>
        <w:rPr>
          <w:color w:val="auto"/>
          <w:highlight w:val="none"/>
        </w:rPr>
        <w:instrText xml:space="preserve"> HYPERLINK \l "_Toc27094" </w:instrText>
      </w:r>
      <w:r>
        <w:rPr>
          <w:color w:val="auto"/>
          <w:highlight w:val="none"/>
        </w:rPr>
        <w:fldChar w:fldCharType="separate"/>
      </w:r>
      <w:r>
        <w:rPr>
          <w:rFonts w:hint="eastAsia" w:ascii="仿宋" w:hAnsi="仿宋" w:eastAsia="仿宋" w:cs="仿宋"/>
          <w:color w:val="auto"/>
          <w:sz w:val="30"/>
          <w:szCs w:val="30"/>
          <w:highlight w:val="none"/>
        </w:rPr>
        <w:t>第七章  政府采购政策相关说明</w:t>
      </w:r>
      <w:r>
        <w:rPr>
          <w:rFonts w:hint="eastAsia" w:ascii="仿宋" w:hAnsi="仿宋" w:eastAsia="仿宋" w:cs="仿宋"/>
          <w:color w:val="auto"/>
          <w:sz w:val="30"/>
          <w:szCs w:val="30"/>
          <w:highlight w:val="none"/>
        </w:rPr>
        <w:tab/>
      </w:r>
      <w:r>
        <w:rPr>
          <w:rFonts w:hint="eastAsia" w:ascii="仿宋" w:hAnsi="仿宋" w:eastAsia="仿宋" w:cs="仿宋"/>
          <w:color w:val="auto"/>
          <w:sz w:val="30"/>
          <w:szCs w:val="30"/>
          <w:highlight w:val="none"/>
        </w:rPr>
        <w:fldChar w:fldCharType="end"/>
      </w:r>
      <w:r>
        <w:rPr>
          <w:rFonts w:hint="eastAsia" w:ascii="仿宋" w:hAnsi="仿宋" w:eastAsia="仿宋" w:cs="仿宋"/>
          <w:color w:val="auto"/>
          <w:sz w:val="30"/>
          <w:szCs w:val="30"/>
          <w:highlight w:val="none"/>
          <w:lang w:val="en-US" w:eastAsia="zh-CN"/>
        </w:rPr>
        <w:t>60</w:t>
      </w:r>
    </w:p>
    <w:p>
      <w:pPr>
        <w:spacing w:line="360" w:lineRule="auto"/>
        <w:rPr>
          <w:rFonts w:ascii="仿宋" w:hAnsi="仿宋" w:eastAsia="仿宋" w:cs="仿宋"/>
          <w:color w:val="auto"/>
          <w:sz w:val="32"/>
          <w:szCs w:val="32"/>
          <w:highlight w:val="none"/>
        </w:rPr>
      </w:pPr>
      <w:r>
        <w:rPr>
          <w:rFonts w:hint="eastAsia" w:ascii="仿宋" w:hAnsi="仿宋" w:eastAsia="仿宋" w:cs="仿宋"/>
          <w:color w:val="auto"/>
          <w:sz w:val="30"/>
          <w:szCs w:val="30"/>
          <w:highlight w:val="none"/>
        </w:rPr>
        <w:fldChar w:fldCharType="end"/>
      </w: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pStyle w:val="2"/>
        <w:ind w:left="480"/>
        <w:rPr>
          <w:rFonts w:ascii="仿宋" w:hAnsi="仿宋" w:eastAsia="仿宋" w:cs="仿宋"/>
          <w:color w:val="auto"/>
          <w:sz w:val="32"/>
          <w:szCs w:val="32"/>
          <w:highlight w:val="none"/>
        </w:rPr>
      </w:pPr>
    </w:p>
    <w:p>
      <w:pPr>
        <w:pStyle w:val="2"/>
        <w:ind w:left="480"/>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jc w:val="center"/>
        <w:rPr>
          <w:rFonts w:hint="eastAsia" w:ascii="仿宋" w:hAnsi="仿宋" w:eastAsia="仿宋" w:cs="仿宋"/>
          <w:b/>
          <w:bCs/>
          <w:color w:val="auto"/>
          <w:sz w:val="30"/>
          <w:szCs w:val="30"/>
          <w:highlight w:val="none"/>
        </w:rPr>
        <w:sectPr>
          <w:headerReference r:id="rId3" w:type="default"/>
          <w:footerReference r:id="rId4" w:type="default"/>
          <w:pgSz w:w="11906" w:h="16838"/>
          <w:pgMar w:top="1474" w:right="1286" w:bottom="1247" w:left="1418" w:header="851" w:footer="992" w:gutter="0"/>
          <w:pgNumType w:start="1"/>
          <w:cols w:space="720" w:num="1"/>
          <w:docGrid w:linePitch="312" w:charSpace="0"/>
        </w:sect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bCs/>
          <w:color w:val="auto"/>
          <w:sz w:val="30"/>
          <w:szCs w:val="30"/>
          <w:highlight w:val="none"/>
        </w:rPr>
        <w:t>第一章  公开招标公告</w:t>
      </w:r>
    </w:p>
    <w:p>
      <w:pPr>
        <w:widowControl/>
        <w:spacing w:beforeLines="50" w:line="360" w:lineRule="auto"/>
        <w:ind w:firstLine="480" w:firstLineChars="200"/>
        <w:jc w:val="left"/>
        <w:rPr>
          <w:rFonts w:ascii="仿宋" w:hAnsi="仿宋" w:eastAsia="仿宋" w:cs="仿宋"/>
          <w:color w:val="auto"/>
          <w:highlight w:val="none"/>
          <w:lang w:val="zh-CN"/>
        </w:rPr>
      </w:pPr>
      <w:r>
        <w:rPr>
          <w:rFonts w:hint="eastAsia" w:ascii="仿宋" w:hAnsi="仿宋" w:eastAsia="仿宋" w:cs="仿宋"/>
          <w:color w:val="auto"/>
          <w:highlight w:val="none"/>
        </w:rPr>
        <w:t>根据《中华人民共和国政府采购法》、《中华人民共和国政府采购法实施条例》等有</w:t>
      </w:r>
      <w:r>
        <w:rPr>
          <w:rFonts w:hint="eastAsia" w:ascii="仿宋" w:hAnsi="仿宋" w:eastAsia="仿宋" w:cs="仿宋"/>
          <w:color w:val="auto"/>
          <w:szCs w:val="22"/>
          <w:highlight w:val="none"/>
        </w:rPr>
        <w:t>关规定，</w:t>
      </w:r>
      <w:r>
        <w:rPr>
          <w:rFonts w:hint="eastAsia" w:ascii="仿宋" w:hAnsi="仿宋" w:eastAsia="仿宋" w:cs="仿宋"/>
          <w:color w:val="auto"/>
          <w:szCs w:val="24"/>
          <w:highlight w:val="none"/>
        </w:rPr>
        <w:t>经湖州市财政局</w:t>
      </w:r>
      <w:r>
        <w:rPr>
          <w:rFonts w:hint="eastAsia" w:ascii="仿宋" w:hAnsi="仿宋" w:eastAsia="仿宋" w:cs="仿宋"/>
          <w:color w:val="auto"/>
          <w:szCs w:val="22"/>
          <w:highlight w:val="none"/>
        </w:rPr>
        <w:t>（财政审批编号：</w:t>
      </w:r>
      <w:r>
        <w:rPr>
          <w:rFonts w:hint="eastAsia" w:ascii="仿宋" w:hAnsi="仿宋" w:eastAsia="仿宋" w:cs="仿宋"/>
          <w:b/>
          <w:snapToGrid w:val="0"/>
          <w:color w:val="auto"/>
          <w:szCs w:val="28"/>
          <w:highlight w:val="none"/>
        </w:rPr>
        <w:t>HZCG【2020】548号</w:t>
      </w:r>
      <w:r>
        <w:rPr>
          <w:rFonts w:hint="eastAsia" w:ascii="仿宋" w:hAnsi="仿宋" w:eastAsia="仿宋" w:cs="仿宋"/>
          <w:b/>
          <w:color w:val="auto"/>
          <w:szCs w:val="24"/>
          <w:highlight w:val="none"/>
        </w:rPr>
        <w:t>）</w:t>
      </w:r>
      <w:r>
        <w:rPr>
          <w:rFonts w:hint="eastAsia" w:ascii="仿宋" w:hAnsi="仿宋" w:eastAsia="仿宋" w:cs="仿宋"/>
          <w:color w:val="auto"/>
          <w:szCs w:val="24"/>
          <w:highlight w:val="none"/>
        </w:rPr>
        <w:t>批准，现委托湖州江南工程管理有限公司</w:t>
      </w:r>
      <w:r>
        <w:rPr>
          <w:rFonts w:hint="eastAsia" w:ascii="仿宋" w:hAnsi="仿宋" w:eastAsia="仿宋" w:cs="仿宋"/>
          <w:color w:val="auto"/>
          <w:szCs w:val="22"/>
          <w:highlight w:val="none"/>
        </w:rPr>
        <w:t>就</w:t>
      </w:r>
      <w:r>
        <w:rPr>
          <w:rFonts w:hint="eastAsia" w:ascii="仿宋" w:hAnsi="仿宋" w:eastAsia="仿宋" w:cs="仿宋"/>
          <w:color w:val="auto"/>
          <w:szCs w:val="22"/>
          <w:highlight w:val="none"/>
          <w:u w:val="single"/>
        </w:rPr>
        <w:t>湖州市中心医院新医院安全保卫服务项目</w:t>
      </w:r>
      <w:r>
        <w:rPr>
          <w:rFonts w:hint="eastAsia" w:ascii="仿宋" w:hAnsi="仿宋" w:eastAsia="仿宋" w:cs="仿宋"/>
          <w:color w:val="auto"/>
          <w:szCs w:val="22"/>
          <w:highlight w:val="none"/>
        </w:rPr>
        <w:t>进</w:t>
      </w:r>
      <w:r>
        <w:rPr>
          <w:rFonts w:hint="eastAsia" w:ascii="仿宋" w:hAnsi="仿宋" w:eastAsia="仿宋" w:cs="仿宋"/>
          <w:color w:val="auto"/>
          <w:highlight w:val="none"/>
          <w:lang w:val="zh-CN"/>
        </w:rPr>
        <w:t>行公开招标采购，欢迎合格的投标供应商前来投标。</w:t>
      </w:r>
    </w:p>
    <w:p>
      <w:pPr>
        <w:spacing w:line="360" w:lineRule="auto"/>
        <w:ind w:firstLine="482" w:firstLineChars="200"/>
        <w:rPr>
          <w:rFonts w:ascii="仿宋" w:hAnsi="仿宋" w:eastAsia="仿宋" w:cs="仿宋"/>
          <w:bCs/>
          <w:color w:val="auto"/>
          <w:highlight w:val="none"/>
        </w:rPr>
      </w:pPr>
      <w:r>
        <w:rPr>
          <w:rFonts w:hint="eastAsia" w:ascii="仿宋" w:hAnsi="仿宋" w:eastAsia="仿宋" w:cs="仿宋"/>
          <w:b/>
          <w:color w:val="auto"/>
          <w:highlight w:val="none"/>
        </w:rPr>
        <w:t>一、采购编号：</w:t>
      </w:r>
      <w:r>
        <w:rPr>
          <w:rFonts w:hint="eastAsia" w:ascii="仿宋" w:hAnsi="仿宋" w:eastAsia="仿宋" w:cs="仿宋"/>
          <w:bCs/>
          <w:color w:val="auto"/>
          <w:szCs w:val="24"/>
          <w:highlight w:val="none"/>
        </w:rPr>
        <w:t>湖江采字2020-018</w:t>
      </w:r>
    </w:p>
    <w:p>
      <w:pPr>
        <w:spacing w:before="60" w:after="60" w:line="360" w:lineRule="auto"/>
        <w:ind w:right="60" w:firstLine="482" w:firstLineChars="200"/>
        <w:rPr>
          <w:rFonts w:ascii="仿宋" w:hAnsi="仿宋" w:eastAsia="仿宋" w:cs="仿宋"/>
          <w:color w:val="auto"/>
          <w:highlight w:val="none"/>
        </w:rPr>
      </w:pPr>
      <w:r>
        <w:rPr>
          <w:rFonts w:hint="eastAsia" w:ascii="仿宋" w:hAnsi="仿宋" w:eastAsia="仿宋" w:cs="仿宋"/>
          <w:b/>
          <w:bCs/>
          <w:color w:val="auto"/>
          <w:highlight w:val="none"/>
        </w:rPr>
        <w:t>二、采购组织类型</w:t>
      </w:r>
      <w:r>
        <w:rPr>
          <w:rFonts w:hint="eastAsia" w:ascii="仿宋" w:hAnsi="仿宋" w:eastAsia="仿宋" w:cs="仿宋"/>
          <w:color w:val="auto"/>
          <w:highlight w:val="none"/>
        </w:rPr>
        <w:t>：分散采购 委托代理</w:t>
      </w:r>
    </w:p>
    <w:p>
      <w:pPr>
        <w:snapToGrid w:val="0"/>
        <w:spacing w:before="60" w:after="60" w:line="348" w:lineRule="auto"/>
        <w:ind w:right="60"/>
        <w:rPr>
          <w:rFonts w:ascii="仿宋" w:hAnsi="仿宋" w:eastAsia="仿宋" w:cs="仿宋"/>
          <w:b/>
          <w:color w:val="auto"/>
          <w:highlight w:val="none"/>
        </w:rPr>
      </w:pPr>
      <w:r>
        <w:rPr>
          <w:rFonts w:hint="eastAsia" w:ascii="仿宋" w:hAnsi="仿宋" w:eastAsia="仿宋" w:cs="仿宋"/>
          <w:b/>
          <w:color w:val="auto"/>
          <w:highlight w:val="none"/>
        </w:rPr>
        <w:t xml:space="preserve">    三、采购方式：</w:t>
      </w:r>
      <w:r>
        <w:rPr>
          <w:rFonts w:hint="eastAsia" w:ascii="仿宋" w:hAnsi="仿宋" w:eastAsia="仿宋" w:cs="仿宋"/>
          <w:color w:val="auto"/>
          <w:highlight w:val="none"/>
        </w:rPr>
        <w:t>公开招标</w:t>
      </w:r>
    </w:p>
    <w:p>
      <w:pPr>
        <w:snapToGrid w:val="0"/>
        <w:spacing w:before="60" w:after="60" w:line="360" w:lineRule="auto"/>
        <w:ind w:left="29" w:right="60" w:firstLine="482" w:firstLineChars="200"/>
        <w:rPr>
          <w:rFonts w:ascii="仿宋" w:hAnsi="仿宋" w:eastAsia="仿宋" w:cs="仿宋"/>
          <w:b/>
          <w:color w:val="auto"/>
          <w:highlight w:val="none"/>
        </w:rPr>
      </w:pPr>
      <w:r>
        <w:rPr>
          <w:rFonts w:hint="eastAsia" w:ascii="仿宋" w:hAnsi="仿宋" w:eastAsia="仿宋" w:cs="仿宋"/>
          <w:b/>
          <w:color w:val="auto"/>
          <w:highlight w:val="none"/>
        </w:rPr>
        <w:t>四、采购项目概况：</w:t>
      </w:r>
    </w:p>
    <w:tbl>
      <w:tblPr>
        <w:tblStyle w:val="27"/>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940"/>
        <w:gridCol w:w="750"/>
        <w:gridCol w:w="700"/>
        <w:gridCol w:w="2137"/>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49"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序号</w:t>
            </w:r>
          </w:p>
        </w:tc>
        <w:tc>
          <w:tcPr>
            <w:tcW w:w="1940"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项目名称</w:t>
            </w:r>
          </w:p>
        </w:tc>
        <w:tc>
          <w:tcPr>
            <w:tcW w:w="750"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单位</w:t>
            </w:r>
          </w:p>
        </w:tc>
        <w:tc>
          <w:tcPr>
            <w:tcW w:w="700"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数量</w:t>
            </w:r>
          </w:p>
        </w:tc>
        <w:tc>
          <w:tcPr>
            <w:tcW w:w="2137"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简要规格描述</w:t>
            </w:r>
          </w:p>
        </w:tc>
        <w:tc>
          <w:tcPr>
            <w:tcW w:w="2760" w:type="dxa"/>
            <w:vAlign w:val="center"/>
          </w:tcPr>
          <w:p>
            <w:pPr>
              <w:snapToGrid w:val="0"/>
              <w:spacing w:line="360" w:lineRule="auto"/>
              <w:jc w:val="center"/>
              <w:rPr>
                <w:rFonts w:ascii="仿宋" w:hAnsi="仿宋" w:eastAsia="仿宋" w:cs="仿宋"/>
                <w:bCs/>
                <w:color w:val="auto"/>
                <w:szCs w:val="24"/>
                <w:highlight w:val="none"/>
              </w:rPr>
            </w:pPr>
            <w:r>
              <w:rPr>
                <w:rFonts w:hint="eastAsia" w:ascii="仿宋" w:hAnsi="仿宋" w:eastAsia="仿宋" w:cs="仿宋"/>
                <w:bCs/>
                <w:color w:val="auto"/>
                <w:szCs w:val="24"/>
                <w:highlight w:val="none"/>
              </w:rPr>
              <w:t>预算价</w:t>
            </w:r>
          </w:p>
          <w:p>
            <w:pPr>
              <w:snapToGrid w:val="0"/>
              <w:spacing w:line="360" w:lineRule="auto"/>
              <w:jc w:val="center"/>
              <w:rPr>
                <w:rFonts w:ascii="仿宋" w:hAnsi="仿宋" w:eastAsia="仿宋" w:cs="仿宋"/>
                <w:bC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49"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1</w:t>
            </w:r>
          </w:p>
        </w:tc>
        <w:tc>
          <w:tcPr>
            <w:tcW w:w="1940" w:type="dxa"/>
            <w:vAlign w:val="center"/>
          </w:tcPr>
          <w:p>
            <w:pPr>
              <w:snapToGrid w:val="0"/>
              <w:spacing w:line="360" w:lineRule="auto"/>
              <w:jc w:val="center"/>
              <w:rPr>
                <w:rFonts w:ascii="仿宋" w:hAnsi="仿宋" w:eastAsia="仿宋" w:cs="仿宋"/>
                <w:bCs/>
                <w:color w:val="auto"/>
                <w:szCs w:val="24"/>
                <w:highlight w:val="none"/>
              </w:rPr>
            </w:pPr>
            <w:r>
              <w:rPr>
                <w:rFonts w:hint="eastAsia" w:ascii="仿宋" w:hAnsi="仿宋" w:eastAsia="仿宋" w:cs="仿宋"/>
                <w:bCs/>
                <w:color w:val="auto"/>
                <w:szCs w:val="24"/>
                <w:highlight w:val="none"/>
                <w:lang w:val="zh-CN"/>
              </w:rPr>
              <w:t>湖州市中心医院新医院安全保卫服务项目</w:t>
            </w:r>
          </w:p>
        </w:tc>
        <w:tc>
          <w:tcPr>
            <w:tcW w:w="750"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项</w:t>
            </w:r>
          </w:p>
        </w:tc>
        <w:tc>
          <w:tcPr>
            <w:tcW w:w="700" w:type="dxa"/>
            <w:vAlign w:val="center"/>
          </w:tcPr>
          <w:p>
            <w:pPr>
              <w:snapToGrid w:val="0"/>
              <w:spacing w:line="360" w:lineRule="auto"/>
              <w:jc w:val="center"/>
              <w:rPr>
                <w:rFonts w:ascii="仿宋" w:hAnsi="仿宋" w:eastAsia="仿宋" w:cs="仿宋"/>
                <w:color w:val="auto"/>
                <w:szCs w:val="24"/>
                <w:highlight w:val="none"/>
              </w:rPr>
            </w:pPr>
            <w:r>
              <w:rPr>
                <w:rFonts w:hint="eastAsia" w:ascii="仿宋" w:hAnsi="仿宋" w:eastAsia="仿宋" w:cs="仿宋"/>
                <w:bCs/>
                <w:color w:val="auto"/>
                <w:szCs w:val="24"/>
                <w:highlight w:val="none"/>
              </w:rPr>
              <w:t>1</w:t>
            </w:r>
          </w:p>
        </w:tc>
        <w:tc>
          <w:tcPr>
            <w:tcW w:w="2137" w:type="dxa"/>
            <w:vAlign w:val="center"/>
          </w:tcPr>
          <w:p>
            <w:pPr>
              <w:pStyle w:val="99"/>
              <w:snapToGrid w:val="0"/>
              <w:spacing w:line="360" w:lineRule="auto"/>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详见第二章招标需求</w:t>
            </w:r>
          </w:p>
        </w:tc>
        <w:tc>
          <w:tcPr>
            <w:tcW w:w="2760" w:type="dxa"/>
            <w:vAlign w:val="center"/>
          </w:tcPr>
          <w:p>
            <w:pPr>
              <w:snapToGrid w:val="0"/>
              <w:spacing w:line="360" w:lineRule="auto"/>
              <w:jc w:val="center"/>
              <w:rPr>
                <w:rFonts w:ascii="仿宋" w:hAnsi="仿宋" w:eastAsia="仿宋" w:cs="仿宋"/>
                <w:bCs/>
                <w:color w:val="auto"/>
                <w:szCs w:val="24"/>
                <w:highlight w:val="none"/>
              </w:rPr>
            </w:pPr>
            <w:r>
              <w:rPr>
                <w:rFonts w:hint="eastAsia" w:ascii="仿宋" w:hAnsi="仿宋" w:eastAsia="仿宋" w:cs="仿宋"/>
                <w:bCs/>
                <w:color w:val="auto"/>
                <w:szCs w:val="24"/>
                <w:highlight w:val="none"/>
              </w:rPr>
              <w:t>1485万元（495万/年，服务期3年）</w:t>
            </w:r>
          </w:p>
        </w:tc>
      </w:tr>
    </w:tbl>
    <w:p>
      <w:pPr>
        <w:spacing w:line="360" w:lineRule="auto"/>
        <w:ind w:firstLine="482" w:firstLineChars="200"/>
        <w:rPr>
          <w:rFonts w:ascii="仿宋" w:hAnsi="仿宋" w:eastAsia="仿宋" w:cs="仿宋"/>
          <w:color w:val="auto"/>
          <w:highlight w:val="none"/>
        </w:rPr>
      </w:pPr>
      <w:r>
        <w:rPr>
          <w:rFonts w:hint="eastAsia" w:ascii="仿宋" w:hAnsi="仿宋" w:eastAsia="仿宋" w:cs="仿宋"/>
          <w:b/>
          <w:color w:val="auto"/>
          <w:highlight w:val="none"/>
        </w:rPr>
        <w:t>五、供应商资格要求：</w:t>
      </w:r>
    </w:p>
    <w:p>
      <w:pPr>
        <w:spacing w:line="500" w:lineRule="exact"/>
        <w:ind w:firstLine="480" w:firstLineChars="200"/>
        <w:rPr>
          <w:rFonts w:hint="eastAsia" w:ascii="仿宋" w:hAnsi="仿宋" w:eastAsia="仿宋" w:cs="仿宋"/>
          <w:bCs/>
          <w:color w:val="auto"/>
          <w:highlight w:val="none"/>
          <w:lang w:eastAsia="zh-CN"/>
        </w:rPr>
      </w:pPr>
      <w:r>
        <w:rPr>
          <w:rFonts w:hint="eastAsia" w:ascii="仿宋" w:hAnsi="仿宋" w:eastAsia="仿宋" w:cs="仿宋"/>
          <w:bCs/>
          <w:color w:val="auto"/>
          <w:highlight w:val="none"/>
        </w:rPr>
        <w:t>1、符合《中华人民共和国政府采购法》第二十二条</w:t>
      </w:r>
      <w:r>
        <w:rPr>
          <w:rFonts w:hint="eastAsia" w:ascii="仿宋" w:hAnsi="仿宋" w:eastAsia="仿宋" w:cs="仿宋"/>
          <w:color w:val="auto"/>
          <w:highlight w:val="none"/>
        </w:rPr>
        <w:t>规定</w:t>
      </w:r>
      <w:r>
        <w:rPr>
          <w:rFonts w:hint="eastAsia" w:ascii="仿宋" w:hAnsi="仿宋" w:eastAsia="仿宋" w:cs="仿宋"/>
          <w:bCs/>
          <w:color w:val="auto"/>
          <w:highlight w:val="none"/>
        </w:rPr>
        <w:t>供应商应当具备的条件</w:t>
      </w:r>
      <w:r>
        <w:rPr>
          <w:rFonts w:hint="eastAsia" w:ascii="仿宋" w:hAnsi="仿宋" w:eastAsia="仿宋" w:cs="仿宋"/>
          <w:bCs/>
          <w:color w:val="auto"/>
          <w:highlight w:val="none"/>
          <w:lang w:eastAsia="zh-CN"/>
        </w:rPr>
        <w:t>。</w:t>
      </w:r>
    </w:p>
    <w:p>
      <w:pPr>
        <w:spacing w:line="560" w:lineRule="exact"/>
        <w:ind w:firstLine="540" w:firstLineChars="225"/>
        <w:rPr>
          <w:rFonts w:ascii="仿宋" w:hAnsi="仿宋" w:eastAsia="仿宋" w:cs="仿宋"/>
          <w:bCs/>
          <w:color w:val="auto"/>
          <w:highlight w:val="none"/>
        </w:rPr>
      </w:pPr>
      <w:r>
        <w:rPr>
          <w:rFonts w:hint="eastAsia" w:ascii="仿宋" w:hAnsi="仿宋" w:eastAsia="仿宋" w:cs="仿宋"/>
          <w:bCs/>
          <w:color w:val="auto"/>
          <w:highlight w:val="none"/>
        </w:rPr>
        <w:t>2、</w:t>
      </w:r>
      <w:r>
        <w:rPr>
          <w:rFonts w:hint="eastAsia" w:ascii="仿宋" w:hAnsi="仿宋" w:eastAsia="仿宋" w:cs="仿宋"/>
          <w:color w:val="auto"/>
          <w:highlight w:val="none"/>
        </w:rPr>
        <w:t>未被“信用中国”（www.creditchina.gov.cn）、“中国政府采购网”（www.ccgp.gov.cn）等列入失信被执行人、重大税收违法案件当事人名单、政府采购严重违法失信行为记录名单。</w:t>
      </w:r>
    </w:p>
    <w:p>
      <w:pPr>
        <w:spacing w:line="500" w:lineRule="exact"/>
        <w:ind w:firstLine="482" w:firstLineChars="200"/>
        <w:rPr>
          <w:rFonts w:hint="eastAsia" w:ascii="仿宋" w:hAnsi="仿宋" w:eastAsia="仿宋" w:cs="仿宋"/>
          <w:color w:val="auto"/>
          <w:highlight w:val="none"/>
          <w:lang w:eastAsia="zh-CN"/>
        </w:rPr>
      </w:pPr>
      <w:r>
        <w:rPr>
          <w:rFonts w:hint="eastAsia" w:ascii="仿宋" w:hAnsi="仿宋" w:eastAsia="仿宋" w:cs="仿宋"/>
          <w:b/>
          <w:bCs/>
          <w:color w:val="auto"/>
          <w:highlight w:val="none"/>
        </w:rPr>
        <w:t>3、供应商特定资格要求：</w:t>
      </w:r>
      <w:r>
        <w:rPr>
          <w:rFonts w:hint="eastAsia" w:ascii="仿宋" w:hAnsi="仿宋" w:eastAsia="仿宋" w:cs="仿宋"/>
          <w:bCs/>
          <w:color w:val="auto"/>
          <w:szCs w:val="22"/>
          <w:highlight w:val="none"/>
        </w:rPr>
        <w:t>具有公安部门核发的保安服务许可证</w:t>
      </w:r>
      <w:r>
        <w:rPr>
          <w:rFonts w:hint="eastAsia" w:ascii="仿宋" w:hAnsi="仿宋" w:eastAsia="仿宋" w:cs="仿宋"/>
          <w:bCs/>
          <w:color w:val="auto"/>
          <w:szCs w:val="22"/>
          <w:highlight w:val="none"/>
          <w:lang w:eastAsia="zh-CN"/>
        </w:rPr>
        <w:t>。</w:t>
      </w:r>
    </w:p>
    <w:p>
      <w:pPr>
        <w:spacing w:line="500" w:lineRule="exact"/>
        <w:ind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4、本项目不接受联合体形式投标。</w:t>
      </w:r>
    </w:p>
    <w:p>
      <w:pPr>
        <w:snapToGrid w:val="0"/>
        <w:spacing w:line="500" w:lineRule="exact"/>
        <w:rPr>
          <w:rFonts w:ascii="仿宋" w:hAnsi="仿宋" w:eastAsia="仿宋" w:cs="仿宋"/>
          <w:color w:val="auto"/>
          <w:szCs w:val="21"/>
          <w:highlight w:val="none"/>
        </w:rPr>
      </w:pPr>
      <w:r>
        <w:rPr>
          <w:rFonts w:hint="eastAsia" w:ascii="仿宋" w:hAnsi="仿宋" w:eastAsia="仿宋" w:cs="仿宋"/>
          <w:b/>
          <w:color w:val="auto"/>
          <w:highlight w:val="none"/>
        </w:rPr>
        <w:t>六、采购文件的获取：</w:t>
      </w:r>
    </w:p>
    <w:p>
      <w:pPr>
        <w:snapToGrid w:val="0"/>
        <w:spacing w:before="60" w:after="60" w:line="500" w:lineRule="exact"/>
        <w:ind w:left="29" w:right="60" w:firstLine="480" w:firstLineChars="200"/>
        <w:rPr>
          <w:rFonts w:hint="eastAsia" w:ascii="仿宋" w:hAnsi="仿宋" w:eastAsia="仿宋" w:cs="仿宋"/>
          <w:color w:val="auto"/>
          <w:szCs w:val="22"/>
          <w:highlight w:val="none"/>
          <w:lang w:eastAsia="zh-CN"/>
        </w:rPr>
      </w:pPr>
      <w:r>
        <w:rPr>
          <w:rFonts w:hint="eastAsia" w:ascii="仿宋" w:hAnsi="仿宋" w:eastAsia="仿宋" w:cs="仿宋"/>
          <w:color w:val="auto"/>
          <w:szCs w:val="22"/>
          <w:highlight w:val="none"/>
        </w:rPr>
        <w:t>1、获取文件时间：2020年</w:t>
      </w:r>
      <w:r>
        <w:rPr>
          <w:rFonts w:hint="eastAsia" w:ascii="仿宋" w:hAnsi="仿宋" w:eastAsia="仿宋" w:cs="仿宋"/>
          <w:color w:val="auto"/>
          <w:szCs w:val="22"/>
          <w:highlight w:val="none"/>
          <w:lang w:val="en-US" w:eastAsia="zh-CN"/>
        </w:rPr>
        <w:t>6</w:t>
      </w:r>
      <w:r>
        <w:rPr>
          <w:rFonts w:hint="eastAsia" w:ascii="仿宋" w:hAnsi="仿宋" w:eastAsia="仿宋" w:cs="仿宋"/>
          <w:color w:val="auto"/>
          <w:szCs w:val="22"/>
          <w:highlight w:val="none"/>
        </w:rPr>
        <w:t>月</w:t>
      </w:r>
      <w:r>
        <w:rPr>
          <w:rFonts w:hint="eastAsia" w:ascii="仿宋" w:hAnsi="仿宋" w:eastAsia="仿宋" w:cs="仿宋"/>
          <w:color w:val="auto"/>
          <w:szCs w:val="22"/>
          <w:highlight w:val="none"/>
          <w:lang w:val="en-US" w:eastAsia="zh-CN"/>
        </w:rPr>
        <w:t>9</w:t>
      </w:r>
      <w:r>
        <w:rPr>
          <w:rFonts w:hint="eastAsia" w:ascii="仿宋" w:hAnsi="仿宋" w:eastAsia="仿宋" w:cs="仿宋"/>
          <w:color w:val="auto"/>
          <w:szCs w:val="22"/>
          <w:highlight w:val="none"/>
        </w:rPr>
        <w:t>日至2020年</w:t>
      </w:r>
      <w:r>
        <w:rPr>
          <w:rFonts w:hint="eastAsia" w:ascii="仿宋" w:hAnsi="仿宋" w:eastAsia="仿宋" w:cs="仿宋"/>
          <w:color w:val="auto"/>
          <w:szCs w:val="22"/>
          <w:highlight w:val="none"/>
          <w:lang w:val="en-US" w:eastAsia="zh-CN"/>
        </w:rPr>
        <w:t>6</w:t>
      </w:r>
      <w:r>
        <w:rPr>
          <w:rFonts w:hint="eastAsia" w:ascii="仿宋" w:hAnsi="仿宋" w:eastAsia="仿宋" w:cs="仿宋"/>
          <w:color w:val="auto"/>
          <w:szCs w:val="22"/>
          <w:highlight w:val="none"/>
        </w:rPr>
        <w:t>月</w:t>
      </w:r>
      <w:r>
        <w:rPr>
          <w:rFonts w:hint="eastAsia" w:ascii="仿宋" w:hAnsi="仿宋" w:eastAsia="仿宋" w:cs="仿宋"/>
          <w:color w:val="auto"/>
          <w:szCs w:val="22"/>
          <w:highlight w:val="none"/>
          <w:lang w:val="en-US" w:eastAsia="zh-CN"/>
        </w:rPr>
        <w:t>16</w:t>
      </w:r>
      <w:r>
        <w:rPr>
          <w:rFonts w:hint="eastAsia" w:ascii="仿宋" w:hAnsi="仿宋" w:eastAsia="仿宋" w:cs="仿宋"/>
          <w:color w:val="auto"/>
          <w:szCs w:val="22"/>
          <w:highlight w:val="none"/>
        </w:rPr>
        <w:t>日（潜在供应商获取采购文件前应当在电子交易平台上注册账号并登录,截止时间后不再接受潜在供应商获取采购文件）</w:t>
      </w:r>
      <w:r>
        <w:rPr>
          <w:rFonts w:hint="eastAsia" w:ascii="仿宋" w:hAnsi="仿宋" w:eastAsia="仿宋" w:cs="仿宋"/>
          <w:color w:val="auto"/>
          <w:szCs w:val="22"/>
          <w:highlight w:val="none"/>
          <w:lang w:eastAsia="zh-CN"/>
        </w:rPr>
        <w:t>。</w:t>
      </w:r>
    </w:p>
    <w:p>
      <w:pPr>
        <w:snapToGrid w:val="0"/>
        <w:spacing w:before="60" w:after="60" w:line="500" w:lineRule="exact"/>
        <w:ind w:left="29" w:right="60"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2、本项目招标文件实行网上获取，不收取工本费。</w:t>
      </w:r>
    </w:p>
    <w:p>
      <w:pPr>
        <w:snapToGrid w:val="0"/>
        <w:spacing w:before="60" w:after="60" w:line="500" w:lineRule="exact"/>
        <w:ind w:left="29" w:right="60"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3、获取方式：</w:t>
      </w:r>
    </w:p>
    <w:p>
      <w:pPr>
        <w:snapToGrid w:val="0"/>
        <w:spacing w:before="60" w:after="60" w:line="500" w:lineRule="exact"/>
        <w:ind w:left="29" w:right="60"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1)本项目实行网上报名，不接受现场报名。申请注册成为政采云平台供应商会员后登录政府采购云平台（https://login.zcygov.cn/login）通过“项目采购”模块中“项目文件获取” 进行获取招标文件。</w:t>
      </w:r>
    </w:p>
    <w:p>
      <w:pPr>
        <w:snapToGrid w:val="0"/>
        <w:spacing w:before="60" w:after="60" w:line="500" w:lineRule="exact"/>
        <w:ind w:left="29" w:right="60"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2)未注册供应商可登录浙江政府采购网(http://zfcg.czt.zj.gov.cn/)查看公告下附件或在湖州市公共资源交易信息网（http://ggzy.huzhou.gov.cn/hzfront/)“政府采购”--“分散采购”版块公告附件下载。招标公告附件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请供应商按上述要求获取招标文件，如未在“政采云”系统内完成相关流程，引起的投标无效责任自负。</w:t>
      </w:r>
    </w:p>
    <w:p>
      <w:pPr>
        <w:snapToGrid w:val="0"/>
        <w:spacing w:line="500" w:lineRule="exact"/>
        <w:rPr>
          <w:rFonts w:ascii="仿宋" w:hAnsi="仿宋" w:eastAsia="仿宋" w:cs="仿宋"/>
          <w:b/>
          <w:color w:val="auto"/>
          <w:szCs w:val="22"/>
          <w:highlight w:val="none"/>
        </w:rPr>
      </w:pPr>
      <w:r>
        <w:rPr>
          <w:rFonts w:hint="eastAsia" w:ascii="仿宋" w:hAnsi="仿宋" w:eastAsia="仿宋" w:cs="仿宋"/>
          <w:b/>
          <w:color w:val="auto"/>
          <w:szCs w:val="22"/>
          <w:highlight w:val="none"/>
        </w:rPr>
        <w:t>七、投标文件递交及相关事宜：</w:t>
      </w:r>
    </w:p>
    <w:p>
      <w:pPr>
        <w:spacing w:line="6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6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spacing w:line="60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auto"/>
          <w:highlight w:val="none"/>
        </w:rPr>
        <w:fldChar w:fldCharType="begin"/>
      </w:r>
      <w:r>
        <w:rPr>
          <w:color w:val="auto"/>
          <w:highlight w:val="none"/>
        </w:rPr>
        <w:instrText xml:space="preserve"> HYPERLINK "http://www.zjzfcg.gov.cn/bidClientTemplate/2019-05-27/12945.html" \t "_blank" \o "CA驱动和申领流程" </w:instrText>
      </w:r>
      <w:r>
        <w:rPr>
          <w:color w:val="auto"/>
          <w:highlight w:val="none"/>
        </w:rPr>
        <w:fldChar w:fldCharType="separate"/>
      </w:r>
      <w:r>
        <w:rPr>
          <w:rFonts w:hint="eastAsia" w:ascii="仿宋" w:hAnsi="仿宋" w:eastAsia="仿宋" w:cs="仿宋"/>
          <w:color w:val="auto"/>
          <w:szCs w:val="24"/>
          <w:highlight w:val="none"/>
        </w:rPr>
        <w:t>CA驱动和申领流程</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”进行查阅</w:t>
      </w:r>
      <w:r>
        <w:rPr>
          <w:rFonts w:hint="eastAsia" w:ascii="仿宋" w:hAnsi="仿宋" w:eastAsia="仿宋" w:cs="仿宋"/>
          <w:color w:val="auto"/>
          <w:szCs w:val="24"/>
          <w:highlight w:val="none"/>
          <w:lang w:eastAsia="zh-CN"/>
        </w:rPr>
        <w:t>。</w:t>
      </w:r>
    </w:p>
    <w:p>
      <w:pPr>
        <w:spacing w:line="6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3、投标供应商应当在投标截止时间前，将生成的“电子加密投标文件”上传递交至“政府采购云平台”。投标截止时间以后上传递交的投标文件将被“政府采购云平台”拒收。</w:t>
      </w:r>
    </w:p>
    <w:p>
      <w:pPr>
        <w:spacing w:line="6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4、投标供应商还可以（邮寄形式）在投标截止时间前递交以介质（U盘）存储的数据电文形式的“备份投标文件”，“备份投标文件”应当密封包装并在包装上标注投标项目名称、投标单位名称、联系电话并加盖公章。</w:t>
      </w:r>
      <w:r>
        <w:rPr>
          <w:rFonts w:hint="eastAsia" w:ascii="仿宋" w:hAnsi="仿宋" w:eastAsia="仿宋" w:cs="仿宋"/>
          <w:color w:val="auto"/>
          <w:szCs w:val="22"/>
          <w:highlight w:val="none"/>
        </w:rPr>
        <w:t>投标人应确保在投标截止时间前送达（以收件人实际签收时间为准，收件人签收后将予以回执，回执单采用图片形式发送给投标人确认，该回执单仅作为投标人邮寄的包裹送达时间的依据），逾期送达的将拒绝接收。</w:t>
      </w:r>
    </w:p>
    <w:p>
      <w:pPr>
        <w:spacing w:line="6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before="60" w:after="60" w:line="500" w:lineRule="exact"/>
        <w:ind w:left="29" w:right="60" w:firstLine="482" w:firstLineChars="200"/>
        <w:rPr>
          <w:rFonts w:ascii="仿宋" w:hAnsi="仿宋" w:eastAsia="仿宋" w:cs="仿宋"/>
          <w:color w:val="auto"/>
          <w:highlight w:val="none"/>
        </w:rPr>
      </w:pPr>
      <w:r>
        <w:rPr>
          <w:rFonts w:hint="eastAsia" w:ascii="仿宋" w:hAnsi="仿宋" w:eastAsia="仿宋" w:cs="仿宋"/>
          <w:b/>
          <w:color w:val="auto"/>
          <w:highlight w:val="none"/>
        </w:rPr>
        <w:t>八、开标时间：</w:t>
      </w:r>
      <w:r>
        <w:rPr>
          <w:rFonts w:hint="eastAsia" w:ascii="仿宋" w:hAnsi="仿宋" w:eastAsia="仿宋" w:cs="仿宋"/>
          <w:color w:val="auto"/>
          <w:highlight w:val="none"/>
        </w:rPr>
        <w:t>2020年</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29</w:t>
      </w:r>
      <w:r>
        <w:rPr>
          <w:rFonts w:hint="eastAsia" w:ascii="仿宋" w:hAnsi="仿宋" w:eastAsia="仿宋" w:cs="仿宋"/>
          <w:color w:val="auto"/>
          <w:highlight w:val="none"/>
        </w:rPr>
        <w:t>日9：00整</w:t>
      </w:r>
    </w:p>
    <w:p>
      <w:pPr>
        <w:snapToGrid w:val="0"/>
        <w:spacing w:before="60" w:after="60" w:line="500" w:lineRule="exact"/>
        <w:ind w:left="29" w:right="60" w:firstLine="482" w:firstLineChars="200"/>
        <w:rPr>
          <w:rFonts w:hint="eastAsia" w:ascii="仿宋" w:hAnsi="仿宋" w:eastAsia="仿宋" w:cs="仿宋"/>
          <w:color w:val="auto"/>
          <w:highlight w:val="none"/>
          <w:lang w:eastAsia="zh-CN"/>
        </w:rPr>
      </w:pPr>
      <w:r>
        <w:rPr>
          <w:rFonts w:hint="eastAsia" w:ascii="仿宋" w:hAnsi="仿宋" w:eastAsia="仿宋" w:cs="仿宋"/>
          <w:b/>
          <w:bCs/>
          <w:color w:val="auto"/>
          <w:highlight w:val="none"/>
        </w:rPr>
        <w:t>九、开标地点</w:t>
      </w:r>
      <w:r>
        <w:rPr>
          <w:rFonts w:hint="eastAsia" w:ascii="仿宋" w:hAnsi="仿宋" w:eastAsia="仿宋" w:cs="仿宋"/>
          <w:color w:val="auto"/>
          <w:highlight w:val="none"/>
        </w:rPr>
        <w:t>：</w:t>
      </w:r>
      <w:bookmarkStart w:id="18" w:name="OLE_LINK1"/>
      <w:bookmarkStart w:id="19" w:name="OLE_LINK2"/>
      <w:r>
        <w:rPr>
          <w:rFonts w:hint="eastAsia" w:ascii="仿宋" w:hAnsi="仿宋" w:eastAsia="仿宋" w:cs="仿宋"/>
          <w:color w:val="auto"/>
          <w:szCs w:val="24"/>
          <w:highlight w:val="none"/>
        </w:rPr>
        <w:t>湖州市民服务中心2号楼2楼开标室</w:t>
      </w:r>
      <w:r>
        <w:rPr>
          <w:rFonts w:hint="eastAsia" w:ascii="仿宋" w:hAnsi="仿宋" w:eastAsia="仿宋" w:cs="仿宋"/>
          <w:color w:val="auto"/>
          <w:highlight w:val="none"/>
        </w:rPr>
        <w:t>（湖州市仁皇山片区金盖山路66号），具体详见二楼大厅公告栏</w:t>
      </w:r>
      <w:r>
        <w:rPr>
          <w:rFonts w:hint="eastAsia" w:ascii="仿宋" w:hAnsi="仿宋" w:eastAsia="仿宋" w:cs="仿宋"/>
          <w:color w:val="auto"/>
          <w:highlight w:val="none"/>
          <w:lang w:eastAsia="zh-CN"/>
        </w:rPr>
        <w:t>。</w:t>
      </w:r>
      <w:bookmarkStart w:id="37" w:name="_GoBack"/>
      <w:bookmarkEnd w:id="37"/>
    </w:p>
    <w:bookmarkEnd w:id="18"/>
    <w:bookmarkEnd w:id="19"/>
    <w:p>
      <w:pPr>
        <w:snapToGrid w:val="0"/>
        <w:spacing w:before="60" w:after="60" w:line="500" w:lineRule="exact"/>
        <w:ind w:right="60" w:firstLine="480"/>
        <w:rPr>
          <w:rFonts w:ascii="仿宋" w:hAnsi="仿宋" w:eastAsia="仿宋" w:cs="仿宋"/>
          <w:bCs/>
          <w:color w:val="auto"/>
          <w:highlight w:val="none"/>
        </w:rPr>
      </w:pPr>
      <w:r>
        <w:rPr>
          <w:rFonts w:hint="eastAsia" w:ascii="仿宋" w:hAnsi="仿宋" w:eastAsia="仿宋" w:cs="仿宋"/>
          <w:b/>
          <w:color w:val="auto"/>
          <w:highlight w:val="none"/>
        </w:rPr>
        <w:t>十、其他事项：</w:t>
      </w:r>
    </w:p>
    <w:p>
      <w:pPr>
        <w:pStyle w:val="15"/>
        <w:autoSpaceDE/>
        <w:autoSpaceDN/>
        <w:snapToGrid w:val="0"/>
        <w:spacing w:line="560" w:lineRule="exact"/>
        <w:ind w:left="0" w:leftChars="0" w:firstLine="480" w:firstLineChars="200"/>
        <w:textAlignment w:val="auto"/>
        <w:rPr>
          <w:rFonts w:ascii="仿宋" w:hAnsi="仿宋" w:eastAsia="仿宋" w:cs="仿宋"/>
          <w:bCs/>
          <w:color w:val="auto"/>
          <w:szCs w:val="22"/>
          <w:highlight w:val="none"/>
        </w:rPr>
      </w:pPr>
      <w:r>
        <w:rPr>
          <w:rFonts w:hint="eastAsia" w:ascii="仿宋" w:hAnsi="仿宋" w:eastAsia="仿宋" w:cs="仿宋"/>
          <w:bCs/>
          <w:color w:val="auto"/>
          <w:szCs w:val="22"/>
          <w:highlight w:val="none"/>
        </w:rPr>
        <w:t>1、本项目实行网上投标，采用电子投标文件，要求供应商通过政采云系统在线投标响应。</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2、潜在供应商对采购文件提出质疑的，应当在获取采购文件或者采购文件公告期限届满之日起7个工作日内提出。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份，并将以书面形式送达所有已报名的供货商。</w:t>
      </w:r>
    </w:p>
    <w:p>
      <w:pPr>
        <w:snapToGrid w:val="0"/>
        <w:spacing w:before="60" w:after="60" w:line="500" w:lineRule="exact"/>
        <w:ind w:right="62" w:firstLine="480" w:firstLineChars="200"/>
        <w:rPr>
          <w:rFonts w:ascii="仿宋" w:hAnsi="仿宋" w:eastAsia="仿宋" w:cs="仿宋"/>
          <w:color w:val="auto"/>
          <w:szCs w:val="24"/>
          <w:highlight w:val="none"/>
        </w:rPr>
      </w:pPr>
      <w:r>
        <w:rPr>
          <w:rFonts w:hint="eastAsia" w:ascii="仿宋" w:hAnsi="仿宋" w:eastAsia="仿宋" w:cs="仿宋"/>
          <w:bCs/>
          <w:color w:val="auto"/>
          <w:szCs w:val="22"/>
          <w:highlight w:val="none"/>
        </w:rPr>
        <w:t>3、</w:t>
      </w:r>
      <w:r>
        <w:rPr>
          <w:rFonts w:hint="eastAsia" w:ascii="仿宋" w:hAnsi="仿宋" w:eastAsia="仿宋" w:cs="仿宋"/>
          <w:color w:val="auto"/>
          <w:szCs w:val="24"/>
          <w:highlight w:val="none"/>
        </w:rPr>
        <w:t>本项目公告期限：5个工作日。</w:t>
      </w:r>
    </w:p>
    <w:p>
      <w:pPr>
        <w:snapToGrid w:val="0"/>
        <w:spacing w:before="60" w:after="60" w:line="500" w:lineRule="exact"/>
        <w:ind w:right="62" w:firstLine="480" w:firstLineChars="200"/>
        <w:rPr>
          <w:rFonts w:ascii="仿宋" w:hAnsi="仿宋" w:eastAsia="仿宋" w:cs="仿宋"/>
          <w:b/>
          <w:color w:val="auto"/>
          <w:highlight w:val="none"/>
        </w:rPr>
      </w:pPr>
      <w:r>
        <w:rPr>
          <w:rFonts w:hint="eastAsia" w:ascii="仿宋" w:hAnsi="仿宋" w:eastAsia="仿宋" w:cs="仿宋"/>
          <w:color w:val="auto"/>
          <w:szCs w:val="24"/>
          <w:highlight w:val="none"/>
        </w:rPr>
        <w:t>4、</w:t>
      </w:r>
      <w:r>
        <w:rPr>
          <w:rFonts w:hint="eastAsia" w:ascii="仿宋" w:hAnsi="仿宋" w:eastAsia="仿宋" w:cs="仿宋"/>
          <w:bCs/>
          <w:color w:val="auto"/>
          <w:szCs w:val="22"/>
          <w:highlight w:val="none"/>
        </w:rPr>
        <w:t xml:space="preserve">本项目公告发布网站：“浙江省政府采购网”(http://zfcg.czt.zj.gov.cn/)和湖州市公共资源交易信息网（http://ggzy.huzhou.gov.cn/hzfront/)“政府采购-分散采购”版块。 </w:t>
      </w:r>
    </w:p>
    <w:p>
      <w:pPr>
        <w:snapToGrid w:val="0"/>
        <w:spacing w:before="60" w:after="60" w:line="500" w:lineRule="exact"/>
        <w:ind w:right="62" w:firstLine="482" w:firstLineChars="200"/>
        <w:rPr>
          <w:rFonts w:ascii="仿宋" w:hAnsi="仿宋" w:eastAsia="仿宋" w:cs="仿宋"/>
          <w:b/>
          <w:color w:val="auto"/>
          <w:highlight w:val="none"/>
        </w:rPr>
      </w:pPr>
      <w:r>
        <w:rPr>
          <w:rFonts w:hint="eastAsia" w:ascii="仿宋" w:hAnsi="仿宋" w:eastAsia="仿宋" w:cs="仿宋"/>
          <w:b/>
          <w:color w:val="auto"/>
          <w:highlight w:val="none"/>
        </w:rPr>
        <w:t>十一、联系方式：</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1、采购人：湖州市中心医院</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联系人：蔡勇</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联系方式：0572-2555126</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地址：浙江省湖州市红旗路</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2、采购代理机构名称：湖州江南工程管理有限公司</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 xml:space="preserve">联系人：郭婷              </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联系方式：0572-2889025</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 xml:space="preserve">联系邮箱：2756977296@qq.com </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地址：湖州市太湖路777号105室</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 xml:space="preserve">3、质疑函接收人：陈先生  联系电话：0572-2885823                  </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4、同级政府采购监管管理部门：湖州市财政局政府采购监管处</w:t>
      </w:r>
    </w:p>
    <w:p>
      <w:pPr>
        <w:snapToGrid w:val="0"/>
        <w:spacing w:before="60" w:after="60" w:line="500" w:lineRule="exact"/>
        <w:ind w:right="62" w:firstLine="480" w:firstLineChars="200"/>
        <w:rPr>
          <w:rFonts w:ascii="仿宋" w:hAnsi="仿宋" w:eastAsia="仿宋" w:cs="仿宋"/>
          <w:bCs/>
          <w:color w:val="auto"/>
          <w:szCs w:val="22"/>
          <w:highlight w:val="none"/>
        </w:rPr>
      </w:pPr>
      <w:r>
        <w:rPr>
          <w:rFonts w:hint="eastAsia" w:ascii="仿宋" w:hAnsi="仿宋" w:eastAsia="仿宋" w:cs="仿宋"/>
          <w:bCs/>
          <w:color w:val="auto"/>
          <w:szCs w:val="22"/>
          <w:highlight w:val="none"/>
        </w:rPr>
        <w:t xml:space="preserve">监督投诉电话：0572-2150037      </w:t>
      </w:r>
    </w:p>
    <w:p>
      <w:pPr>
        <w:pStyle w:val="46"/>
        <w:spacing w:line="500" w:lineRule="exact"/>
        <w:rPr>
          <w:rFonts w:ascii="仿宋" w:hAnsi="仿宋" w:eastAsia="仿宋" w:cs="仿宋"/>
          <w:color w:val="auto"/>
          <w:highlight w:val="none"/>
          <w:lang w:eastAsia="zh-CN"/>
        </w:rPr>
      </w:pPr>
    </w:p>
    <w:p>
      <w:pPr>
        <w:pStyle w:val="46"/>
        <w:spacing w:line="500" w:lineRule="exact"/>
        <w:rPr>
          <w:rFonts w:ascii="仿宋" w:hAnsi="仿宋" w:eastAsia="仿宋" w:cs="仿宋"/>
          <w:bCs/>
          <w:color w:val="auto"/>
          <w:szCs w:val="22"/>
          <w:highlight w:val="none"/>
          <w:lang w:eastAsia="zh-CN"/>
        </w:rPr>
      </w:pPr>
    </w:p>
    <w:p>
      <w:pPr>
        <w:pStyle w:val="2"/>
        <w:ind w:left="480" w:firstLine="720" w:firstLineChars="300"/>
        <w:rPr>
          <w:rFonts w:ascii="仿宋" w:hAnsi="仿宋" w:eastAsia="仿宋" w:cs="仿宋"/>
          <w:b/>
          <w:bCs/>
          <w:color w:val="auto"/>
          <w:sz w:val="52"/>
          <w:highlight w:val="none"/>
        </w:rPr>
      </w:pPr>
      <w:r>
        <w:rPr>
          <w:rFonts w:hint="eastAsia" w:ascii="仿宋" w:hAnsi="仿宋" w:eastAsia="仿宋" w:cs="仿宋"/>
          <w:bCs/>
          <w:color w:val="auto"/>
          <w:szCs w:val="22"/>
          <w:highlight w:val="none"/>
        </w:rPr>
        <w:t>若对项目采购电子交易系统操作有疑问，可登录政采云（https://www.zcygov.cn/），点击右侧咨询小采，获取采小蜜智能服务管家帮助，或拨打政采云服务热线400-881-7190获取热线服务帮助。</w:t>
      </w: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pStyle w:val="46"/>
        <w:rPr>
          <w:rFonts w:ascii="仿宋" w:hAnsi="仿宋" w:eastAsia="仿宋" w:cs="仿宋"/>
          <w:color w:val="auto"/>
          <w:highlight w:val="none"/>
          <w:lang w:eastAsia="zh-CN"/>
        </w:rPr>
      </w:pPr>
    </w:p>
    <w:p>
      <w:pPr>
        <w:spacing w:line="360" w:lineRule="auto"/>
        <w:jc w:val="center"/>
        <w:rPr>
          <w:rFonts w:ascii="仿宋" w:hAnsi="仿宋" w:eastAsia="仿宋" w:cs="仿宋"/>
          <w:b/>
          <w:color w:val="auto"/>
          <w:sz w:val="52"/>
          <w:highlight w:val="none"/>
        </w:rPr>
      </w:pPr>
      <w:bookmarkStart w:id="20" w:name="_Toc5744"/>
      <w:r>
        <w:rPr>
          <w:rFonts w:hint="eastAsia" w:ascii="仿宋" w:hAnsi="仿宋" w:eastAsia="仿宋" w:cs="仿宋"/>
          <w:b/>
          <w:bCs/>
          <w:color w:val="auto"/>
          <w:sz w:val="30"/>
          <w:szCs w:val="30"/>
          <w:highlight w:val="none"/>
        </w:rPr>
        <w:t xml:space="preserve">第  二 </w:t>
      </w:r>
      <w:bookmarkEnd w:id="20"/>
      <w:r>
        <w:rPr>
          <w:rFonts w:hint="eastAsia" w:ascii="仿宋" w:hAnsi="仿宋" w:eastAsia="仿宋" w:cs="仿宋"/>
          <w:b/>
          <w:bCs/>
          <w:color w:val="auto"/>
          <w:sz w:val="30"/>
          <w:szCs w:val="30"/>
          <w:highlight w:val="none"/>
        </w:rPr>
        <w:t>章  招 标 需 求</w:t>
      </w:r>
    </w:p>
    <w:p>
      <w:pPr>
        <w:pStyle w:val="112"/>
        <w:numPr>
          <w:ilvl w:val="0"/>
          <w:numId w:val="2"/>
        </w:numPr>
        <w:spacing w:line="500" w:lineRule="exact"/>
        <w:ind w:firstLineChars="0"/>
        <w:rPr>
          <w:rFonts w:ascii="仿宋" w:hAnsi="仿宋" w:eastAsia="仿宋" w:cs="仿宋"/>
          <w:color w:val="auto"/>
          <w:szCs w:val="24"/>
          <w:highlight w:val="none"/>
        </w:rPr>
      </w:pPr>
      <w:r>
        <w:rPr>
          <w:rFonts w:hint="eastAsia" w:ascii="仿宋" w:hAnsi="仿宋" w:eastAsia="仿宋" w:cs="仿宋"/>
          <w:b/>
          <w:color w:val="auto"/>
          <w:szCs w:val="24"/>
          <w:highlight w:val="none"/>
        </w:rPr>
        <w:t>招标项目概况</w:t>
      </w:r>
      <w:r>
        <w:rPr>
          <w:rFonts w:hint="eastAsia" w:ascii="仿宋" w:hAnsi="仿宋" w:eastAsia="仿宋" w:cs="仿宋"/>
          <w:color w:val="auto"/>
          <w:szCs w:val="24"/>
          <w:highlight w:val="none"/>
        </w:rPr>
        <w:t>：</w:t>
      </w:r>
    </w:p>
    <w:p>
      <w:pPr>
        <w:pStyle w:val="112"/>
        <w:spacing w:line="500" w:lineRule="exact"/>
        <w:ind w:firstLine="0" w:firstLineChars="0"/>
        <w:rPr>
          <w:rFonts w:ascii="仿宋" w:hAnsi="仿宋" w:eastAsia="仿宋" w:cs="仿宋"/>
          <w:bCs/>
          <w:color w:val="auto"/>
          <w:szCs w:val="24"/>
          <w:highlight w:val="none"/>
          <w:lang w:val="zh-CN"/>
        </w:rPr>
      </w:pPr>
      <w:r>
        <w:rPr>
          <w:rFonts w:hint="eastAsia" w:ascii="仿宋" w:hAnsi="仿宋" w:eastAsia="仿宋" w:cs="仿宋"/>
          <w:bCs/>
          <w:color w:val="auto"/>
          <w:szCs w:val="24"/>
          <w:highlight w:val="none"/>
          <w:lang w:val="zh-CN"/>
        </w:rPr>
        <w:t>项目名称：湖州市中心医院新医院安全保卫服务项目</w:t>
      </w:r>
    </w:p>
    <w:p>
      <w:pPr>
        <w:pStyle w:val="112"/>
        <w:spacing w:line="500" w:lineRule="exact"/>
        <w:ind w:firstLine="0" w:firstLineChars="0"/>
        <w:rPr>
          <w:rFonts w:ascii="仿宋" w:hAnsi="仿宋" w:eastAsia="仿宋" w:cs="仿宋"/>
          <w:bCs/>
          <w:color w:val="auto"/>
          <w:szCs w:val="24"/>
          <w:highlight w:val="none"/>
          <w:lang w:val="zh-CN"/>
        </w:rPr>
      </w:pPr>
      <w:bookmarkStart w:id="21" w:name="OLE_LINK3"/>
      <w:r>
        <w:rPr>
          <w:rFonts w:hint="eastAsia" w:ascii="仿宋" w:hAnsi="仿宋" w:eastAsia="仿宋" w:cs="仿宋"/>
          <w:bCs/>
          <w:color w:val="auto"/>
          <w:szCs w:val="24"/>
          <w:highlight w:val="none"/>
          <w:lang w:val="zh-CN"/>
        </w:rPr>
        <w:t>服务期：3年（以合同签订之日起算）</w:t>
      </w:r>
    </w:p>
    <w:bookmarkEnd w:id="21"/>
    <w:p>
      <w:pPr>
        <w:pStyle w:val="112"/>
        <w:numPr>
          <w:ilvl w:val="0"/>
          <w:numId w:val="2"/>
        </w:numPr>
        <w:spacing w:line="500" w:lineRule="exact"/>
        <w:ind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采购内容：</w:t>
      </w:r>
    </w:p>
    <w:p>
      <w:pPr>
        <w:spacing w:line="500" w:lineRule="exact"/>
        <w:rPr>
          <w:rFonts w:ascii="仿宋" w:hAnsi="仿宋" w:eastAsia="仿宋" w:cs="仿宋"/>
          <w:color w:val="auto"/>
          <w:szCs w:val="24"/>
          <w:highlight w:val="none"/>
        </w:rPr>
      </w:pPr>
      <w:r>
        <w:rPr>
          <w:rFonts w:hint="eastAsia" w:ascii="仿宋" w:hAnsi="仿宋" w:eastAsia="仿宋" w:cs="仿宋"/>
          <w:color w:val="auto"/>
          <w:szCs w:val="24"/>
          <w:highlight w:val="none"/>
        </w:rPr>
        <w:t>湖州市中心医院新医院大楼内部及院区周边的安保工作。</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1、门卫管理：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1.1 实行二十四小时定岗值班。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1.2 建立《门卫职责》和《物资进出门核查制度》。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1.3 确保大门及周边的环境良好，交通通畅。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1.4 清理大门外无证摊贩占道经营。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1.5 禁止盈利车辆、山寨救护车出入，保持出入口畅通。禁止共享单车进入院区。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1.6 引导各类车辆进出，按不同功能区域有序停放。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1.7 维护进出口以及院内的正常交通秩序。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1.8 检查进出医院的物资，确保医院的物品不流失。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1.9 如医院对进院机动车辆采用收费管理，投标单位必须做好收费闸口无现金收费的管理。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2、停车场秩序管理服务：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2.1 维持机动车和非机动车停放秩序。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2.2 加强巡视，对地下室车库内重要设施是否完备每日核查。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3、配合采购人开展相应的警示服务：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3.1 配合采购人在适当的地方张贴防盗警示语，提醒病人及家属保管好自己的物品。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3.2 配合采购人在各病区利用各种办法通知病人及家属，注意保管自己的贵重物品。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3.3 配合采购人在办公区域张贴宣传标语，警示员工注意防火防盗。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3.4 配合采购人在消防重点区域必须张贴禁火标语。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4、病区陪人管理：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4.1 根据浙江省三级甲类医院的要求进行陪人管理，执行医院的《探视制度》。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4.2 加强对病区的管理，协助病区做好清理病区内的陪人，方便医护人员查房。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4.3 严格控制病区陪人，原则上一病人一陪人，确保病人有安宁的休息环境。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4.4 对医院公共区域要进行严格管理，严禁病人家属及闲杂人员在该区域滞留、打地铺睡觉等。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4.5 若医院作息时间有调整，中标单位必须无条件服从。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5、消防管理</w:t>
      </w:r>
      <w:r>
        <w:rPr>
          <w:rFonts w:hint="eastAsia" w:ascii="仿宋" w:hAnsi="仿宋" w:eastAsia="仿宋" w:cs="仿宋"/>
          <w:color w:val="auto"/>
          <w:szCs w:val="24"/>
          <w:highlight w:val="none"/>
        </w:rPr>
        <w:t xml:space="preserve">：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5.1 建立完整的《消防管理制度》、《消防检查制度》、《消防日巡视制度》以及《灭火疏散应急预案》等台账，并落实、定期组织演练。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5.2 每月一次对院区进行规定项目（灭火器是否完好有效；消防水带水枪是否齐全；消防栓是否有水；应急疏散通道是否畅通；安全疏散通道标志、安全出口标志、应急照明装置是否完好有效）的消防大检查，并作登记备档；有违反消防规定的，要及时通知整改，并监督整改过程。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5.3 配合采购人建立院区消防器材分布图档案，按规定进行“消防四个能力建设”，并在每个病房张贴安全疏散示意图（印刷品院方提供），与各病区的消防责任人签订消防协议，以明确责任，共同管理。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5.4 组织义务消防队，制定《义务消防队工作制度》和《义务消防队员职责》，组织义务消防队 员学习、训练及演练。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5.5 按规定进行“消防四个能力建设”要求每日进行巡查，查处违章用电、用火、用气情况；保 持消防通道通畅；建立消防重点部门（配电房、木工间、氧气间等）的管理规范。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5.6 当接收到一体化报警中心报警时，应按照消防部门规定的“一分钟有反馈，三分钟到达现场， 五分钟灭初期火灾”要求。一体化报警中心的其他报警处理也参照消防规定的时间。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5.7 组织队员进行每二小时一次的防火巡查，每日对消防安全重点部位巡查，并做好台账。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6、服从一体化报警中心的管理：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6.1  医院将视频监控室和消防监控室合并建设为一体化报警中心，中标人必须安排建（构）筑物消防员证的人员进行值班（每班双人双岗），当接到消控室指令后，安保队必须确保二名以上的队员在三分钟内赶赴呼叫现场，及时控制事态，确保医护人员人身的绝对安全及医院财物不受破坏。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6.2中标人应加强对中心值守人员的监督管理，应确保每班的值班人员，从报警中心进行交接班，传达工作信息。</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6.3 采购人要求中标人必须提供每日巡查的信息化打卡数据，并要求中标人每日提供按照采购人抽查要求从视频监控系统内对安保人员巡查的图像截屏资料，每日上午 9 时汇总后报送采购人检查确认。</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6.4 中标人操作视频监控系统时，应服从医院对视频系统管理要求，严格执行消防设备系统的操作程序。</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7、治安管理：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7.1 对服务区域内进行定时有效的巡逻，确保医院、病人及家属的财产不受损失。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7.2 制定预案，针对医院的情况，积极应对各类治安案件。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7.3 严密监控医院的重点要害部位，发现报警立即出击。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7.4 维护院区各大窗口的秩序。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7.5 维护各诊室的秩序，杜绝围观现象。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7.6 外来人口的管理，制定《院区外来人口管理制度》，对院区内工作的外来人口进行登记，掌握其基本情况，检查身份证、暂住证，确保外来人口品行端正，行为合法。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7.7 易燃易爆剧毒麻醉药品以及各类危险品的管理。制定《易燃易爆剧毒麻醉药品以及各类危险品的管理制度》，以及易燃易爆剧毒麻醉药品以及各类危险品进院时的运输路线，建立易燃易爆剧毒麻醉药品以及各类危险品的登记工作，并经常进行检查。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7.8 重点要害部位的管理。确定院区的重点要害部位，登记重点要害部位工作人员的情况，制定《重点要害部位的管理制度》，落实重点要害部位的防范措施（三防），每月对红外线报警系统进行检查，确保系统的完好有效。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7.9 及时有效制止各种突发事件和医疗纠纷。保证解决纠纷时有足够的人员和装备，竭力保证医务人员的尊严、保证人身不受侵犯。如出现人身伤害事件，一定要滞留住肇事人员。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8、装备设施要求：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8.1 中标人必须采购基于 4G 网络通讯的对讲机，可与采购人对讲机系统兼容，组建群组对讲机通讯组，并提供 4 部对讲机供报警中心使用。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8.2 按照医院**室器械标准配置警用器械。其中头盔、防刺服、大型盾牌、个人三件套（辣椒 水、甩棍、绳索、武装带）、防刺手套、防暴钢叉或锁脚器每人一套。其中重型头盔数量应占三分之一以上。</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8.3 按照采购人要求配置巡更系统，并服从采购人对巡更系统的管理要求。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8.4 为满足工作、训练需要的必要设备。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8.5 提供4辆2轮电瓶巡逻车；</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8.6必须满足公安部门对医院安保的要求，如有不足必须补充至满足要求。</w:t>
      </w:r>
    </w:p>
    <w:p>
      <w:pPr>
        <w:pStyle w:val="112"/>
        <w:numPr>
          <w:ilvl w:val="0"/>
          <w:numId w:val="2"/>
        </w:numPr>
        <w:spacing w:line="500" w:lineRule="exact"/>
        <w:ind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服务要求：</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1.地下室停车管理需与停车管理服务外包单位做好工作协调工作。对地下机动车库进行秩序监管，确保出入口畅通，库内交通顺畅。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 地面临时停车场必须全年每天二十四小时有人员管理值岗，地表临时停车场仅用于医务用车、公务用车停放。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3.如出现医护人员的身心受到侵犯，必须立即制止；依据情节及时报警，且控制肇事人员，配合公安部门进行处置。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4.每月检查紧急呼叫系统，确保完好有效，出现故障要及时报告采购人修理；如出现紧急呼叫无应答，视后果轻重予以处罚。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5.按《消防户籍化管理》落实消防管理措施，建立各种消防档案备查；组织义务消防队员学习和训练及演练，并建立档案。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6、若院方举行相关应急演练，中标单位须及时无条件予以配合，确保各种应急演练顺利实施。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7、如需在院区张贴告示，必须得到采购人的许可，严禁乱张贴。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8..中标人要维护采购人利益，文明、礼貌、优质服务，处处体现以病人为中心、病人优先的服务理念，不得做出有损采购人形象的言论或行为。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9.因中标人在服务过程中产生纠纷及投诉由其自行解决，处理结果报采购人保卫科备案。因中标人原因，采购人接受相关主管部门检查不达标或出现违规现象，中标单位须承担相应责任，并落实整改。</w:t>
      </w:r>
    </w:p>
    <w:p>
      <w:pPr>
        <w:pStyle w:val="112"/>
        <w:spacing w:line="500" w:lineRule="exact"/>
        <w:ind w:firstLine="0" w:firstLineChars="0"/>
        <w:rPr>
          <w:rFonts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b/>
          <w:color w:val="auto"/>
          <w:szCs w:val="24"/>
          <w:highlight w:val="none"/>
        </w:rPr>
        <w:t>四、岗位要求：</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1、提供75名保安服务人员(其中消控人员8名，专职消防员8名，均为男性，具备建（构）筑物消防员证)，年龄40周岁以下（含40周岁）40名（其中5名女性），4</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-45周岁20名，46-50周岁15名，年龄以投标截止时间为准。75名保安人员具备驾驶证的人数不少于50人。所有人员须经采购人面试合格后，方可上岗。各岗位的保安人员可按采购人需求随意调配使用。中标公告结束后，所有人员须马上到位。</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2、岗位要求最低配置：</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2.1.消控人员配备的8人中，投标时至少有4名具备建（构）筑物消防员证；</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2.2.专职消防员配备的8人中，投标时至少有4名具备建（构）筑物消防员证；</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2.3. 75名保安人员中，具备驾驶证的人员，投标时不得少于要求的50%（即不少于25名）。若采取以上配置的投标单位必须承诺中标后6个月内所有人员达到需求的100%。提供承诺书（格式自拟），无承诺书视为不响应招标需求，做无效标处理。</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3、公司须派驻此项目一名专职管理人员（项目负责人），负责此项目的运行管理，每周至少到位一天进行检查督促工作，并落实专人负责每月考核工作，次月5号前报上月的考核自查报告至院保卫科。</w:t>
      </w:r>
    </w:p>
    <w:p>
      <w:pPr>
        <w:pStyle w:val="22"/>
        <w:spacing w:line="360" w:lineRule="auto"/>
        <w:ind w:firstLine="480" w:firstLineChars="200"/>
        <w:rPr>
          <w:rFonts w:ascii="宋体" w:hAnsi="宋体"/>
          <w:color w:val="auto"/>
          <w:sz w:val="24"/>
          <w:szCs w:val="24"/>
          <w:highlight w:val="none"/>
        </w:rPr>
      </w:pPr>
    </w:p>
    <w:p>
      <w:pPr>
        <w:pStyle w:val="22"/>
        <w:spacing w:line="360" w:lineRule="auto"/>
        <w:ind w:firstLine="480" w:firstLineChars="200"/>
        <w:rPr>
          <w:rFonts w:ascii="宋体" w:hAnsi="宋体"/>
          <w:color w:val="auto"/>
          <w:sz w:val="24"/>
          <w:szCs w:val="24"/>
          <w:highlight w:val="none"/>
        </w:rPr>
      </w:pPr>
    </w:p>
    <w:p>
      <w:pPr>
        <w:pStyle w:val="22"/>
        <w:spacing w:line="360" w:lineRule="auto"/>
        <w:ind w:firstLine="480" w:firstLineChars="200"/>
        <w:rPr>
          <w:rFonts w:ascii="宋体" w:hAnsi="宋体"/>
          <w:color w:val="auto"/>
          <w:sz w:val="24"/>
          <w:szCs w:val="24"/>
          <w:highlight w:val="none"/>
        </w:rPr>
        <w:sectPr>
          <w:footerReference r:id="rId5" w:type="default"/>
          <w:pgSz w:w="11906" w:h="16838"/>
          <w:pgMar w:top="1474" w:right="1286" w:bottom="1247" w:left="1418" w:header="851" w:footer="992" w:gutter="0"/>
          <w:pgNumType w:fmt="decimal" w:start="1"/>
          <w:cols w:space="720" w:num="1"/>
          <w:docGrid w:linePitch="312" w:charSpace="0"/>
        </w:sectPr>
      </w:pPr>
    </w:p>
    <w:p>
      <w:pPr>
        <w:pStyle w:val="22"/>
        <w:spacing w:line="360" w:lineRule="auto"/>
        <w:rPr>
          <w:rFonts w:ascii="宋体" w:hAnsi="宋体"/>
          <w:color w:val="auto"/>
          <w:sz w:val="24"/>
          <w:szCs w:val="24"/>
          <w:highlight w:val="none"/>
        </w:rPr>
      </w:pPr>
    </w:p>
    <w:p>
      <w:pPr>
        <w:pStyle w:val="2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（一）执勤岗位表</w:t>
      </w:r>
    </w:p>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保安执勤岗位表</w:t>
      </w:r>
    </w:p>
    <w:tbl>
      <w:tblPr>
        <w:tblStyle w:val="27"/>
        <w:tblW w:w="13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044"/>
        <w:gridCol w:w="1672"/>
        <w:gridCol w:w="831"/>
        <w:gridCol w:w="1013"/>
        <w:gridCol w:w="1034"/>
        <w:gridCol w:w="1277"/>
        <w:gridCol w:w="4161"/>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部位</w:t>
            </w:r>
          </w:p>
        </w:tc>
        <w:tc>
          <w:tcPr>
            <w:tcW w:w="1044"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岗位</w:t>
            </w:r>
          </w:p>
        </w:tc>
        <w:tc>
          <w:tcPr>
            <w:tcW w:w="1672"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设置</w:t>
            </w:r>
          </w:p>
        </w:tc>
        <w:tc>
          <w:tcPr>
            <w:tcW w:w="831"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人数</w:t>
            </w:r>
          </w:p>
        </w:tc>
        <w:tc>
          <w:tcPr>
            <w:tcW w:w="1013"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早班</w:t>
            </w:r>
          </w:p>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（7:00—15:00）</w:t>
            </w:r>
          </w:p>
        </w:tc>
        <w:tc>
          <w:tcPr>
            <w:tcW w:w="1034"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中班</w:t>
            </w:r>
          </w:p>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(15:00-23:00)</w:t>
            </w:r>
          </w:p>
        </w:tc>
        <w:tc>
          <w:tcPr>
            <w:tcW w:w="1277"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夜班</w:t>
            </w:r>
          </w:p>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(23:00-7:00)</w:t>
            </w:r>
          </w:p>
        </w:tc>
        <w:tc>
          <w:tcPr>
            <w:tcW w:w="4161"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岗位要求</w:t>
            </w:r>
          </w:p>
        </w:tc>
        <w:tc>
          <w:tcPr>
            <w:tcW w:w="1312" w:type="dxa"/>
            <w:vAlign w:val="center"/>
          </w:tcPr>
          <w:p>
            <w:pPr>
              <w:jc w:val="center"/>
              <w:rPr>
                <w:rFonts w:ascii="仿宋" w:hAnsi="仿宋" w:eastAsia="仿宋" w:cs="仿宋"/>
                <w:color w:val="auto"/>
                <w:szCs w:val="24"/>
                <w:highlight w:val="none"/>
              </w:rPr>
            </w:pPr>
            <w:r>
              <w:rPr>
                <w:rFonts w:hint="eastAsia" w:ascii="仿宋" w:hAnsi="仿宋" w:eastAsia="仿宋" w:cs="仿宋"/>
                <w:color w:val="auto"/>
                <w:szCs w:val="24"/>
                <w:highlight w:val="none"/>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26" w:type="dxa"/>
            <w:vMerge w:val="restart"/>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门诊楼</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1672"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8人</w:t>
            </w:r>
          </w:p>
        </w:tc>
        <w:tc>
          <w:tcPr>
            <w:tcW w:w="1013"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34" w:type="dxa"/>
            <w:tcBorders>
              <w:bottom w:val="single" w:color="auto" w:sz="4" w:space="0"/>
            </w:tcBorders>
            <w:vAlign w:val="center"/>
          </w:tcPr>
          <w:p>
            <w:pPr>
              <w:spacing w:line="360" w:lineRule="auto"/>
              <w:ind w:firstLine="235" w:firstLineChars="98"/>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277"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4161" w:type="dxa"/>
            <w:vMerge w:val="restart"/>
            <w:vAlign w:val="center"/>
          </w:tcPr>
          <w:p>
            <w:pPr>
              <w:pStyle w:val="112"/>
              <w:spacing w:line="560" w:lineRule="exact"/>
              <w:ind w:firstLine="0" w:firstLineChars="0"/>
              <w:jc w:val="left"/>
              <w:rPr>
                <w:rFonts w:ascii="仿宋" w:hAnsi="仿宋" w:eastAsia="仿宋" w:cs="仿宋"/>
                <w:color w:val="auto"/>
                <w:szCs w:val="24"/>
                <w:highlight w:val="none"/>
              </w:rPr>
            </w:pPr>
            <w:r>
              <w:rPr>
                <w:rFonts w:hint="eastAsia" w:ascii="仿宋" w:hAnsi="仿宋" w:eastAsia="仿宋" w:cs="仿宋"/>
                <w:color w:val="auto"/>
                <w:szCs w:val="24"/>
                <w:highlight w:val="none"/>
              </w:rPr>
              <w:t>实行4班3运转上班制。</w:t>
            </w:r>
          </w:p>
          <w:p>
            <w:pPr>
              <w:spacing w:line="360" w:lineRule="auto"/>
              <w:jc w:val="left"/>
              <w:rPr>
                <w:rFonts w:ascii="仿宋" w:hAnsi="仿宋" w:eastAsia="仿宋" w:cs="仿宋"/>
                <w:color w:val="auto"/>
                <w:szCs w:val="24"/>
                <w:highlight w:val="none"/>
              </w:rPr>
            </w:pPr>
            <w:r>
              <w:rPr>
                <w:rFonts w:hint="eastAsia" w:ascii="仿宋" w:hAnsi="仿宋" w:eastAsia="仿宋" w:cs="仿宋"/>
                <w:color w:val="auto"/>
                <w:szCs w:val="24"/>
                <w:highlight w:val="none"/>
              </w:rPr>
              <w:t>每班确保3名保安，1名巡查，2名留守，职能互换，设置班长一名。</w:t>
            </w:r>
          </w:p>
        </w:tc>
        <w:tc>
          <w:tcPr>
            <w:tcW w:w="1312" w:type="dxa"/>
            <w:vMerge w:val="restart"/>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326" w:type="dxa"/>
            <w:vMerge w:val="continue"/>
            <w:vAlign w:val="center"/>
          </w:tcPr>
          <w:p>
            <w:pPr>
              <w:spacing w:line="360" w:lineRule="auto"/>
              <w:jc w:val="center"/>
              <w:rPr>
                <w:rFonts w:ascii="仿宋" w:hAnsi="仿宋" w:eastAsia="仿宋" w:cs="仿宋"/>
                <w:color w:val="auto"/>
                <w:szCs w:val="24"/>
                <w:highlight w:val="none"/>
              </w:rPr>
            </w:pP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1672"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4</w:t>
            </w:r>
            <w:r>
              <w:rPr>
                <w:rFonts w:ascii="仿宋" w:hAnsi="仿宋" w:eastAsia="仿宋" w:cs="仿宋"/>
                <w:color w:val="auto"/>
                <w:szCs w:val="24"/>
                <w:highlight w:val="none"/>
              </w:rPr>
              <w:t>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03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277"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4161" w:type="dxa"/>
            <w:vMerge w:val="continue"/>
            <w:vAlign w:val="center"/>
          </w:tcPr>
          <w:p>
            <w:pPr>
              <w:spacing w:line="360" w:lineRule="auto"/>
              <w:jc w:val="left"/>
              <w:rPr>
                <w:rFonts w:ascii="仿宋" w:hAnsi="仿宋" w:eastAsia="仿宋" w:cs="仿宋"/>
                <w:color w:val="auto"/>
                <w:szCs w:val="24"/>
                <w:highlight w:val="none"/>
              </w:rPr>
            </w:pPr>
          </w:p>
        </w:tc>
        <w:tc>
          <w:tcPr>
            <w:tcW w:w="1312" w:type="dxa"/>
            <w:vMerge w:val="continue"/>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26" w:type="dxa"/>
            <w:vMerge w:val="restart"/>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行政楼</w:t>
            </w:r>
          </w:p>
          <w:p>
            <w:pPr>
              <w:pStyle w:val="2"/>
              <w:ind w:left="0" w:leftChars="0"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住院楼1</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1672"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4人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03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277"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4161" w:type="dxa"/>
            <w:vMerge w:val="restart"/>
            <w:vAlign w:val="center"/>
          </w:tcPr>
          <w:p>
            <w:pPr>
              <w:pStyle w:val="112"/>
              <w:spacing w:line="560" w:lineRule="exact"/>
              <w:ind w:firstLine="0" w:firstLineChars="0"/>
              <w:jc w:val="left"/>
              <w:rPr>
                <w:rFonts w:ascii="仿宋" w:hAnsi="仿宋" w:eastAsia="仿宋" w:cs="仿宋"/>
                <w:color w:val="auto"/>
                <w:szCs w:val="24"/>
                <w:highlight w:val="none"/>
              </w:rPr>
            </w:pPr>
            <w:r>
              <w:rPr>
                <w:rFonts w:hint="eastAsia" w:ascii="仿宋" w:hAnsi="仿宋" w:eastAsia="仿宋" w:cs="仿宋"/>
                <w:color w:val="auto"/>
                <w:szCs w:val="24"/>
                <w:highlight w:val="none"/>
              </w:rPr>
              <w:t>实行4班3运转上班制。</w:t>
            </w:r>
          </w:p>
          <w:p>
            <w:pPr>
              <w:spacing w:line="360" w:lineRule="auto"/>
              <w:jc w:val="left"/>
              <w:rPr>
                <w:rFonts w:ascii="仿宋" w:hAnsi="仿宋" w:eastAsia="仿宋" w:cs="仿宋"/>
                <w:color w:val="auto"/>
                <w:szCs w:val="24"/>
                <w:highlight w:val="none"/>
              </w:rPr>
            </w:pPr>
            <w:r>
              <w:rPr>
                <w:rFonts w:hint="eastAsia" w:ascii="仿宋" w:hAnsi="仿宋" w:eastAsia="仿宋" w:cs="仿宋"/>
                <w:color w:val="auto"/>
                <w:szCs w:val="24"/>
                <w:highlight w:val="none"/>
              </w:rPr>
              <w:t>每班确保3名保安，1名巡查，2名留守，职能互换，设置班长一名。</w:t>
            </w:r>
          </w:p>
        </w:tc>
        <w:tc>
          <w:tcPr>
            <w:tcW w:w="1312" w:type="dxa"/>
            <w:vMerge w:val="restart"/>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26" w:type="dxa"/>
            <w:vMerge w:val="continue"/>
            <w:vAlign w:val="center"/>
          </w:tcPr>
          <w:p>
            <w:pPr>
              <w:spacing w:line="360" w:lineRule="auto"/>
              <w:jc w:val="center"/>
              <w:rPr>
                <w:rFonts w:ascii="仿宋" w:hAnsi="仿宋" w:eastAsia="仿宋" w:cs="仿宋"/>
                <w:color w:val="auto"/>
                <w:szCs w:val="24"/>
                <w:highlight w:val="none"/>
              </w:rPr>
            </w:pP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1672"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34" w:type="dxa"/>
            <w:vAlign w:val="center"/>
          </w:tcPr>
          <w:p>
            <w:pPr>
              <w:spacing w:line="360" w:lineRule="auto"/>
              <w:ind w:firstLine="235" w:firstLineChars="98"/>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277"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4161" w:type="dxa"/>
            <w:vMerge w:val="continue"/>
            <w:vAlign w:val="center"/>
          </w:tcPr>
          <w:p>
            <w:pPr>
              <w:spacing w:line="360" w:lineRule="auto"/>
              <w:jc w:val="left"/>
              <w:rPr>
                <w:rFonts w:ascii="仿宋" w:hAnsi="仿宋" w:eastAsia="仿宋" w:cs="仿宋"/>
                <w:color w:val="auto"/>
                <w:szCs w:val="24"/>
                <w:highlight w:val="none"/>
              </w:rPr>
            </w:pPr>
          </w:p>
        </w:tc>
        <w:tc>
          <w:tcPr>
            <w:tcW w:w="1312" w:type="dxa"/>
            <w:vMerge w:val="continue"/>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326" w:type="dxa"/>
            <w:vMerge w:val="restart"/>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综合楼</w:t>
            </w:r>
          </w:p>
          <w:p>
            <w:pPr>
              <w:pStyle w:val="2"/>
              <w:ind w:left="0" w:leftChars="0" w:firstLine="120" w:firstLineChars="50"/>
              <w:rPr>
                <w:color w:val="auto"/>
                <w:highlight w:val="none"/>
              </w:rPr>
            </w:pPr>
            <w:r>
              <w:rPr>
                <w:rFonts w:hint="eastAsia" w:ascii="仿宋" w:hAnsi="仿宋" w:eastAsia="仿宋" w:cs="仿宋"/>
                <w:color w:val="auto"/>
                <w:szCs w:val="24"/>
                <w:highlight w:val="none"/>
              </w:rPr>
              <w:t>住院楼2</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1672"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4人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03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277"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4161" w:type="dxa"/>
            <w:vMerge w:val="restart"/>
            <w:vAlign w:val="center"/>
          </w:tcPr>
          <w:p>
            <w:pPr>
              <w:spacing w:line="360" w:lineRule="auto"/>
              <w:jc w:val="left"/>
              <w:rPr>
                <w:rFonts w:ascii="仿宋" w:hAnsi="仿宋" w:eastAsia="仿宋" w:cs="仿宋"/>
                <w:color w:val="auto"/>
                <w:szCs w:val="24"/>
                <w:highlight w:val="none"/>
              </w:rPr>
            </w:pPr>
            <w:r>
              <w:rPr>
                <w:rFonts w:hint="eastAsia" w:ascii="仿宋" w:hAnsi="仿宋" w:eastAsia="仿宋" w:cs="仿宋"/>
                <w:color w:val="auto"/>
                <w:szCs w:val="24"/>
                <w:highlight w:val="none"/>
              </w:rPr>
              <w:t>实行4班3运转上班制。每班确保3名保安，1名巡查，2名留守，职能互换，设置班长一名。</w:t>
            </w:r>
          </w:p>
        </w:tc>
        <w:tc>
          <w:tcPr>
            <w:tcW w:w="1312" w:type="dxa"/>
            <w:vMerge w:val="restart"/>
            <w:vAlign w:val="center"/>
          </w:tcPr>
          <w:p>
            <w:pPr>
              <w:pStyle w:val="112"/>
              <w:spacing w:line="560" w:lineRule="exact"/>
              <w:ind w:firstLine="0" w:firstLineChars="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326" w:type="dxa"/>
            <w:vMerge w:val="continue"/>
            <w:vAlign w:val="center"/>
          </w:tcPr>
          <w:p>
            <w:pPr>
              <w:spacing w:line="360" w:lineRule="auto"/>
              <w:jc w:val="center"/>
              <w:rPr>
                <w:rFonts w:ascii="仿宋" w:hAnsi="仿宋" w:eastAsia="仿宋" w:cs="仿宋"/>
                <w:color w:val="auto"/>
                <w:szCs w:val="24"/>
                <w:highlight w:val="none"/>
              </w:rPr>
            </w:pP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1672"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8人</w:t>
            </w:r>
          </w:p>
        </w:tc>
        <w:tc>
          <w:tcPr>
            <w:tcW w:w="1013"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34" w:type="dxa"/>
            <w:tcBorders>
              <w:bottom w:val="single" w:color="auto" w:sz="4" w:space="0"/>
            </w:tcBorders>
            <w:vAlign w:val="center"/>
          </w:tcPr>
          <w:p>
            <w:pPr>
              <w:spacing w:line="360" w:lineRule="auto"/>
              <w:ind w:firstLine="235" w:firstLineChars="98"/>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277"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4161" w:type="dxa"/>
            <w:vMerge w:val="continue"/>
            <w:vAlign w:val="center"/>
          </w:tcPr>
          <w:p>
            <w:pPr>
              <w:spacing w:line="360" w:lineRule="auto"/>
              <w:jc w:val="left"/>
              <w:rPr>
                <w:rFonts w:ascii="仿宋" w:hAnsi="仿宋" w:eastAsia="仿宋" w:cs="仿宋"/>
                <w:color w:val="auto"/>
                <w:szCs w:val="24"/>
                <w:highlight w:val="none"/>
              </w:rPr>
            </w:pPr>
          </w:p>
        </w:tc>
        <w:tc>
          <w:tcPr>
            <w:tcW w:w="1312" w:type="dxa"/>
            <w:vMerge w:val="continue"/>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急诊楼</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1672"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4人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034" w:type="dxa"/>
            <w:vAlign w:val="center"/>
          </w:tcPr>
          <w:p>
            <w:pPr>
              <w:spacing w:line="360" w:lineRule="auto"/>
              <w:ind w:firstLine="235" w:firstLineChars="98"/>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277" w:type="dxa"/>
            <w:tcBorders>
              <w:bottom w:val="single" w:color="auto" w:sz="4" w:space="0"/>
            </w:tcBorders>
            <w:vAlign w:val="center"/>
          </w:tcPr>
          <w:p>
            <w:pPr>
              <w:spacing w:line="360" w:lineRule="auto"/>
              <w:ind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4161" w:type="dxa"/>
            <w:vAlign w:val="center"/>
          </w:tcPr>
          <w:p>
            <w:pPr>
              <w:pStyle w:val="112"/>
              <w:spacing w:line="560" w:lineRule="exact"/>
              <w:ind w:firstLine="0" w:firstLineChars="0"/>
              <w:jc w:val="left"/>
              <w:rPr>
                <w:rFonts w:ascii="仿宋" w:hAnsi="仿宋" w:eastAsia="仿宋" w:cs="仿宋"/>
                <w:color w:val="auto"/>
                <w:szCs w:val="24"/>
                <w:highlight w:val="none"/>
              </w:rPr>
            </w:pPr>
            <w:r>
              <w:rPr>
                <w:rFonts w:hint="eastAsia" w:ascii="仿宋" w:hAnsi="仿宋" w:eastAsia="仿宋" w:cs="仿宋"/>
                <w:color w:val="auto"/>
                <w:szCs w:val="24"/>
                <w:highlight w:val="none"/>
              </w:rPr>
              <w:t>每班确保1名保安，急诊区域留守。设置班长一名。</w:t>
            </w:r>
          </w:p>
        </w:tc>
        <w:tc>
          <w:tcPr>
            <w:tcW w:w="1312" w:type="dxa"/>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消控室</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w:t>
            </w:r>
          </w:p>
        </w:tc>
        <w:tc>
          <w:tcPr>
            <w:tcW w:w="1672"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34" w:type="dxa"/>
            <w:vAlign w:val="center"/>
          </w:tcPr>
          <w:p>
            <w:pPr>
              <w:spacing w:line="360" w:lineRule="auto"/>
              <w:ind w:firstLine="235" w:firstLineChars="98"/>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277" w:type="dxa"/>
            <w:tcBorders>
              <w:bottom w:val="single" w:color="auto" w:sz="4" w:space="0"/>
            </w:tcBorders>
            <w:vAlign w:val="center"/>
          </w:tcPr>
          <w:p>
            <w:pPr>
              <w:spacing w:line="360" w:lineRule="auto"/>
              <w:ind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4161" w:type="dxa"/>
            <w:vAlign w:val="center"/>
          </w:tcPr>
          <w:p>
            <w:pPr>
              <w:pStyle w:val="112"/>
              <w:spacing w:line="560" w:lineRule="exact"/>
              <w:ind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每班确保2名保安。设置班长一名。</w:t>
            </w:r>
          </w:p>
        </w:tc>
        <w:tc>
          <w:tcPr>
            <w:tcW w:w="1312" w:type="dxa"/>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26"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南大门</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9#</w:t>
            </w:r>
          </w:p>
        </w:tc>
        <w:tc>
          <w:tcPr>
            <w:tcW w:w="1672"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34" w:type="dxa"/>
            <w:vAlign w:val="center"/>
          </w:tcPr>
          <w:p>
            <w:pPr>
              <w:spacing w:line="360" w:lineRule="auto"/>
              <w:ind w:firstLine="235" w:firstLineChars="98"/>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277" w:type="dxa"/>
            <w:tcBorders>
              <w:bottom w:val="single" w:color="auto" w:sz="4" w:space="0"/>
            </w:tcBorders>
            <w:vAlign w:val="center"/>
          </w:tcPr>
          <w:p>
            <w:pPr>
              <w:spacing w:line="360" w:lineRule="auto"/>
              <w:ind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4161" w:type="dxa"/>
            <w:vAlign w:val="center"/>
          </w:tcPr>
          <w:p>
            <w:pPr>
              <w:pStyle w:val="112"/>
              <w:spacing w:line="560" w:lineRule="exact"/>
              <w:ind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每班确保2名保安，留守及交通指挥。设置班长一名。</w:t>
            </w:r>
          </w:p>
        </w:tc>
        <w:tc>
          <w:tcPr>
            <w:tcW w:w="1312" w:type="dxa"/>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东大门</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10#</w:t>
            </w:r>
          </w:p>
        </w:tc>
        <w:tc>
          <w:tcPr>
            <w:tcW w:w="1672"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34" w:type="dxa"/>
            <w:vAlign w:val="center"/>
          </w:tcPr>
          <w:p>
            <w:pPr>
              <w:spacing w:line="360" w:lineRule="auto"/>
              <w:ind w:firstLine="235" w:firstLineChars="98"/>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277" w:type="dxa"/>
            <w:tcBorders>
              <w:bottom w:val="single" w:color="auto" w:sz="4" w:space="0"/>
            </w:tcBorders>
            <w:vAlign w:val="center"/>
          </w:tcPr>
          <w:p>
            <w:pPr>
              <w:spacing w:line="360" w:lineRule="auto"/>
              <w:ind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4161" w:type="dxa"/>
            <w:vAlign w:val="center"/>
          </w:tcPr>
          <w:p>
            <w:pPr>
              <w:pStyle w:val="112"/>
              <w:spacing w:line="560" w:lineRule="exact"/>
              <w:ind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每班确保2名保安，留守及交通指挥（含急诊进口）。设置班长一名。</w:t>
            </w:r>
          </w:p>
        </w:tc>
        <w:tc>
          <w:tcPr>
            <w:tcW w:w="1312" w:type="dxa"/>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26"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西大门</w:t>
            </w:r>
          </w:p>
        </w:tc>
        <w:tc>
          <w:tcPr>
            <w:tcW w:w="1044"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11#</w:t>
            </w:r>
          </w:p>
        </w:tc>
        <w:tc>
          <w:tcPr>
            <w:tcW w:w="1672"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8人</w:t>
            </w:r>
          </w:p>
        </w:tc>
        <w:tc>
          <w:tcPr>
            <w:tcW w:w="1013" w:type="dxa"/>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34" w:type="dxa"/>
            <w:vAlign w:val="center"/>
          </w:tcPr>
          <w:p>
            <w:pPr>
              <w:spacing w:line="360" w:lineRule="auto"/>
              <w:ind w:firstLine="235" w:firstLineChars="98"/>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277" w:type="dxa"/>
            <w:vAlign w:val="center"/>
          </w:tcPr>
          <w:p>
            <w:pPr>
              <w:spacing w:line="360" w:lineRule="auto"/>
              <w:ind w:firstLine="240" w:firstLineChars="100"/>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4161" w:type="dxa"/>
            <w:vAlign w:val="center"/>
          </w:tcPr>
          <w:p>
            <w:pPr>
              <w:spacing w:line="560" w:lineRule="exact"/>
              <w:rPr>
                <w:rFonts w:ascii="仿宋" w:hAnsi="仿宋" w:eastAsia="仿宋" w:cs="仿宋"/>
                <w:color w:val="auto"/>
                <w:szCs w:val="24"/>
                <w:highlight w:val="none"/>
              </w:rPr>
            </w:pPr>
            <w:r>
              <w:rPr>
                <w:rFonts w:hint="eastAsia" w:ascii="仿宋" w:hAnsi="仿宋" w:eastAsia="仿宋" w:cs="仿宋"/>
                <w:color w:val="auto"/>
                <w:szCs w:val="24"/>
                <w:highlight w:val="none"/>
              </w:rPr>
              <w:t>每班确保2名保安，留守及交通指挥。设置班长一名。</w:t>
            </w:r>
          </w:p>
        </w:tc>
        <w:tc>
          <w:tcPr>
            <w:tcW w:w="1312" w:type="dxa"/>
            <w:vAlign w:val="center"/>
          </w:tcPr>
          <w:p>
            <w:pPr>
              <w:spacing w:line="360" w:lineRule="auto"/>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2370" w:type="dxa"/>
            <w:gridSpan w:val="2"/>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正、副队长（各1名）</w:t>
            </w:r>
          </w:p>
        </w:tc>
        <w:tc>
          <w:tcPr>
            <w:tcW w:w="1672"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p>
        </w:tc>
        <w:tc>
          <w:tcPr>
            <w:tcW w:w="831"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2人</w:t>
            </w:r>
          </w:p>
        </w:tc>
        <w:tc>
          <w:tcPr>
            <w:tcW w:w="1013"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p>
        </w:tc>
        <w:tc>
          <w:tcPr>
            <w:tcW w:w="1034"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p>
        </w:tc>
        <w:tc>
          <w:tcPr>
            <w:tcW w:w="1277" w:type="dxa"/>
            <w:tcBorders>
              <w:bottom w:val="single" w:color="auto" w:sz="4" w:space="0"/>
            </w:tcBorders>
            <w:vAlign w:val="center"/>
          </w:tcPr>
          <w:p>
            <w:pPr>
              <w:spacing w:line="360" w:lineRule="auto"/>
              <w:jc w:val="center"/>
              <w:rPr>
                <w:rFonts w:ascii="仿宋" w:hAnsi="仿宋" w:eastAsia="仿宋" w:cs="仿宋"/>
                <w:color w:val="auto"/>
                <w:szCs w:val="24"/>
                <w:highlight w:val="none"/>
              </w:rPr>
            </w:pPr>
          </w:p>
        </w:tc>
        <w:tc>
          <w:tcPr>
            <w:tcW w:w="4161" w:type="dxa"/>
            <w:tcBorders>
              <w:bottom w:val="single" w:color="auto" w:sz="4" w:space="0"/>
            </w:tcBorders>
            <w:vAlign w:val="center"/>
          </w:tcPr>
          <w:p>
            <w:pPr>
              <w:rPr>
                <w:rFonts w:ascii="仿宋" w:hAnsi="仿宋" w:eastAsia="仿宋" w:cs="仿宋"/>
                <w:color w:val="auto"/>
                <w:szCs w:val="24"/>
                <w:highlight w:val="none"/>
              </w:rPr>
            </w:pPr>
            <w:r>
              <w:rPr>
                <w:rFonts w:hint="eastAsia" w:ascii="仿宋" w:hAnsi="仿宋" w:eastAsia="仿宋" w:cs="仿宋"/>
                <w:color w:val="auto"/>
                <w:szCs w:val="24"/>
                <w:highlight w:val="none"/>
              </w:rPr>
              <w:t>①负责全院保安管理；</w:t>
            </w:r>
          </w:p>
          <w:p>
            <w:pPr>
              <w:rPr>
                <w:rFonts w:ascii="仿宋" w:hAnsi="仿宋" w:eastAsia="仿宋" w:cs="仿宋"/>
                <w:color w:val="auto"/>
                <w:szCs w:val="24"/>
                <w:highlight w:val="none"/>
              </w:rPr>
            </w:pPr>
            <w:r>
              <w:rPr>
                <w:rFonts w:hint="eastAsia" w:ascii="仿宋" w:hAnsi="仿宋" w:eastAsia="仿宋" w:cs="仿宋"/>
                <w:color w:val="auto"/>
                <w:szCs w:val="24"/>
                <w:highlight w:val="none"/>
              </w:rPr>
              <w:t>②负责突发事件处置；</w:t>
            </w:r>
          </w:p>
          <w:p>
            <w:pPr>
              <w:rPr>
                <w:rFonts w:ascii="仿宋" w:hAnsi="仿宋" w:eastAsia="仿宋" w:cs="仿宋"/>
                <w:color w:val="auto"/>
                <w:szCs w:val="24"/>
                <w:highlight w:val="none"/>
              </w:rPr>
            </w:pPr>
            <w:r>
              <w:rPr>
                <w:rFonts w:hint="eastAsia" w:ascii="仿宋" w:hAnsi="仿宋" w:eastAsia="仿宋" w:cs="仿宋"/>
                <w:color w:val="auto"/>
                <w:szCs w:val="24"/>
                <w:highlight w:val="none"/>
              </w:rPr>
              <w:t>③负责院内车辆管理；</w:t>
            </w:r>
          </w:p>
          <w:p>
            <w:pPr>
              <w:rPr>
                <w:rFonts w:ascii="仿宋" w:hAnsi="仿宋" w:eastAsia="仿宋" w:cs="仿宋"/>
                <w:color w:val="auto"/>
                <w:szCs w:val="24"/>
                <w:highlight w:val="none"/>
              </w:rPr>
            </w:pPr>
            <w:r>
              <w:rPr>
                <w:rFonts w:hint="eastAsia" w:ascii="仿宋" w:hAnsi="仿宋" w:eastAsia="仿宋" w:cs="仿宋"/>
                <w:color w:val="auto"/>
                <w:szCs w:val="24"/>
                <w:highlight w:val="none"/>
              </w:rPr>
              <w:t>④负责纠纷处置。</w:t>
            </w:r>
          </w:p>
        </w:tc>
        <w:tc>
          <w:tcPr>
            <w:tcW w:w="1312" w:type="dxa"/>
            <w:tcBorders>
              <w:bottom w:val="single" w:color="auto" w:sz="4" w:space="0"/>
            </w:tcBorders>
            <w:vAlign w:val="center"/>
          </w:tcPr>
          <w:p>
            <w:pPr>
              <w:pStyle w:val="119"/>
              <w:spacing w:line="360" w:lineRule="auto"/>
              <w:ind w:firstLine="0" w:firstLineChars="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370" w:type="dxa"/>
            <w:gridSpan w:val="2"/>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南大门入口地下室</w:t>
            </w:r>
          </w:p>
        </w:tc>
        <w:tc>
          <w:tcPr>
            <w:tcW w:w="1672" w:type="dxa"/>
            <w:vAlign w:val="center"/>
          </w:tcPr>
          <w:p>
            <w:pPr>
              <w:spacing w:line="360" w:lineRule="auto"/>
              <w:ind w:firstLine="120" w:firstLineChars="5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1个保安亭</w:t>
            </w:r>
          </w:p>
        </w:tc>
        <w:tc>
          <w:tcPr>
            <w:tcW w:w="831" w:type="dxa"/>
            <w:vAlign w:val="center"/>
          </w:tcPr>
          <w:p>
            <w:pPr>
              <w:spacing w:line="360" w:lineRule="auto"/>
              <w:ind w:firstLine="120" w:firstLineChars="5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1人</w:t>
            </w:r>
          </w:p>
        </w:tc>
        <w:tc>
          <w:tcPr>
            <w:tcW w:w="1013" w:type="dxa"/>
            <w:vAlign w:val="center"/>
          </w:tcPr>
          <w:p>
            <w:pPr>
              <w:spacing w:line="360" w:lineRule="auto"/>
              <w:ind w:firstLine="120" w:firstLineChars="50"/>
              <w:jc w:val="center"/>
              <w:rPr>
                <w:rFonts w:ascii="仿宋" w:hAnsi="仿宋" w:eastAsia="仿宋" w:cs="仿宋"/>
                <w:color w:val="auto"/>
                <w:szCs w:val="24"/>
                <w:highlight w:val="none"/>
              </w:rPr>
            </w:pPr>
          </w:p>
        </w:tc>
        <w:tc>
          <w:tcPr>
            <w:tcW w:w="1034" w:type="dxa"/>
            <w:vAlign w:val="center"/>
          </w:tcPr>
          <w:p>
            <w:pPr>
              <w:spacing w:line="360" w:lineRule="auto"/>
              <w:jc w:val="center"/>
              <w:rPr>
                <w:rFonts w:ascii="仿宋" w:hAnsi="仿宋" w:eastAsia="仿宋" w:cs="仿宋"/>
                <w:color w:val="auto"/>
                <w:szCs w:val="24"/>
                <w:highlight w:val="none"/>
              </w:rPr>
            </w:pPr>
          </w:p>
        </w:tc>
        <w:tc>
          <w:tcPr>
            <w:tcW w:w="1277" w:type="dxa"/>
            <w:vAlign w:val="center"/>
          </w:tcPr>
          <w:p>
            <w:pPr>
              <w:spacing w:line="360" w:lineRule="auto"/>
              <w:jc w:val="center"/>
              <w:rPr>
                <w:rFonts w:ascii="仿宋" w:hAnsi="仿宋" w:eastAsia="仿宋" w:cs="仿宋"/>
                <w:color w:val="auto"/>
                <w:szCs w:val="24"/>
                <w:highlight w:val="none"/>
              </w:rPr>
            </w:pPr>
          </w:p>
        </w:tc>
        <w:tc>
          <w:tcPr>
            <w:tcW w:w="4161" w:type="dxa"/>
            <w:vAlign w:val="center"/>
          </w:tcPr>
          <w:p>
            <w:pPr>
              <w:pStyle w:val="119"/>
              <w:spacing w:line="360" w:lineRule="auto"/>
              <w:ind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负责落实车辆入库、分流、秩序管理工作。</w:t>
            </w:r>
          </w:p>
        </w:tc>
        <w:tc>
          <w:tcPr>
            <w:tcW w:w="1312" w:type="dxa"/>
            <w:vAlign w:val="center"/>
          </w:tcPr>
          <w:p>
            <w:pPr>
              <w:pStyle w:val="119"/>
              <w:spacing w:line="360" w:lineRule="auto"/>
              <w:ind w:firstLine="0" w:firstLineChars="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370" w:type="dxa"/>
            <w:gridSpan w:val="2"/>
            <w:vAlign w:val="center"/>
          </w:tcPr>
          <w:p>
            <w:pPr>
              <w:spacing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人数合计</w:t>
            </w:r>
          </w:p>
        </w:tc>
        <w:tc>
          <w:tcPr>
            <w:tcW w:w="11300" w:type="dxa"/>
            <w:gridSpan w:val="7"/>
            <w:vAlign w:val="center"/>
          </w:tcPr>
          <w:p>
            <w:pPr>
              <w:pStyle w:val="119"/>
              <w:spacing w:line="360" w:lineRule="auto"/>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75人</w:t>
            </w:r>
          </w:p>
        </w:tc>
      </w:tr>
    </w:tbl>
    <w:p>
      <w:pPr>
        <w:spacing w:line="360" w:lineRule="auto"/>
        <w:jc w:val="left"/>
        <w:rPr>
          <w:rFonts w:ascii="仿宋" w:hAnsi="仿宋" w:eastAsia="仿宋" w:cs="仿宋"/>
          <w:color w:val="auto"/>
          <w:szCs w:val="24"/>
          <w:highlight w:val="none"/>
        </w:rPr>
      </w:pPr>
      <w:r>
        <w:rPr>
          <w:rFonts w:hint="eastAsia" w:ascii="仿宋" w:hAnsi="仿宋" w:eastAsia="仿宋" w:cs="仿宋"/>
          <w:color w:val="auto"/>
          <w:szCs w:val="24"/>
          <w:highlight w:val="none"/>
        </w:rPr>
        <w:t>备 注：1、医院将根据工作需要，随时调整岗位设置。</w:t>
      </w:r>
    </w:p>
    <w:p>
      <w:pPr>
        <w:spacing w:line="360" w:lineRule="auto"/>
        <w:jc w:val="left"/>
        <w:rPr>
          <w:rFonts w:ascii="仿宋" w:hAnsi="仿宋" w:eastAsia="仿宋" w:cs="仿宋"/>
          <w:color w:val="auto"/>
          <w:szCs w:val="24"/>
          <w:highlight w:val="none"/>
        </w:rPr>
      </w:pPr>
      <w:r>
        <w:rPr>
          <w:rFonts w:hint="eastAsia" w:ascii="仿宋" w:hAnsi="仿宋" w:eastAsia="仿宋" w:cs="仿宋"/>
          <w:color w:val="auto"/>
          <w:szCs w:val="24"/>
          <w:highlight w:val="none"/>
        </w:rPr>
        <w:t>2、上班时间：中标人严格按照国家相关法律、法规、行业执行标准及医院要求合理安排工作时间。</w:t>
      </w:r>
    </w:p>
    <w:p>
      <w:pPr>
        <w:snapToGrid w:val="0"/>
        <w:spacing w:line="420" w:lineRule="exact"/>
        <w:rPr>
          <w:rFonts w:ascii="仿宋" w:hAnsi="仿宋" w:eastAsia="仿宋" w:cs="仿宋"/>
          <w:color w:val="auto"/>
          <w:szCs w:val="24"/>
          <w:highlight w:val="none"/>
        </w:rPr>
      </w:pPr>
      <w:r>
        <w:rPr>
          <w:rFonts w:hint="eastAsia" w:ascii="仿宋" w:hAnsi="仿宋" w:eastAsia="仿宋" w:cs="仿宋"/>
          <w:color w:val="auto"/>
          <w:szCs w:val="24"/>
          <w:highlight w:val="none"/>
        </w:rPr>
        <w:t>3、服装及执勤规范要求：保安员执勤时应统一着装、佩带保安标志和值勤证件（费用由保安公司承担，如招标人对服装有个性化要求时，所产生的差价由招标人承担）。</w:t>
      </w:r>
    </w:p>
    <w:p>
      <w:pPr>
        <w:pStyle w:val="2"/>
        <w:ind w:left="0" w:leftChars="0"/>
        <w:rPr>
          <w:rFonts w:ascii="仿宋" w:hAnsi="仿宋" w:eastAsia="仿宋" w:cs="仿宋"/>
          <w:color w:val="auto"/>
          <w:szCs w:val="24"/>
          <w:highlight w:val="none"/>
        </w:rPr>
        <w:sectPr>
          <w:pgSz w:w="16838" w:h="11906" w:orient="landscape"/>
          <w:pgMar w:top="1418" w:right="1474" w:bottom="1286" w:left="1247" w:header="851" w:footer="992" w:gutter="0"/>
          <w:pgNumType w:fmt="decimal"/>
          <w:cols w:space="720" w:num="1"/>
          <w:docGrid w:linePitch="312" w:charSpace="0"/>
        </w:sectPr>
      </w:pPr>
    </w:p>
    <w:p>
      <w:pPr>
        <w:pStyle w:val="2"/>
        <w:ind w:left="480"/>
        <w:rPr>
          <w:rFonts w:ascii="仿宋" w:hAnsi="仿宋" w:eastAsia="仿宋" w:cs="仿宋"/>
          <w:color w:val="auto"/>
          <w:szCs w:val="24"/>
          <w:highlight w:val="none"/>
        </w:rPr>
      </w:pPr>
    </w:p>
    <w:p>
      <w:pPr>
        <w:pStyle w:val="2"/>
        <w:numPr>
          <w:ilvl w:val="0"/>
          <w:numId w:val="0"/>
        </w:numPr>
        <w:rPr>
          <w:rFonts w:ascii="仿宋" w:hAnsi="仿宋" w:eastAsia="仿宋" w:cs="仿宋"/>
          <w:color w:val="auto"/>
          <w:szCs w:val="24"/>
          <w:highlight w:val="none"/>
        </w:rPr>
      </w:pPr>
      <w:r>
        <w:rPr>
          <w:rFonts w:hint="eastAsia" w:ascii="仿宋" w:hAnsi="仿宋" w:eastAsia="仿宋" w:cs="仿宋"/>
          <w:color w:val="auto"/>
          <w:szCs w:val="24"/>
          <w:highlight w:val="none"/>
          <w:lang w:eastAsia="zh-CN"/>
        </w:rPr>
        <w:t>（二）</w:t>
      </w:r>
      <w:r>
        <w:rPr>
          <w:rFonts w:hint="eastAsia" w:ascii="仿宋" w:hAnsi="仿宋" w:eastAsia="仿宋" w:cs="仿宋"/>
          <w:color w:val="auto"/>
          <w:szCs w:val="24"/>
          <w:highlight w:val="none"/>
        </w:rPr>
        <w:t>岗位需求表</w:t>
      </w:r>
    </w:p>
    <w:tbl>
      <w:tblPr>
        <w:tblStyle w:val="27"/>
        <w:tblW w:w="6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785"/>
        <w:gridCol w:w="130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序号</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岗位名称</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岗位人数（人）</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保安队长</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副队长</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班长</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8</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Cs w:val="24"/>
                <w:highlight w:val="none"/>
              </w:rPr>
              <w:t>消控员</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8</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专职消防员</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8</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普通保安员</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49</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w:t>
            </w:r>
          </w:p>
        </w:tc>
        <w:tc>
          <w:tcPr>
            <w:tcW w:w="1785"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合计</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75</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仿宋" w:hAnsi="仿宋" w:eastAsia="仿宋" w:cs="仿宋"/>
                <w:color w:val="auto"/>
                <w:sz w:val="22"/>
                <w:szCs w:val="22"/>
                <w:highlight w:val="none"/>
              </w:rPr>
            </w:pPr>
          </w:p>
        </w:tc>
      </w:tr>
    </w:tbl>
    <w:p>
      <w:pPr>
        <w:widowControl/>
        <w:spacing w:line="500" w:lineRule="exact"/>
        <w:jc w:val="left"/>
        <w:rPr>
          <w:rFonts w:ascii="仿宋" w:hAnsi="仿宋" w:eastAsia="仿宋" w:cs="仿宋"/>
          <w:b/>
          <w:color w:val="auto"/>
          <w:szCs w:val="24"/>
          <w:highlight w:val="none"/>
        </w:rPr>
      </w:pPr>
      <w:r>
        <w:rPr>
          <w:rFonts w:hint="eastAsia" w:ascii="仿宋" w:hAnsi="仿宋" w:eastAsia="仿宋" w:cs="仿宋"/>
          <w:b/>
          <w:color w:val="auto"/>
          <w:szCs w:val="24"/>
          <w:highlight w:val="none"/>
        </w:rPr>
        <w:t>五、人员要求</w:t>
      </w:r>
    </w:p>
    <w:p>
      <w:pPr>
        <w:spacing w:line="48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男性保安为70名，年龄18-50周岁，身高1.70米以上；女性保安为5名，年龄18-40周岁，身高1.60米以上。高中及以上学历（正、副队长另行要求），五官端正，身体健康，思维正常，视（裸）力0.8以上；身体无残疾，无明显标记，无传染病或其它不适宜从事保安服务的病损，能流利使用普通话及本地方言。在湖州市中心医院定点体检，费用公司自理。</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2、保安员上岗时必须持有公安机关颁发的《保安员证》，持证上岗，统一着装，其中消控室及专职消防员人员需具备建（构）筑物消防员证，所有人员需熟知消防的四个能力建设，并能熟练的使用**防暴器材及消防器材设备等。</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3、所有人员未受过刑事、劳动教养、治安处罚等处分的，品性端正、作风正派、遵纪守法。如中标人工作人员在医院内出现违法犯罪行为，中标人必须负相关法律责任。（提供承诺书）</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4、正、副队长条件：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（1）正、副队长应具备大专文化程度及以上，3年及以上单位安保管理工作经验。副队长如有曾在三甲医院5年及以上工作经历，条件可以适当放宽至：年龄不超过55周岁，学历不低于初中学历。</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（2）未经采购人同意不得更换。如中标后，采购人认为无法胜任工作，要求中标人调换，中标人必须在7日内完成同等资质条件的队长的调换。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（3）保安队长常日班，要求必须按照行政上班时间到岗，以打卡考勤为准。</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b/>
          <w:color w:val="auto"/>
          <w:szCs w:val="24"/>
          <w:highlight w:val="none"/>
        </w:rPr>
        <w:t xml:space="preserve">六、其他要求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1、中标人服务能力未达到采购人要求的，采购人提出整改意见，如经整改仍无法达到的，采购人有权终止合同。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2、中标人应对其工作人员的安全承担一切责任。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3、中标人应对与其工作人员的劳动关系承担一切责任。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4、中标人的所有工作人员的薪酬由中标人发放，与采购人无关。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5、为配合规定的消防演练、其他应急演练所调用的安保人员视为完成安保工作所必须的，不得另外计取加班费用等。 </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6.对在岗的保安员每年提供涉及消防、**、交通指挥等相关培训不少于2次，费用均含在投标总价内。</w:t>
      </w:r>
    </w:p>
    <w:p>
      <w:pPr>
        <w:widowControl/>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7、中标人的安保员不得向无关人员泄露监控画面并有义务保护病人隐私。必须严守单位机密，不得对外散播、传播本系统内部数据；不得利用系统内任何数据参加任何非法组织和发布任何反动言论。</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8、如院方其他院区因工作需要，需增加安保人员，中标单位须无条件配合，原则上在 24 小时内到位，增加的人员要求、人员费用与招标文件要求相同。 </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9、中标人必须提供应急支援能力证明和增援计划，确保实现在突发紧急情况下具备 1 小时内到场 10 名安保人员进行处置的能力，2 小时内不少于 20 人。应急增加的人员要求不应低于招标标准，费用按照本项目人员对应的工资标准。遇到紧急情况，采购人发出应急指令后，中标人如不能实现合同框架内实现人员增援，每次按缺口人数每人罚款 1000 元。 </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10、中标人必须按省市有关要求配置安保服务所需的设施、器材，并承担相应费用。要求必须按采购人要求的巡更线路实施治安和防火巡查巡逻。每天的巡更结果必须报招标人备查，此将作为服务考核内容。</w:t>
      </w:r>
    </w:p>
    <w:p>
      <w:pPr>
        <w:pStyle w:val="2"/>
        <w:ind w:left="480"/>
        <w:rPr>
          <w:color w:val="auto"/>
          <w:highlight w:val="none"/>
        </w:rPr>
      </w:pPr>
    </w:p>
    <w:p>
      <w:pPr>
        <w:widowControl/>
        <w:spacing w:line="500" w:lineRule="exact"/>
        <w:jc w:val="left"/>
        <w:rPr>
          <w:rFonts w:ascii="仿宋" w:hAnsi="仿宋" w:eastAsia="仿宋" w:cs="仿宋"/>
          <w:b/>
          <w:color w:val="auto"/>
          <w:szCs w:val="24"/>
          <w:highlight w:val="none"/>
        </w:rPr>
      </w:pPr>
      <w:r>
        <w:rPr>
          <w:rFonts w:hint="eastAsia" w:ascii="仿宋" w:hAnsi="仿宋" w:eastAsia="仿宋" w:cs="仿宋"/>
          <w:b/>
          <w:color w:val="auto"/>
          <w:szCs w:val="24"/>
          <w:highlight w:val="none"/>
        </w:rPr>
        <w:t xml:space="preserve">七、商务要求 </w:t>
      </w:r>
    </w:p>
    <w:p>
      <w:pPr>
        <w:spacing w:line="500" w:lineRule="exact"/>
        <w:rPr>
          <w:rFonts w:ascii="仿宋" w:hAnsi="仿宋" w:eastAsia="仿宋" w:cs="仿宋"/>
          <w:color w:val="auto"/>
          <w:szCs w:val="24"/>
          <w:highlight w:val="none"/>
        </w:rPr>
      </w:pPr>
      <w:r>
        <w:rPr>
          <w:rFonts w:hint="eastAsia" w:ascii="仿宋" w:hAnsi="仿宋" w:eastAsia="仿宋" w:cs="仿宋"/>
          <w:color w:val="auto"/>
          <w:highlight w:val="none"/>
        </w:rPr>
        <w:t>▲</w:t>
      </w:r>
      <w:r>
        <w:rPr>
          <w:rFonts w:hint="eastAsia" w:ascii="仿宋" w:hAnsi="仿宋" w:eastAsia="仿宋" w:cs="仿宋"/>
          <w:color w:val="auto"/>
          <w:szCs w:val="24"/>
          <w:highlight w:val="none"/>
        </w:rPr>
        <w:t>1、服务期：自合同签订之日起3年</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2、付款方式 </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2.1 预付款：合同生效及具备实施条件后15日内支付当年合同金额的10%；</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highlight w:val="none"/>
        </w:rPr>
        <w:t>▲</w:t>
      </w:r>
      <w:r>
        <w:rPr>
          <w:rFonts w:hint="eastAsia" w:ascii="仿宋" w:hAnsi="仿宋" w:eastAsia="仿宋" w:cs="仿宋"/>
          <w:color w:val="auto"/>
          <w:szCs w:val="24"/>
          <w:highlight w:val="none"/>
        </w:rPr>
        <w:t xml:space="preserve">2.2服务费用：安保服务费每月结算一次，按上月考核结果，双方签字确认的考核单，扣除考核扣分款后进行结算。中标人提供正式财务发票，采购人转入对方账户。原则上次月月底前支付（遇节假日顺延）。 </w:t>
      </w:r>
    </w:p>
    <w:p>
      <w:pPr>
        <w:widowControl/>
        <w:spacing w:line="500" w:lineRule="exact"/>
        <w:jc w:val="left"/>
        <w:rPr>
          <w:rFonts w:ascii="仿宋" w:hAnsi="仿宋" w:eastAsia="仿宋" w:cs="仿宋"/>
          <w:color w:val="auto"/>
          <w:szCs w:val="24"/>
          <w:highlight w:val="none"/>
          <w:lang w:val="zh-CN"/>
        </w:rPr>
      </w:pPr>
      <w:r>
        <w:rPr>
          <w:rFonts w:hint="eastAsia" w:ascii="仿宋" w:hAnsi="仿宋" w:eastAsia="仿宋" w:cs="仿宋"/>
          <w:color w:val="auto"/>
          <w:szCs w:val="24"/>
          <w:highlight w:val="none"/>
        </w:rPr>
        <w:t>2.3考核方式：根据考核细则，</w:t>
      </w:r>
      <w:r>
        <w:rPr>
          <w:rFonts w:hint="eastAsia" w:ascii="仿宋" w:hAnsi="仿宋" w:eastAsia="仿宋" w:cs="仿宋"/>
          <w:color w:val="auto"/>
          <w:szCs w:val="24"/>
          <w:highlight w:val="none"/>
          <w:lang w:val="zh-CN"/>
        </w:rPr>
        <w:t>每月对保安服务质量进行考核，</w:t>
      </w:r>
      <w:r>
        <w:rPr>
          <w:rFonts w:hint="eastAsia" w:ascii="仿宋" w:hAnsi="仿宋" w:eastAsia="仿宋" w:cs="仿宋"/>
          <w:color w:val="auto"/>
          <w:szCs w:val="24"/>
          <w:highlight w:val="none"/>
        </w:rPr>
        <w:t>总分共100分，根据考核结果和实际到岗人数支付服务费。</w:t>
      </w:r>
      <w:r>
        <w:rPr>
          <w:rFonts w:hint="eastAsia" w:ascii="仿宋" w:hAnsi="仿宋" w:eastAsia="仿宋" w:cs="仿宋"/>
          <w:color w:val="auto"/>
          <w:szCs w:val="24"/>
          <w:highlight w:val="none"/>
          <w:lang w:val="zh-CN"/>
        </w:rPr>
        <w:t>90分为合格，85分-89分扣除当月保安服务费的</w:t>
      </w: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zh-CN"/>
        </w:rPr>
        <w:t>%，84分以下扣除当月保安服务费</w:t>
      </w:r>
      <w:r>
        <w:rPr>
          <w:rFonts w:hint="eastAsia" w:ascii="仿宋" w:hAnsi="仿宋" w:eastAsia="仿宋" w:cs="仿宋"/>
          <w:color w:val="auto"/>
          <w:szCs w:val="24"/>
          <w:highlight w:val="none"/>
        </w:rPr>
        <w:t>10</w:t>
      </w:r>
      <w:r>
        <w:rPr>
          <w:rFonts w:hint="eastAsia" w:ascii="仿宋" w:hAnsi="仿宋" w:eastAsia="仿宋" w:cs="仿宋"/>
          <w:color w:val="auto"/>
          <w:szCs w:val="24"/>
          <w:highlight w:val="none"/>
          <w:lang w:val="zh-CN"/>
        </w:rPr>
        <w:t>%。三次考核低于80分的，采购人可提前解除合同，不承担违约责任。</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2.4采购人因岗位变动需增减派人员的，中标人须无条件响应采购人要求，并配合落实相关人员，费用按照中标安保的人员每年平均价核算，如人员增减，则按增减数量乘每人平均价增减。安保人员每年平均价核算方式为：投标年度总价/岗位人数，每月均价为每年平均价除以12个月，每日均价为每年平均价除以365日。</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3、投标报价包括所有安保管理人员的工资、社保、服装费、加班费、年终奖、年休假、培训费、通讯设备、低值易耗品、工具及相关设备费、临时性杂项服务费、政策性文件规定及合同包含的所有风险、责任、税费、合理利润等各项全部费用。</w:t>
      </w:r>
    </w:p>
    <w:p>
      <w:pPr>
        <w:widowControl/>
        <w:spacing w:line="500" w:lineRule="exact"/>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4、履约保证金 </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在合同签订前中标人应提供合同总金额5%的履约保证金（如在合同履约期间发生以下情况除外）在完成整个项目、办理结算手续并支付至结算价100%后一次性无息退还。 </w:t>
      </w:r>
    </w:p>
    <w:p>
      <w:pPr>
        <w:widowControl/>
        <w:spacing w:line="500" w:lineRule="exact"/>
        <w:ind w:firstLine="480" w:firstLineChars="200"/>
        <w:jc w:val="left"/>
        <w:rPr>
          <w:rFonts w:ascii="仿宋" w:hAnsi="仿宋" w:eastAsia="仿宋" w:cs="仿宋"/>
          <w:color w:val="auto"/>
          <w:szCs w:val="24"/>
          <w:highlight w:val="none"/>
          <w:lang w:val="zh-CN"/>
        </w:rPr>
      </w:pPr>
      <w:r>
        <w:rPr>
          <w:rFonts w:hint="eastAsia" w:ascii="仿宋" w:hAnsi="仿宋" w:eastAsia="仿宋" w:cs="仿宋"/>
          <w:color w:val="auto"/>
          <w:szCs w:val="24"/>
          <w:highlight w:val="none"/>
        </w:rPr>
        <w:t>4.1.</w:t>
      </w:r>
      <w:r>
        <w:rPr>
          <w:rFonts w:hint="eastAsia" w:ascii="仿宋" w:hAnsi="仿宋" w:eastAsia="仿宋" w:cs="仿宋"/>
          <w:color w:val="auto"/>
          <w:szCs w:val="24"/>
          <w:highlight w:val="none"/>
          <w:lang w:val="zh-CN"/>
        </w:rPr>
        <w:t>中标单位需定期对保安员包括但不仅限于安全、消防、行为规范、法律等知识的上岗培训，每</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zh-CN"/>
        </w:rPr>
        <w:t>不少于</w:t>
      </w:r>
      <w:r>
        <w:rPr>
          <w:rFonts w:hint="eastAsia" w:ascii="仿宋" w:hAnsi="仿宋" w:eastAsia="仿宋" w:cs="仿宋"/>
          <w:color w:val="auto"/>
          <w:szCs w:val="24"/>
          <w:highlight w:val="none"/>
        </w:rPr>
        <w:t>二</w:t>
      </w:r>
      <w:r>
        <w:rPr>
          <w:rFonts w:hint="eastAsia" w:ascii="仿宋" w:hAnsi="仿宋" w:eastAsia="仿宋" w:cs="仿宋"/>
          <w:color w:val="auto"/>
          <w:szCs w:val="24"/>
          <w:highlight w:val="none"/>
          <w:lang w:val="zh-CN"/>
        </w:rPr>
        <w:t>次。未按要求执行的，每次扣除乙方履约金0.1-0.5万元。</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4.2.</w:t>
      </w:r>
      <w:r>
        <w:rPr>
          <w:rFonts w:hint="eastAsia" w:ascii="仿宋" w:hAnsi="仿宋" w:eastAsia="仿宋" w:cs="仿宋"/>
          <w:color w:val="auto"/>
          <w:szCs w:val="24"/>
          <w:highlight w:val="none"/>
          <w:lang w:val="zh-CN"/>
        </w:rPr>
        <w:t>组织大型保障任务中，因公司管理不善，导致纪律不严，工作懒散等行为，而受到投诉批评的，每次扣除乙方履约金0.1-0.5万元。</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4.3.院区内每月发生偷盗案件不得大于 2 起（以辖区***报案记录为准），每超过 1 起，采购人对中标人罚款 0.1万元，连续三个月偷盗案件每月大于二起，或当月大于五起，采购人对中标人罚款 0.5万元； 从履约保证金中扣除。</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4.4.由于中标人的责任导致医院物品被盗，中标人应按院方核准价格承担等价赔偿；从履约保证金中扣除。 </w:t>
      </w:r>
    </w:p>
    <w:p>
      <w:pPr>
        <w:widowControl/>
        <w:spacing w:line="500" w:lineRule="exact"/>
        <w:ind w:firstLine="480" w:firstLineChars="200"/>
        <w:jc w:val="left"/>
        <w:rPr>
          <w:rFonts w:ascii="仿宋" w:hAnsi="仿宋" w:eastAsia="仿宋" w:cs="仿宋"/>
          <w:color w:val="auto"/>
          <w:szCs w:val="24"/>
          <w:highlight w:val="none"/>
        </w:rPr>
      </w:pPr>
      <w:r>
        <w:rPr>
          <w:rFonts w:hint="eastAsia" w:ascii="仿宋" w:hAnsi="仿宋" w:eastAsia="仿宋" w:cs="仿宋"/>
          <w:color w:val="auto"/>
          <w:szCs w:val="24"/>
          <w:highlight w:val="none"/>
        </w:rPr>
        <w:t>4.5.对第三方投诉处理。中标人应本着服务为本的精神落实安保工作，如有第三方投诉，每发生一起，经院保卫科查实后，则对中标人罚款 0.1万元，并且必须妥善处理至投诉圆满解决，从履约保证金中扣除。</w:t>
      </w:r>
    </w:p>
    <w:p>
      <w:pPr>
        <w:widowControl/>
        <w:spacing w:line="500" w:lineRule="exact"/>
        <w:ind w:firstLine="480" w:firstLineChars="200"/>
        <w:jc w:val="left"/>
        <w:rPr>
          <w:rFonts w:ascii="仿宋" w:hAnsi="仿宋" w:eastAsia="仿宋" w:cs="仿宋"/>
          <w:color w:val="auto"/>
          <w:szCs w:val="24"/>
          <w:highlight w:val="none"/>
          <w:lang w:val="zh-CN"/>
        </w:rPr>
      </w:pPr>
      <w:r>
        <w:rPr>
          <w:rFonts w:hint="eastAsia" w:ascii="仿宋" w:hAnsi="仿宋" w:eastAsia="仿宋" w:cs="仿宋"/>
          <w:color w:val="auto"/>
          <w:szCs w:val="24"/>
          <w:highlight w:val="none"/>
          <w:lang w:val="zh-CN"/>
        </w:rPr>
        <w:t>4.6.中标单位需满足采购人人员配备的要求，涵盖（年龄、性别、学历、上岗操作证、驾驶证、招聘人数等一系列要求），如未按采购人要求执行的，每项每月每次扣除乙方履约金1万元。</w:t>
      </w:r>
    </w:p>
    <w:p>
      <w:pPr>
        <w:pStyle w:val="2"/>
        <w:ind w:left="0" w:leftChars="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p>
    <w:p>
      <w:pPr>
        <w:pStyle w:val="2"/>
        <w:ind w:left="480"/>
        <w:rPr>
          <w:rFonts w:ascii="仿宋" w:hAnsi="仿宋" w:eastAsia="仿宋" w:cs="仿宋"/>
          <w:color w:val="auto"/>
          <w:szCs w:val="24"/>
          <w:highlight w:val="none"/>
        </w:rPr>
      </w:pPr>
      <w:r>
        <w:rPr>
          <w:rFonts w:hint="eastAsia" w:ascii="仿宋" w:hAnsi="仿宋" w:eastAsia="仿宋" w:cs="仿宋"/>
          <w:color w:val="auto"/>
          <w:szCs w:val="24"/>
          <w:highlight w:val="none"/>
        </w:rPr>
        <w:t>附件</w:t>
      </w:r>
    </w:p>
    <w:p>
      <w:pPr>
        <w:pStyle w:val="22"/>
        <w:spacing w:line="360" w:lineRule="auto"/>
        <w:jc w:val="center"/>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保安服务考核表</w:t>
      </w:r>
    </w:p>
    <w:tbl>
      <w:tblPr>
        <w:tblStyle w:val="27"/>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1"/>
        <w:gridCol w:w="2126"/>
        <w:gridCol w:w="372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361" w:type="dxa"/>
            <w:tcBorders>
              <w:top w:val="single" w:color="auto" w:sz="4" w:space="0"/>
              <w:left w:val="single" w:color="auto" w:sz="4" w:space="0"/>
              <w:bottom w:val="single" w:color="auto" w:sz="4" w:space="0"/>
              <w:right w:val="single" w:color="auto" w:sz="4" w:space="0"/>
            </w:tcBorders>
          </w:tcPr>
          <w:p>
            <w:pPr>
              <w:pStyle w:val="22"/>
              <w:spacing w:line="360" w:lineRule="exact"/>
              <w:ind w:firstLine="1050" w:firstLineChars="500"/>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主要量化考核细则</w:t>
            </w:r>
          </w:p>
        </w:tc>
        <w:tc>
          <w:tcPr>
            <w:tcW w:w="2126" w:type="dxa"/>
            <w:tcBorders>
              <w:top w:val="single" w:color="auto" w:sz="4" w:space="0"/>
              <w:left w:val="single" w:color="auto" w:sz="4" w:space="0"/>
              <w:bottom w:val="single" w:color="auto" w:sz="4" w:space="0"/>
              <w:right w:val="single" w:color="auto" w:sz="4" w:space="0"/>
            </w:tcBorders>
          </w:tcPr>
          <w:p>
            <w:pPr>
              <w:pStyle w:val="22"/>
              <w:spacing w:line="360" w:lineRule="exact"/>
              <w:ind w:firstLine="420" w:firstLineChars="200"/>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考核要求</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细化</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1、人员编制与管理规章制度健全，组织健全，工作职责落实，安保、消防分工管理措施合理，实行全员保消结合的管理模式。</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必须完成人员与机构设置和人员分工和制度建设。查资料、考勤</w:t>
            </w:r>
          </w:p>
        </w:tc>
        <w:tc>
          <w:tcPr>
            <w:tcW w:w="3728"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left"/>
              <w:rPr>
                <w:rFonts w:ascii="仿宋" w:hAnsi="仿宋" w:eastAsia="仿宋" w:cs="仿宋"/>
                <w:color w:val="auto"/>
                <w:kern w:val="2"/>
                <w:sz w:val="21"/>
                <w:szCs w:val="22"/>
                <w:highlight w:val="none"/>
              </w:rPr>
            </w:pPr>
            <w:r>
              <w:rPr>
                <w:rFonts w:hint="eastAsia" w:ascii="仿宋" w:hAnsi="仿宋" w:eastAsia="仿宋" w:cs="仿宋"/>
                <w:color w:val="auto"/>
                <w:kern w:val="2"/>
                <w:sz w:val="21"/>
                <w:szCs w:val="22"/>
                <w:highlight w:val="none"/>
              </w:rPr>
              <w:t>1、</w:t>
            </w:r>
            <w:r>
              <w:rPr>
                <w:rFonts w:hint="eastAsia" w:ascii="仿宋" w:hAnsi="仿宋" w:eastAsia="仿宋" w:cs="仿宋"/>
                <w:color w:val="auto"/>
                <w:kern w:val="2"/>
                <w:sz w:val="21"/>
                <w:szCs w:val="22"/>
                <w:highlight w:val="none"/>
                <w:lang w:val="zh-CN"/>
              </w:rPr>
              <w:t>中标人队员按照招标要求配置，得</w:t>
            </w:r>
            <w:r>
              <w:rPr>
                <w:rFonts w:hint="eastAsia" w:ascii="仿宋" w:hAnsi="仿宋" w:eastAsia="仿宋" w:cs="仿宋"/>
                <w:color w:val="auto"/>
                <w:kern w:val="2"/>
                <w:sz w:val="21"/>
                <w:szCs w:val="22"/>
                <w:highlight w:val="none"/>
              </w:rPr>
              <w:t>10分。</w:t>
            </w:r>
          </w:p>
          <w:p>
            <w:pPr>
              <w:pStyle w:val="22"/>
              <w:spacing w:line="360" w:lineRule="exact"/>
              <w:jc w:val="left"/>
              <w:rPr>
                <w:rFonts w:ascii="仿宋" w:hAnsi="仿宋" w:eastAsia="仿宋" w:cs="仿宋"/>
                <w:color w:val="auto"/>
                <w:kern w:val="2"/>
                <w:sz w:val="21"/>
                <w:szCs w:val="22"/>
                <w:highlight w:val="none"/>
              </w:rPr>
            </w:pPr>
            <w:r>
              <w:rPr>
                <w:rFonts w:hint="eastAsia" w:ascii="仿宋" w:hAnsi="仿宋" w:eastAsia="仿宋" w:cs="仿宋"/>
                <w:color w:val="auto"/>
                <w:kern w:val="2"/>
                <w:sz w:val="21"/>
                <w:szCs w:val="22"/>
                <w:highlight w:val="none"/>
              </w:rPr>
              <w:t>2、</w:t>
            </w:r>
            <w:r>
              <w:rPr>
                <w:rFonts w:hint="eastAsia" w:ascii="仿宋" w:hAnsi="仿宋" w:eastAsia="仿宋" w:cs="仿宋"/>
                <w:color w:val="auto"/>
                <w:kern w:val="2"/>
                <w:sz w:val="21"/>
                <w:szCs w:val="22"/>
                <w:highlight w:val="none"/>
                <w:lang w:val="zh-CN"/>
              </w:rPr>
              <w:t>中标人队员少于规定的人数</w:t>
            </w:r>
            <w:r>
              <w:rPr>
                <w:rFonts w:hint="eastAsia" w:ascii="仿宋" w:hAnsi="仿宋" w:eastAsia="仿宋" w:cs="仿宋"/>
                <w:color w:val="auto"/>
                <w:kern w:val="2"/>
                <w:sz w:val="21"/>
                <w:szCs w:val="22"/>
                <w:highlight w:val="none"/>
              </w:rPr>
              <w:t>或年龄不符合要求的，</w:t>
            </w:r>
            <w:r>
              <w:rPr>
                <w:rFonts w:hint="eastAsia" w:ascii="仿宋" w:hAnsi="仿宋" w:eastAsia="仿宋" w:cs="仿宋"/>
                <w:color w:val="auto"/>
                <w:kern w:val="2"/>
                <w:sz w:val="21"/>
                <w:szCs w:val="22"/>
                <w:highlight w:val="none"/>
                <w:lang w:val="zh-CN"/>
              </w:rPr>
              <w:t>每查实缺少1人</w:t>
            </w:r>
            <w:r>
              <w:rPr>
                <w:rFonts w:hint="eastAsia" w:ascii="仿宋" w:hAnsi="仿宋" w:eastAsia="仿宋" w:cs="仿宋"/>
                <w:color w:val="auto"/>
                <w:kern w:val="2"/>
                <w:sz w:val="21"/>
                <w:szCs w:val="22"/>
                <w:highlight w:val="none"/>
              </w:rPr>
              <w:t>或1人年龄不符合要求的</w:t>
            </w:r>
            <w:r>
              <w:rPr>
                <w:rFonts w:hint="eastAsia" w:ascii="仿宋" w:hAnsi="仿宋" w:eastAsia="仿宋" w:cs="仿宋"/>
                <w:color w:val="auto"/>
                <w:kern w:val="2"/>
                <w:sz w:val="21"/>
                <w:szCs w:val="22"/>
                <w:highlight w:val="none"/>
                <w:lang w:val="zh-CN"/>
              </w:rPr>
              <w:t>扣</w:t>
            </w:r>
            <w:r>
              <w:rPr>
                <w:rFonts w:hint="eastAsia" w:ascii="仿宋" w:hAnsi="仿宋" w:eastAsia="仿宋" w:cs="仿宋"/>
                <w:color w:val="auto"/>
                <w:kern w:val="2"/>
                <w:sz w:val="21"/>
                <w:szCs w:val="22"/>
                <w:highlight w:val="none"/>
              </w:rPr>
              <w:t>1分。</w:t>
            </w:r>
          </w:p>
          <w:p>
            <w:pPr>
              <w:pStyle w:val="22"/>
              <w:spacing w:line="360" w:lineRule="exact"/>
              <w:jc w:val="left"/>
              <w:rPr>
                <w:rFonts w:ascii="仿宋" w:hAnsi="仿宋" w:eastAsia="仿宋" w:cs="仿宋"/>
                <w:color w:val="auto"/>
                <w:kern w:val="2"/>
                <w:sz w:val="21"/>
                <w:highlight w:val="none"/>
              </w:rPr>
            </w:pPr>
            <w:r>
              <w:rPr>
                <w:rFonts w:hint="eastAsia" w:ascii="仿宋" w:hAnsi="仿宋" w:eastAsia="仿宋" w:cs="仿宋"/>
                <w:color w:val="auto"/>
                <w:kern w:val="2"/>
                <w:sz w:val="21"/>
                <w:szCs w:val="22"/>
                <w:highlight w:val="none"/>
              </w:rPr>
              <w:t>3、</w:t>
            </w:r>
            <w:r>
              <w:rPr>
                <w:rFonts w:hint="eastAsia" w:ascii="仿宋" w:hAnsi="仿宋" w:eastAsia="仿宋" w:cs="仿宋"/>
                <w:color w:val="auto"/>
                <w:szCs w:val="24"/>
                <w:highlight w:val="none"/>
                <w:lang w:val="zh-CN"/>
              </w:rPr>
              <w:t>未经</w:t>
            </w:r>
            <w:r>
              <w:rPr>
                <w:rFonts w:hint="eastAsia" w:ascii="仿宋" w:hAnsi="仿宋" w:eastAsia="仿宋" w:cs="仿宋"/>
                <w:color w:val="auto"/>
                <w:szCs w:val="24"/>
                <w:highlight w:val="none"/>
              </w:rPr>
              <w:t>采购人</w:t>
            </w:r>
            <w:r>
              <w:rPr>
                <w:rFonts w:hint="eastAsia" w:ascii="仿宋" w:hAnsi="仿宋" w:eastAsia="仿宋" w:cs="仿宋"/>
                <w:color w:val="auto"/>
                <w:szCs w:val="24"/>
                <w:highlight w:val="none"/>
                <w:lang w:val="zh-CN"/>
              </w:rPr>
              <w:t>同意，擅自更换队长的本项目不得分。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2、制定安全保卫工作计划和自查并组织实行；每月召开管理会议。</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每月制订计划上报医院，每月组织考核和管理会议。查资料</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1、每月有计划并上报保卫科得4分，无不得分。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2、每月有自查与整改计划得4分，无不得分。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3、每月有管理会议得2分。无不得分。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3、建立规范的员工考核制度和奖罚制度，实行定期的考核和奖罚管理</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每月有员工考核和奖罚。查资料</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1、员工考核制度落实情况。落实到位得5分，考核措施不到位，视情况酌情扣1-3分。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2、员工奖罚制度落实情况。奖罚分明得5分。奖罚制度流于形式、表面化，本项不得分。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保卫科日常检查中如发现员工有重大违反管理规定，每人次扣1分。至本项得分（5分）扣完为止。该员工经教育后仍再犯，医院有权责令辞退。</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4、保安队伍服从医院执勤日程安排，认真做好交接班制度和巡查制度，填写好值班日志和巡查记录。集中交班和实行交班会操。</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每日要有早晚二次集中交班及会操，值班保安完成每日交班记录，出入口物品记录和人员登记。查资料</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1、执行每日早晚交班制度的得2分，少一次扣1分。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2、各点值班员完成每日交班记录的得3分。无记录本项目不得分，记录不规范每个扣0.1分。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5、消防监控室人员必须全部持有</w:t>
            </w:r>
            <w:r>
              <w:rPr>
                <w:rFonts w:hint="eastAsia" w:ascii="仿宋" w:hAnsi="仿宋" w:eastAsia="仿宋" w:cs="仿宋"/>
                <w:color w:val="auto"/>
                <w:szCs w:val="24"/>
                <w:highlight w:val="none"/>
              </w:rPr>
              <w:t>建（构）筑物消防员证</w:t>
            </w:r>
            <w:r>
              <w:rPr>
                <w:rFonts w:hint="eastAsia" w:ascii="仿宋" w:hAnsi="仿宋" w:eastAsia="仿宋" w:cs="仿宋"/>
                <w:color w:val="auto"/>
                <w:kern w:val="2"/>
                <w:sz w:val="21"/>
                <w:highlight w:val="none"/>
              </w:rPr>
              <w:t>，并做好监控记录和监控消防中心设施保养，具备应急操作能力，做好日常巡查和设施保养维护，并做好院内相关记录。</w:t>
            </w:r>
          </w:p>
        </w:tc>
        <w:tc>
          <w:tcPr>
            <w:tcW w:w="2126" w:type="dxa"/>
            <w:tcBorders>
              <w:top w:val="single" w:color="auto" w:sz="4" w:space="0"/>
              <w:left w:val="single" w:color="auto" w:sz="4" w:space="0"/>
              <w:bottom w:val="single" w:color="auto" w:sz="4" w:space="0"/>
              <w:right w:val="single" w:color="auto" w:sz="4" w:space="0"/>
            </w:tcBorders>
            <w:vAlign w:val="center"/>
          </w:tcPr>
          <w:p>
            <w:pPr>
              <w:pStyle w:val="16"/>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每日要做好监控和消防记录和巡查记录，消防栓检查，消防门和监控门禁等检查记录。查资料</w:t>
            </w:r>
          </w:p>
        </w:tc>
        <w:tc>
          <w:tcPr>
            <w:tcW w:w="3728" w:type="dxa"/>
            <w:tcBorders>
              <w:top w:val="single" w:color="auto" w:sz="4" w:space="0"/>
              <w:left w:val="single" w:color="auto" w:sz="4" w:space="0"/>
              <w:bottom w:val="single" w:color="auto" w:sz="4" w:space="0"/>
              <w:right w:val="single" w:color="auto" w:sz="4" w:space="0"/>
            </w:tcBorders>
            <w:vAlign w:val="center"/>
          </w:tcPr>
          <w:p>
            <w:pPr>
              <w:pStyle w:val="22"/>
              <w:numPr>
                <w:ilvl w:val="0"/>
                <w:numId w:val="3"/>
              </w:numPr>
              <w:spacing w:line="360" w:lineRule="exact"/>
              <w:jc w:val="lef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执行每班双人值班得2分。</w:t>
            </w:r>
          </w:p>
          <w:p>
            <w:pPr>
              <w:pStyle w:val="22"/>
              <w:numPr>
                <w:ilvl w:val="0"/>
                <w:numId w:val="3"/>
              </w:numPr>
              <w:spacing w:line="360" w:lineRule="exact"/>
              <w:jc w:val="lef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监控与消防记录齐全得2分。</w:t>
            </w:r>
          </w:p>
          <w:p>
            <w:pPr>
              <w:pStyle w:val="22"/>
              <w:spacing w:line="360" w:lineRule="exact"/>
              <w:jc w:val="lef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3、消防人员日常巡查工作到位1分。</w:t>
            </w:r>
          </w:p>
        </w:tc>
        <w:tc>
          <w:tcPr>
            <w:tcW w:w="850" w:type="dxa"/>
            <w:tcBorders>
              <w:top w:val="single" w:color="auto" w:sz="4" w:space="0"/>
              <w:left w:val="single" w:color="auto" w:sz="4" w:space="0"/>
              <w:bottom w:val="single" w:color="auto" w:sz="4" w:space="0"/>
              <w:right w:val="single" w:color="auto" w:sz="4" w:space="0"/>
            </w:tcBorders>
            <w:vAlign w:val="center"/>
          </w:tcPr>
          <w:p>
            <w:pPr>
              <w:pStyle w:val="16"/>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6、医院重要部位的巡查到位和维护就诊秩序，保持良好的就诊和治安环境，有效打击院内偷盗行为。做好医疗纠纷、节能减排、控烟，防火，防盗、门禁、乱挂衣服，违规电器查收、病人走失、贵重物品等专项工作。及时上报各类出现的问题和不良事件。</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每日做好有效打击院内偷盗行为。做好医疗纠纷、节能减排、文明引导、控烟，防火，防盗、门禁、乱挂衣服，违规电器查收，病人走失、贵重物品等专项工作，并有记录。及时上报各类问题和不良事件。查资料</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1、维持医院就诊秩序，文明引导。4分。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2、及时排除消防隐患与消防报警，三分钟必须到达现场。4分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3、落实控烟工作。4分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4、打击院内盗窃。4分。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5、违规电器查收、病人走失、贵重物品等专项工作4分。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（每次检查不符合扣0.5分。）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9、落实岗位6S管理。按规定着装，注重个人仪表。保持保安室内周围整洁的卫生。</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每日完成岗位6S自查和卫生，有6S记录。查资料</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1、各岗位落实6S每日管理。3分。检查每次扣0.5分。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2、保安员工形象着装整齐2分。每人次扣0.5分。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065" w:type="dxa"/>
            <w:gridSpan w:val="4"/>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10.急诊科考核分二项合计10分，每项5分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10.1、配合急诊科做好病人分诊工作和抢救室陪人管理，门禁等管理。加强重点部位就医管理。</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查现场。结合日常管理</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1、完成每日抢救室的管理，人员落实。陪人管理、门禁符合要求。3分。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2、落实急诊科室其它部门的日常巡逻与秩序与隐患排除。2分。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一处不符扣0.5分。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10.2及时协同急诊工作人员做好抢救工作。纠纷处理工作，维护治安秩序和有效保障医务人员的安全。</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查现场、结合日常管理</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1、配合急诊科做好重大抢救工作。2分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2、保障急诊科医务人员安全：3分。发生一起扣1分。</w:t>
            </w:r>
          </w:p>
          <w:p>
            <w:pPr>
              <w:pStyle w:val="22"/>
              <w:spacing w:line="360" w:lineRule="exact"/>
              <w:rPr>
                <w:rFonts w:ascii="仿宋" w:hAnsi="仿宋" w:eastAsia="仿宋" w:cs="仿宋"/>
                <w:color w:val="auto"/>
                <w:kern w:val="2"/>
                <w:sz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0065" w:type="dxa"/>
            <w:gridSpan w:val="4"/>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11、门诊部考核分二项，合计10分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11.1配合门诊部做好一诊一室管理。加强重点部位的就医管理与文明秩序，挂号收费、输液室、放射科、检验、ICU探视管理。</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查现场、结合日常管理。</w:t>
            </w:r>
          </w:p>
        </w:tc>
        <w:tc>
          <w:tcPr>
            <w:tcW w:w="3728" w:type="dxa"/>
            <w:tcBorders>
              <w:top w:val="single" w:color="auto" w:sz="4" w:space="0"/>
              <w:left w:val="single" w:color="auto" w:sz="4" w:space="0"/>
              <w:bottom w:val="single" w:color="auto" w:sz="4" w:space="0"/>
              <w:right w:val="single" w:color="auto" w:sz="4" w:space="0"/>
            </w:tcBorders>
          </w:tcPr>
          <w:p>
            <w:pPr>
              <w:pStyle w:val="22"/>
              <w:numPr>
                <w:ilvl w:val="0"/>
                <w:numId w:val="4"/>
              </w:numPr>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配合做好一诊一室管理工作。3分</w:t>
            </w:r>
          </w:p>
          <w:p>
            <w:pPr>
              <w:pStyle w:val="22"/>
              <w:numPr>
                <w:ilvl w:val="0"/>
                <w:numId w:val="4"/>
              </w:numPr>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落实门诊重点科室的文明引导秩序管理。3分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3、做好特种科室ICU人员探视工作。2分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每次检查不符合1处扣0.5分。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11.2门诊安保**、及时协同门诊工作人员做好投诉，纠纷处理工作，维护治安秩序和有效保障医务人员的安全。</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查现场、结合日常管理</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1、及时处置医疗纠纷，保障医院人员安全。2分。发生一起扣1分。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065" w:type="dxa"/>
            <w:gridSpan w:val="4"/>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12、医务部考核分三部分，合计10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12.1配合医务、投诉部门做好医疗纠纷预防处置工作，监控信息调查与取证。</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配合医务部门纠纷处置预防工作。</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1、配合医务部门、投诉部门处置医疗纠纷的预防性措施。3分。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2、配合监控信息调查与人员取证。2分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12.2开展日常医务人员安全保障工作和突发应急处置工作。能及时发现控制不法伤医行为。无失职行为，造成医护人员受伤害。配合医务部群伤体等演练和抢救工作</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纠纷发生时必须人员到位、控制不法行为。配合医务部组织的演练和抢救工作。查记录</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1、完成日常医务人员安全保障与医疗纠纷不法行为的制止。2分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2、无安保失职行为。2分</w:t>
            </w:r>
          </w:p>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3、配合医务部开展的群体伤等演练。1分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13、配合医院和保卫科做好各级各项检查和保障性任务。</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查每项任务完成情况。查记录</w:t>
            </w:r>
          </w:p>
        </w:tc>
        <w:tc>
          <w:tcPr>
            <w:tcW w:w="3728" w:type="dxa"/>
            <w:tcBorders>
              <w:top w:val="single" w:color="auto" w:sz="4" w:space="0"/>
              <w:left w:val="single" w:color="auto" w:sz="4" w:space="0"/>
              <w:bottom w:val="single" w:color="auto" w:sz="4" w:space="0"/>
              <w:right w:val="single" w:color="auto" w:sz="4" w:space="0"/>
            </w:tcBorders>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完成重大专项工作与保障工作5分。优得5分，良4分，合格3分。</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3361"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得 分</w:t>
            </w:r>
          </w:p>
        </w:tc>
        <w:tc>
          <w:tcPr>
            <w:tcW w:w="2126"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考核≥90分为合格。</w:t>
            </w:r>
          </w:p>
        </w:tc>
        <w:tc>
          <w:tcPr>
            <w:tcW w:w="3728" w:type="dxa"/>
            <w:tcBorders>
              <w:top w:val="single" w:color="auto" w:sz="4" w:space="0"/>
              <w:left w:val="single" w:color="auto" w:sz="4" w:space="0"/>
              <w:bottom w:val="single" w:color="auto" w:sz="4" w:space="0"/>
              <w:right w:val="single" w:color="auto" w:sz="4" w:space="0"/>
            </w:tcBorders>
          </w:tcPr>
          <w:p>
            <w:pPr>
              <w:pStyle w:val="22"/>
              <w:numPr>
                <w:ilvl w:val="0"/>
                <w:numId w:val="5"/>
              </w:numPr>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每月考核低于89-85分扣当月保安服务费的5%。</w:t>
            </w:r>
          </w:p>
          <w:p>
            <w:pPr>
              <w:pStyle w:val="22"/>
              <w:numPr>
                <w:ilvl w:val="0"/>
                <w:numId w:val="5"/>
              </w:numPr>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84分及以下扣除当月保安服务费10%。</w:t>
            </w:r>
          </w:p>
          <w:p>
            <w:pPr>
              <w:pStyle w:val="22"/>
              <w:numPr>
                <w:ilvl w:val="0"/>
                <w:numId w:val="5"/>
              </w:numPr>
              <w:spacing w:line="360" w:lineRule="exact"/>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连续或累计3个月考核不合格，院方有权自动终止合同，重新招标。</w:t>
            </w:r>
          </w:p>
        </w:tc>
        <w:tc>
          <w:tcPr>
            <w:tcW w:w="850" w:type="dxa"/>
            <w:tcBorders>
              <w:top w:val="single" w:color="auto" w:sz="4" w:space="0"/>
              <w:left w:val="single" w:color="auto" w:sz="4" w:space="0"/>
              <w:bottom w:val="single" w:color="auto" w:sz="4" w:space="0"/>
              <w:right w:val="single" w:color="auto" w:sz="4" w:space="0"/>
            </w:tcBorders>
            <w:vAlign w:val="center"/>
          </w:tcPr>
          <w:p>
            <w:pPr>
              <w:pStyle w:val="22"/>
              <w:spacing w:line="360" w:lineRule="exact"/>
              <w:jc w:val="center"/>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100</w:t>
            </w:r>
          </w:p>
        </w:tc>
      </w:tr>
    </w:tbl>
    <w:p>
      <w:pPr>
        <w:pStyle w:val="22"/>
        <w:spacing w:line="360" w:lineRule="auto"/>
        <w:ind w:firstLine="5760" w:firstLineChars="2400"/>
        <w:rPr>
          <w:rFonts w:ascii="宋体" w:hAnsi="宋体" w:cs="楷体"/>
          <w:color w:val="auto"/>
          <w:sz w:val="24"/>
          <w:highlight w:val="none"/>
          <w:lang w:val="zh-CN"/>
        </w:rPr>
      </w:pPr>
    </w:p>
    <w:p>
      <w:pPr>
        <w:pStyle w:val="46"/>
        <w:rPr>
          <w:rFonts w:ascii="仿宋" w:hAnsi="仿宋" w:eastAsia="仿宋" w:cs="仿宋"/>
          <w:color w:val="auto"/>
          <w:szCs w:val="24"/>
          <w:highlight w:val="none"/>
          <w:lang w:eastAsia="zh-CN"/>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6"/>
        <w:ind w:firstLine="0" w:firstLineChars="0"/>
        <w:rPr>
          <w:rFonts w:ascii="仿宋" w:hAnsi="仿宋" w:eastAsia="仿宋" w:cs="仿宋"/>
          <w:color w:val="auto"/>
          <w:highlight w:val="none"/>
        </w:rPr>
      </w:pPr>
    </w:p>
    <w:p>
      <w:pPr>
        <w:pStyle w:val="24"/>
        <w:ind w:right="761" w:rightChars="317"/>
        <w:jc w:val="center"/>
        <w:outlineLvl w:val="9"/>
        <w:rPr>
          <w:rFonts w:ascii="仿宋" w:hAnsi="仿宋" w:eastAsia="仿宋" w:cs="仿宋"/>
          <w:color w:val="auto"/>
          <w:szCs w:val="32"/>
          <w:highlight w:val="none"/>
        </w:rPr>
      </w:pPr>
      <w:r>
        <w:rPr>
          <w:rFonts w:hint="eastAsia" w:ascii="仿宋" w:hAnsi="仿宋" w:eastAsia="仿宋" w:cs="仿宋"/>
          <w:color w:val="auto"/>
          <w:szCs w:val="32"/>
          <w:highlight w:val="none"/>
        </w:rPr>
        <w:t>第三章 投标人须知</w:t>
      </w:r>
    </w:p>
    <w:p>
      <w:pPr>
        <w:spacing w:line="560" w:lineRule="exac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前附表</w:t>
      </w:r>
    </w:p>
    <w:tbl>
      <w:tblPr>
        <w:tblStyle w:val="27"/>
        <w:tblW w:w="92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8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序号</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left="1089" w:hanging="1089" w:hangingChars="495"/>
              <w:jc w:val="left"/>
              <w:rPr>
                <w:rFonts w:ascii="仿宋" w:hAnsi="仿宋" w:eastAsia="仿宋" w:cs="仿宋"/>
                <w:b/>
                <w:color w:val="auto"/>
                <w:sz w:val="22"/>
                <w:szCs w:val="22"/>
                <w:highlight w:val="none"/>
              </w:rPr>
            </w:pPr>
            <w:r>
              <w:rPr>
                <w:rFonts w:hint="eastAsia" w:ascii="仿宋" w:hAnsi="仿宋" w:eastAsia="仿宋" w:cs="仿宋"/>
                <w:color w:val="auto"/>
                <w:sz w:val="22"/>
                <w:szCs w:val="22"/>
                <w:highlight w:val="none"/>
              </w:rPr>
              <w:t>项目名称：</w:t>
            </w:r>
            <w:r>
              <w:rPr>
                <w:rFonts w:hint="eastAsia" w:ascii="仿宋" w:hAnsi="仿宋" w:eastAsia="仿宋" w:cs="仿宋"/>
                <w:color w:val="auto"/>
                <w:sz w:val="22"/>
                <w:szCs w:val="22"/>
                <w:highlight w:val="none"/>
                <w:lang w:val="zh-CN"/>
              </w:rPr>
              <w:t>湖州市中心医院新医院安全保卫服务项目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采购内容及数量：详见招标需求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报价及费用：1、本项目投标应以人民币报价；2、不论投标结果如何，投标人均应自行承担所有与投标有关的全部费用；3、本项目采购代理服务费按27960元计取。由中标人在领取中标通知书前向采购代理机构一次性支付完成。请各投标人报价时综合考虑在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w:t>
            </w:r>
          </w:p>
        </w:tc>
        <w:tc>
          <w:tcPr>
            <w:tcW w:w="838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答疑与澄清：投标人如认为招标文件表述不清晰、存在歧视性、排他性或者其他违法内容的，自招标文件公告期限届满之日（公告发布后的第6个工作日）起7个工作日内，以书面形式向采购人或采购代理机构提出质疑。澄清（答疑）文件会在浙江省政府网上发布，同时政采云系统会向所有已按招标文件规定方式获取招标文件的潜在供应商发送澄清（答疑）提醒信息，供应商请自行到浙江省政府采网上下载。澄清答疑文件是招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采购预算及最高限价：采购预算人民币1485万元，最高限价人民币1485万元。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投标文件组成：1、电子投标文件（包括“电子加密投标文件”和“备份投标文件”，在投标文件编制完成后同时生成）；</w:t>
            </w:r>
          </w:p>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（1）“电子加密投标文件”是指通过“政采云电子交易客户端”完成投标文件编制后生成并加密的数据电文形式的投标文件。</w:t>
            </w:r>
          </w:p>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（2）“备份投标文件”是指与“电子加密投标文件”同时生成的数据电文形式的电子文件（备份标书），其他方式编制的备份投标文件视为无效备份投标文件。仅在出现解密异常情况下使用。</w:t>
            </w:r>
          </w:p>
          <w:p>
            <w:pPr>
              <w:snapToGrid w:val="0"/>
              <w:spacing w:line="560" w:lineRule="exact"/>
              <w:rPr>
                <w:rFonts w:ascii="仿宋" w:hAnsi="仿宋" w:eastAsia="仿宋" w:cs="仿宋"/>
                <w:color w:val="auto"/>
                <w:highlight w:val="none"/>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u w:val="single"/>
              </w:rPr>
              <w:t>是否需要提及纸质版投标文件</w:t>
            </w:r>
            <w:r>
              <w:rPr>
                <w:rFonts w:hint="eastAsia" w:ascii="仿宋" w:hAnsi="仿宋" w:eastAsia="仿宋" w:cs="仿宋"/>
                <w:color w:val="auto"/>
                <w:sz w:val="22"/>
                <w:szCs w:val="22"/>
                <w:highlight w:val="none"/>
              </w:rPr>
              <w:t>：否，但中标后，中标单位需在领取中标通知书时，向招标代理机构提交与投标时电子投标文件一致的纸质版本一式三份（按照招标文件要求签字盖章）。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w:t>
            </w:r>
          </w:p>
        </w:tc>
        <w:tc>
          <w:tcPr>
            <w:tcW w:w="8381" w:type="dxa"/>
            <w:tcBorders>
              <w:top w:val="single" w:color="auto" w:sz="4" w:space="0"/>
              <w:left w:val="single" w:color="auto" w:sz="4" w:space="0"/>
              <w:bottom w:val="single" w:color="auto" w:sz="4" w:space="0"/>
              <w:right w:val="single" w:color="auto" w:sz="4" w:space="0"/>
            </w:tcBorders>
            <w:vAlign w:val="center"/>
          </w:tcPr>
          <w:p>
            <w:pPr>
              <w:pStyle w:val="11"/>
              <w:spacing w:line="560" w:lineRule="exact"/>
              <w:rPr>
                <w:rFonts w:ascii="仿宋" w:hAnsi="仿宋" w:eastAsia="仿宋" w:cs="仿宋"/>
                <w:color w:val="auto"/>
                <w:szCs w:val="24"/>
                <w:highlight w:val="none"/>
              </w:rPr>
            </w:pPr>
            <w:r>
              <w:rPr>
                <w:rFonts w:hint="eastAsia" w:ascii="仿宋" w:hAnsi="仿宋" w:eastAsia="仿宋" w:cs="仿宋"/>
                <w:color w:val="auto"/>
                <w:sz w:val="22"/>
                <w:szCs w:val="22"/>
                <w:highlight w:val="none"/>
              </w:rPr>
              <w:t>投标文件份数：（1）“电子加密投标文件”：在线上传递交、一份。（2）“备份投标文件”：密封包装后（邮寄形式）投标截止时间前递交、一份（邮寄地址：浙江省湖州市太湖路777号105室（郭婷收），联系电话：0572-2889025拒绝到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8</w:t>
            </w:r>
          </w:p>
        </w:tc>
        <w:tc>
          <w:tcPr>
            <w:tcW w:w="8381" w:type="dxa"/>
            <w:tcBorders>
              <w:top w:val="single" w:color="auto" w:sz="4" w:space="0"/>
              <w:left w:val="single" w:color="auto" w:sz="4" w:space="0"/>
              <w:bottom w:val="single" w:color="auto" w:sz="4" w:space="0"/>
              <w:right w:val="single" w:color="auto" w:sz="4" w:space="0"/>
            </w:tcBorders>
            <w:vAlign w:val="center"/>
          </w:tcPr>
          <w:p>
            <w:pPr>
              <w:autoSpaceDE/>
              <w:autoSpaceDN/>
              <w:adjustRightInd/>
              <w:spacing w:line="600" w:lineRule="exact"/>
              <w:jc w:val="left"/>
              <w:textAlignment w:val="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电子加密投标文件的解密和异常情况处理：</w:t>
            </w:r>
          </w:p>
          <w:p>
            <w:pPr>
              <w:autoSpaceDE/>
              <w:autoSpaceDN/>
              <w:adjustRightInd/>
              <w:spacing w:line="600" w:lineRule="exact"/>
              <w:jc w:val="left"/>
              <w:textAlignment w:val="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（1）开标后，采购组织机构将向各投标供应商发出“电子加密投标文件”的解密通知，各投标供应商代表应当在接到解密通知后30分钟内自行完成“电子加密投标文件”的在线解密。</w:t>
            </w:r>
          </w:p>
          <w:p>
            <w:pPr>
              <w:autoSpaceDE/>
              <w:autoSpaceDN/>
              <w:adjustRightInd/>
              <w:spacing w:line="600" w:lineRule="exact"/>
              <w:jc w:val="left"/>
              <w:textAlignment w:val="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1"/>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9</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投标截止时间：2020年</w:t>
            </w:r>
            <w:r>
              <w:rPr>
                <w:rFonts w:hint="eastAsia" w:ascii="仿宋" w:hAnsi="仿宋" w:eastAsia="仿宋" w:cs="仿宋"/>
                <w:color w:val="auto"/>
                <w:sz w:val="22"/>
                <w:szCs w:val="22"/>
                <w:highlight w:val="none"/>
                <w:lang w:val="en-US" w:eastAsia="zh-CN"/>
              </w:rPr>
              <w:t>6</w:t>
            </w:r>
            <w:r>
              <w:rPr>
                <w:rFonts w:hint="eastAsia" w:ascii="仿宋" w:hAnsi="仿宋" w:eastAsia="仿宋" w:cs="仿宋"/>
                <w:color w:val="auto"/>
                <w:sz w:val="22"/>
                <w:szCs w:val="22"/>
                <w:highlight w:val="none"/>
              </w:rPr>
              <w:t>月</w:t>
            </w:r>
            <w:r>
              <w:rPr>
                <w:rFonts w:hint="eastAsia" w:ascii="仿宋" w:hAnsi="仿宋" w:eastAsia="仿宋" w:cs="仿宋"/>
                <w:color w:val="auto"/>
                <w:sz w:val="22"/>
                <w:szCs w:val="22"/>
                <w:highlight w:val="none"/>
                <w:lang w:val="en-US" w:eastAsia="zh-CN"/>
              </w:rPr>
              <w:t>29</w:t>
            </w:r>
            <w:r>
              <w:rPr>
                <w:rFonts w:hint="eastAsia" w:ascii="仿宋" w:hAnsi="仿宋" w:eastAsia="仿宋" w:cs="仿宋"/>
                <w:color w:val="auto"/>
                <w:sz w:val="22"/>
                <w:szCs w:val="22"/>
                <w:highlight w:val="none"/>
              </w:rPr>
              <w:t>日9:00整（以开标室时钟为准）；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10</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开标时间：2020年</w:t>
            </w:r>
            <w:r>
              <w:rPr>
                <w:rFonts w:hint="eastAsia" w:ascii="仿宋" w:hAnsi="仿宋" w:eastAsia="仿宋" w:cs="仿宋"/>
                <w:color w:val="auto"/>
                <w:sz w:val="22"/>
                <w:szCs w:val="22"/>
                <w:highlight w:val="none"/>
                <w:lang w:val="en-US" w:eastAsia="zh-CN"/>
              </w:rPr>
              <w:t>6</w:t>
            </w:r>
            <w:r>
              <w:rPr>
                <w:rFonts w:hint="eastAsia" w:ascii="仿宋" w:hAnsi="仿宋" w:eastAsia="仿宋" w:cs="仿宋"/>
                <w:color w:val="auto"/>
                <w:sz w:val="22"/>
                <w:szCs w:val="22"/>
                <w:highlight w:val="none"/>
              </w:rPr>
              <w:t>月</w:t>
            </w:r>
            <w:r>
              <w:rPr>
                <w:rFonts w:hint="eastAsia" w:ascii="仿宋" w:hAnsi="仿宋" w:eastAsia="仿宋" w:cs="仿宋"/>
                <w:color w:val="auto"/>
                <w:sz w:val="22"/>
                <w:szCs w:val="22"/>
                <w:highlight w:val="none"/>
                <w:lang w:val="en-US" w:eastAsia="zh-CN"/>
              </w:rPr>
              <w:t>29</w:t>
            </w:r>
            <w:r>
              <w:rPr>
                <w:rFonts w:hint="eastAsia" w:ascii="仿宋" w:hAnsi="仿宋" w:eastAsia="仿宋" w:cs="仿宋"/>
                <w:color w:val="auto"/>
                <w:sz w:val="22"/>
                <w:szCs w:val="22"/>
                <w:highlight w:val="none"/>
              </w:rPr>
              <w:t>日 9:00整（以开标室时钟为准），逾期作自动放弃；</w:t>
            </w:r>
          </w:p>
          <w:p>
            <w:pPr>
              <w:pStyle w:val="11"/>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地点：湖州市民服务中心2号楼二楼开标室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11</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textAlignment w:val="bottom"/>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12</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中标公告：自中标人确定之日起2个工作日内公告中标结果，公告于：</w:t>
            </w:r>
          </w:p>
          <w:p>
            <w:pPr>
              <w:snapToGrid w:val="0"/>
              <w:spacing w:line="24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浙江省政府采购网 （http://zfcg.czt.zj.gov.cn/）；</w:t>
            </w:r>
          </w:p>
          <w:p>
            <w:pPr>
              <w:snapToGrid w:val="0"/>
              <w:spacing w:line="50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湖州市公共资源交易信息网（http://ggzy.huzhou.gov.cn/HZfront/）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13</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中标通知书：在公告中标结果的同时，招标采购单位向中标人发出中标通知书。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14</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15</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履约保证金的收取:</w:t>
            </w:r>
            <w:r>
              <w:rPr>
                <w:rFonts w:hint="eastAsia" w:ascii="仿宋" w:hAnsi="仿宋" w:eastAsia="仿宋" w:cs="仿宋"/>
                <w:color w:val="auto"/>
                <w:szCs w:val="24"/>
                <w:highlight w:val="none"/>
              </w:rPr>
              <w:t>合同总金额的5%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16</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采购资金来源：财政预算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17</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付款方式：详见合同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18</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投标文件有效期：</w:t>
            </w:r>
            <w:r>
              <w:rPr>
                <w:rFonts w:hint="eastAsia" w:ascii="仿宋" w:hAnsi="仿宋" w:eastAsia="仿宋" w:cs="仿宋"/>
                <w:color w:val="auto"/>
                <w:sz w:val="22"/>
                <w:szCs w:val="22"/>
                <w:highlight w:val="none"/>
                <w:u w:val="single"/>
              </w:rPr>
              <w:t>60</w:t>
            </w:r>
            <w:r>
              <w:rPr>
                <w:rFonts w:hint="eastAsia" w:ascii="仿宋" w:hAnsi="仿宋" w:eastAsia="仿宋" w:cs="仿宋"/>
                <w:color w:val="auto"/>
                <w:sz w:val="22"/>
                <w:szCs w:val="22"/>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19</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政府采购扶持政策：对符合财政扶持政策的小微企业（或监狱企业、残疾人福利性单位）产品的价格给予6%的扣除，用扣除后的价格参与评审。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20</w:t>
            </w:r>
          </w:p>
        </w:tc>
        <w:tc>
          <w:tcPr>
            <w:tcW w:w="838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解释：本招标文件的解释权属于招标采购单位。</w:t>
            </w:r>
          </w:p>
        </w:tc>
      </w:tr>
    </w:tbl>
    <w:p>
      <w:pPr>
        <w:pStyle w:val="24"/>
        <w:ind w:right="761" w:rightChars="317" w:firstLine="3534" w:firstLineChars="1100"/>
        <w:jc w:val="both"/>
        <w:outlineLvl w:val="9"/>
        <w:rPr>
          <w:rFonts w:ascii="仿宋" w:hAnsi="仿宋" w:eastAsia="仿宋" w:cs="仿宋"/>
          <w:color w:val="auto"/>
          <w:szCs w:val="32"/>
          <w:highlight w:val="none"/>
        </w:rPr>
      </w:pPr>
    </w:p>
    <w:p>
      <w:pPr>
        <w:spacing w:line="560" w:lineRule="exact"/>
        <w:jc w:val="center"/>
        <w:outlineLvl w:val="1"/>
        <w:rPr>
          <w:rFonts w:ascii="仿宋" w:hAnsi="仿宋" w:eastAsia="仿宋" w:cs="仿宋"/>
          <w:b/>
          <w:color w:val="auto"/>
          <w:szCs w:val="28"/>
          <w:highlight w:val="none"/>
        </w:rPr>
      </w:pPr>
      <w:bookmarkStart w:id="22" w:name="_Toc508900989"/>
      <w:r>
        <w:rPr>
          <w:rFonts w:hint="eastAsia" w:ascii="仿宋" w:hAnsi="仿宋" w:eastAsia="仿宋" w:cs="仿宋"/>
          <w:b/>
          <w:color w:val="auto"/>
          <w:szCs w:val="28"/>
          <w:highlight w:val="none"/>
        </w:rPr>
        <w:t>一、总  则</w:t>
      </w:r>
      <w:bookmarkEnd w:id="22"/>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（一）适用范围</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本招标文件适用于</w:t>
      </w:r>
      <w:r>
        <w:rPr>
          <w:rFonts w:hint="eastAsia" w:ascii="仿宋" w:hAnsi="仿宋" w:eastAsia="仿宋" w:cs="仿宋"/>
          <w:bCs/>
          <w:color w:val="auto"/>
          <w:szCs w:val="21"/>
          <w:highlight w:val="none"/>
          <w:u w:val="single"/>
          <w:lang w:val="zh-CN"/>
        </w:rPr>
        <w:t>湖州市中心医院新医院安全保卫服务项目</w:t>
      </w:r>
      <w:r>
        <w:rPr>
          <w:rFonts w:hint="eastAsia" w:ascii="仿宋" w:hAnsi="仿宋" w:eastAsia="仿宋" w:cs="仿宋"/>
          <w:color w:val="auto"/>
          <w:sz w:val="22"/>
          <w:highlight w:val="none"/>
        </w:rPr>
        <w:t>的招标、投标、评标、定标、验收、合同履约、付款等行为（法律、法规另有规定的，从其规定）。</w:t>
      </w:r>
    </w:p>
    <w:p>
      <w:pPr>
        <w:snapToGrid w:val="0"/>
        <w:spacing w:beforeLines="50" w:line="560" w:lineRule="exact"/>
        <w:ind w:firstLine="433" w:firstLineChars="197"/>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（二）定义</w:t>
      </w:r>
    </w:p>
    <w:p>
      <w:pPr>
        <w:pStyle w:val="13"/>
        <w:spacing w:line="560" w:lineRule="exact"/>
        <w:ind w:left="512" w:leftChars="156" w:hanging="138" w:hangingChars="63"/>
        <w:jc w:val="left"/>
        <w:rPr>
          <w:rFonts w:ascii="仿宋" w:hAnsi="仿宋" w:eastAsia="仿宋" w:cs="仿宋"/>
          <w:color w:val="auto"/>
          <w:sz w:val="22"/>
          <w:highlight w:val="none"/>
        </w:rPr>
      </w:pPr>
      <w:r>
        <w:rPr>
          <w:rFonts w:hint="eastAsia" w:ascii="仿宋" w:hAnsi="仿宋" w:eastAsia="仿宋" w:cs="仿宋"/>
          <w:color w:val="auto"/>
          <w:sz w:val="22"/>
          <w:highlight w:val="none"/>
        </w:rPr>
        <w:t>1. 招标采购单位系指组织本次招标的</w:t>
      </w:r>
      <w:r>
        <w:rPr>
          <w:rFonts w:hint="eastAsia" w:ascii="仿宋" w:hAnsi="仿宋" w:eastAsia="仿宋" w:cs="仿宋"/>
          <w:b/>
          <w:color w:val="auto"/>
          <w:sz w:val="22"/>
          <w:highlight w:val="none"/>
          <w:lang w:val="zh-CN"/>
        </w:rPr>
        <w:t xml:space="preserve">湖州市中心医院 </w:t>
      </w:r>
      <w:r>
        <w:rPr>
          <w:rFonts w:hint="eastAsia" w:ascii="仿宋" w:hAnsi="仿宋" w:eastAsia="仿宋" w:cs="仿宋"/>
          <w:color w:val="auto"/>
          <w:sz w:val="22"/>
          <w:highlight w:val="none"/>
        </w:rPr>
        <w:t>（“采购单位”）和</w:t>
      </w:r>
      <w:r>
        <w:rPr>
          <w:rFonts w:hint="eastAsia" w:ascii="仿宋" w:hAnsi="仿宋" w:eastAsia="仿宋" w:cs="仿宋"/>
          <w:b/>
          <w:color w:val="auto"/>
          <w:sz w:val="22"/>
          <w:highlight w:val="none"/>
        </w:rPr>
        <w:t xml:space="preserve"> 湖州江南工程管理有限公司</w:t>
      </w:r>
      <w:r>
        <w:rPr>
          <w:rFonts w:hint="eastAsia" w:ascii="仿宋" w:hAnsi="仿宋" w:eastAsia="仿宋" w:cs="仿宋"/>
          <w:color w:val="auto"/>
          <w:sz w:val="22"/>
          <w:highlight w:val="none"/>
        </w:rPr>
        <w:t>（“采购代理机构”）。</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2.“投标人” 系指向招标方提交投标文件的制造商或供应商。</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3.“产品”系指供方按招标文件规定，须向采购人提供的一切设备、保险、税金、备品备件、工具、手册及其它有关技术资料和材料。</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4.“服务”系指招标文件规定投标人须承担的相关的安装、调试、技术协助、校准、培训、技术指导以及其他类似的义务。</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5.“项目”系指投标人按招标文件规定向采购人提供的产品和服务。</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6.“书面形式”包括信函、传真、电报等。</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7.“</w:t>
      </w:r>
      <w:r>
        <w:rPr>
          <w:rFonts w:hint="eastAsia" w:ascii="仿宋" w:hAnsi="仿宋" w:eastAsia="仿宋" w:cs="仿宋"/>
          <w:color w:val="auto"/>
          <w:sz w:val="24"/>
          <w:highlight w:val="none"/>
        </w:rPr>
        <w:t>▲</w:t>
      </w:r>
      <w:r>
        <w:rPr>
          <w:rFonts w:hint="eastAsia" w:ascii="仿宋" w:hAnsi="仿宋" w:eastAsia="仿宋" w:cs="仿宋"/>
          <w:color w:val="auto"/>
          <w:sz w:val="22"/>
          <w:highlight w:val="none"/>
        </w:rPr>
        <w:t>”系指实质性要求条款。</w:t>
      </w:r>
    </w:p>
    <w:p>
      <w:pPr>
        <w:snapToGrid w:val="0"/>
        <w:spacing w:beforeLines="50" w:line="560" w:lineRule="exact"/>
        <w:ind w:firstLine="431" w:firstLineChars="196"/>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（三）招标方式</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本次招标采用公开招标方式进行。</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（四）投标费用</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投标人应自行承担投标过程中的所有相关费用，不论中标与否，招标采购单位在任何情况下不承担有关费用。本项目采购代理服务费按27960元计取，由中标人在领取中标通知书前向采购代理机构一次性支付完成。请各投标人报价时综合考虑在报价中。</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（五）联合体投标</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本项目不接受联合体投标。</w:t>
      </w:r>
    </w:p>
    <w:p>
      <w:pPr>
        <w:snapToGrid w:val="0"/>
        <w:spacing w:beforeLines="50"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（六）转包与分包</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本项目不允许转包，也不可以分包。</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（七）特别说明</w:t>
      </w:r>
    </w:p>
    <w:p>
      <w:pPr>
        <w:pStyle w:val="13"/>
        <w:spacing w:line="560" w:lineRule="exact"/>
        <w:ind w:firstLine="220" w:firstLineChars="100"/>
        <w:rPr>
          <w:rFonts w:ascii="仿宋" w:hAnsi="仿宋" w:eastAsia="仿宋" w:cs="仿宋"/>
          <w:color w:val="auto"/>
          <w:sz w:val="22"/>
          <w:highlight w:val="none"/>
        </w:rPr>
      </w:pPr>
      <w:r>
        <w:rPr>
          <w:rFonts w:hint="eastAsia" w:ascii="仿宋" w:hAnsi="仿宋" w:eastAsia="仿宋" w:cs="仿宋"/>
          <w:color w:val="auto"/>
          <w:sz w:val="22"/>
          <w:highlight w:val="none"/>
        </w:rPr>
        <w:t>1.投标人投标所使用的资格、信誉、荣誉、业绩与企业认证必须为本法人所拥有。投标人投标所使用的采购项目实施人员必须为本法人员工（或必须为本法人或控股公司正式员工）。</w:t>
      </w:r>
    </w:p>
    <w:p>
      <w:pPr>
        <w:pStyle w:val="13"/>
        <w:spacing w:line="560" w:lineRule="exact"/>
        <w:ind w:firstLine="220" w:firstLineChars="100"/>
        <w:rPr>
          <w:rFonts w:ascii="仿宋" w:hAnsi="仿宋" w:eastAsia="仿宋" w:cs="仿宋"/>
          <w:color w:val="auto"/>
          <w:sz w:val="22"/>
          <w:highlight w:val="none"/>
        </w:rPr>
      </w:pPr>
      <w:r>
        <w:rPr>
          <w:rFonts w:hint="eastAsia" w:ascii="仿宋" w:hAnsi="仿宋" w:eastAsia="仿宋" w:cs="仿宋"/>
          <w:color w:val="auto"/>
          <w:sz w:val="22"/>
          <w:highlight w:val="none"/>
        </w:rPr>
        <w:t>2.投标人应仔细阅读招标文件的所有内容，按照招标文件的要求提交投标文件，并对所提供的全部资料的真实性承担法律责任。</w:t>
      </w:r>
    </w:p>
    <w:p>
      <w:pPr>
        <w:pStyle w:val="13"/>
        <w:spacing w:line="560" w:lineRule="exact"/>
        <w:ind w:firstLine="220" w:firstLineChars="100"/>
        <w:rPr>
          <w:rFonts w:ascii="仿宋" w:hAnsi="仿宋" w:eastAsia="仿宋" w:cs="仿宋"/>
          <w:color w:val="auto"/>
          <w:sz w:val="22"/>
          <w:highlight w:val="none"/>
        </w:rPr>
      </w:pPr>
      <w:r>
        <w:rPr>
          <w:rFonts w:hint="eastAsia" w:ascii="仿宋" w:hAnsi="仿宋" w:eastAsia="仿宋" w:cs="仿宋"/>
          <w:color w:val="auto"/>
          <w:sz w:val="22"/>
          <w:highlight w:val="none"/>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（八）质疑和投诉</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供应商在法定质疑期内一次性提出针对同一采购程序环节的质疑。</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2.供应商提出质疑应当提交质疑函和必要的证明材料。质疑函应当包括下列内容：</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1）供应商的姓名或者名称、地址、邮编、联系人及联系电话；</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2）质疑项目的名称、编号；</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3）具体、明确的质疑事项和与质疑事项相关的请求；</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4）事实依据；</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5）必要的法律依据；</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6）提出质疑的日期。</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3.投诉人提起投诉应当符合下列条件：</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1）提起投诉前已依法进行质疑；</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2）投诉书内容符合本办法的规定；</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3）在投诉有效期限内提起投诉；</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4）同一投诉事项未经财政部门投诉处理；</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5）财政部规定的其他条件。</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4.投诉人投诉时,应当提交投诉书和必要的证明材料，并按照被投诉采购人、采购代理机构和与投诉事项有关的供应商数量提供投诉书的副本。投诉书应当包括下列内容：</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1）投诉人和被投诉人的姓名或者名称、通讯地址、邮编、联系人及联系电话；</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2）质疑和质疑答复情况说明及相关证明材料；</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3）具体、明确的投诉事项和与投诉事项相关的投诉请求；</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4）事实依据；</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5）法律依据；</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6）提起投诉的日期。</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质疑供应商对采购人、采购代理机构的答复不满意，或者采购人、采购代理机构未在规定时间内作出答复的，可以在答复期满后15个工作日内向本办法第六条规定的财政部门提起投诉。</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疫情防控期间，政府采购供应商可以通过登录“浙江政务服务网”（</w:t>
      </w:r>
      <w:r>
        <w:rPr>
          <w:color w:val="auto"/>
          <w:highlight w:val="none"/>
        </w:rPr>
        <w:fldChar w:fldCharType="begin"/>
      </w:r>
      <w:r>
        <w:rPr>
          <w:color w:val="auto"/>
          <w:highlight w:val="none"/>
        </w:rPr>
        <w:instrText xml:space="preserve"> HYPERLINK "http://www.zjzwfw.gov.cn/" </w:instrText>
      </w:r>
      <w:r>
        <w:rPr>
          <w:color w:val="auto"/>
          <w:highlight w:val="none"/>
        </w:rPr>
        <w:fldChar w:fldCharType="separate"/>
      </w:r>
      <w:r>
        <w:rPr>
          <w:rStyle w:val="38"/>
          <w:rFonts w:hint="eastAsia" w:ascii="仿宋" w:hAnsi="仿宋" w:eastAsia="仿宋" w:cs="仿宋"/>
          <w:color w:val="auto"/>
          <w:sz w:val="22"/>
          <w:highlight w:val="none"/>
        </w:rPr>
        <w:t>http://www.zjzwfw.gov.cn/</w:t>
      </w:r>
      <w:r>
        <w:rPr>
          <w:rStyle w:val="38"/>
          <w:rFonts w:hint="eastAsia" w:ascii="仿宋" w:hAnsi="仿宋" w:eastAsia="仿宋" w:cs="仿宋"/>
          <w:color w:val="auto"/>
          <w:sz w:val="22"/>
          <w:highlight w:val="none"/>
        </w:rPr>
        <w:fldChar w:fldCharType="end"/>
      </w:r>
      <w:r>
        <w:rPr>
          <w:rFonts w:hint="eastAsia" w:ascii="仿宋" w:hAnsi="仿宋" w:eastAsia="仿宋" w:cs="仿宋"/>
          <w:color w:val="auto"/>
          <w:sz w:val="22"/>
          <w:highlight w:val="none"/>
        </w:rPr>
        <w:t>），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r>
        <w:rPr>
          <w:rFonts w:hint="eastAsia" w:ascii="仿宋" w:hAnsi="仿宋" w:eastAsia="仿宋" w:cs="仿宋"/>
          <w:color w:val="auto"/>
          <w:sz w:val="22"/>
          <w:highlight w:val="none"/>
        </w:rPr>
        <w:br w:type="textWrapping"/>
      </w:r>
      <w:r>
        <w:rPr>
          <w:rFonts w:hint="eastAsia" w:ascii="仿宋" w:hAnsi="仿宋" w:eastAsia="仿宋" w:cs="仿宋"/>
          <w:color w:val="auto"/>
          <w:sz w:val="22"/>
          <w:highlight w:val="none"/>
        </w:rPr>
        <w:t>  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5、质疑函模板参照浙江政府采购网下载专区下载。(格式附后）</w:t>
      </w:r>
    </w:p>
    <w:p>
      <w:pPr>
        <w:snapToGrid w:val="0"/>
        <w:spacing w:line="560" w:lineRule="exact"/>
        <w:ind w:firstLine="472" w:firstLineChars="196"/>
        <w:jc w:val="center"/>
        <w:outlineLvl w:val="1"/>
        <w:rPr>
          <w:rFonts w:ascii="仿宋" w:hAnsi="仿宋" w:eastAsia="仿宋" w:cs="仿宋"/>
          <w:b/>
          <w:color w:val="auto"/>
          <w:szCs w:val="28"/>
          <w:highlight w:val="none"/>
        </w:rPr>
      </w:pPr>
      <w:bookmarkStart w:id="23" w:name="_Toc508900990"/>
    </w:p>
    <w:p>
      <w:pPr>
        <w:snapToGrid w:val="0"/>
        <w:spacing w:line="560" w:lineRule="exact"/>
        <w:ind w:firstLine="472" w:firstLineChars="196"/>
        <w:jc w:val="center"/>
        <w:outlineLvl w:val="1"/>
        <w:rPr>
          <w:rFonts w:ascii="仿宋" w:hAnsi="仿宋" w:eastAsia="仿宋" w:cs="仿宋"/>
          <w:b/>
          <w:color w:val="auto"/>
          <w:szCs w:val="28"/>
          <w:highlight w:val="none"/>
        </w:rPr>
      </w:pPr>
      <w:r>
        <w:rPr>
          <w:rFonts w:hint="eastAsia" w:ascii="仿宋" w:hAnsi="仿宋" w:eastAsia="仿宋" w:cs="仿宋"/>
          <w:b/>
          <w:color w:val="auto"/>
          <w:szCs w:val="28"/>
          <w:highlight w:val="none"/>
        </w:rPr>
        <w:t>二、招标文件</w:t>
      </w:r>
      <w:bookmarkEnd w:id="23"/>
    </w:p>
    <w:p>
      <w:pPr>
        <w:snapToGrid w:val="0"/>
        <w:spacing w:line="560" w:lineRule="exact"/>
        <w:ind w:firstLine="433" w:firstLineChars="196"/>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（一）招标文件的构成</w:t>
      </w:r>
    </w:p>
    <w:p>
      <w:pPr>
        <w:snapToGrid w:val="0"/>
        <w:spacing w:line="560" w:lineRule="exact"/>
        <w:ind w:firstLine="433" w:firstLineChars="196"/>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本招标文件由以下部分组成：</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1.招标公告</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2.招标需求</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3.投标人须知</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4.评标办法及标准</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5.合同主要条款</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6.投标文件格式及附件</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7.政府采购政策相关说明</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8.本项目招标文件的澄清、答复、修改、补充的内容</w:t>
      </w:r>
    </w:p>
    <w:p>
      <w:pPr>
        <w:snapToGrid w:val="0"/>
        <w:spacing w:beforeLines="50" w:line="560" w:lineRule="exact"/>
        <w:ind w:firstLine="433" w:firstLineChars="196"/>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（二）投标人的风险</w:t>
      </w:r>
    </w:p>
    <w:p>
      <w:pPr>
        <w:pStyle w:val="20"/>
        <w:spacing w:line="560" w:lineRule="exact"/>
        <w:ind w:left="187" w:leftChars="78" w:firstLine="422" w:firstLineChars="192"/>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投标人没有按照招标文件要求提供全部资料，或者投标人没有对招标文件在各方面作出实质性响应是投标人的风险，并可能导致其投标被拒绝。</w:t>
      </w:r>
    </w:p>
    <w:p>
      <w:pPr>
        <w:pStyle w:val="7"/>
        <w:tabs>
          <w:tab w:val="left" w:pos="454"/>
          <w:tab w:val="left" w:pos="720"/>
        </w:tabs>
        <w:snapToGrid w:val="0"/>
        <w:spacing w:beforeLines="50" w:line="560" w:lineRule="exact"/>
        <w:ind w:left="0" w:firstLine="433" w:firstLineChars="196"/>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 xml:space="preserve">（三）招标文件的澄清与修改 </w:t>
      </w:r>
    </w:p>
    <w:p>
      <w:pPr>
        <w:snapToGrid w:val="0"/>
        <w:spacing w:line="560" w:lineRule="exact"/>
        <w:ind w:firstLine="220" w:firstLineChars="1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在投标截止时间前，招标采购单位对已发出的招标文件进行必要澄清或者修改时，将依法在财政部门指定的政府采购信息发布媒体上发布更正公告，同时政采云系统会向所有已按招标文件规定方式获取招标文件的潜在供应商发送更正提醒信息，潜在供应商请自行到浙江省政府采网上下载澄清（更正）文件。该澄清或者修改的内容为招标文件的组成部分，对所有投标人有约束力。投标人在收到招标文件的澄清修改函后，应以书面形式予以确认。</w:t>
      </w:r>
    </w:p>
    <w:p>
      <w:pPr>
        <w:snapToGrid w:val="0"/>
        <w:spacing w:line="560" w:lineRule="exact"/>
        <w:ind w:firstLine="220" w:firstLineChars="1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（2）招标采购单位可以视采购具体情况，延长投标截止时间和开标时间，并将变更时间书面通知所有招标文件收受人，并在财政部门指定的政府采购信息发布媒体上发布变更公告。</w:t>
      </w:r>
    </w:p>
    <w:p>
      <w:pPr>
        <w:pStyle w:val="13"/>
        <w:spacing w:line="560" w:lineRule="exact"/>
        <w:ind w:firstLine="551" w:firstLineChars="196"/>
        <w:jc w:val="center"/>
        <w:outlineLvl w:val="1"/>
        <w:rPr>
          <w:rFonts w:ascii="仿宋" w:hAnsi="仿宋" w:eastAsia="仿宋" w:cs="仿宋"/>
          <w:b/>
          <w:color w:val="auto"/>
          <w:sz w:val="28"/>
          <w:szCs w:val="28"/>
          <w:highlight w:val="none"/>
        </w:rPr>
      </w:pPr>
      <w:bookmarkStart w:id="24" w:name="_Toc508900991"/>
      <w:bookmarkStart w:id="25" w:name="_Toc461980468"/>
      <w:r>
        <w:rPr>
          <w:rFonts w:hint="eastAsia" w:ascii="仿宋" w:hAnsi="仿宋" w:eastAsia="仿宋" w:cs="仿宋"/>
          <w:b/>
          <w:color w:val="auto"/>
          <w:sz w:val="28"/>
          <w:szCs w:val="28"/>
          <w:highlight w:val="none"/>
        </w:rPr>
        <w:t>三、投标文件的编制</w:t>
      </w:r>
      <w:bookmarkEnd w:id="24"/>
      <w:bookmarkEnd w:id="25"/>
    </w:p>
    <w:p>
      <w:pPr>
        <w:spacing w:line="560" w:lineRule="exact"/>
        <w:ind w:firstLine="331" w:firstLineChars="15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（一）投标文件的组成</w:t>
      </w:r>
    </w:p>
    <w:p>
      <w:pPr>
        <w:spacing w:line="560" w:lineRule="exact"/>
        <w:ind w:firstLine="323" w:firstLineChars="147"/>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投标文件由《资格文件》、《技术、商务资信文件》、《报价文件》组成。如投标人不按上述规定制作投标文件的，可能导致被拒绝。</w:t>
      </w:r>
    </w:p>
    <w:p>
      <w:pPr>
        <w:pStyle w:val="20"/>
        <w:spacing w:line="560" w:lineRule="exact"/>
        <w:ind w:left="86" w:leftChars="36" w:firstLine="327" w:firstLineChars="148"/>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投标人应保证所提供文件资料的真实性，所有文件资料必须是针对本次招标的。如发现投标人提供了虚假文件资料，其投标将被拒绝，并自行承担相应的法律责任。</w:t>
      </w:r>
    </w:p>
    <w:p>
      <w:pPr>
        <w:pStyle w:val="20"/>
        <w:numPr>
          <w:ilvl w:val="0"/>
          <w:numId w:val="6"/>
        </w:numPr>
        <w:spacing w:line="560" w:lineRule="exact"/>
        <w:ind w:left="48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资格文件：</w:t>
      </w:r>
    </w:p>
    <w:p>
      <w:pPr>
        <w:pStyle w:val="20"/>
        <w:spacing w:line="600" w:lineRule="exact"/>
        <w:ind w:leftChars="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1）企业营业执照（原件扫描件）；</w:t>
      </w:r>
    </w:p>
    <w:p>
      <w:pPr>
        <w:spacing w:line="500" w:lineRule="exact"/>
        <w:ind w:firstLine="440" w:firstLineChars="20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2）</w:t>
      </w:r>
      <w:r>
        <w:rPr>
          <w:rFonts w:hint="eastAsia" w:ascii="仿宋" w:hAnsi="仿宋" w:eastAsia="仿宋" w:cs="仿宋"/>
          <w:bCs/>
          <w:color w:val="auto"/>
          <w:szCs w:val="22"/>
          <w:highlight w:val="none"/>
        </w:rPr>
        <w:t>保安服务许可证</w:t>
      </w:r>
      <w:r>
        <w:rPr>
          <w:rFonts w:hint="eastAsia" w:ascii="仿宋" w:hAnsi="仿宋" w:eastAsia="仿宋" w:cs="仿宋"/>
          <w:bCs/>
          <w:color w:val="auto"/>
          <w:sz w:val="22"/>
          <w:szCs w:val="22"/>
          <w:highlight w:val="none"/>
        </w:rPr>
        <w:t>（原件扫描件）；</w:t>
      </w:r>
    </w:p>
    <w:p>
      <w:pPr>
        <w:spacing w:after="120" w:line="600" w:lineRule="exact"/>
        <w:ind w:firstLine="44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 xml:space="preserve">3）法定代表人有效身份证明书、法定代表人授权书（格式见第六章）；                             </w:t>
      </w:r>
    </w:p>
    <w:p>
      <w:pPr>
        <w:spacing w:after="120" w:line="600" w:lineRule="exact"/>
        <w:ind w:left="474" w:leftChars="182" w:hanging="37" w:hangingChars="17"/>
        <w:rPr>
          <w:rFonts w:ascii="仿宋" w:hAnsi="仿宋" w:eastAsia="仿宋" w:cs="仿宋"/>
          <w:bCs/>
          <w:color w:val="auto"/>
          <w:sz w:val="22"/>
          <w:szCs w:val="22"/>
          <w:highlight w:val="none"/>
          <w:lang w:val="zh-CN"/>
        </w:rPr>
      </w:pPr>
      <w:r>
        <w:rPr>
          <w:rFonts w:hint="eastAsia" w:ascii="仿宋" w:hAnsi="仿宋" w:eastAsia="仿宋" w:cs="仿宋"/>
          <w:bCs/>
          <w:color w:val="auto"/>
          <w:sz w:val="22"/>
          <w:szCs w:val="22"/>
          <w:highlight w:val="none"/>
        </w:rPr>
        <w:t>4）经当地税务、社保部门出具的投标单位最近一个季度企业纳税情况和社保基金缴纳情况证明文书（</w:t>
      </w:r>
      <w:r>
        <w:rPr>
          <w:rFonts w:hint="eastAsia" w:ascii="仿宋" w:hAnsi="仿宋" w:eastAsia="仿宋" w:cs="仿宋"/>
          <w:bCs/>
          <w:color w:val="auto"/>
          <w:sz w:val="22"/>
          <w:szCs w:val="22"/>
          <w:highlight w:val="none"/>
          <w:lang w:val="zh-CN"/>
        </w:rPr>
        <w:t>税费凭证或者依法缴纳税费或依法免缴税费的证明</w:t>
      </w:r>
      <w:r>
        <w:rPr>
          <w:rFonts w:hint="eastAsia" w:ascii="仿宋" w:hAnsi="仿宋" w:eastAsia="仿宋" w:cs="仿宋"/>
          <w:bCs/>
          <w:color w:val="auto"/>
          <w:sz w:val="22"/>
          <w:szCs w:val="22"/>
          <w:highlight w:val="none"/>
        </w:rPr>
        <w:t>）</w:t>
      </w:r>
      <w:r>
        <w:rPr>
          <w:rFonts w:hint="eastAsia" w:ascii="仿宋" w:hAnsi="仿宋" w:eastAsia="仿宋" w:cs="仿宋"/>
          <w:bCs/>
          <w:color w:val="auto"/>
          <w:sz w:val="22"/>
          <w:szCs w:val="22"/>
          <w:highlight w:val="none"/>
          <w:lang w:val="zh-CN"/>
        </w:rPr>
        <w:t>（原件扫描件）；</w:t>
      </w:r>
    </w:p>
    <w:p>
      <w:pPr>
        <w:spacing w:after="120" w:line="600" w:lineRule="exact"/>
        <w:ind w:firstLine="44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5）上年度企业的财务报告（经审计的财务报告包括资产负债表、利润表、现金流量表</w:t>
      </w:r>
      <w:r>
        <w:rPr>
          <w:rFonts w:ascii="仿宋" w:hAnsi="仿宋" w:eastAsia="仿宋" w:cs="仿宋"/>
          <w:bCs/>
          <w:color w:val="auto"/>
          <w:sz w:val="22"/>
          <w:szCs w:val="22"/>
          <w:highlight w:val="none"/>
        </w:rPr>
        <w:t>(</w:t>
      </w:r>
      <w:r>
        <w:rPr>
          <w:rFonts w:hint="eastAsia" w:ascii="仿宋" w:hAnsi="仿宋" w:eastAsia="仿宋" w:cs="仿宋"/>
          <w:bCs/>
          <w:color w:val="auto"/>
          <w:sz w:val="22"/>
          <w:szCs w:val="22"/>
          <w:highlight w:val="none"/>
        </w:rPr>
        <w:t>执行《小企业会计准则》的提供资产负债表和利润表两张基本报表），未经审计的，提供资产负债表、利润表或损益表，新成立不足1年的公司提供情况说明，以原件扫描件的形式提供）；</w:t>
      </w:r>
    </w:p>
    <w:p>
      <w:pPr>
        <w:spacing w:after="120" w:line="600" w:lineRule="exact"/>
        <w:ind w:firstLine="44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6）自招标公告发布之后任意时间的“信用中国”（www.creditchina.gov.cn）、“中国政府采购网”（www.ccgp.gov.cn）投标人信用查询网页截图；</w:t>
      </w:r>
    </w:p>
    <w:p>
      <w:pPr>
        <w:spacing w:after="120" w:line="600" w:lineRule="exact"/>
        <w:ind w:firstLine="44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7）信用承诺书（格式见第六章）。</w:t>
      </w:r>
    </w:p>
    <w:p>
      <w:pPr>
        <w:snapToGrid w:val="0"/>
        <w:spacing w:line="600" w:lineRule="exact"/>
        <w:ind w:firstLine="440" w:firstLineChars="200"/>
        <w:rPr>
          <w:rFonts w:ascii="仿宋" w:hAnsi="仿宋" w:eastAsia="仿宋" w:cs="仿宋"/>
          <w:bCs/>
          <w:color w:val="auto"/>
          <w:sz w:val="22"/>
          <w:szCs w:val="22"/>
          <w:highlight w:val="none"/>
        </w:rPr>
      </w:pPr>
      <w:r>
        <w:rPr>
          <w:rFonts w:hint="eastAsia" w:ascii="仿宋" w:hAnsi="仿宋" w:eastAsia="仿宋" w:cs="仿宋"/>
          <w:bCs/>
          <w:color w:val="auto"/>
          <w:kern w:val="2"/>
          <w:sz w:val="22"/>
          <w:szCs w:val="22"/>
          <w:highlight w:val="none"/>
          <w:lang w:val="zh-CN"/>
        </w:rPr>
        <w:t>注：</w:t>
      </w:r>
      <w:r>
        <w:rPr>
          <w:rFonts w:hint="eastAsia" w:ascii="仿宋" w:hAnsi="仿宋" w:eastAsia="仿宋" w:cs="仿宋"/>
          <w:bCs/>
          <w:color w:val="auto"/>
          <w:sz w:val="22"/>
          <w:szCs w:val="22"/>
          <w:highlight w:val="none"/>
        </w:rPr>
        <w:t>上述资格文件有一项不提供的，视为资格审查不通过。</w:t>
      </w:r>
    </w:p>
    <w:p>
      <w:pPr>
        <w:snapToGrid w:val="0"/>
        <w:spacing w:line="560" w:lineRule="exact"/>
        <w:ind w:firstLine="433" w:firstLineChars="196"/>
        <w:jc w:val="left"/>
        <w:rPr>
          <w:rFonts w:ascii="仿宋" w:hAnsi="仿宋" w:eastAsia="仿宋" w:cs="仿宋"/>
          <w:b/>
          <w:color w:val="auto"/>
          <w:sz w:val="22"/>
          <w:szCs w:val="22"/>
          <w:highlight w:val="none"/>
        </w:rPr>
      </w:pPr>
      <w:r>
        <w:rPr>
          <w:rFonts w:hint="eastAsia" w:ascii="仿宋" w:hAnsi="仿宋" w:eastAsia="仿宋" w:cs="仿宋"/>
          <w:b/>
          <w:bCs/>
          <w:color w:val="auto"/>
          <w:sz w:val="22"/>
          <w:szCs w:val="22"/>
          <w:highlight w:val="none"/>
        </w:rPr>
        <w:t>2、</w:t>
      </w:r>
      <w:r>
        <w:rPr>
          <w:rFonts w:hint="eastAsia" w:ascii="仿宋" w:hAnsi="仿宋" w:eastAsia="仿宋" w:cs="仿宋"/>
          <w:b/>
          <w:color w:val="auto"/>
          <w:sz w:val="22"/>
          <w:szCs w:val="22"/>
          <w:highlight w:val="none"/>
        </w:rPr>
        <w:t>技术、商务资信文件：</w:t>
      </w:r>
    </w:p>
    <w:p>
      <w:pPr>
        <w:snapToGrid w:val="0"/>
        <w:spacing w:line="560" w:lineRule="exact"/>
        <w:ind w:firstLine="431" w:firstLineChars="196"/>
        <w:jc w:val="left"/>
        <w:rPr>
          <w:rFonts w:ascii="仿宋" w:hAnsi="仿宋" w:eastAsia="仿宋" w:cs="仿宋"/>
          <w:bCs/>
          <w:color w:val="auto"/>
          <w:sz w:val="22"/>
          <w:szCs w:val="22"/>
          <w:highlight w:val="none"/>
          <w:lang w:val="zh-CN"/>
        </w:rPr>
      </w:pPr>
      <w:r>
        <w:rPr>
          <w:rFonts w:hint="eastAsia" w:ascii="仿宋" w:hAnsi="仿宋" w:eastAsia="仿宋" w:cs="仿宋"/>
          <w:bCs/>
          <w:color w:val="auto"/>
          <w:sz w:val="22"/>
          <w:szCs w:val="22"/>
          <w:highlight w:val="none"/>
        </w:rPr>
        <w:t>评分索引表（格式附后）</w:t>
      </w:r>
    </w:p>
    <w:p>
      <w:pPr>
        <w:snapToGrid w:val="0"/>
        <w:spacing w:line="560" w:lineRule="exact"/>
        <w:ind w:firstLine="431" w:firstLineChars="196"/>
        <w:jc w:val="left"/>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2.1、技术部分</w:t>
      </w:r>
    </w:p>
    <w:p>
      <w:pPr>
        <w:pStyle w:val="20"/>
        <w:spacing w:line="560" w:lineRule="exact"/>
        <w:ind w:left="48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1）项目服务方案：包括针对本项目的安保服务理念、安保服务具体措施、管理规章制度、突发应急预案、人员配置、设备装备投入方案、消防方案、培训方案等（按照第四章评分标准技术标内容自行编制，格式自拟）；</w:t>
      </w:r>
    </w:p>
    <w:p>
      <w:pPr>
        <w:spacing w:line="560" w:lineRule="exact"/>
        <w:ind w:firstLine="440" w:firstLineChars="20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2）投标项目实施人员情况一览表</w:t>
      </w:r>
      <w:r>
        <w:rPr>
          <w:rFonts w:hint="eastAsia" w:ascii="仿宋" w:hAnsi="仿宋" w:eastAsia="仿宋" w:cs="仿宋"/>
          <w:color w:val="auto"/>
          <w:sz w:val="22"/>
          <w:szCs w:val="22"/>
          <w:highlight w:val="none"/>
        </w:rPr>
        <w:t>（</w:t>
      </w:r>
      <w:r>
        <w:rPr>
          <w:rFonts w:hint="eastAsia" w:ascii="仿宋" w:hAnsi="仿宋" w:eastAsia="仿宋" w:cs="仿宋"/>
          <w:bCs/>
          <w:color w:val="auto"/>
          <w:sz w:val="22"/>
          <w:szCs w:val="22"/>
          <w:highlight w:val="none"/>
        </w:rPr>
        <w:t>格式见第六章</w:t>
      </w:r>
      <w:r>
        <w:rPr>
          <w:rFonts w:hint="eastAsia" w:ascii="仿宋" w:hAnsi="仿宋" w:eastAsia="仿宋" w:cs="仿宋"/>
          <w:color w:val="auto"/>
          <w:sz w:val="22"/>
          <w:szCs w:val="22"/>
          <w:highlight w:val="none"/>
        </w:rPr>
        <w:t>）；</w:t>
      </w:r>
    </w:p>
    <w:p>
      <w:pPr>
        <w:pStyle w:val="20"/>
        <w:spacing w:line="560" w:lineRule="exact"/>
        <w:ind w:left="48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3）投标人需要说明的其他文件和说明（格式自拟）。</w:t>
      </w:r>
    </w:p>
    <w:p>
      <w:pPr>
        <w:pStyle w:val="20"/>
        <w:spacing w:line="560" w:lineRule="exact"/>
        <w:ind w:left="48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2.2、商务、资信部分</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1）投标声明书(</w:t>
      </w:r>
      <w:r>
        <w:rPr>
          <w:rFonts w:hint="eastAsia" w:ascii="仿宋" w:hAnsi="仿宋" w:eastAsia="仿宋" w:cs="仿宋"/>
          <w:bCs/>
          <w:color w:val="auto"/>
          <w:sz w:val="22"/>
          <w:szCs w:val="22"/>
          <w:highlight w:val="none"/>
        </w:rPr>
        <w:t>格式见第六章</w:t>
      </w:r>
      <w:r>
        <w:rPr>
          <w:rFonts w:hint="eastAsia" w:ascii="仿宋" w:hAnsi="仿宋" w:eastAsia="仿宋" w:cs="仿宋"/>
          <w:color w:val="auto"/>
          <w:sz w:val="22"/>
          <w:szCs w:val="22"/>
          <w:highlight w:val="none"/>
        </w:rPr>
        <w:t xml:space="preserve">)； </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bCs/>
          <w:color w:val="auto"/>
          <w:sz w:val="22"/>
          <w:szCs w:val="22"/>
          <w:highlight w:val="none"/>
        </w:rPr>
        <w:t>2）商务响应表（格式见第六章)；</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3）投标人基本情况一览表（</w:t>
      </w:r>
      <w:r>
        <w:rPr>
          <w:rFonts w:hint="eastAsia" w:ascii="仿宋" w:hAnsi="仿宋" w:eastAsia="仿宋" w:cs="仿宋"/>
          <w:bCs/>
          <w:color w:val="auto"/>
          <w:sz w:val="22"/>
          <w:szCs w:val="22"/>
          <w:highlight w:val="none"/>
        </w:rPr>
        <w:t>格式见第六章</w:t>
      </w:r>
      <w:r>
        <w:rPr>
          <w:rFonts w:hint="eastAsia" w:ascii="仿宋" w:hAnsi="仿宋" w:eastAsia="仿宋" w:cs="仿宋"/>
          <w:color w:val="auto"/>
          <w:sz w:val="22"/>
          <w:szCs w:val="22"/>
          <w:highlight w:val="none"/>
        </w:rPr>
        <w:t>）；</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w:t>
      </w:r>
      <w:r>
        <w:rPr>
          <w:rFonts w:hint="eastAsia" w:ascii="仿宋" w:hAnsi="仿宋" w:eastAsia="仿宋" w:cs="仿宋"/>
          <w:color w:val="auto"/>
          <w:sz w:val="22"/>
          <w:szCs w:val="22"/>
          <w:highlight w:val="none"/>
          <w:lang w:val="zh-CN"/>
        </w:rPr>
        <w:t>项目业绩一览表</w:t>
      </w:r>
      <w:r>
        <w:rPr>
          <w:rFonts w:hint="eastAsia" w:ascii="仿宋" w:hAnsi="仿宋" w:eastAsia="仿宋" w:cs="仿宋"/>
          <w:color w:val="auto"/>
          <w:sz w:val="22"/>
          <w:szCs w:val="22"/>
          <w:highlight w:val="none"/>
        </w:rPr>
        <w:t>（</w:t>
      </w:r>
      <w:r>
        <w:rPr>
          <w:rFonts w:hint="eastAsia" w:ascii="仿宋" w:hAnsi="仿宋" w:eastAsia="仿宋" w:cs="仿宋"/>
          <w:bCs/>
          <w:color w:val="auto"/>
          <w:sz w:val="22"/>
          <w:szCs w:val="22"/>
          <w:highlight w:val="none"/>
        </w:rPr>
        <w:t>格式见第六章</w:t>
      </w:r>
      <w:r>
        <w:rPr>
          <w:rFonts w:hint="eastAsia" w:ascii="仿宋" w:hAnsi="仿宋" w:eastAsia="仿宋" w:cs="仿宋"/>
          <w:color w:val="auto"/>
          <w:sz w:val="22"/>
          <w:szCs w:val="22"/>
          <w:highlight w:val="none"/>
        </w:rPr>
        <w:t>）；</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5)企业等级证书、信用、荣誉（若有）；</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6）投标硬件设备组成清单（格式见第六章）；</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7）采购代理服务费承诺函（格式见第六章）；</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8）投标人认为需要的其他文件和说明（格式自拟）。</w:t>
      </w:r>
    </w:p>
    <w:p>
      <w:pPr>
        <w:snapToGrid w:val="0"/>
        <w:spacing w:line="560" w:lineRule="exact"/>
        <w:ind w:firstLine="221" w:firstLineChars="100"/>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3、报价文件：</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1）投标函（格式见第六章）；</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2）开标一览表（格式见第六章）；</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3）保安员工资明细表（格式见第六章）；</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4）小微企业声明函（若有，格式见第七章）、注册加入政府采购供应商库的相应证明材料（浙江省政府采购网页登录进去后截图）；</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5）残疾人福利企业声明函（若有，格式见第七章）；</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6）属于监狱企业的证明文件（若有）；</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7）投标人针对报价需要说明的其他文件和说明（格式自拟）。</w:t>
      </w:r>
    </w:p>
    <w:p>
      <w:pPr>
        <w:spacing w:line="560" w:lineRule="exact"/>
        <w:ind w:firstLine="221" w:firstLineChars="10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（二）投标文件的语言及计量</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2．投标计量单位，招标文件已有明确规定的，使用招标文件规定的计量单位；招标文件没有规定的，应采用中华人民共和国法定计量单位（货币单位：人民币元），否则视同未响应。</w:t>
      </w:r>
    </w:p>
    <w:p>
      <w:pPr>
        <w:spacing w:line="560" w:lineRule="exact"/>
        <w:ind w:firstLine="331" w:firstLineChars="15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（三）投标报价</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1.投标报价应按招标文件中相关附表格式填写。投标人在填报投标项目报价明细表时必须按照采购需求货物清单内容逐项报价，不得随意更改序号、货物名称、单位、数量。否则作无效标处理。</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投标报价是履行合同的最终价格，投标报价包括所有安保管理人员的工资、社保、服装费、加班费、年终奖、年休假补贴、培训费、通讯设备、低值易耗品、工具及相关设备费、临时性杂项服务费、政策性文件规定及合同包含的所有风险、责任、税费、合理利润等各项全部费用。</w:t>
      </w:r>
    </w:p>
    <w:p>
      <w:pPr>
        <w:snapToGrid w:val="0"/>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3.投标文件只允许有一个报价，有选择的或有条件的报价将不予接受。</w:t>
      </w:r>
    </w:p>
    <w:p>
      <w:pPr>
        <w:pStyle w:val="7"/>
        <w:numPr>
          <w:ilvl w:val="0"/>
          <w:numId w:val="0"/>
        </w:numPr>
        <w:tabs>
          <w:tab w:val="left" w:pos="454"/>
          <w:tab w:val="left" w:pos="720"/>
          <w:tab w:val="clear" w:pos="360"/>
        </w:tabs>
        <w:snapToGrid w:val="0"/>
        <w:spacing w:beforeLines="50" w:line="560" w:lineRule="exact"/>
        <w:ind w:left="470" w:leftChars="196"/>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（四）投标文件的有效期</w:t>
      </w:r>
    </w:p>
    <w:p>
      <w:pPr>
        <w:pStyle w:val="7"/>
        <w:numPr>
          <w:ilvl w:val="0"/>
          <w:numId w:val="0"/>
        </w:numPr>
        <w:tabs>
          <w:tab w:val="left" w:pos="454"/>
          <w:tab w:val="left" w:pos="720"/>
          <w:tab w:val="clear" w:pos="360"/>
        </w:tabs>
        <w:snapToGrid w:val="0"/>
        <w:spacing w:line="560" w:lineRule="exact"/>
        <w:ind w:firstLine="440" w:firstLineChars="20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1.自投标截止日起</w:t>
      </w:r>
      <w:r>
        <w:rPr>
          <w:rFonts w:hint="eastAsia" w:ascii="仿宋" w:hAnsi="仿宋" w:eastAsia="仿宋" w:cs="仿宋"/>
          <w:color w:val="auto"/>
          <w:kern w:val="2"/>
          <w:sz w:val="22"/>
          <w:szCs w:val="22"/>
          <w:highlight w:val="none"/>
          <w:u w:val="single"/>
        </w:rPr>
        <w:t>60</w:t>
      </w:r>
      <w:r>
        <w:rPr>
          <w:rFonts w:hint="eastAsia" w:ascii="仿宋" w:hAnsi="仿宋" w:eastAsia="仿宋" w:cs="仿宋"/>
          <w:color w:val="auto"/>
          <w:kern w:val="2"/>
          <w:sz w:val="22"/>
          <w:szCs w:val="22"/>
          <w:highlight w:val="none"/>
        </w:rPr>
        <w:t>天投标文件应保持有效。有效期不足的投标文件将被拒绝。</w:t>
      </w:r>
    </w:p>
    <w:p>
      <w:pPr>
        <w:pStyle w:val="7"/>
        <w:numPr>
          <w:ilvl w:val="0"/>
          <w:numId w:val="0"/>
        </w:numPr>
        <w:tabs>
          <w:tab w:val="left" w:pos="454"/>
          <w:tab w:val="left" w:pos="720"/>
          <w:tab w:val="clear" w:pos="360"/>
        </w:tabs>
        <w:snapToGrid w:val="0"/>
        <w:spacing w:line="560" w:lineRule="exact"/>
        <w:ind w:firstLine="440" w:firstLineChars="20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2.在特殊情况下，招标人可与投标人协商延长投标书的有效期，这种要求和答复均以书面形式进行。</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3.投标人可拒绝接受延期要求。同意延长有效期的投标人不能修改投标文件。 </w:t>
      </w:r>
    </w:p>
    <w:p>
      <w:pPr>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4.中标人的投标文件自开标之日起至合同履行完毕止均应保持有效。</w:t>
      </w:r>
    </w:p>
    <w:p>
      <w:pPr>
        <w:pStyle w:val="7"/>
        <w:numPr>
          <w:ilvl w:val="0"/>
          <w:numId w:val="0"/>
        </w:numPr>
        <w:tabs>
          <w:tab w:val="left" w:pos="454"/>
          <w:tab w:val="left" w:pos="720"/>
          <w:tab w:val="clear" w:pos="360"/>
        </w:tabs>
        <w:snapToGrid w:val="0"/>
        <w:spacing w:beforeLines="50" w:line="560" w:lineRule="exact"/>
        <w:ind w:left="470" w:leftChars="196"/>
        <w:rPr>
          <w:rFonts w:ascii="仿宋" w:hAnsi="仿宋" w:eastAsia="仿宋" w:cs="仿宋"/>
          <w:color w:val="auto"/>
          <w:sz w:val="22"/>
          <w:szCs w:val="22"/>
          <w:highlight w:val="none"/>
        </w:rPr>
      </w:pPr>
      <w:r>
        <w:rPr>
          <w:rFonts w:hint="eastAsia" w:ascii="仿宋" w:hAnsi="仿宋" w:eastAsia="仿宋" w:cs="仿宋"/>
          <w:b/>
          <w:color w:val="auto"/>
          <w:sz w:val="22"/>
          <w:szCs w:val="22"/>
          <w:highlight w:val="none"/>
        </w:rPr>
        <w:t>（五）履约保证金：</w:t>
      </w:r>
      <w:r>
        <w:rPr>
          <w:rFonts w:hint="eastAsia" w:ascii="仿宋" w:hAnsi="仿宋" w:eastAsia="仿宋" w:cs="仿宋"/>
          <w:color w:val="auto"/>
          <w:sz w:val="22"/>
          <w:szCs w:val="22"/>
          <w:highlight w:val="none"/>
        </w:rPr>
        <w:t>合同总金额的 5%。</w:t>
      </w:r>
    </w:p>
    <w:p>
      <w:pPr>
        <w:spacing w:line="560" w:lineRule="exact"/>
        <w:ind w:firstLine="442" w:firstLineChars="20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（六）投标文件的签署和份数</w:t>
      </w:r>
    </w:p>
    <w:p>
      <w:pPr>
        <w:spacing w:line="600" w:lineRule="exact"/>
        <w:ind w:firstLine="440" w:firstLineChars="20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本项目通过“政府采购云平台（www.zcygov.cn）”实行在线投标响应（电子投标）。供应商应通过“政采云电子交易客户端”，并按照本招标文件和“政府采购云平台”的要求编制并加密投标文件。</w:t>
      </w:r>
    </w:p>
    <w:p>
      <w:pPr>
        <w:spacing w:line="600" w:lineRule="exact"/>
        <w:ind w:firstLine="220" w:firstLineChars="10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1.投标供应商应当按照本章节 “投标文件组成”规定的内容及顺序在“政采云电子交易客户端”编制投标文件。其中《资格文件》和《技术商务文件》中不得出现本项目投标报价，如因投标人原因提前泄露投标报价，是投标人的责任。</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3.《投标文件》内容不完整、编排混乱导致《投标文件》被误读、漏读或者查找不到相关内容的，是投标供应商的责任。</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4.《投标文件》因字迹潦草或表达不清所引起的后果由投标供应商负责。</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snapToGrid w:val="0"/>
        <w:spacing w:beforeLines="50" w:line="560" w:lineRule="exact"/>
        <w:ind w:firstLine="325" w:firstLineChars="147"/>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（七）投标文件的签章</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《投标文件》应由投标供应商法定代表人或其授权代表签字（或盖章），并加盖投标供应商公章。</w:t>
      </w:r>
    </w:p>
    <w:p>
      <w:pPr>
        <w:snapToGrid w:val="0"/>
        <w:spacing w:beforeLines="50" w:line="560" w:lineRule="exact"/>
        <w:ind w:firstLine="325" w:firstLineChars="147"/>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（八）投标文件的形式</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1.投标文件的形式：见《前附表》；</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2.“电子加密投标文件”：“电子加密投标文件”是指通过“政采云电子交易客户端”完成投标文件编制后生成并加密的数据电文形式的投标文件。</w:t>
      </w:r>
    </w:p>
    <w:p>
      <w:pPr>
        <w:spacing w:line="600" w:lineRule="exact"/>
        <w:ind w:firstLine="385" w:firstLineChars="175"/>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3.“备份投标文件”：“备份投标文件”是指与“电子加密投标文件”同时生成的数据电文形式的电子文件（备份标书），其他方式编制的“备份投标文件”视为无效的“备份投标文件”。</w:t>
      </w:r>
    </w:p>
    <w:p>
      <w:pPr>
        <w:snapToGrid w:val="0"/>
        <w:spacing w:beforeLines="50" w:line="560" w:lineRule="exact"/>
        <w:ind w:firstLine="325" w:firstLineChars="147"/>
        <w:jc w:val="left"/>
        <w:rPr>
          <w:rFonts w:ascii="仿宋" w:hAnsi="仿宋" w:eastAsia="仿宋" w:cs="仿宋"/>
          <w:bCs/>
          <w:color w:val="auto"/>
          <w:szCs w:val="24"/>
          <w:highlight w:val="none"/>
        </w:rPr>
      </w:pPr>
      <w:r>
        <w:rPr>
          <w:rFonts w:hint="eastAsia" w:ascii="仿宋" w:hAnsi="仿宋" w:eastAsia="仿宋" w:cs="仿宋"/>
          <w:b/>
          <w:color w:val="auto"/>
          <w:sz w:val="22"/>
          <w:szCs w:val="22"/>
          <w:highlight w:val="none"/>
        </w:rPr>
        <w:t>（九）投标文件的份数：</w:t>
      </w:r>
      <w:r>
        <w:rPr>
          <w:rFonts w:hint="eastAsia" w:ascii="仿宋" w:hAnsi="仿宋" w:eastAsia="仿宋" w:cs="仿宋"/>
          <w:bCs/>
          <w:color w:val="auto"/>
          <w:sz w:val="22"/>
          <w:szCs w:val="22"/>
          <w:highlight w:val="none"/>
        </w:rPr>
        <w:t>见《前附表》。</w:t>
      </w:r>
    </w:p>
    <w:p>
      <w:pPr>
        <w:pStyle w:val="5"/>
        <w:tabs>
          <w:tab w:val="left" w:pos="720"/>
          <w:tab w:val="clear" w:pos="709"/>
        </w:tabs>
        <w:spacing w:before="0" w:line="600" w:lineRule="exact"/>
        <w:ind w:left="725" w:leftChars="118" w:hanging="442" w:hangingChars="200"/>
        <w:jc w:val="both"/>
        <w:rPr>
          <w:rFonts w:ascii="仿宋" w:hAnsi="仿宋" w:eastAsia="仿宋" w:cs="仿宋"/>
          <w:b w:val="0"/>
          <w:color w:val="auto"/>
          <w:kern w:val="2"/>
          <w:sz w:val="22"/>
          <w:szCs w:val="22"/>
          <w:highlight w:val="none"/>
        </w:rPr>
      </w:pPr>
      <w:r>
        <w:rPr>
          <w:rFonts w:hint="eastAsia" w:ascii="仿宋" w:hAnsi="仿宋" w:eastAsia="仿宋" w:cs="仿宋"/>
          <w:color w:val="auto"/>
          <w:sz w:val="22"/>
          <w:szCs w:val="22"/>
          <w:highlight w:val="none"/>
        </w:rPr>
        <w:t>（十）投标文件的上传和递交：</w:t>
      </w:r>
      <w:r>
        <w:rPr>
          <w:rFonts w:hint="eastAsia" w:ascii="仿宋" w:hAnsi="仿宋" w:eastAsia="仿宋" w:cs="仿宋"/>
          <w:b w:val="0"/>
          <w:color w:val="auto"/>
          <w:kern w:val="2"/>
          <w:sz w:val="22"/>
          <w:szCs w:val="22"/>
          <w:highlight w:val="none"/>
        </w:rPr>
        <w:t>见《前附表》。</w:t>
      </w:r>
    </w:p>
    <w:p>
      <w:pPr>
        <w:pStyle w:val="5"/>
        <w:tabs>
          <w:tab w:val="left" w:pos="720"/>
          <w:tab w:val="clear" w:pos="709"/>
        </w:tabs>
        <w:spacing w:before="0" w:line="600" w:lineRule="exact"/>
        <w:ind w:left="725" w:leftChars="118" w:hanging="442" w:hangingChars="200"/>
        <w:jc w:val="both"/>
        <w:rPr>
          <w:rFonts w:ascii="仿宋" w:hAnsi="仿宋" w:eastAsia="仿宋" w:cs="仿宋"/>
          <w:b w:val="0"/>
          <w:color w:val="auto"/>
          <w:kern w:val="2"/>
          <w:sz w:val="22"/>
          <w:szCs w:val="22"/>
          <w:highlight w:val="none"/>
        </w:rPr>
      </w:pPr>
      <w:r>
        <w:rPr>
          <w:rFonts w:hint="eastAsia" w:ascii="仿宋" w:hAnsi="仿宋" w:eastAsia="仿宋" w:cs="仿宋"/>
          <w:color w:val="auto"/>
          <w:sz w:val="22"/>
          <w:szCs w:val="22"/>
          <w:highlight w:val="none"/>
        </w:rPr>
        <w:t>（十一）“电子加密投标文件”解密和异常情况处理：</w:t>
      </w:r>
      <w:r>
        <w:rPr>
          <w:rFonts w:hint="eastAsia" w:ascii="仿宋" w:hAnsi="仿宋" w:eastAsia="仿宋" w:cs="仿宋"/>
          <w:b w:val="0"/>
          <w:color w:val="auto"/>
          <w:kern w:val="2"/>
          <w:sz w:val="22"/>
          <w:szCs w:val="22"/>
          <w:highlight w:val="none"/>
        </w:rPr>
        <w:t>见《前附表》。</w:t>
      </w:r>
    </w:p>
    <w:p>
      <w:pPr>
        <w:pStyle w:val="5"/>
        <w:tabs>
          <w:tab w:val="left" w:pos="720"/>
          <w:tab w:val="clear" w:pos="709"/>
        </w:tabs>
        <w:spacing w:before="0" w:line="600" w:lineRule="exact"/>
        <w:ind w:left="725" w:leftChars="118" w:hanging="442" w:hangingChars="200"/>
        <w:jc w:val="both"/>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（十二）投标文件的补充、修改或撤回</w:t>
      </w:r>
    </w:p>
    <w:p>
      <w:pPr>
        <w:spacing w:line="600" w:lineRule="exact"/>
        <w:ind w:firstLine="389" w:firstLineChars="177"/>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600" w:lineRule="exact"/>
        <w:ind w:firstLine="389" w:firstLineChars="177"/>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2.投标截止时间后，投标供应商不得撤回、修改《投标文件》。</w:t>
      </w:r>
    </w:p>
    <w:p>
      <w:pPr>
        <w:pStyle w:val="5"/>
        <w:tabs>
          <w:tab w:val="left" w:pos="720"/>
          <w:tab w:val="clear" w:pos="709"/>
        </w:tabs>
        <w:spacing w:before="0" w:line="600" w:lineRule="exact"/>
        <w:ind w:left="725" w:leftChars="118" w:hanging="442" w:hangingChars="200"/>
        <w:jc w:val="both"/>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（十三）投标文件的备选方案</w:t>
      </w:r>
    </w:p>
    <w:p>
      <w:pPr>
        <w:spacing w:line="600" w:lineRule="exact"/>
        <w:ind w:firstLine="389" w:firstLineChars="177"/>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投标供应商不得递交任何的投标备选（替代）方案，否则其投标文件将作无效标处理。与“电子加密投标文件”同时生成的“备份投标文件”不是投标备选（替代）方案。</w:t>
      </w:r>
    </w:p>
    <w:p>
      <w:pPr>
        <w:pStyle w:val="5"/>
        <w:tabs>
          <w:tab w:val="left" w:pos="720"/>
          <w:tab w:val="clear" w:pos="709"/>
        </w:tabs>
        <w:spacing w:before="0" w:line="600" w:lineRule="exact"/>
        <w:ind w:left="725" w:leftChars="118" w:hanging="442" w:hangingChars="200"/>
        <w:jc w:val="both"/>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（十四）投标无效的情形</w:t>
      </w:r>
    </w:p>
    <w:p>
      <w:pPr>
        <w:spacing w:line="560" w:lineRule="exact"/>
        <w:ind w:firstLine="660" w:firstLineChars="30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560" w:lineRule="exact"/>
        <w:ind w:firstLine="433" w:firstLineChars="196"/>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1.在符合性审查、资格审查和商务评审时，如发现下列情形之一的，投标文件将被视为无效：</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（1）资质条件不符合招标文件要求的；</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（2）自招标公告发布之日起至投标截止日内，在“信用中国网” (www.creditchina.gov.cn)被列入失信被执行人、重大税收违法当事人名单、政府采购严重违法失信行为记录名单的投标人，资格审查时不予以通过；投标截止前，在“中国政府采购网”(www.ccgp.gov.cn)被列入政府采购严重违法失信行为记录名单中的投标人且在处罚有效期内的投标人，资格审查时不予以通过；</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（3）投标文件无法定代表人签字,或未提供法定代表人有效身份证明书、法定代表人授权委托书、投标声明书或者填写项目不齐全的；</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 xml:space="preserve">（4）投标代表人未能出具身份证明或与法定代表人授权委托人身份不符的； </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（5）投标文件格式不规范、项目不齐全或者内容虚假的；</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（6）投标文件的实质性内容未使用中文表述、意思表述不明确、前后矛盾或者使用计量单位不符合招标文件要求的（经评标委员会认定允许其更正的笔误除外）；</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 xml:space="preserve">（7）投标文件的关键内容字迹模糊、无法辨认的,或者投标文件中经修正的内容字迹模糊难以辩认或者修改处未按规定签名盖章的； </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（8）投标有效期、交货时间、质保期等商务条款不能满足招标文件要求的；</w:t>
      </w:r>
    </w:p>
    <w:p>
      <w:pPr>
        <w:pStyle w:val="2"/>
        <w:tabs>
          <w:tab w:val="left" w:pos="0"/>
          <w:tab w:val="left" w:pos="993"/>
          <w:tab w:val="left" w:pos="1134"/>
        </w:tabs>
        <w:snapToGrid w:val="0"/>
        <w:spacing w:line="50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（9）不响应或者擅自改变招标文件要求或者投标文件有招标方不能接受的附加条件的。</w:t>
      </w:r>
    </w:p>
    <w:p>
      <w:pPr>
        <w:pStyle w:val="2"/>
        <w:tabs>
          <w:tab w:val="left" w:pos="0"/>
          <w:tab w:val="left" w:pos="993"/>
          <w:tab w:val="left" w:pos="1134"/>
        </w:tabs>
        <w:snapToGrid w:val="0"/>
        <w:spacing w:line="560" w:lineRule="exact"/>
        <w:ind w:left="480" w:firstLine="433" w:firstLineChars="196"/>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2.在技术评审时，如发现下列情形之一的，投标文件将被视为无效：</w:t>
      </w:r>
    </w:p>
    <w:p>
      <w:pPr>
        <w:pStyle w:val="2"/>
        <w:tabs>
          <w:tab w:val="left" w:pos="0"/>
          <w:tab w:val="left" w:pos="993"/>
          <w:tab w:val="left" w:pos="1134"/>
        </w:tabs>
        <w:snapToGrid w:val="0"/>
        <w:spacing w:line="560" w:lineRule="exact"/>
        <w:ind w:left="48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（1）未提供或未如实提供投标货物的技术参数，或者投标文件标明的响应或偏离与事实不符或虚假投标的；</w:t>
      </w:r>
    </w:p>
    <w:p>
      <w:pPr>
        <w:pStyle w:val="2"/>
        <w:tabs>
          <w:tab w:val="left" w:pos="0"/>
          <w:tab w:val="left" w:pos="993"/>
          <w:tab w:val="left" w:pos="1134"/>
        </w:tabs>
        <w:snapToGrid w:val="0"/>
        <w:spacing w:line="560" w:lineRule="exact"/>
        <w:ind w:left="48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（2）明显不符合招标文件标明的规格型号、质量标准，或者招标文件中标“</w:t>
      </w:r>
      <w:r>
        <w:rPr>
          <w:rFonts w:hint="eastAsia" w:ascii="仿宋" w:hAnsi="仿宋" w:eastAsia="仿宋" w:cs="仿宋"/>
          <w:color w:val="auto"/>
          <w:highlight w:val="none"/>
        </w:rPr>
        <w:t>▲</w:t>
      </w:r>
      <w:r>
        <w:rPr>
          <w:rFonts w:hint="eastAsia" w:ascii="仿宋" w:hAnsi="仿宋" w:eastAsia="仿宋" w:cs="仿宋"/>
          <w:color w:val="auto"/>
          <w:sz w:val="22"/>
          <w:szCs w:val="22"/>
          <w:highlight w:val="none"/>
        </w:rPr>
        <w:t>”的技术指标、主要功能项目发生实质性偏离的；</w:t>
      </w:r>
    </w:p>
    <w:p>
      <w:pPr>
        <w:pStyle w:val="2"/>
        <w:tabs>
          <w:tab w:val="left" w:pos="0"/>
          <w:tab w:val="left" w:pos="993"/>
          <w:tab w:val="left" w:pos="1134"/>
        </w:tabs>
        <w:snapToGrid w:val="0"/>
        <w:spacing w:line="560" w:lineRule="exact"/>
        <w:ind w:left="48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（3）投标技术方案不明确，存在一个或一个以上备选（替代）投标方案的。</w:t>
      </w:r>
    </w:p>
    <w:p>
      <w:pPr>
        <w:pStyle w:val="2"/>
        <w:tabs>
          <w:tab w:val="left" w:pos="0"/>
          <w:tab w:val="left" w:pos="993"/>
          <w:tab w:val="left" w:pos="1134"/>
        </w:tabs>
        <w:snapToGrid w:val="0"/>
        <w:spacing w:line="560" w:lineRule="exact"/>
        <w:ind w:left="480"/>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3.在报价评审时，如发现下列情形之一的，投标文件将被视为无效：</w:t>
      </w:r>
    </w:p>
    <w:p>
      <w:pPr>
        <w:pStyle w:val="2"/>
        <w:tabs>
          <w:tab w:val="left" w:pos="0"/>
          <w:tab w:val="left" w:pos="993"/>
          <w:tab w:val="left" w:pos="1134"/>
        </w:tabs>
        <w:snapToGrid w:val="0"/>
        <w:spacing w:line="560" w:lineRule="exact"/>
        <w:ind w:left="48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（1）未采用人民币报价或者未按照招标文件标明的币种报价的；</w:t>
      </w:r>
    </w:p>
    <w:p>
      <w:pPr>
        <w:pStyle w:val="2"/>
        <w:tabs>
          <w:tab w:val="left" w:pos="0"/>
          <w:tab w:val="left" w:pos="993"/>
          <w:tab w:val="left" w:pos="1134"/>
        </w:tabs>
        <w:snapToGrid w:val="0"/>
        <w:spacing w:line="560" w:lineRule="exact"/>
        <w:ind w:left="480"/>
        <w:rPr>
          <w:rFonts w:ascii="仿宋" w:hAnsi="仿宋" w:eastAsia="仿宋" w:cs="仿宋"/>
          <w:color w:val="auto"/>
          <w:sz w:val="22"/>
          <w:szCs w:val="22"/>
          <w:highlight w:val="none"/>
        </w:rPr>
      </w:pPr>
      <w:r>
        <w:rPr>
          <w:rFonts w:hint="eastAsia" w:ascii="仿宋" w:hAnsi="仿宋" w:eastAsia="仿宋" w:cs="仿宋"/>
          <w:bCs/>
          <w:color w:val="auto"/>
          <w:sz w:val="22"/>
          <w:szCs w:val="22"/>
          <w:highlight w:val="none"/>
        </w:rPr>
        <w:t>（2）</w:t>
      </w:r>
      <w:r>
        <w:rPr>
          <w:rFonts w:hint="eastAsia" w:ascii="仿宋" w:hAnsi="仿宋" w:eastAsia="仿宋" w:cs="仿宋"/>
          <w:color w:val="auto"/>
          <w:sz w:val="22"/>
          <w:szCs w:val="22"/>
          <w:highlight w:val="none"/>
        </w:rPr>
        <w:t>报价超出最高限价，或者超出采购预算金额，采购人不能支付的；</w:t>
      </w:r>
    </w:p>
    <w:p>
      <w:pPr>
        <w:pStyle w:val="2"/>
        <w:tabs>
          <w:tab w:val="left" w:pos="0"/>
          <w:tab w:val="left" w:pos="993"/>
          <w:tab w:val="left" w:pos="1134"/>
        </w:tabs>
        <w:snapToGrid w:val="0"/>
        <w:spacing w:line="560" w:lineRule="exact"/>
        <w:ind w:left="48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（3）投标报价具有选择性，或者开标价格与投标文件承诺的优惠（折扣）价格不一致的。                                                                                              </w:t>
      </w:r>
    </w:p>
    <w:p>
      <w:pPr>
        <w:pStyle w:val="2"/>
        <w:tabs>
          <w:tab w:val="left" w:pos="0"/>
          <w:tab w:val="left" w:pos="993"/>
          <w:tab w:val="left" w:pos="1134"/>
        </w:tabs>
        <w:snapToGrid w:val="0"/>
        <w:spacing w:line="560" w:lineRule="exact"/>
        <w:ind w:left="480"/>
        <w:rPr>
          <w:rFonts w:ascii="仿宋" w:hAnsi="仿宋" w:eastAsia="仿宋" w:cs="仿宋"/>
          <w:b/>
          <w:bCs/>
          <w:color w:val="auto"/>
          <w:sz w:val="22"/>
          <w:szCs w:val="22"/>
          <w:highlight w:val="none"/>
        </w:rPr>
      </w:pPr>
      <w:bookmarkStart w:id="26" w:name="_Toc508259967"/>
      <w:r>
        <w:rPr>
          <w:rFonts w:hint="eastAsia" w:ascii="仿宋" w:hAnsi="仿宋" w:eastAsia="仿宋" w:cs="仿宋"/>
          <w:b/>
          <w:bCs/>
          <w:color w:val="auto"/>
          <w:sz w:val="22"/>
          <w:szCs w:val="22"/>
          <w:highlight w:val="none"/>
        </w:rPr>
        <w:t>4.被拒绝的投标文件为无效。</w:t>
      </w:r>
      <w:bookmarkEnd w:id="26"/>
    </w:p>
    <w:p>
      <w:pPr>
        <w:pStyle w:val="2"/>
        <w:tabs>
          <w:tab w:val="left" w:pos="0"/>
          <w:tab w:val="left" w:pos="993"/>
          <w:tab w:val="left" w:pos="1134"/>
        </w:tabs>
        <w:snapToGrid w:val="0"/>
        <w:spacing w:line="560" w:lineRule="exact"/>
        <w:ind w:left="480"/>
        <w:jc w:val="center"/>
        <w:outlineLvl w:val="1"/>
        <w:rPr>
          <w:rFonts w:ascii="仿宋" w:hAnsi="仿宋" w:eastAsia="仿宋" w:cs="仿宋"/>
          <w:b/>
          <w:snapToGrid w:val="0"/>
          <w:color w:val="auto"/>
          <w:szCs w:val="28"/>
          <w:highlight w:val="none"/>
        </w:rPr>
      </w:pPr>
      <w:bookmarkStart w:id="27" w:name="_Toc508900992"/>
      <w:r>
        <w:rPr>
          <w:rFonts w:hint="eastAsia" w:ascii="仿宋" w:hAnsi="仿宋" w:eastAsia="仿宋" w:cs="仿宋"/>
          <w:b/>
          <w:color w:val="auto"/>
          <w:szCs w:val="28"/>
          <w:highlight w:val="none"/>
        </w:rPr>
        <w:t>四、开标</w:t>
      </w:r>
      <w:bookmarkEnd w:id="27"/>
    </w:p>
    <w:p>
      <w:pPr>
        <w:pStyle w:val="13"/>
        <w:spacing w:line="560" w:lineRule="exact"/>
        <w:ind w:firstLine="433" w:firstLineChars="196"/>
        <w:rPr>
          <w:rFonts w:ascii="仿宋" w:hAnsi="仿宋" w:eastAsia="仿宋" w:cs="仿宋"/>
          <w:b/>
          <w:color w:val="auto"/>
          <w:sz w:val="22"/>
          <w:highlight w:val="none"/>
        </w:rPr>
      </w:pPr>
      <w:r>
        <w:rPr>
          <w:rFonts w:hint="eastAsia" w:ascii="仿宋" w:hAnsi="仿宋" w:eastAsia="仿宋" w:cs="仿宋"/>
          <w:b/>
          <w:color w:val="auto"/>
          <w:sz w:val="22"/>
          <w:highlight w:val="none"/>
        </w:rPr>
        <w:t>（一）开标准备</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采购组织机构将按照招标文件规定的时间通过“政府采购云平台”组织开标、开启投标文件，所有供应商均应当准时在线参加。</w:t>
      </w:r>
    </w:p>
    <w:p>
      <w:pPr>
        <w:pStyle w:val="13"/>
        <w:spacing w:line="560" w:lineRule="exact"/>
        <w:ind w:firstLine="433" w:firstLineChars="196"/>
        <w:rPr>
          <w:rFonts w:ascii="仿宋" w:hAnsi="仿宋" w:eastAsia="仿宋" w:cs="仿宋"/>
          <w:b/>
          <w:color w:val="auto"/>
          <w:sz w:val="22"/>
          <w:highlight w:val="none"/>
        </w:rPr>
      </w:pPr>
      <w:r>
        <w:rPr>
          <w:rFonts w:hint="eastAsia" w:ascii="仿宋" w:hAnsi="仿宋" w:eastAsia="仿宋" w:cs="仿宋"/>
          <w:b/>
          <w:color w:val="auto"/>
          <w:sz w:val="22"/>
          <w:highlight w:val="none"/>
        </w:rPr>
        <w:t>（二） 开标程序</w:t>
      </w:r>
    </w:p>
    <w:p>
      <w:pPr>
        <w:spacing w:line="600" w:lineRule="exact"/>
        <w:ind w:firstLine="607" w:firstLineChars="276"/>
        <w:rPr>
          <w:rFonts w:ascii="仿宋" w:hAnsi="仿宋" w:eastAsia="仿宋" w:cs="仿宋"/>
          <w:color w:val="auto"/>
          <w:sz w:val="22"/>
          <w:szCs w:val="22"/>
          <w:highlight w:val="none"/>
        </w:rPr>
      </w:pPr>
      <w:bookmarkStart w:id="28" w:name="_Toc508900993"/>
      <w:r>
        <w:rPr>
          <w:rFonts w:hint="eastAsia" w:ascii="仿宋" w:hAnsi="仿宋" w:eastAsia="仿宋" w:cs="仿宋"/>
          <w:color w:val="auto"/>
          <w:sz w:val="22"/>
          <w:szCs w:val="22"/>
          <w:highlight w:val="none"/>
        </w:rPr>
        <w:t>1.开标的准备工作由采购组织机构负责落实；</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3"/>
        <w:spacing w:line="560" w:lineRule="exact"/>
        <w:ind w:firstLine="433" w:firstLineChars="196"/>
        <w:rPr>
          <w:rFonts w:ascii="仿宋" w:hAnsi="仿宋" w:eastAsia="仿宋" w:cs="仿宋"/>
          <w:b/>
          <w:color w:val="auto"/>
          <w:sz w:val="22"/>
          <w:highlight w:val="none"/>
        </w:rPr>
      </w:pPr>
      <w:r>
        <w:rPr>
          <w:rFonts w:hint="eastAsia" w:ascii="仿宋" w:hAnsi="仿宋" w:eastAsia="仿宋" w:cs="仿宋"/>
          <w:b/>
          <w:color w:val="auto"/>
          <w:sz w:val="22"/>
          <w:highlight w:val="none"/>
        </w:rPr>
        <w:t>（三）开标流程</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（2）投标文件解密结束；</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（3）开启投标文件，进入资格审查；</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（4）开启资格审查通过的投标供应商的商务技术文件进入符合性审查、商务技术评审；</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（1）符合性审查、商务技术评审结束后，公布符合性审查、商务技术评审无效供应商名称及理由；公布经商务技术评审后有效投标供应商的名单，同时公布其商务技术部分得分情况。</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（2）开启符合性审查、商务技术评审有效投标供应商的《报价文件》，公布开标一览表有关内容，同时当场制作开标记录表，唱标结束后，由评标委员会对报价的合理性、准确性等进行审查核实。</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（3）公布报价部分得分情况；</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（4）评审结束后，公布中标（成交）候选供应商名单等。</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（5）开标结束。</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特别说明：如遇“政府采购云平台”电子化开标或评审程序调整的，按调整后程序执行。</w:t>
      </w:r>
    </w:p>
    <w:p>
      <w:pPr>
        <w:pStyle w:val="13"/>
        <w:spacing w:line="560" w:lineRule="exact"/>
        <w:ind w:firstLine="433" w:firstLineChars="196"/>
        <w:rPr>
          <w:rFonts w:ascii="仿宋" w:hAnsi="仿宋" w:eastAsia="仿宋" w:cs="仿宋"/>
          <w:b/>
          <w:color w:val="auto"/>
          <w:sz w:val="22"/>
          <w:highlight w:val="none"/>
        </w:rPr>
      </w:pPr>
      <w:bookmarkStart w:id="29" w:name="_Toc33194393"/>
      <w:bookmarkStart w:id="30" w:name="_Toc24550037"/>
      <w:r>
        <w:rPr>
          <w:rFonts w:hint="eastAsia" w:ascii="仿宋" w:hAnsi="仿宋" w:eastAsia="仿宋" w:cs="仿宋"/>
          <w:b/>
          <w:color w:val="auto"/>
          <w:sz w:val="22"/>
          <w:highlight w:val="none"/>
        </w:rPr>
        <w:t>（四）投标供应商资格审查</w:t>
      </w:r>
      <w:bookmarkEnd w:id="29"/>
      <w:bookmarkEnd w:id="30"/>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600" w:lineRule="exact"/>
        <w:ind w:firstLine="607" w:firstLineChars="276"/>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3.单位负责人为同一人或者存在直接控股、管理关系的不同供应商参加同一合同项下的政府采购活动的，相关投标供应商均作资格无效处理。</w:t>
      </w:r>
    </w:p>
    <w:p>
      <w:pPr>
        <w:spacing w:line="600" w:lineRule="exact"/>
        <w:ind w:firstLine="607" w:firstLineChars="276"/>
        <w:rPr>
          <w:rFonts w:ascii="仿宋" w:hAnsi="仿宋" w:eastAsia="仿宋" w:cs="仿宋"/>
          <w:color w:val="auto"/>
          <w:sz w:val="22"/>
          <w:szCs w:val="22"/>
          <w:highlight w:val="none"/>
        </w:rPr>
      </w:pPr>
    </w:p>
    <w:p>
      <w:pPr>
        <w:pStyle w:val="2"/>
      </w:pPr>
    </w:p>
    <w:p>
      <w:pPr>
        <w:pStyle w:val="2"/>
        <w:tabs>
          <w:tab w:val="left" w:pos="0"/>
          <w:tab w:val="left" w:pos="993"/>
          <w:tab w:val="left" w:pos="1134"/>
        </w:tabs>
        <w:snapToGrid w:val="0"/>
        <w:spacing w:line="560" w:lineRule="exact"/>
        <w:ind w:left="480"/>
        <w:jc w:val="center"/>
        <w:outlineLvl w:val="1"/>
        <w:rPr>
          <w:rFonts w:ascii="仿宋" w:hAnsi="仿宋" w:eastAsia="仿宋" w:cs="仿宋"/>
          <w:b/>
          <w:color w:val="auto"/>
          <w:szCs w:val="28"/>
          <w:highlight w:val="none"/>
        </w:rPr>
      </w:pPr>
      <w:r>
        <w:rPr>
          <w:rFonts w:hint="eastAsia" w:ascii="仿宋" w:hAnsi="仿宋" w:eastAsia="仿宋" w:cs="仿宋"/>
          <w:b/>
          <w:color w:val="auto"/>
          <w:szCs w:val="28"/>
          <w:highlight w:val="none"/>
        </w:rPr>
        <w:t>五、评标</w:t>
      </w:r>
      <w:bookmarkEnd w:id="28"/>
    </w:p>
    <w:p>
      <w:pPr>
        <w:pStyle w:val="13"/>
        <w:spacing w:line="560" w:lineRule="exact"/>
        <w:ind w:left="768" w:leftChars="228" w:hanging="221" w:hangingChars="100"/>
        <w:rPr>
          <w:rFonts w:ascii="仿宋" w:hAnsi="仿宋" w:eastAsia="仿宋" w:cs="仿宋"/>
          <w:b/>
          <w:color w:val="auto"/>
          <w:sz w:val="22"/>
          <w:highlight w:val="none"/>
        </w:rPr>
      </w:pPr>
      <w:r>
        <w:rPr>
          <w:rFonts w:hint="eastAsia" w:ascii="仿宋" w:hAnsi="仿宋" w:eastAsia="仿宋" w:cs="仿宋"/>
          <w:b/>
          <w:color w:val="auto"/>
          <w:sz w:val="22"/>
          <w:highlight w:val="none"/>
        </w:rPr>
        <w:t>（一）组建评标委员会</w:t>
      </w:r>
    </w:p>
    <w:p>
      <w:pPr>
        <w:pStyle w:val="13"/>
        <w:spacing w:before="120" w:after="120"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本项目评标委员会由7人及以上单数组成。</w:t>
      </w:r>
    </w:p>
    <w:p>
      <w:pPr>
        <w:pStyle w:val="13"/>
        <w:spacing w:line="560" w:lineRule="exact"/>
        <w:ind w:left="768" w:leftChars="228" w:hanging="221" w:hangingChars="100"/>
        <w:rPr>
          <w:rFonts w:ascii="仿宋" w:hAnsi="仿宋" w:eastAsia="仿宋" w:cs="仿宋"/>
          <w:b/>
          <w:color w:val="auto"/>
          <w:sz w:val="22"/>
          <w:highlight w:val="none"/>
        </w:rPr>
      </w:pPr>
      <w:r>
        <w:rPr>
          <w:rFonts w:hint="eastAsia" w:ascii="仿宋" w:hAnsi="仿宋" w:eastAsia="仿宋" w:cs="仿宋"/>
          <w:b/>
          <w:color w:val="auto"/>
          <w:sz w:val="22"/>
          <w:highlight w:val="none"/>
        </w:rPr>
        <w:t>（二）评标的方式</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本项目采用不公开方式评标，评标的依据为招标文件和投标文件。</w:t>
      </w:r>
    </w:p>
    <w:p>
      <w:pPr>
        <w:pStyle w:val="13"/>
        <w:spacing w:line="560" w:lineRule="exact"/>
        <w:ind w:left="768" w:leftChars="228" w:hanging="221" w:hangingChars="100"/>
        <w:rPr>
          <w:rFonts w:ascii="仿宋" w:hAnsi="仿宋" w:eastAsia="仿宋" w:cs="仿宋"/>
          <w:b/>
          <w:color w:val="auto"/>
          <w:sz w:val="22"/>
          <w:highlight w:val="none"/>
        </w:rPr>
      </w:pPr>
      <w:r>
        <w:rPr>
          <w:rFonts w:hint="eastAsia" w:ascii="仿宋" w:hAnsi="仿宋" w:eastAsia="仿宋" w:cs="仿宋"/>
          <w:b/>
          <w:color w:val="auto"/>
          <w:sz w:val="22"/>
          <w:highlight w:val="none"/>
        </w:rPr>
        <w:t>（三）</w:t>
      </w:r>
      <w:r>
        <w:rPr>
          <w:rFonts w:hint="eastAsia" w:ascii="仿宋" w:hAnsi="仿宋" w:eastAsia="仿宋" w:cs="仿宋"/>
          <w:b/>
          <w:bCs/>
          <w:color w:val="auto"/>
          <w:sz w:val="22"/>
          <w:highlight w:val="none"/>
        </w:rPr>
        <w:t>评标程序</w:t>
      </w:r>
    </w:p>
    <w:p>
      <w:pPr>
        <w:spacing w:line="600" w:lineRule="exact"/>
        <w:ind w:firstLine="389" w:firstLineChars="177"/>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1.对所有通过资格审查的投标供应商的投标文件进行初步审查，审查、评价投标文件是否符合招标文件的商务、技术、服务等实质性要求。</w:t>
      </w:r>
    </w:p>
    <w:p>
      <w:pPr>
        <w:spacing w:line="600" w:lineRule="exact"/>
        <w:ind w:firstLine="389" w:firstLineChars="177"/>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spacing w:line="600" w:lineRule="exact"/>
        <w:ind w:firstLine="389" w:firstLineChars="177"/>
        <w:rPr>
          <w:rFonts w:ascii="仿宋" w:hAnsi="仿宋" w:eastAsia="仿宋" w:cs="仿宋"/>
          <w:color w:val="auto"/>
          <w:highlight w:val="none"/>
        </w:rPr>
      </w:pPr>
      <w:r>
        <w:rPr>
          <w:rFonts w:hint="eastAsia" w:ascii="仿宋" w:hAnsi="仿宋" w:eastAsia="仿宋" w:cs="仿宋"/>
          <w:color w:val="auto"/>
          <w:kern w:val="2"/>
          <w:sz w:val="22"/>
          <w:szCs w:val="22"/>
          <w:highlight w:val="none"/>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13"/>
        <w:spacing w:line="560" w:lineRule="exact"/>
        <w:ind w:left="768" w:leftChars="228" w:hanging="221" w:hangingChars="100"/>
        <w:rPr>
          <w:rFonts w:ascii="仿宋" w:hAnsi="仿宋" w:eastAsia="仿宋" w:cs="仿宋"/>
          <w:b/>
          <w:color w:val="auto"/>
          <w:sz w:val="22"/>
          <w:highlight w:val="none"/>
        </w:rPr>
      </w:pPr>
      <w:r>
        <w:rPr>
          <w:rFonts w:hint="eastAsia" w:ascii="仿宋" w:hAnsi="仿宋" w:eastAsia="仿宋" w:cs="仿宋"/>
          <w:b/>
          <w:color w:val="auto"/>
          <w:sz w:val="22"/>
          <w:highlight w:val="none"/>
        </w:rPr>
        <w:t>（四）澄清问题的形式</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13"/>
        <w:spacing w:line="560" w:lineRule="exact"/>
        <w:ind w:left="768" w:leftChars="228" w:hanging="221" w:hangingChars="100"/>
        <w:rPr>
          <w:rFonts w:ascii="仿宋" w:hAnsi="仿宋" w:eastAsia="仿宋" w:cs="仿宋"/>
          <w:b/>
          <w:color w:val="auto"/>
          <w:sz w:val="22"/>
          <w:highlight w:val="none"/>
        </w:rPr>
      </w:pPr>
      <w:r>
        <w:rPr>
          <w:rFonts w:hint="eastAsia" w:ascii="仿宋" w:hAnsi="仿宋" w:eastAsia="仿宋" w:cs="仿宋"/>
          <w:b/>
          <w:color w:val="auto"/>
          <w:sz w:val="22"/>
          <w:highlight w:val="none"/>
        </w:rPr>
        <w:t>（五）错误修正</w:t>
      </w:r>
    </w:p>
    <w:p>
      <w:pPr>
        <w:pStyle w:val="13"/>
        <w:spacing w:line="560" w:lineRule="exact"/>
        <w:ind w:left="767" w:leftChars="228" w:hanging="220" w:hangingChars="100"/>
        <w:rPr>
          <w:rFonts w:ascii="仿宋" w:hAnsi="仿宋" w:eastAsia="仿宋" w:cs="仿宋"/>
          <w:color w:val="auto"/>
          <w:sz w:val="22"/>
          <w:highlight w:val="none"/>
        </w:rPr>
      </w:pPr>
      <w:r>
        <w:rPr>
          <w:rFonts w:hint="eastAsia" w:ascii="仿宋" w:hAnsi="仿宋" w:eastAsia="仿宋" w:cs="仿宋"/>
          <w:color w:val="auto"/>
          <w:sz w:val="22"/>
          <w:highlight w:val="none"/>
        </w:rPr>
        <w:t>投标文件如果出现计算或表达上的错误，修正错误的原则如下：</w:t>
      </w:r>
    </w:p>
    <w:p>
      <w:pPr>
        <w:pStyle w:val="13"/>
        <w:spacing w:line="560" w:lineRule="exact"/>
        <w:ind w:left="14" w:leftChars="6" w:firstLine="618" w:firstLineChars="281"/>
        <w:rPr>
          <w:rFonts w:ascii="仿宋" w:hAnsi="仿宋" w:eastAsia="仿宋" w:cs="仿宋"/>
          <w:color w:val="auto"/>
          <w:sz w:val="22"/>
          <w:highlight w:val="none"/>
        </w:rPr>
      </w:pPr>
      <w:r>
        <w:rPr>
          <w:rFonts w:hint="eastAsia" w:ascii="仿宋" w:hAnsi="仿宋" w:eastAsia="仿宋" w:cs="仿宋"/>
          <w:color w:val="auto"/>
          <w:sz w:val="22"/>
          <w:highlight w:val="none"/>
        </w:rPr>
        <w:t>1.投标文件中开标一览表（报价表）内容与投标文件中相应内容不一致的，以开标一览表（报价表）为准；</w:t>
      </w:r>
    </w:p>
    <w:p>
      <w:pPr>
        <w:pStyle w:val="13"/>
        <w:spacing w:line="560" w:lineRule="exact"/>
        <w:ind w:left="767" w:leftChars="228" w:hanging="220" w:hangingChars="100"/>
        <w:rPr>
          <w:rFonts w:ascii="仿宋" w:hAnsi="仿宋" w:eastAsia="仿宋" w:cs="仿宋"/>
          <w:color w:val="auto"/>
          <w:sz w:val="22"/>
          <w:highlight w:val="none"/>
        </w:rPr>
      </w:pPr>
      <w:r>
        <w:rPr>
          <w:rFonts w:hint="eastAsia" w:ascii="仿宋" w:hAnsi="仿宋" w:eastAsia="仿宋" w:cs="仿宋"/>
          <w:color w:val="auto"/>
          <w:sz w:val="22"/>
          <w:highlight w:val="none"/>
        </w:rPr>
        <w:t>2.投标文件的大写金额和小写金额不一致的，以大写金额为准；</w:t>
      </w:r>
    </w:p>
    <w:p>
      <w:pPr>
        <w:pStyle w:val="13"/>
        <w:spacing w:line="560" w:lineRule="exact"/>
        <w:ind w:left="767" w:leftChars="228" w:hanging="220" w:hangingChars="100"/>
        <w:rPr>
          <w:rFonts w:ascii="仿宋" w:hAnsi="仿宋" w:eastAsia="仿宋" w:cs="仿宋"/>
          <w:color w:val="auto"/>
          <w:sz w:val="22"/>
          <w:highlight w:val="none"/>
        </w:rPr>
      </w:pPr>
      <w:r>
        <w:rPr>
          <w:rFonts w:hint="eastAsia" w:ascii="仿宋" w:hAnsi="仿宋" w:eastAsia="仿宋" w:cs="仿宋"/>
          <w:color w:val="auto"/>
          <w:sz w:val="22"/>
          <w:highlight w:val="none"/>
        </w:rPr>
        <w:t>3.单价金额小数点或者百分位有明显错位的，以开标一览表的总价为准，并修改单价；</w:t>
      </w:r>
    </w:p>
    <w:p>
      <w:pPr>
        <w:pStyle w:val="13"/>
        <w:spacing w:line="560" w:lineRule="exact"/>
        <w:ind w:left="767" w:leftChars="228" w:hanging="220" w:hangingChars="100"/>
        <w:rPr>
          <w:rFonts w:ascii="仿宋" w:hAnsi="仿宋" w:eastAsia="仿宋" w:cs="仿宋"/>
          <w:color w:val="auto"/>
          <w:sz w:val="22"/>
          <w:highlight w:val="none"/>
        </w:rPr>
      </w:pPr>
      <w:r>
        <w:rPr>
          <w:rFonts w:hint="eastAsia" w:ascii="仿宋" w:hAnsi="仿宋" w:eastAsia="仿宋" w:cs="仿宋"/>
          <w:color w:val="auto"/>
          <w:sz w:val="22"/>
          <w:highlight w:val="none"/>
        </w:rPr>
        <w:t>4.总价金额与按单价汇总金额不一致的，以单价金额计算结果为准。</w:t>
      </w:r>
    </w:p>
    <w:p>
      <w:pPr>
        <w:pStyle w:val="13"/>
        <w:tabs>
          <w:tab w:val="left" w:pos="630"/>
        </w:tabs>
        <w:spacing w:line="560" w:lineRule="exact"/>
        <w:ind w:firstLine="433" w:firstLineChars="196"/>
        <w:rPr>
          <w:rFonts w:ascii="仿宋" w:hAnsi="仿宋" w:eastAsia="仿宋" w:cs="仿宋"/>
          <w:b/>
          <w:color w:val="auto"/>
          <w:sz w:val="22"/>
          <w:highlight w:val="none"/>
        </w:rPr>
      </w:pPr>
      <w:r>
        <w:rPr>
          <w:rFonts w:hint="eastAsia" w:ascii="仿宋" w:hAnsi="仿宋" w:eastAsia="仿宋" w:cs="仿宋"/>
          <w:b/>
          <w:color w:val="auto"/>
          <w:sz w:val="22"/>
          <w:highlight w:val="none"/>
        </w:rPr>
        <w:t>（六）评标原则和评标办法</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2.评标办法。本项目评标办法是</w:t>
      </w:r>
      <w:r>
        <w:rPr>
          <w:rFonts w:hint="eastAsia" w:ascii="仿宋" w:hAnsi="仿宋" w:eastAsia="仿宋" w:cs="仿宋"/>
          <w:color w:val="auto"/>
          <w:sz w:val="22"/>
          <w:highlight w:val="none"/>
          <w:u w:val="single"/>
        </w:rPr>
        <w:t>综合评分法</w:t>
      </w:r>
      <w:r>
        <w:rPr>
          <w:rFonts w:hint="eastAsia" w:ascii="仿宋" w:hAnsi="仿宋" w:eastAsia="仿宋" w:cs="仿宋"/>
          <w:color w:val="auto"/>
          <w:sz w:val="22"/>
          <w:highlight w:val="none"/>
        </w:rPr>
        <w:t>，具体评标内容及评分标准等详见《第四章：评标办法及评分标准》。</w:t>
      </w:r>
    </w:p>
    <w:p>
      <w:pPr>
        <w:pStyle w:val="13"/>
        <w:tabs>
          <w:tab w:val="left" w:pos="630"/>
        </w:tabs>
        <w:spacing w:line="560" w:lineRule="exact"/>
        <w:ind w:firstLine="433" w:firstLineChars="196"/>
        <w:rPr>
          <w:rFonts w:ascii="仿宋" w:hAnsi="仿宋" w:eastAsia="仿宋" w:cs="仿宋"/>
          <w:b/>
          <w:color w:val="auto"/>
          <w:sz w:val="22"/>
          <w:highlight w:val="none"/>
        </w:rPr>
      </w:pPr>
      <w:r>
        <w:rPr>
          <w:rFonts w:hint="eastAsia" w:ascii="仿宋" w:hAnsi="仿宋" w:eastAsia="仿宋" w:cs="仿宋"/>
          <w:b/>
          <w:color w:val="auto"/>
          <w:sz w:val="22"/>
          <w:highlight w:val="none"/>
        </w:rPr>
        <w:t>（七）废标</w:t>
      </w:r>
    </w:p>
    <w:p>
      <w:pPr>
        <w:pStyle w:val="2"/>
        <w:snapToGrid w:val="0"/>
        <w:spacing w:line="46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在采购中，出现下列情形之一的，应予废标：</w:t>
      </w:r>
    </w:p>
    <w:p>
      <w:pPr>
        <w:pStyle w:val="2"/>
        <w:snapToGrid w:val="0"/>
        <w:spacing w:line="46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1.符合专业条件的供应商或者对招标文件作实质响应的供应商不足3家的；</w:t>
      </w:r>
    </w:p>
    <w:p>
      <w:pPr>
        <w:pStyle w:val="2"/>
        <w:snapToGrid w:val="0"/>
        <w:spacing w:line="46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2.出现影响采购公正的违法、违规行为的；</w:t>
      </w:r>
    </w:p>
    <w:p>
      <w:pPr>
        <w:pStyle w:val="2"/>
        <w:snapToGrid w:val="0"/>
        <w:spacing w:line="460" w:lineRule="exact"/>
        <w:ind w:left="480"/>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3.报价均超过预算，不能支付的；</w:t>
      </w:r>
    </w:p>
    <w:p>
      <w:pPr>
        <w:shd w:val="clear" w:color="auto" w:fill="FFFFFF"/>
        <w:snapToGrid w:val="0"/>
        <w:spacing w:line="460" w:lineRule="exact"/>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 xml:space="preserve">    4.因重大变故，采购任务取消的。</w:t>
      </w:r>
    </w:p>
    <w:p>
      <w:pPr>
        <w:pStyle w:val="5"/>
        <w:tabs>
          <w:tab w:val="left" w:pos="720"/>
          <w:tab w:val="clear" w:pos="709"/>
        </w:tabs>
        <w:spacing w:before="0" w:line="600" w:lineRule="exact"/>
        <w:ind w:left="0" w:firstLine="442" w:firstLineChars="200"/>
        <w:jc w:val="both"/>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（八）可中止电子交易活动的情形</w:t>
      </w:r>
    </w:p>
    <w:p>
      <w:pPr>
        <w:spacing w:line="600" w:lineRule="exact"/>
        <w:ind w:firstLine="605" w:firstLineChars="275"/>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采购过程中出现以下情形，导致电子交易平台无法正常运行，或者无法保证电子交易的公平、公正和安全时，采购组织机构可中止电子交易活动：</w:t>
      </w:r>
    </w:p>
    <w:p>
      <w:pPr>
        <w:spacing w:line="600" w:lineRule="exact"/>
        <w:ind w:firstLine="660" w:firstLineChars="30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1.电子交易平台发生故障而无法登录访问的；</w:t>
      </w:r>
    </w:p>
    <w:p>
      <w:pPr>
        <w:spacing w:line="600" w:lineRule="exact"/>
        <w:ind w:firstLine="605" w:firstLineChars="275"/>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2.电子交易平台应用或数据库出现错误，不能进行正常操作的；</w:t>
      </w:r>
    </w:p>
    <w:p>
      <w:pPr>
        <w:spacing w:line="600" w:lineRule="exact"/>
        <w:ind w:firstLine="605" w:firstLineChars="275"/>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3.电子交易平台发现严重安全漏洞，有潜在泄密危险的；</w:t>
      </w:r>
    </w:p>
    <w:p>
      <w:pPr>
        <w:spacing w:line="600" w:lineRule="exact"/>
        <w:ind w:firstLine="605" w:firstLineChars="275"/>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4.病毒发作导致不能进行正常操作的；</w:t>
      </w:r>
    </w:p>
    <w:p>
      <w:pPr>
        <w:spacing w:line="600" w:lineRule="exact"/>
        <w:ind w:firstLine="605" w:firstLineChars="275"/>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5.其他无法保证电子交易的公平、公正和安全的情况。</w:t>
      </w:r>
    </w:p>
    <w:p>
      <w:pPr>
        <w:spacing w:line="600" w:lineRule="exact"/>
        <w:ind w:firstLine="387" w:firstLineChars="176"/>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出现前款规定情形，不影响采购公平、公正性的，采购组织机构可以待上述情形消除后继续组织电子交易活动；影响或可能影响采购公平、公正性的，应当重新采购。</w:t>
      </w:r>
    </w:p>
    <w:p>
      <w:pPr>
        <w:pStyle w:val="13"/>
        <w:spacing w:line="560" w:lineRule="exact"/>
        <w:rPr>
          <w:rFonts w:ascii="仿宋" w:hAnsi="仿宋" w:eastAsia="仿宋" w:cs="仿宋"/>
          <w:color w:val="auto"/>
          <w:sz w:val="22"/>
          <w:highlight w:val="none"/>
        </w:rPr>
      </w:pPr>
    </w:p>
    <w:p>
      <w:pPr>
        <w:pStyle w:val="13"/>
        <w:spacing w:line="560" w:lineRule="exact"/>
        <w:jc w:val="center"/>
        <w:outlineLvl w:val="1"/>
        <w:rPr>
          <w:rFonts w:ascii="仿宋" w:hAnsi="仿宋" w:eastAsia="仿宋" w:cs="仿宋"/>
          <w:b/>
          <w:color w:val="auto"/>
          <w:sz w:val="28"/>
          <w:szCs w:val="28"/>
          <w:highlight w:val="none"/>
        </w:rPr>
      </w:pPr>
      <w:bookmarkStart w:id="31" w:name="_Toc508900994"/>
      <w:r>
        <w:rPr>
          <w:rFonts w:hint="eastAsia" w:ascii="仿宋" w:hAnsi="仿宋" w:eastAsia="仿宋" w:cs="仿宋"/>
          <w:b/>
          <w:color w:val="auto"/>
          <w:sz w:val="28"/>
          <w:szCs w:val="28"/>
          <w:highlight w:val="none"/>
        </w:rPr>
        <w:t>六、定标</w:t>
      </w:r>
      <w:bookmarkEnd w:id="31"/>
    </w:p>
    <w:p>
      <w:pPr>
        <w:pStyle w:val="13"/>
        <w:spacing w:line="560" w:lineRule="exact"/>
        <w:ind w:firstLine="433" w:firstLineChars="196"/>
        <w:rPr>
          <w:rFonts w:ascii="仿宋" w:hAnsi="仿宋" w:eastAsia="仿宋" w:cs="仿宋"/>
          <w:b/>
          <w:bCs/>
          <w:color w:val="auto"/>
          <w:sz w:val="22"/>
          <w:highlight w:val="none"/>
        </w:rPr>
      </w:pPr>
      <w:r>
        <w:rPr>
          <w:rFonts w:hint="eastAsia" w:ascii="仿宋" w:hAnsi="仿宋" w:eastAsia="仿宋" w:cs="仿宋"/>
          <w:b/>
          <w:bCs/>
          <w:color w:val="auto"/>
          <w:sz w:val="22"/>
          <w:highlight w:val="none"/>
        </w:rPr>
        <w:t>（一）确定中标人。本项目由采购人授权评标委员会直接确定中标人。</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1.采购代理机构在确定之日起2个工作日内在发布招标公告的网站上对中标结果进行公示。</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2.在发布公告的同时，招标采购单位向中标供应商发出中标通知书，中标通知书对采购人和中标供应商具有同等法律效力。</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3.中标通知书发出后，采购人改变中标结果，或者中标供应商放弃中标，应当承担相应的法律责任。</w:t>
      </w:r>
    </w:p>
    <w:p>
      <w:pPr>
        <w:pStyle w:val="13"/>
        <w:spacing w:line="560" w:lineRule="exact"/>
        <w:ind w:firstLine="433" w:firstLineChars="196"/>
        <w:rPr>
          <w:rFonts w:ascii="仿宋" w:hAnsi="仿宋" w:eastAsia="仿宋" w:cs="仿宋"/>
          <w:b/>
          <w:bCs/>
          <w:color w:val="auto"/>
          <w:sz w:val="22"/>
          <w:highlight w:val="none"/>
        </w:rPr>
      </w:pPr>
      <w:r>
        <w:rPr>
          <w:rFonts w:hint="eastAsia" w:ascii="仿宋" w:hAnsi="仿宋" w:eastAsia="仿宋" w:cs="仿宋"/>
          <w:b/>
          <w:bCs/>
          <w:color w:val="auto"/>
          <w:sz w:val="22"/>
          <w:highlight w:val="none"/>
        </w:rPr>
        <w:t>（二）中标通知书</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1.确定中标供应商后，招标采购单位将以书面形式发出中标通知书，通知中标的投标人其投标被接受。</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2.中标通知书为双方签订合同的依据。</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3.中标供应商应根据中标通知书中规定的时间内，由法定代表人或其授权代理人与采购人签订合同。</w:t>
      </w:r>
    </w:p>
    <w:p>
      <w:pPr>
        <w:pStyle w:val="13"/>
        <w:spacing w:line="560" w:lineRule="exact"/>
        <w:jc w:val="center"/>
        <w:outlineLvl w:val="1"/>
        <w:rPr>
          <w:rFonts w:ascii="仿宋" w:hAnsi="仿宋" w:eastAsia="仿宋" w:cs="仿宋"/>
          <w:b/>
          <w:color w:val="auto"/>
          <w:sz w:val="28"/>
          <w:szCs w:val="28"/>
          <w:highlight w:val="none"/>
        </w:rPr>
      </w:pPr>
      <w:bookmarkStart w:id="32" w:name="_Toc508900995"/>
      <w:r>
        <w:rPr>
          <w:rFonts w:hint="eastAsia" w:ascii="仿宋" w:hAnsi="仿宋" w:eastAsia="仿宋" w:cs="仿宋"/>
          <w:b/>
          <w:color w:val="auto"/>
          <w:sz w:val="28"/>
          <w:szCs w:val="28"/>
          <w:highlight w:val="none"/>
        </w:rPr>
        <w:t>七、合同授予</w:t>
      </w:r>
      <w:bookmarkEnd w:id="32"/>
    </w:p>
    <w:p>
      <w:pPr>
        <w:snapToGrid w:val="0"/>
        <w:spacing w:line="560" w:lineRule="exact"/>
        <w:ind w:firstLine="433" w:firstLineChars="196"/>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（一）签订合同</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1.采购人与中标人应当在《中标通知书》发出之日起</w:t>
      </w:r>
      <w:r>
        <w:rPr>
          <w:rFonts w:hint="eastAsia" w:ascii="仿宋" w:hAnsi="仿宋" w:eastAsia="仿宋" w:cs="仿宋"/>
          <w:color w:val="auto"/>
          <w:sz w:val="22"/>
          <w:szCs w:val="22"/>
          <w:highlight w:val="none"/>
          <w:u w:val="single"/>
        </w:rPr>
        <w:t>30</w:t>
      </w:r>
      <w:r>
        <w:rPr>
          <w:rFonts w:hint="eastAsia" w:ascii="仿宋" w:hAnsi="仿宋" w:eastAsia="仿宋" w:cs="仿宋"/>
          <w:color w:val="auto"/>
          <w:sz w:val="22"/>
          <w:szCs w:val="22"/>
          <w:highlight w:val="none"/>
        </w:rPr>
        <w:t>日内签订政府采购合同。</w:t>
      </w:r>
    </w:p>
    <w:p>
      <w:pPr>
        <w:snapToGrid w:val="0"/>
        <w:spacing w:line="560" w:lineRule="exact"/>
        <w:ind w:firstLine="440" w:firstLineChars="200"/>
        <w:rPr>
          <w:rFonts w:ascii="仿宋" w:hAnsi="仿宋" w:eastAsia="仿宋" w:cs="仿宋"/>
          <w:bCs/>
          <w:color w:val="auto"/>
          <w:sz w:val="32"/>
          <w:highlight w:val="none"/>
        </w:rPr>
      </w:pPr>
      <w:r>
        <w:rPr>
          <w:rFonts w:hint="eastAsia" w:ascii="仿宋" w:hAnsi="仿宋" w:eastAsia="仿宋" w:cs="仿宋"/>
          <w:color w:val="auto"/>
          <w:sz w:val="22"/>
          <w:szCs w:val="22"/>
          <w:highlight w:val="none"/>
        </w:rPr>
        <w:t>2.中标人拖延、拒签合同的,将被取消中标资格。</w:t>
      </w:r>
    </w:p>
    <w:p>
      <w:pPr>
        <w:pStyle w:val="2"/>
        <w:ind w:left="0" w:leftChars="0"/>
        <w:rPr>
          <w:rFonts w:ascii="仿宋" w:hAnsi="仿宋" w:eastAsia="仿宋" w:cs="仿宋"/>
          <w:bCs/>
          <w:color w:val="auto"/>
          <w:sz w:val="32"/>
          <w:highlight w:val="none"/>
        </w:rPr>
      </w:pPr>
    </w:p>
    <w:p>
      <w:pPr>
        <w:pStyle w:val="2"/>
        <w:ind w:left="0" w:leftChars="0"/>
        <w:rPr>
          <w:rFonts w:ascii="仿宋" w:hAnsi="仿宋" w:eastAsia="仿宋" w:cs="仿宋"/>
          <w:bCs/>
          <w:color w:val="auto"/>
          <w:sz w:val="32"/>
          <w:highlight w:val="none"/>
        </w:rPr>
      </w:pPr>
    </w:p>
    <w:p>
      <w:pPr>
        <w:pStyle w:val="2"/>
        <w:ind w:left="0" w:leftChars="0"/>
        <w:rPr>
          <w:rFonts w:ascii="仿宋" w:hAnsi="仿宋" w:eastAsia="仿宋" w:cs="仿宋"/>
          <w:bCs/>
          <w:color w:val="auto"/>
          <w:sz w:val="32"/>
          <w:highlight w:val="none"/>
        </w:rPr>
      </w:pPr>
    </w:p>
    <w:p>
      <w:pPr>
        <w:snapToGrid w:val="0"/>
        <w:spacing w:beforeLines="50" w:afterLines="50" w:line="320" w:lineRule="exact"/>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第四章  评标办法及评分标准</w:t>
      </w:r>
    </w:p>
    <w:p>
      <w:pPr>
        <w:spacing w:beforeLines="50" w:afterLines="50" w:line="400" w:lineRule="exact"/>
        <w:ind w:firstLine="42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为公正、公平、科学地选择中标人，根据《中华人民共和国政府采购法》等有关法律法规的规定，并结合本项目的实际，制定本办法。</w:t>
      </w:r>
    </w:p>
    <w:p>
      <w:pPr>
        <w:spacing w:beforeLines="50" w:afterLines="50" w:line="400" w:lineRule="exact"/>
        <w:ind w:firstLine="420"/>
        <w:rPr>
          <w:rFonts w:ascii="仿宋" w:hAnsi="仿宋" w:eastAsia="仿宋" w:cs="仿宋"/>
          <w:bCs/>
          <w:color w:val="auto"/>
          <w:sz w:val="22"/>
          <w:szCs w:val="22"/>
          <w:highlight w:val="none"/>
        </w:rPr>
      </w:pPr>
      <w:r>
        <w:rPr>
          <w:rFonts w:hint="eastAsia" w:ascii="仿宋" w:hAnsi="仿宋" w:eastAsia="仿宋" w:cs="仿宋"/>
          <w:color w:val="auto"/>
          <w:sz w:val="22"/>
          <w:szCs w:val="22"/>
          <w:highlight w:val="none"/>
        </w:rPr>
        <w:t>本办法适用于</w:t>
      </w:r>
      <w:r>
        <w:rPr>
          <w:rFonts w:hint="eastAsia" w:ascii="仿宋" w:hAnsi="仿宋" w:eastAsia="仿宋" w:cs="仿宋"/>
          <w:color w:val="auto"/>
          <w:sz w:val="22"/>
          <w:szCs w:val="22"/>
          <w:highlight w:val="none"/>
          <w:u w:val="single"/>
          <w:lang w:val="zh-CN"/>
        </w:rPr>
        <w:t>湖州市中心医院新医院安全保卫服务项目</w:t>
      </w:r>
      <w:r>
        <w:rPr>
          <w:rFonts w:hint="eastAsia" w:ascii="仿宋" w:hAnsi="仿宋" w:eastAsia="仿宋" w:cs="仿宋"/>
          <w:bCs/>
          <w:color w:val="auto"/>
          <w:sz w:val="22"/>
          <w:szCs w:val="22"/>
          <w:highlight w:val="none"/>
        </w:rPr>
        <w:t>的评标。</w:t>
      </w:r>
    </w:p>
    <w:p>
      <w:pPr>
        <w:tabs>
          <w:tab w:val="left" w:pos="3265"/>
        </w:tabs>
        <w:spacing w:beforeLines="50" w:afterLines="50" w:line="360" w:lineRule="auto"/>
        <w:ind w:firstLine="216" w:firstLineChars="98"/>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一．评标办法及标准</w:t>
      </w:r>
    </w:p>
    <w:p>
      <w:pPr>
        <w:spacing w:beforeLines="50" w:afterLines="50" w:line="360" w:lineRule="auto"/>
        <w:ind w:firstLine="323" w:firstLineChars="147"/>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本次评标采用综合评分法，总分为100分，其中</w:t>
      </w:r>
      <w:r>
        <w:rPr>
          <w:rFonts w:hint="eastAsia" w:ascii="仿宋" w:hAnsi="仿宋" w:eastAsia="仿宋" w:cs="仿宋"/>
          <w:b/>
          <w:color w:val="auto"/>
          <w:sz w:val="22"/>
          <w:szCs w:val="22"/>
          <w:highlight w:val="none"/>
        </w:rPr>
        <w:t>价格分为15分，技术、商务资信分为85分</w:t>
      </w:r>
      <w:r>
        <w:rPr>
          <w:rFonts w:hint="eastAsia" w:ascii="仿宋" w:hAnsi="仿宋" w:eastAsia="仿宋" w:cs="仿宋"/>
          <w:color w:val="auto"/>
          <w:sz w:val="22"/>
          <w:szCs w:val="22"/>
          <w:highlight w:val="none"/>
        </w:rPr>
        <w:t>。合格投标人的评标得分为各项目汇总得分。评标结果按评审后得分由高到低顺序排列。得分相同的，按投标报价由低到高顺序排列。得分且投标报价相同的由采购人随机选取。本项目由采购人授权评标委员会直接确定中标人。评分过程中采用四舍五入法，并保留小数2位。</w:t>
      </w:r>
    </w:p>
    <w:p>
      <w:pPr>
        <w:spacing w:beforeLines="50" w:afterLines="50" w:line="360" w:lineRule="auto"/>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投标人评标</w:t>
      </w:r>
      <w:r>
        <w:rPr>
          <w:rFonts w:hint="eastAsia" w:ascii="仿宋" w:hAnsi="仿宋" w:eastAsia="仿宋" w:cs="仿宋"/>
          <w:bCs/>
          <w:color w:val="auto"/>
          <w:sz w:val="22"/>
          <w:szCs w:val="22"/>
          <w:highlight w:val="none"/>
        </w:rPr>
        <w:t>综合得分=价格分+(技术分+商务资信分)</w:t>
      </w:r>
    </w:p>
    <w:p>
      <w:pPr>
        <w:spacing w:beforeLines="50" w:afterLines="50" w:line="360" w:lineRule="auto"/>
        <w:ind w:firstLine="442" w:firstLineChars="20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二、评标内容及标准</w:t>
      </w:r>
    </w:p>
    <w:p>
      <w:pPr>
        <w:spacing w:beforeLines="50" w:afterLines="50" w:line="360" w:lineRule="auto"/>
        <w:ind w:firstLine="433" w:firstLineChars="196"/>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（1）价格分（15分）</w:t>
      </w:r>
    </w:p>
    <w:p>
      <w:pPr>
        <w:pStyle w:val="2"/>
        <w:tabs>
          <w:tab w:val="left" w:pos="0"/>
          <w:tab w:val="left" w:pos="993"/>
          <w:tab w:val="left" w:pos="1134"/>
        </w:tabs>
        <w:spacing w:beforeLines="50" w:afterLines="50" w:line="360" w:lineRule="auto"/>
        <w:ind w:left="480" w:firstLine="442" w:firstLineChars="200"/>
        <w:rPr>
          <w:rFonts w:ascii="仿宋" w:hAnsi="仿宋" w:eastAsia="仿宋" w:cs="仿宋"/>
          <w:bCs/>
          <w:color w:val="auto"/>
          <w:sz w:val="22"/>
          <w:szCs w:val="22"/>
          <w:highlight w:val="none"/>
        </w:rPr>
      </w:pPr>
      <w:r>
        <w:rPr>
          <w:rFonts w:hint="eastAsia" w:ascii="仿宋" w:hAnsi="仿宋" w:eastAsia="仿宋" w:cs="仿宋"/>
          <w:b/>
          <w:color w:val="auto"/>
          <w:sz w:val="22"/>
          <w:szCs w:val="22"/>
          <w:highlight w:val="none"/>
        </w:rPr>
        <w:t>1、投标总报价（15分）：本项目招标限价为</w:t>
      </w:r>
      <w:r>
        <w:rPr>
          <w:rFonts w:hint="eastAsia" w:ascii="仿宋" w:hAnsi="仿宋" w:eastAsia="仿宋" w:cs="仿宋"/>
          <w:b/>
          <w:color w:val="auto"/>
          <w:sz w:val="22"/>
          <w:szCs w:val="22"/>
          <w:highlight w:val="none"/>
          <w:u w:val="single"/>
        </w:rPr>
        <w:t>1485万元</w:t>
      </w:r>
      <w:r>
        <w:rPr>
          <w:rFonts w:hint="eastAsia" w:ascii="仿宋" w:hAnsi="仿宋" w:eastAsia="仿宋" w:cs="仿宋"/>
          <w:b/>
          <w:color w:val="auto"/>
          <w:sz w:val="22"/>
          <w:szCs w:val="22"/>
          <w:highlight w:val="none"/>
        </w:rPr>
        <w:t>，投标人的报价高于招标限价的，则该报价为无效投标；</w:t>
      </w:r>
      <w:r>
        <w:rPr>
          <w:rFonts w:hint="eastAsia" w:ascii="仿宋" w:hAnsi="仿宋" w:eastAsia="仿宋" w:cs="仿宋"/>
          <w:bCs/>
          <w:color w:val="auto"/>
          <w:sz w:val="22"/>
          <w:szCs w:val="22"/>
          <w:highlight w:val="none"/>
        </w:rPr>
        <w:t>价格分采用低价优先法计算，取所有有效投标人中投标总报价最低的报价为评标基准价，其他投标人的价格分按照下列公式计算：</w:t>
      </w:r>
    </w:p>
    <w:p>
      <w:pPr>
        <w:spacing w:beforeLines="50" w:afterLines="50" w:line="360" w:lineRule="auto"/>
        <w:ind w:firstLine="848" w:firstLineChars="400"/>
        <w:rPr>
          <w:rFonts w:ascii="仿宋" w:hAnsi="仿宋" w:eastAsia="仿宋" w:cs="仿宋"/>
          <w:bCs/>
          <w:color w:val="auto"/>
          <w:spacing w:val="-4"/>
          <w:sz w:val="22"/>
          <w:szCs w:val="22"/>
          <w:highlight w:val="none"/>
        </w:rPr>
      </w:pPr>
      <w:r>
        <w:rPr>
          <w:rFonts w:hint="eastAsia" w:ascii="仿宋" w:hAnsi="仿宋" w:eastAsia="仿宋" w:cs="仿宋"/>
          <w:bCs/>
          <w:color w:val="auto"/>
          <w:spacing w:val="-4"/>
          <w:sz w:val="22"/>
          <w:szCs w:val="22"/>
          <w:highlight w:val="none"/>
        </w:rPr>
        <w:t>价格分=（评标基准价/投标报价）×15%×100</w:t>
      </w:r>
    </w:p>
    <w:p>
      <w:pPr>
        <w:spacing w:line="400" w:lineRule="exact"/>
        <w:ind w:firstLine="323" w:firstLineChars="147"/>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评标委员会在评审时发现投标人得报价明显高于其市场报价的，应当要求投标人书面说明并提供相关证明材料。投标人不能当场合理说明原因并提供证明材料的，评标委员会应将该投标人的投标文件作无效处理，并在评审报告中说明。</w:t>
      </w:r>
    </w:p>
    <w:p>
      <w:pPr>
        <w:spacing w:line="400" w:lineRule="exact"/>
        <w:ind w:firstLine="323" w:firstLineChars="147"/>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注：根据浙江省财政厅浙江省中小企业局转发财政部工业和信息化部关于印发《政府采购促进中小企业发展暂行办法》的通知（浙财采监【2012】11号文）规定，参加浙江省政府采购的中小企业供应商，应根据浙江省财政厅《关于开展政府采购供应商网上注册登记和诚信管理工作的通知》（浙财采监【2010】8号文）的要求，通过浙江政府采购网申请注册加入政府采购供应商库。</w:t>
      </w:r>
    </w:p>
    <w:p>
      <w:pPr>
        <w:spacing w:line="400" w:lineRule="exact"/>
        <w:ind w:firstLine="323" w:firstLineChars="147"/>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已注册入库且符合《政府采购促进中小企业发展暂行办法》规定的小微企业条件的，在参加浙江省政府采购活动时可享受《政府采购促进中小企业发展暂行办法》规定的优惠政策。供应商应按照浙江省财政厅浙江省中小企业局转发财政部工业和信息化部关于印发《政府采购促进中小企业发展暂行办法》的通知（浙财采监【2012】11号文）规定，在报价文件中按照规定格式，提供《中小企业申明函》，同时在报价文件中提供投标人注册加入政府采购供应商库的相应证明材料，才可享受价格扣除后参与评审的优惠。</w:t>
      </w:r>
    </w:p>
    <w:p>
      <w:pPr>
        <w:spacing w:line="400" w:lineRule="exact"/>
        <w:ind w:firstLine="323" w:firstLineChars="147"/>
        <w:rPr>
          <w:rFonts w:ascii="仿宋" w:hAnsi="仿宋" w:eastAsia="仿宋" w:cs="仿宋"/>
          <w:bCs/>
          <w:color w:val="auto"/>
          <w:spacing w:val="-4"/>
          <w:sz w:val="22"/>
          <w:szCs w:val="22"/>
          <w:highlight w:val="none"/>
        </w:rPr>
      </w:pPr>
      <w:r>
        <w:rPr>
          <w:rFonts w:hint="eastAsia" w:ascii="仿宋" w:hAnsi="仿宋" w:eastAsia="仿宋" w:cs="仿宋"/>
          <w:color w:val="auto"/>
          <w:sz w:val="22"/>
          <w:szCs w:val="22"/>
          <w:highlight w:val="none"/>
        </w:rPr>
        <w:t>本项目根据《政府采购促进中小企业发展暂行办法》（财库【2011】181号）规定，对小型和微型企业的价格给予6%的扣除，用扣除后的价格参与评审。监狱企业视同小型、微型企业。</w:t>
      </w:r>
    </w:p>
    <w:p>
      <w:pPr>
        <w:spacing w:beforeLines="50" w:afterLines="50" w:line="360" w:lineRule="auto"/>
        <w:ind w:firstLine="433" w:firstLineChars="196"/>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（2）技术、商务资信分（85分）</w:t>
      </w:r>
    </w:p>
    <w:p>
      <w:pPr>
        <w:spacing w:beforeLines="50" w:afterLines="50"/>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按照评标委员会成员的独立评分结果汇总数的算术平均分计算，计算公式为：</w:t>
      </w:r>
    </w:p>
    <w:p>
      <w:pPr>
        <w:ind w:firstLine="442" w:firstLineChars="200"/>
        <w:rPr>
          <w:rFonts w:ascii="仿宋" w:hAnsi="仿宋" w:eastAsia="仿宋" w:cs="仿宋"/>
          <w:color w:val="auto"/>
          <w:sz w:val="22"/>
          <w:szCs w:val="22"/>
          <w:highlight w:val="none"/>
        </w:rPr>
      </w:pPr>
      <w:r>
        <w:rPr>
          <w:rFonts w:hint="eastAsia" w:ascii="仿宋" w:hAnsi="仿宋" w:eastAsia="仿宋" w:cs="仿宋"/>
          <w:b/>
          <w:color w:val="auto"/>
          <w:sz w:val="22"/>
          <w:szCs w:val="22"/>
          <w:highlight w:val="none"/>
        </w:rPr>
        <w:t>技术、商务资信分</w:t>
      </w:r>
      <w:r>
        <w:rPr>
          <w:rFonts w:hint="eastAsia" w:ascii="仿宋" w:hAnsi="仿宋" w:eastAsia="仿宋" w:cs="仿宋"/>
          <w:color w:val="auto"/>
          <w:sz w:val="22"/>
          <w:szCs w:val="22"/>
          <w:highlight w:val="none"/>
        </w:rPr>
        <w:t>=评标委员会所有成员评分合计数/评标委员会组成人员数</w:t>
      </w:r>
    </w:p>
    <w:p>
      <w:pPr>
        <w:pStyle w:val="2"/>
        <w:ind w:left="0" w:leftChars="0"/>
        <w:rPr>
          <w:rFonts w:ascii="仿宋" w:hAnsi="仿宋" w:eastAsia="仿宋" w:cs="仿宋"/>
          <w:color w:val="auto"/>
          <w:sz w:val="22"/>
          <w:szCs w:val="22"/>
          <w:highlight w:val="none"/>
        </w:rPr>
      </w:pPr>
    </w:p>
    <w:tbl>
      <w:tblPr>
        <w:tblStyle w:val="27"/>
        <w:tblW w:w="86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2"/>
        <w:gridCol w:w="2224"/>
        <w:gridCol w:w="4289"/>
        <w:gridCol w:w="1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682" w:type="dxa"/>
            <w:vAlign w:val="center"/>
          </w:tcPr>
          <w:p>
            <w:pPr>
              <w:widowControl/>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2224" w:type="dxa"/>
            <w:vAlign w:val="center"/>
          </w:tcPr>
          <w:p>
            <w:pPr>
              <w:widowControl/>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项目</w:t>
            </w:r>
          </w:p>
        </w:tc>
        <w:tc>
          <w:tcPr>
            <w:tcW w:w="4289" w:type="dxa"/>
            <w:vAlign w:val="center"/>
          </w:tcPr>
          <w:p>
            <w:pPr>
              <w:widowControl/>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评审标准及分值</w:t>
            </w:r>
          </w:p>
        </w:tc>
        <w:tc>
          <w:tcPr>
            <w:tcW w:w="1430" w:type="dxa"/>
            <w:vAlign w:val="center"/>
          </w:tcPr>
          <w:p>
            <w:pPr>
              <w:widowControl/>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总分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7195" w:type="dxa"/>
            <w:gridSpan w:val="3"/>
            <w:vAlign w:val="center"/>
          </w:tcPr>
          <w:p>
            <w:pPr>
              <w:widowControl/>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一、技术部分</w:t>
            </w:r>
          </w:p>
        </w:tc>
        <w:tc>
          <w:tcPr>
            <w:tcW w:w="1430" w:type="dxa"/>
            <w:vAlign w:val="center"/>
          </w:tcPr>
          <w:p>
            <w:pPr>
              <w:widowControl/>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224" w:type="dxa"/>
            <w:tcBorders>
              <w:bottom w:val="single" w:color="auto" w:sz="4" w:space="0"/>
            </w:tcBorders>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针对本项目的安保服务理念、定位、目标</w:t>
            </w:r>
          </w:p>
        </w:tc>
        <w:tc>
          <w:tcPr>
            <w:tcW w:w="4289" w:type="dxa"/>
            <w:tcBorders>
              <w:bottom w:val="single" w:color="auto" w:sz="4" w:space="0"/>
            </w:tcBorders>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根据供应商针对本项目服务特点提出合理的管理服务理念、服务定位、目标进行评价。</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（1）对项目理解到位，有针对本项目的近期、远期服务目标，目标层次非常清晰、具体，可执行得4-5分；</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（2）对于项目有一定的理解，但目标层次有欠缺，指标操作性弱或不可衡量得2-3分；</w:t>
            </w:r>
          </w:p>
          <w:p>
            <w:pPr>
              <w:widowControl/>
              <w:jc w:val="left"/>
              <w:rPr>
                <w:color w:val="auto"/>
                <w:highlight w:val="none"/>
              </w:rPr>
            </w:pPr>
            <w:r>
              <w:rPr>
                <w:rFonts w:hint="eastAsia" w:ascii="仿宋" w:hAnsi="仿宋" w:eastAsia="仿宋" w:cs="仿宋"/>
                <w:color w:val="auto"/>
                <w:sz w:val="21"/>
                <w:szCs w:val="21"/>
                <w:highlight w:val="none"/>
              </w:rPr>
              <w:t>（3）项目理解有偏差，服务目标层次不明确不具体得1分或不得分。</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2224" w:type="dxa"/>
            <w:tcBorders>
              <w:top w:val="single" w:color="auto" w:sz="4" w:space="0"/>
            </w:tcBorders>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安全保卫服务的具体措施</w:t>
            </w:r>
          </w:p>
        </w:tc>
        <w:tc>
          <w:tcPr>
            <w:tcW w:w="4289" w:type="dxa"/>
            <w:tcBorders>
              <w:top w:val="single" w:color="auto" w:sz="4" w:space="0"/>
            </w:tcBorders>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1、管理方案适应本项目的需求，在此基础上有优化得0-2分。</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2、工作范围齐全的得2分，内容有欠缺的每处扣1分。扣完为止。</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3、岗位配置充分的得2分，内容有欠缺的每处扣1分。扣完为止。</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4、服务标准设计合理的得2分。内容有欠缺的每处扣1分。扣完为止。</w:t>
            </w:r>
          </w:p>
          <w:p>
            <w:pPr>
              <w:widowControl/>
              <w:jc w:val="left"/>
              <w:rPr>
                <w:color w:val="auto"/>
                <w:highlight w:val="none"/>
              </w:rPr>
            </w:pPr>
            <w:r>
              <w:rPr>
                <w:rFonts w:hint="eastAsia" w:ascii="仿宋" w:hAnsi="仿宋" w:eastAsia="仿宋" w:cs="仿宋"/>
                <w:color w:val="auto"/>
                <w:sz w:val="21"/>
                <w:szCs w:val="21"/>
                <w:highlight w:val="none"/>
              </w:rPr>
              <w:t>5、考核办法设计合理的得2分。内容有欠缺的每处扣1分。扣完为止。</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2224" w:type="dxa"/>
            <w:tcBorders>
              <w:top w:val="single" w:color="auto" w:sz="4" w:space="0"/>
            </w:tcBorders>
            <w:vAlign w:val="center"/>
          </w:tcPr>
          <w:p>
            <w:pPr>
              <w:widowControl/>
              <w:jc w:val="center"/>
              <w:rPr>
                <w:rFonts w:ascii="仿宋" w:hAnsi="仿宋" w:eastAsia="仿宋" w:cs="仿宋"/>
                <w:color w:val="auto"/>
                <w:sz w:val="21"/>
                <w:szCs w:val="21"/>
                <w:highlight w:val="none"/>
              </w:rPr>
            </w:pPr>
          </w:p>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管理规章制度</w:t>
            </w:r>
          </w:p>
          <w:p>
            <w:pPr>
              <w:widowControl/>
              <w:jc w:val="center"/>
              <w:rPr>
                <w:rFonts w:ascii="仿宋" w:hAnsi="仿宋" w:eastAsia="仿宋" w:cs="仿宋"/>
                <w:color w:val="auto"/>
                <w:sz w:val="21"/>
                <w:szCs w:val="21"/>
                <w:highlight w:val="none"/>
              </w:rPr>
            </w:pPr>
          </w:p>
        </w:tc>
        <w:tc>
          <w:tcPr>
            <w:tcW w:w="4289" w:type="dxa"/>
            <w:tcBorders>
              <w:top w:val="single" w:color="auto" w:sz="4" w:space="0"/>
            </w:tcBorders>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1、各项规章制度完善、适用性强、各项要求符合规范，制度设计科学、合理、具有操作性，得5分；</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2、有针对性的管理制度，能够满足项目的服务要求，得3-4分；</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3、有相关的管理制度，但内容不够完善，得1-2分；</w:t>
            </w:r>
          </w:p>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4.管理制度欠缺，不能适应项目服务要求不得分。</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224" w:type="dxa"/>
            <w:tcBorders>
              <w:top w:val="single" w:color="auto" w:sz="4" w:space="0"/>
            </w:tcBorders>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突发应急预案</w:t>
            </w:r>
          </w:p>
        </w:tc>
        <w:tc>
          <w:tcPr>
            <w:tcW w:w="4289" w:type="dxa"/>
            <w:tcBorders>
              <w:top w:val="single" w:color="auto" w:sz="4" w:space="0"/>
            </w:tcBorders>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增援计划、突发事件（包括但不限于台风、暴雨等灾害性天气、地震、群体性事件、暴恐事件、火灾等突发事件）反应迅速，预案处置有力得5分，内容有欠缺，每处扣1分，扣完为止。</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7"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设备装备投入方案</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在符合招标需求的基础上，按设备装备投入的齐备性、先进性进行评比。</w:t>
            </w:r>
          </w:p>
        </w:tc>
        <w:tc>
          <w:tcPr>
            <w:tcW w:w="1430" w:type="dxa"/>
            <w:vAlign w:val="center"/>
          </w:tcPr>
          <w:p>
            <w:pPr>
              <w:widowControl/>
              <w:jc w:val="center"/>
              <w:rPr>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消防工作管理方</w:t>
            </w:r>
          </w:p>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案和保障措施</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按照要求设置定期对消防设施检查的措施，措施得力，可操作性强得5分，内容有欠缺的每处扣1分。扣完为止。</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人员培训方案</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人员培训方案的内容满足招标文件需求，且与本项目定位和管理目标一致，培训方案全面合理合法的得5分，内容有欠缺的每处扣1分。扣完为止。</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7"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人员配置</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1）拟派本项目的保安员获得县（区）级及以上技能比武优胜者前5名每人得2分，</w:t>
            </w:r>
            <w:r>
              <w:rPr>
                <w:rFonts w:hint="eastAsia" w:ascii="仿宋" w:hAnsi="仿宋" w:eastAsia="仿宋" w:cs="仿宋"/>
                <w:color w:val="auto"/>
                <w:sz w:val="21"/>
                <w:szCs w:val="21"/>
                <w:highlight w:val="none"/>
                <w:lang w:eastAsia="zh-CN"/>
              </w:rPr>
              <w:t>同一人</w:t>
            </w:r>
            <w:r>
              <w:rPr>
                <w:rFonts w:hint="eastAsia" w:ascii="仿宋" w:hAnsi="仿宋" w:eastAsia="仿宋" w:cs="仿宋"/>
                <w:color w:val="auto"/>
                <w:sz w:val="21"/>
                <w:szCs w:val="21"/>
                <w:highlight w:val="none"/>
              </w:rPr>
              <w:t>不重复计分。最高得10分；</w:t>
            </w:r>
          </w:p>
          <w:p>
            <w:pPr>
              <w:widowControl/>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2）拟派本项目的保安员中获得省级及以上十佳保安员或优秀保安员或劳模称号的得3分；获得市级十佳保安员或优秀保安员或劳模称号的得2分。</w:t>
            </w:r>
            <w:r>
              <w:rPr>
                <w:rFonts w:hint="eastAsia" w:ascii="仿宋" w:hAnsi="仿宋" w:eastAsia="仿宋" w:cs="仿宋"/>
                <w:color w:val="auto"/>
                <w:sz w:val="21"/>
                <w:szCs w:val="21"/>
                <w:highlight w:val="none"/>
                <w:lang w:eastAsia="zh-CN"/>
              </w:rPr>
              <w:t>最高得</w:t>
            </w:r>
            <w:r>
              <w:rPr>
                <w:rFonts w:hint="eastAsia" w:ascii="仿宋" w:hAnsi="仿宋" w:eastAsia="仿宋" w:cs="仿宋"/>
                <w:color w:val="auto"/>
                <w:sz w:val="21"/>
                <w:szCs w:val="21"/>
                <w:highlight w:val="none"/>
                <w:lang w:val="en-US" w:eastAsia="zh-CN"/>
              </w:rPr>
              <w:t>3分</w:t>
            </w:r>
            <w:r>
              <w:rPr>
                <w:rFonts w:hint="eastAsia" w:ascii="仿宋" w:hAnsi="仿宋" w:eastAsia="仿宋" w:cs="仿宋"/>
                <w:color w:val="auto"/>
                <w:sz w:val="21"/>
                <w:szCs w:val="21"/>
                <w:highlight w:val="none"/>
                <w:lang w:eastAsia="zh-CN"/>
              </w:rPr>
              <w:t>。</w:t>
            </w:r>
          </w:p>
          <w:p>
            <w:pPr>
              <w:pStyle w:val="2"/>
              <w:ind w:left="0" w:leftChars="0"/>
              <w:rPr>
                <w:rFonts w:eastAsia="仿宋"/>
                <w:color w:val="auto"/>
                <w:highlight w:val="none"/>
              </w:rPr>
            </w:pPr>
            <w:r>
              <w:rPr>
                <w:rFonts w:hint="eastAsia" w:ascii="仿宋" w:hAnsi="仿宋" w:eastAsia="仿宋" w:cs="仿宋"/>
                <w:color w:val="auto"/>
                <w:sz w:val="21"/>
                <w:szCs w:val="21"/>
                <w:highlight w:val="none"/>
              </w:rPr>
              <w:t>以上</w:t>
            </w:r>
            <w:r>
              <w:rPr>
                <w:rFonts w:hint="eastAsia" w:ascii="仿宋" w:hAnsi="仿宋" w:eastAsia="仿宋" w:cs="仿宋"/>
                <w:color w:val="auto"/>
                <w:sz w:val="21"/>
                <w:szCs w:val="21"/>
                <w:highlight w:val="none"/>
                <w:lang w:val="en-US" w:eastAsia="zh-CN"/>
              </w:rPr>
              <w:t>1）、2）</w:t>
            </w:r>
            <w:r>
              <w:rPr>
                <w:rFonts w:hint="eastAsia" w:ascii="仿宋" w:hAnsi="仿宋" w:eastAsia="仿宋" w:cs="仿宋"/>
                <w:color w:val="auto"/>
                <w:sz w:val="21"/>
                <w:szCs w:val="21"/>
                <w:highlight w:val="none"/>
              </w:rPr>
              <w:t>同一人可重复得分。</w:t>
            </w:r>
          </w:p>
          <w:p>
            <w:pPr>
              <w:pStyle w:val="2"/>
              <w:ind w:left="0" w:leftChars="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3）项目负责人有大专及以上学历、在本单位工作满三个月得2分；项目负责人具有保安管理师及以上等级证书的得2分。（学历以教育部提供的学历证书为准）。</w:t>
            </w:r>
          </w:p>
          <w:p>
            <w:pPr>
              <w:pStyle w:val="46"/>
              <w:rPr>
                <w:rFonts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注：提供的人员必须为投标人本单位职工，提供由行政部门颁发的人员证书原件的扫描件及社保部门出具的本单位缴纳的近三个月的社保缴费证明，加盖公章。</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0-17分</w:t>
            </w:r>
          </w:p>
          <w:p>
            <w:pPr>
              <w:pStyle w:val="2"/>
              <w:ind w:left="0" w:leftChars="0"/>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保安薪酬方案</w:t>
            </w:r>
          </w:p>
        </w:tc>
        <w:tc>
          <w:tcPr>
            <w:tcW w:w="4289" w:type="dxa"/>
            <w:vAlign w:val="center"/>
          </w:tcPr>
          <w:p>
            <w:pPr>
              <w:widowControl/>
              <w:numPr>
                <w:ilvl w:val="0"/>
                <w:numId w:val="7"/>
              </w:numP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方案体现薪酬的构成、核算方式、发放时间的得2分。有欠缺的每处扣1分。</w:t>
            </w:r>
          </w:p>
          <w:p>
            <w:pPr>
              <w:widowControl/>
              <w:numPr>
                <w:ilvl w:val="0"/>
                <w:numId w:val="7"/>
              </w:numP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中保安员纯人工工资平均值不能低于湖州市最低工资标准（1800元），高出标准70%（含）以上得1分，高出标准90%（含）以上得2分，高出标准100%及以上得3分。（保安员纯人工工资平均值的数值以《保安员工资明细表》中为准）</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7195" w:type="dxa"/>
            <w:gridSpan w:val="3"/>
            <w:tcBorders>
              <w:bottom w:val="single" w:color="auto" w:sz="4" w:space="0"/>
            </w:tcBorders>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二、商务资信及其他</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6" w:hRule="atLeast"/>
          <w:jc w:val="center"/>
        </w:trPr>
        <w:tc>
          <w:tcPr>
            <w:tcW w:w="682" w:type="dxa"/>
            <w:tcBorders>
              <w:bottom w:val="single" w:color="auto" w:sz="4" w:space="0"/>
            </w:tcBorders>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2224" w:type="dxa"/>
            <w:tcBorders>
              <w:bottom w:val="single" w:color="auto" w:sz="4" w:space="0"/>
            </w:tcBorders>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企业业绩</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提供投标人自2017年1月1日以来（以合同签订时间为准）完成类似项目（指安保服务项目）业绩进行评定。提供合同原件的扫描件</w:t>
            </w:r>
            <w:r>
              <w:rPr>
                <w:rFonts w:hint="eastAsia" w:ascii="仿宋" w:hAnsi="仿宋" w:eastAsia="仿宋" w:cs="仿宋"/>
                <w:color w:val="auto"/>
                <w:sz w:val="21"/>
                <w:szCs w:val="21"/>
                <w:highlight w:val="none"/>
                <w:lang w:eastAsia="zh-CN"/>
              </w:rPr>
              <w:t>，并加盖公章</w:t>
            </w:r>
            <w:r>
              <w:rPr>
                <w:rFonts w:hint="eastAsia" w:ascii="仿宋" w:hAnsi="仿宋" w:eastAsia="仿宋" w:cs="仿宋"/>
                <w:color w:val="auto"/>
                <w:sz w:val="21"/>
                <w:szCs w:val="21"/>
                <w:highlight w:val="none"/>
              </w:rPr>
              <w:t>，每提供一个得1分，最多得5分。</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企业等级证书</w:t>
            </w:r>
          </w:p>
        </w:tc>
        <w:tc>
          <w:tcPr>
            <w:tcW w:w="4289" w:type="dxa"/>
            <w:vAlign w:val="center"/>
          </w:tcPr>
          <w:p>
            <w:pPr>
              <w:widowControl/>
              <w:numPr>
                <w:ilvl w:val="0"/>
                <w:numId w:val="8"/>
              </w:numP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投标人具有《浙江省保安服务公司等级评定证书》的，一级得3分，二级得2分，三级得1分；</w:t>
            </w:r>
          </w:p>
          <w:p>
            <w:pPr>
              <w:widowControl/>
              <w:numPr>
                <w:ilvl w:val="0"/>
                <w:numId w:val="8"/>
              </w:numPr>
              <w:jc w:val="left"/>
              <w:rPr>
                <w:color w:val="auto"/>
                <w:highlight w:val="none"/>
              </w:rPr>
            </w:pPr>
            <w:r>
              <w:rPr>
                <w:rFonts w:hint="eastAsia" w:ascii="仿宋" w:hAnsi="仿宋" w:eastAsia="仿宋" w:cs="仿宋"/>
                <w:color w:val="auto"/>
                <w:sz w:val="21"/>
                <w:szCs w:val="21"/>
                <w:highlight w:val="none"/>
              </w:rPr>
              <w:t>投标人获得省级以上安全技术防范行业等级证书的，一级得3分，二级得2分，三级得1分。</w:t>
            </w:r>
          </w:p>
          <w:p>
            <w:pPr>
              <w:widowControl/>
              <w:jc w:val="left"/>
              <w:rPr>
                <w:color w:val="auto"/>
                <w:highlight w:val="none"/>
              </w:rPr>
            </w:pPr>
            <w:r>
              <w:rPr>
                <w:rFonts w:hint="eastAsia" w:ascii="仿宋" w:hAnsi="仿宋" w:eastAsia="仿宋" w:cs="仿宋"/>
                <w:color w:val="auto"/>
                <w:sz w:val="21"/>
                <w:szCs w:val="21"/>
                <w:highlight w:val="none"/>
              </w:rPr>
              <w:t>提供证书原件的扫描件</w:t>
            </w:r>
            <w:r>
              <w:rPr>
                <w:rFonts w:hint="eastAsia" w:ascii="仿宋" w:hAnsi="仿宋" w:eastAsia="仿宋" w:cs="仿宋"/>
                <w:color w:val="auto"/>
                <w:sz w:val="21"/>
                <w:szCs w:val="21"/>
                <w:highlight w:val="none"/>
                <w:lang w:eastAsia="zh-CN"/>
              </w:rPr>
              <w:t>并加盖公章</w:t>
            </w:r>
            <w:r>
              <w:rPr>
                <w:rFonts w:hint="eastAsia" w:ascii="仿宋" w:hAnsi="仿宋" w:eastAsia="仿宋" w:cs="仿宋"/>
                <w:color w:val="auto"/>
                <w:sz w:val="21"/>
                <w:szCs w:val="21"/>
                <w:highlight w:val="none"/>
              </w:rPr>
              <w:t>。</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企业信用</w:t>
            </w:r>
          </w:p>
        </w:tc>
        <w:tc>
          <w:tcPr>
            <w:tcW w:w="4289" w:type="dxa"/>
            <w:vAlign w:val="center"/>
          </w:tcPr>
          <w:p>
            <w:pPr>
              <w:widowControl/>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职能部门授予的有效信用等级证明材料进行评分，具有最高等级的得3分，具有次高等级得2分，具有第三等级的得1分。提供证书原件的扫描件</w:t>
            </w:r>
            <w:r>
              <w:rPr>
                <w:rFonts w:hint="eastAsia" w:ascii="仿宋" w:hAnsi="仿宋" w:eastAsia="仿宋" w:cs="仿宋"/>
                <w:color w:val="auto"/>
                <w:sz w:val="21"/>
                <w:szCs w:val="21"/>
                <w:highlight w:val="none"/>
                <w:lang w:eastAsia="zh-CN"/>
              </w:rPr>
              <w:t>并加盖公章。</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企业荣誉</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评委根据投标人</w:t>
            </w:r>
            <w:r>
              <w:rPr>
                <w:rFonts w:hint="eastAsia" w:ascii="仿宋" w:hAnsi="仿宋" w:eastAsia="仿宋" w:cs="仿宋"/>
                <w:color w:val="auto"/>
                <w:sz w:val="21"/>
                <w:szCs w:val="21"/>
                <w:highlight w:val="none"/>
                <w:lang w:eastAsia="zh-CN"/>
              </w:rPr>
              <w:t>在</w:t>
            </w:r>
            <w:r>
              <w:rPr>
                <w:rFonts w:hint="eastAsia" w:ascii="仿宋" w:hAnsi="仿宋" w:eastAsia="仿宋" w:cs="仿宋"/>
                <w:color w:val="auto"/>
                <w:sz w:val="21"/>
                <w:szCs w:val="21"/>
                <w:highlight w:val="none"/>
              </w:rPr>
              <w:t>市级及以上职业技能比武中，获团体第一名的得3分；</w:t>
            </w:r>
            <w:r>
              <w:rPr>
                <w:rFonts w:hint="eastAsia" w:ascii="仿宋" w:hAnsi="仿宋" w:eastAsia="仿宋" w:cs="仿宋"/>
                <w:color w:val="auto"/>
                <w:sz w:val="21"/>
                <w:szCs w:val="21"/>
                <w:highlight w:val="none"/>
                <w:lang w:eastAsia="zh-CN"/>
              </w:rPr>
              <w:t>获</w:t>
            </w:r>
            <w:r>
              <w:rPr>
                <w:rFonts w:hint="eastAsia" w:ascii="仿宋" w:hAnsi="仿宋" w:eastAsia="仿宋" w:cs="仿宋"/>
                <w:color w:val="auto"/>
                <w:sz w:val="21"/>
                <w:szCs w:val="21"/>
                <w:highlight w:val="none"/>
              </w:rPr>
              <w:t>团体第二名的得2分；</w:t>
            </w:r>
            <w:r>
              <w:rPr>
                <w:rFonts w:hint="eastAsia" w:ascii="仿宋" w:hAnsi="仿宋" w:eastAsia="仿宋" w:cs="仿宋"/>
                <w:color w:val="auto"/>
                <w:sz w:val="21"/>
                <w:szCs w:val="21"/>
                <w:highlight w:val="none"/>
                <w:lang w:eastAsia="zh-CN"/>
              </w:rPr>
              <w:t>获</w:t>
            </w:r>
            <w:r>
              <w:rPr>
                <w:rFonts w:hint="eastAsia" w:ascii="仿宋" w:hAnsi="仿宋" w:eastAsia="仿宋" w:cs="仿宋"/>
                <w:color w:val="auto"/>
                <w:sz w:val="21"/>
                <w:szCs w:val="21"/>
                <w:highlight w:val="none"/>
              </w:rPr>
              <w:t>团体第三名的得1分（提供证书原件或文件原件的扫描件加盖公章）。</w:t>
            </w:r>
          </w:p>
          <w:p>
            <w:pPr>
              <w:widowControl/>
              <w:jc w:val="left"/>
              <w:rPr>
                <w:color w:val="auto"/>
                <w:highlight w:val="none"/>
              </w:rPr>
            </w:pPr>
            <w:r>
              <w:rPr>
                <w:rFonts w:hint="eastAsia" w:ascii="仿宋" w:hAnsi="仿宋" w:eastAsia="仿宋" w:cs="仿宋"/>
                <w:color w:val="auto"/>
                <w:sz w:val="21"/>
                <w:szCs w:val="21"/>
                <w:highlight w:val="none"/>
              </w:rPr>
              <w:t>注</w:t>
            </w:r>
            <w:r>
              <w:rPr>
                <w:rFonts w:hint="eastAsia" w:ascii="仿宋" w:hAnsi="仿宋" w:eastAsia="仿宋" w:cs="仿宋"/>
                <w:color w:val="auto"/>
                <w:sz w:val="21"/>
                <w:szCs w:val="21"/>
                <w:highlight w:val="none"/>
                <w:lang w:eastAsia="zh-CN"/>
              </w:rPr>
              <w:t>：可以累计加分，</w:t>
            </w:r>
            <w:r>
              <w:rPr>
                <w:rFonts w:hint="eastAsia" w:ascii="仿宋" w:hAnsi="仿宋" w:eastAsia="仿宋" w:cs="仿宋"/>
                <w:color w:val="auto"/>
                <w:sz w:val="21"/>
                <w:szCs w:val="21"/>
                <w:highlight w:val="none"/>
              </w:rPr>
              <w:t>最多得5分。</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售后服务</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在湖州市区（含两区）配备售后服务单位的得3分；在湖州三县地区配备售后服务单位的得2分；投标人在其他地区配备售后服务单位的，得1分（须提供详细的网点全称、营业执照、联系人、联系方式等相关证明材料，提供原件的扫描件或复印件加盖公章）</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82"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2224"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投标文件质量</w:t>
            </w:r>
          </w:p>
        </w:tc>
        <w:tc>
          <w:tcPr>
            <w:tcW w:w="4289" w:type="dxa"/>
            <w:vAlign w:val="center"/>
          </w:tcPr>
          <w:p>
            <w:pPr>
              <w:widowControl/>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编制完整，格式规范、符合采购文件要求的，得1分；投标文件有关内容前后矛盾、与采购文件要求不一致等，评标委员会允许且需要通过询标等程序进行澄清的，该项不得分；投标文件存在其他错漏的，每项（次）扣 0.5 分，扣完该项得分为止。</w:t>
            </w:r>
          </w:p>
        </w:tc>
        <w:tc>
          <w:tcPr>
            <w:tcW w:w="1430" w:type="dxa"/>
            <w:vAlign w:val="center"/>
          </w:tcPr>
          <w:p>
            <w:pPr>
              <w:widowControl/>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0-1分</w:t>
            </w:r>
          </w:p>
        </w:tc>
      </w:tr>
    </w:tbl>
    <w:p>
      <w:pPr>
        <w:snapToGrid w:val="0"/>
        <w:spacing w:line="360" w:lineRule="auto"/>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pStyle w:val="2"/>
        <w:ind w:left="0" w:leftChars="0"/>
        <w:rPr>
          <w:rFonts w:ascii="仿宋" w:hAnsi="仿宋" w:eastAsia="仿宋" w:cs="仿宋"/>
          <w:color w:val="auto"/>
          <w:sz w:val="22"/>
          <w:szCs w:val="22"/>
          <w:highlight w:val="none"/>
        </w:rPr>
      </w:pPr>
    </w:p>
    <w:p>
      <w:pPr>
        <w:pStyle w:val="2"/>
        <w:ind w:left="0" w:leftChars="0"/>
        <w:rPr>
          <w:rFonts w:ascii="仿宋" w:hAnsi="仿宋" w:eastAsia="仿宋" w:cs="仿宋"/>
          <w:color w:val="auto"/>
          <w:sz w:val="22"/>
          <w:szCs w:val="22"/>
          <w:highlight w:val="none"/>
        </w:rPr>
      </w:pPr>
    </w:p>
    <w:p>
      <w:pPr>
        <w:pStyle w:val="2"/>
        <w:ind w:left="0" w:leftChars="0"/>
        <w:rPr>
          <w:rFonts w:ascii="仿宋" w:hAnsi="仿宋" w:eastAsia="仿宋" w:cs="仿宋"/>
          <w:color w:val="auto"/>
          <w:sz w:val="22"/>
          <w:szCs w:val="22"/>
          <w:highlight w:val="none"/>
        </w:rPr>
      </w:pPr>
    </w:p>
    <w:p>
      <w:pPr>
        <w:pStyle w:val="2"/>
        <w:ind w:left="0" w:leftChars="0"/>
        <w:rPr>
          <w:rFonts w:ascii="仿宋" w:hAnsi="仿宋" w:eastAsia="仿宋" w:cs="仿宋"/>
          <w:color w:val="auto"/>
          <w:sz w:val="22"/>
          <w:szCs w:val="22"/>
          <w:highlight w:val="none"/>
        </w:rPr>
      </w:pPr>
    </w:p>
    <w:p>
      <w:pPr>
        <w:pStyle w:val="2"/>
        <w:ind w:left="480"/>
        <w:rPr>
          <w:rFonts w:ascii="仿宋" w:hAnsi="仿宋" w:eastAsia="仿宋" w:cs="仿宋"/>
          <w:color w:val="auto"/>
          <w:sz w:val="22"/>
          <w:szCs w:val="22"/>
          <w:highlight w:val="none"/>
        </w:rPr>
      </w:pPr>
    </w:p>
    <w:p>
      <w:pPr>
        <w:numPr>
          <w:ilvl w:val="0"/>
          <w:numId w:val="9"/>
        </w:numPr>
        <w:autoSpaceDE/>
        <w:autoSpaceDN/>
        <w:adjustRightInd/>
        <w:snapToGrid w:val="0"/>
        <w:spacing w:beforeLines="50" w:afterLines="50" w:line="400" w:lineRule="exact"/>
        <w:jc w:val="center"/>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合同主要条款</w:t>
      </w:r>
    </w:p>
    <w:p>
      <w:pPr>
        <w:jc w:val="center"/>
        <w:rPr>
          <w:rFonts w:ascii="仿宋" w:hAnsi="仿宋" w:eastAsia="仿宋" w:cs="仿宋"/>
          <w:b/>
          <w:color w:val="auto"/>
          <w:highlight w:val="none"/>
        </w:rPr>
      </w:pPr>
      <w:r>
        <w:rPr>
          <w:rFonts w:hint="eastAsia" w:ascii="仿宋" w:hAnsi="仿宋" w:eastAsia="仿宋" w:cs="仿宋"/>
          <w:b/>
          <w:color w:val="auto"/>
          <w:highlight w:val="none"/>
        </w:rPr>
        <w:t>（服务类）</w:t>
      </w:r>
    </w:p>
    <w:p>
      <w:pPr>
        <w:spacing w:line="360" w:lineRule="auto"/>
        <w:jc w:val="center"/>
        <w:rPr>
          <w:rFonts w:ascii="仿宋" w:hAnsi="仿宋" w:eastAsia="仿宋" w:cs="仿宋"/>
          <w:b/>
          <w:bCs/>
          <w:color w:val="auto"/>
          <w:spacing w:val="-20"/>
          <w:szCs w:val="24"/>
          <w:highlight w:val="none"/>
        </w:rPr>
      </w:pPr>
      <w:r>
        <w:rPr>
          <w:rFonts w:hint="eastAsia" w:ascii="仿宋" w:hAnsi="仿宋" w:eastAsia="仿宋" w:cs="仿宋"/>
          <w:b/>
          <w:bCs/>
          <w:color w:val="auto"/>
          <w:spacing w:val="-20"/>
          <w:szCs w:val="24"/>
          <w:highlight w:val="none"/>
        </w:rPr>
        <w:t>财政审批编号:</w:t>
      </w:r>
      <w:r>
        <w:rPr>
          <w:rFonts w:hint="eastAsia" w:ascii="仿宋" w:hAnsi="仿宋" w:eastAsia="仿宋" w:cs="仿宋"/>
          <w:b/>
          <w:snapToGrid w:val="0"/>
          <w:color w:val="auto"/>
          <w:szCs w:val="28"/>
          <w:highlight w:val="none"/>
        </w:rPr>
        <w:t>HZCG【2020】548号</w:t>
      </w:r>
      <w:r>
        <w:rPr>
          <w:rFonts w:hint="eastAsia" w:ascii="仿宋" w:hAnsi="仿宋" w:eastAsia="仿宋" w:cs="仿宋"/>
          <w:b/>
          <w:bCs/>
          <w:color w:val="auto"/>
          <w:spacing w:val="-20"/>
          <w:szCs w:val="24"/>
          <w:highlight w:val="none"/>
        </w:rPr>
        <w:t xml:space="preserve">  招标文件编号: </w:t>
      </w:r>
      <w:r>
        <w:rPr>
          <w:rFonts w:hint="eastAsia" w:ascii="仿宋" w:hAnsi="仿宋" w:eastAsia="仿宋" w:cs="仿宋"/>
          <w:b/>
          <w:bCs/>
          <w:color w:val="auto"/>
          <w:spacing w:val="-20"/>
          <w:szCs w:val="24"/>
          <w:highlight w:val="none"/>
          <w:u w:val="single"/>
          <w:lang w:val="zh-CN"/>
        </w:rPr>
        <w:t>湖江采字</w:t>
      </w:r>
      <w:r>
        <w:rPr>
          <w:rFonts w:hint="eastAsia" w:ascii="仿宋" w:hAnsi="仿宋" w:eastAsia="仿宋" w:cs="仿宋"/>
          <w:b/>
          <w:bCs/>
          <w:color w:val="auto"/>
          <w:spacing w:val="-20"/>
          <w:szCs w:val="24"/>
          <w:highlight w:val="none"/>
          <w:u w:val="single"/>
        </w:rPr>
        <w:t>2020-018</w:t>
      </w:r>
    </w:p>
    <w:p>
      <w:pPr>
        <w:spacing w:line="360" w:lineRule="auto"/>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1.定义</w:t>
      </w:r>
    </w:p>
    <w:p>
      <w:pPr>
        <w:spacing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本合同中的下列术语应解释为：</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1.1“合同”系指供需双方签署的、合同格式中载明的供需双方所达成的协议，包括所有的附件、附录和构成合同的所有文件；</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1.2“合同价”系指根据合同规定，采购人在供应商完全履行合同义务后应付给的价格；</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1.3“货物”系指供应商根据合同规定向采购人提供的一切货物、质量保证书和其他技术资料及技术参数；</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1.4“服务”系指根据合同规定供应商承担与供货有关的辅助服务，如运输、装卸、安装、保险以及其他的服务，例如安装、调试提供技术援助、培训和其他类似的义务；</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1.5“采购人”系指</w:t>
      </w:r>
      <w:r>
        <w:rPr>
          <w:rFonts w:hint="eastAsia" w:ascii="仿宋" w:hAnsi="仿宋" w:eastAsia="仿宋" w:cs="仿宋"/>
          <w:bCs/>
          <w:color w:val="auto"/>
          <w:sz w:val="21"/>
          <w:szCs w:val="21"/>
          <w:highlight w:val="none"/>
        </w:rPr>
        <w:t>具体使用货物和接受服务的使用单位；</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1.6“供应商”系指根据合同规定提供采购项目货物和服务的具有法人资格的公司、企业或实体；</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1.7“财政审批编号”系指市财政局审批编号。</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2.合同项目与内容</w:t>
      </w:r>
    </w:p>
    <w:p>
      <w:pPr>
        <w:spacing w:line="440" w:lineRule="exact"/>
        <w:ind w:firstLine="630" w:firstLineChars="3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u w:val="single"/>
        </w:rPr>
        <w:t>湖州市中心医院新医院安全保卫服务项目</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3.服务时间与服务地点</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服务时间：详见招标文件要求；</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服务地点：由采购单位指定。</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4.签署合同的要求</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4.1、供应商必须按照投标文件和询标过程中承诺的条款以及中标通知书中规定的时间、地点与采购人签订合同；</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4.2、所签订的合同内容不得对招标文件和供应商的投标文件作实质性修改；</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4.3、采购人不得向供应商提出任何不合理的要求，作为签订合同的条件，不得与供应商私下订立背离合同实质性内容的协议；</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4.4、自采购合同签订之日起 7个工作日内，将采购合同副本2份送本项目招标代理机构、同级人民政府财政部门备案。</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5.技术规范</w:t>
      </w:r>
    </w:p>
    <w:p>
      <w:pPr>
        <w:spacing w:line="440" w:lineRule="exact"/>
        <w:ind w:firstLine="420" w:firstLineChars="200"/>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本合同执行国家及本省、市现行项目实施及验收规范及有关条例、实施办法等。</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提供和交付的服务技术规范应与招标文件规定的技术规范相一致。</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6.知识产权</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供应商保证所提供的服务及货物均不存在知识产权纠纷。供应商应保证采购人在使用时不受第三方提出侵犯其专利权、商标权等知识产权的诉讼。</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7.工作考核及付款方式</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合同签订后，支付当年合同价的10%作为预付款。（在签订合同时，供应商明确表示无需预付款或者主动要求降低预付款比例的，合同可不适用前述规定。）</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服务费每月一结算，验收合格并扣除考核扣分款后结算保安服务费。</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采购人应自收到供应商开具的发票后15日内将上述相关款项支付到合同约定的供应商账户。</w:t>
      </w:r>
    </w:p>
    <w:p>
      <w:pPr>
        <w:spacing w:line="440" w:lineRule="exact"/>
        <w:ind w:firstLine="422" w:firstLineChars="200"/>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采购人在向供应商支付预付款之前，有权要求供应商向采购人提供与预付款金额相对应的担保措施，担保措施可以是银行、保险公司等金融机构出具的预付款保函或其他担保措施。</w:t>
      </w:r>
    </w:p>
    <w:p>
      <w:pPr>
        <w:spacing w:line="440" w:lineRule="exact"/>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8.支付</w:t>
      </w:r>
      <w:r>
        <w:rPr>
          <w:rFonts w:hint="eastAsia" w:ascii="仿宋" w:hAnsi="仿宋" w:eastAsia="仿宋" w:cs="仿宋"/>
          <w:color w:val="auto"/>
          <w:sz w:val="21"/>
          <w:szCs w:val="21"/>
          <w:highlight w:val="none"/>
        </w:rPr>
        <w:t>：支付应使用人民币；</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9.技术服务</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供应商应负责安排采购人相关人员进行操作、维修的培训。具体时间及培训内容在投标时由供应商提出建议；</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10.售后服务及承诺</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10.1供应商应明确承诺售后服务各项内容和措施，提供详细的服务地点、联系人、电话等有关资料；</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10.2</w:t>
      </w:r>
      <w:r>
        <w:rPr>
          <w:rFonts w:hint="eastAsia" w:ascii="仿宋" w:hAnsi="仿宋" w:eastAsia="仿宋" w:cs="仿宋"/>
          <w:b/>
          <w:bCs/>
          <w:color w:val="auto"/>
          <w:sz w:val="21"/>
          <w:szCs w:val="21"/>
          <w:highlight w:val="none"/>
        </w:rPr>
        <w:t>服务期：详见招标文件要求</w:t>
      </w:r>
      <w:r>
        <w:rPr>
          <w:rFonts w:hint="eastAsia" w:ascii="仿宋" w:hAnsi="仿宋" w:eastAsia="仿宋" w:cs="仿宋"/>
          <w:bCs/>
          <w:color w:val="auto"/>
          <w:sz w:val="21"/>
          <w:szCs w:val="21"/>
          <w:highlight w:val="none"/>
        </w:rPr>
        <w:t>。在服务期内，因服务质量所发生的一切费用均由供应商承担；</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11.履约保证及后续服务</w:t>
      </w:r>
    </w:p>
    <w:p>
      <w:pPr>
        <w:spacing w:line="440" w:lineRule="exact"/>
        <w:ind w:firstLine="422" w:firstLineChars="20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11.1 供应商应在签订本合同之日起x日内提供履约保证金x元，提供由银行、保险公司出具保函形式提交履约保证金。</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11.2 供应商应按招标文件规定的服务标准向采购人提供服务。</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11.4 供应商提供的服务人员不符合本合同约定的数额，供应商应当自接到采购人通知之日起2日内予以补足，采购人有权按照缺岗天数及缺岗人数扣除相应的履约保证金。</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11.5 由于供应商服务人员原因在服务工作中给采购人的设施、材料造成损失，供应商应负责赔偿。</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11.6 在使用过程中发生问题，供应商在接到采购人通知后在小时内到达采购人现场。</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11.7 在服务质量保证期内，供应商应对出现的服务质量及安全问题负责处理解决并承担一切费用。</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11.8 在本合同履行完毕后，采购人扣除供应商在履约过程中产生的本合同涉及的相关赔偿金额后，在x日内将剩余履约保证金退还至供应商。</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12.违约责任</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12.1 采购人无正当理由拒收接受服务的，采购人向供应商偿付合同款项百分之五作为违约金。</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12.2 采购人无故逾期验收和办理款项支付手续的,采购人应按逾期付款总额每日万分之五向供应商支付违约金。</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12.4</w:t>
      </w:r>
      <w:r>
        <w:rPr>
          <w:rFonts w:hint="eastAsia" w:ascii="仿宋" w:hAnsi="仿宋" w:eastAsia="仿宋" w:cs="仿宋"/>
          <w:color w:val="auto"/>
          <w:sz w:val="21"/>
          <w:szCs w:val="21"/>
          <w:highlight w:val="none"/>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13.不可抗力事件处理</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13.1 在合同有效期内，任何一方因不可抗力事件导致不能履行合同，则合同履行期可延长，其延长期与不可抗力影响期相同。</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13.2 不可抗力事件发生后，应立即通知对方，并寄送有关权威机构出具的证明。</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13.3 不可抗力事件延续120天以上，双方应通过友好协商，确定是否继续履行合同。</w:t>
      </w:r>
    </w:p>
    <w:p>
      <w:pPr>
        <w:spacing w:line="440" w:lineRule="exact"/>
        <w:rPr>
          <w:rFonts w:ascii="仿宋" w:hAnsi="仿宋" w:eastAsia="仿宋" w:cs="仿宋"/>
          <w:bCs/>
          <w:color w:val="auto"/>
          <w:sz w:val="21"/>
          <w:szCs w:val="21"/>
          <w:highlight w:val="none"/>
        </w:rPr>
      </w:pPr>
      <w:r>
        <w:rPr>
          <w:rFonts w:hint="eastAsia" w:ascii="仿宋" w:hAnsi="仿宋" w:eastAsia="仿宋" w:cs="仿宋"/>
          <w:b/>
          <w:bCs/>
          <w:color w:val="auto"/>
          <w:sz w:val="21"/>
          <w:szCs w:val="21"/>
          <w:highlight w:val="none"/>
        </w:rPr>
        <w:t>14.争议解决</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14.1在执行本合同中所发生的或与本合同有关的一切争端，合同双方应通过友好协商解决，经过协商仍不能解决，双方选择通过下列第x种方式解决：</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（1）将争端提交湖州仲裁委员会仲裁</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（2）直接向采购人所在地有管辖权的人民法院起诉。</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14.2仲裁费用或诉讼费用应由败诉方负担。</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14.3在仲裁或诉讼期间，除进行仲裁或诉讼的部分外，本合同其它部分应继续执行。</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15.转让或分包</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15.1本合同范围的服务，应由供应商提供，不得转让他人供应；</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15.3本合同全部或部分的分包不能减轻供应商承担的责任，供应商仍须将分包人的任何行动、错误或疏忽当作是自己完成的并负全责；</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15.4在任何分包合同中，须注明分包人按分包合同的范围履行，在供应商按本合同的履行终止时（不论任何原因），亦同时一并终止；</w:t>
      </w:r>
    </w:p>
    <w:p>
      <w:pPr>
        <w:spacing w:line="44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15.5如有转让和未经采购人同意的分包行为，采购人有权给予终止合同。</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16.适用法律</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合同适用法律有《中华人民共和国政府采购法》、《中华人民共和国合同法》、《中华人民共和国产品质量法》和浙江省有关条例等。</w:t>
      </w:r>
    </w:p>
    <w:p>
      <w:pPr>
        <w:spacing w:line="440" w:lineRule="exact"/>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17.合同生效及其他</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17.1本合同经双方法人及法定代表人签字盖章生效；</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17.2本合同一式四份，供应商、采购人各执一份；市财政局、采购代理机构各一份。</w:t>
      </w: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 xml:space="preserve">采购人：                                   供应商： </w:t>
      </w:r>
    </w:p>
    <w:p>
      <w:pPr>
        <w:spacing w:line="440" w:lineRule="exact"/>
        <w:ind w:firstLine="420" w:firstLineChars="200"/>
        <w:rPr>
          <w:rFonts w:ascii="仿宋" w:hAnsi="仿宋" w:eastAsia="仿宋" w:cs="仿宋"/>
          <w:bCs/>
          <w:color w:val="auto"/>
          <w:sz w:val="21"/>
          <w:szCs w:val="21"/>
          <w:highlight w:val="none"/>
        </w:rPr>
      </w:pP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 xml:space="preserve">地址：                                   地址： </w:t>
      </w:r>
    </w:p>
    <w:p>
      <w:pPr>
        <w:spacing w:line="440" w:lineRule="exact"/>
        <w:ind w:firstLine="420" w:firstLineChars="200"/>
        <w:rPr>
          <w:rFonts w:ascii="仿宋" w:hAnsi="仿宋" w:eastAsia="仿宋" w:cs="仿宋"/>
          <w:bCs/>
          <w:color w:val="auto"/>
          <w:sz w:val="21"/>
          <w:szCs w:val="21"/>
          <w:highlight w:val="none"/>
        </w:rPr>
      </w:pP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法定（或授权）代表人：            法定（或授权）代表人：</w:t>
      </w:r>
    </w:p>
    <w:p>
      <w:pPr>
        <w:spacing w:line="440" w:lineRule="exact"/>
        <w:ind w:firstLine="420" w:firstLineChars="200"/>
        <w:rPr>
          <w:rFonts w:ascii="仿宋" w:hAnsi="仿宋" w:eastAsia="仿宋" w:cs="仿宋"/>
          <w:bCs/>
          <w:color w:val="auto"/>
          <w:sz w:val="21"/>
          <w:szCs w:val="21"/>
          <w:highlight w:val="none"/>
        </w:rPr>
      </w:pPr>
    </w:p>
    <w:p>
      <w:pPr>
        <w:spacing w:line="440" w:lineRule="exact"/>
        <w:ind w:firstLine="420" w:firstLineChars="200"/>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签字日期：   年  月  日          签字日期：   年  月  日</w:t>
      </w:r>
    </w:p>
    <w:p>
      <w:pPr>
        <w:spacing w:line="440" w:lineRule="exact"/>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 </w:t>
      </w:r>
    </w:p>
    <w:p>
      <w:pPr>
        <w:pStyle w:val="46"/>
        <w:rPr>
          <w:rFonts w:ascii="仿宋" w:hAnsi="仿宋" w:eastAsia="仿宋" w:cs="仿宋"/>
          <w:b/>
          <w:bCs/>
          <w:color w:val="auto"/>
          <w:sz w:val="21"/>
          <w:szCs w:val="21"/>
          <w:highlight w:val="none"/>
          <w:lang w:eastAsia="zh-CN"/>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21"/>
          <w:szCs w:val="21"/>
          <w:highlight w:val="none"/>
        </w:rPr>
      </w:pPr>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rPr>
          <w:rFonts w:ascii="仿宋" w:hAnsi="仿宋" w:eastAsia="仿宋" w:cs="仿宋"/>
          <w:color w:val="auto"/>
          <w:sz w:val="30"/>
          <w:szCs w:val="30"/>
          <w:highlight w:val="none"/>
        </w:rPr>
      </w:pPr>
    </w:p>
    <w:p>
      <w:pPr>
        <w:pStyle w:val="2"/>
        <w:rPr>
          <w:rFonts w:ascii="仿宋" w:hAnsi="仿宋" w:eastAsia="仿宋" w:cs="仿宋"/>
          <w:color w:val="auto"/>
          <w:sz w:val="30"/>
          <w:szCs w:val="30"/>
          <w:highlight w:val="none"/>
        </w:rPr>
      </w:pPr>
    </w:p>
    <w:p>
      <w:pPr>
        <w:pStyle w:val="2"/>
        <w:rPr>
          <w:rFonts w:ascii="仿宋" w:hAnsi="仿宋" w:eastAsia="仿宋" w:cs="仿宋"/>
          <w:color w:val="auto"/>
          <w:sz w:val="30"/>
          <w:szCs w:val="30"/>
          <w:highlight w:val="none"/>
        </w:rPr>
      </w:pPr>
    </w:p>
    <w:p>
      <w:pP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第六章  投标文件格式及附件</w:t>
      </w:r>
    </w:p>
    <w:p>
      <w:pPr>
        <w:snapToGrid w:val="0"/>
        <w:spacing w:beforeLines="50" w:afterLines="50"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《资格文件》/《技术、商务资信文件》/《报价文件》封面格式</w:t>
      </w:r>
    </w:p>
    <w:p>
      <w:pPr>
        <w:snapToGrid w:val="0"/>
        <w:spacing w:line="560" w:lineRule="exact"/>
        <w:jc w:val="right"/>
        <w:rPr>
          <w:rFonts w:ascii="仿宋" w:hAnsi="仿宋" w:eastAsia="仿宋" w:cs="仿宋"/>
          <w:b/>
          <w:bCs/>
          <w:color w:val="auto"/>
          <w:sz w:val="22"/>
          <w:szCs w:val="22"/>
          <w:highlight w:val="none"/>
        </w:rPr>
      </w:pPr>
    </w:p>
    <w:p>
      <w:pPr>
        <w:wordWrap w:val="0"/>
        <w:snapToGrid w:val="0"/>
        <w:spacing w:line="560" w:lineRule="exact"/>
        <w:jc w:val="right"/>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 xml:space="preserve">     正本或副本</w:t>
      </w:r>
    </w:p>
    <w:p>
      <w:pPr>
        <w:snapToGrid w:val="0"/>
        <w:spacing w:line="560" w:lineRule="exact"/>
        <w:jc w:val="center"/>
        <w:rPr>
          <w:rStyle w:val="31"/>
          <w:rFonts w:ascii="仿宋" w:hAnsi="仿宋" w:eastAsia="仿宋" w:cs="仿宋"/>
          <w:b/>
          <w:color w:val="auto"/>
          <w:sz w:val="22"/>
          <w:szCs w:val="22"/>
          <w:highlight w:val="none"/>
        </w:rPr>
      </w:pPr>
    </w:p>
    <w:p>
      <w:pPr>
        <w:snapToGrid w:val="0"/>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湖州市中心医院新医院安全保卫服务项目</w:t>
      </w:r>
    </w:p>
    <w:p>
      <w:pPr>
        <w:snapToGrid w:val="0"/>
        <w:spacing w:line="560" w:lineRule="exact"/>
        <w:jc w:val="center"/>
        <w:rPr>
          <w:rFonts w:ascii="仿宋" w:hAnsi="仿宋" w:eastAsia="仿宋" w:cs="仿宋"/>
          <w:bCs/>
          <w:color w:val="auto"/>
          <w:sz w:val="22"/>
          <w:szCs w:val="22"/>
          <w:highlight w:val="none"/>
        </w:rPr>
      </w:pPr>
      <w:r>
        <w:rPr>
          <w:rFonts w:hint="eastAsia" w:ascii="仿宋" w:hAnsi="仿宋" w:eastAsia="仿宋" w:cs="仿宋"/>
          <w:color w:val="auto"/>
          <w:sz w:val="22"/>
          <w:szCs w:val="22"/>
          <w:highlight w:val="none"/>
        </w:rPr>
        <w:t>《资格文件》/《技术、商务资信文件》/《报价文件》</w:t>
      </w:r>
    </w:p>
    <w:p>
      <w:pPr>
        <w:snapToGrid w:val="0"/>
        <w:spacing w:line="560" w:lineRule="exact"/>
        <w:ind w:firstLine="1001" w:firstLineChars="455"/>
        <w:rPr>
          <w:rFonts w:ascii="仿宋" w:hAnsi="仿宋" w:eastAsia="仿宋" w:cs="仿宋"/>
          <w:bCs/>
          <w:color w:val="auto"/>
          <w:sz w:val="22"/>
          <w:szCs w:val="22"/>
          <w:highlight w:val="none"/>
        </w:rPr>
      </w:pPr>
    </w:p>
    <w:p>
      <w:pPr>
        <w:snapToGrid w:val="0"/>
        <w:spacing w:line="560" w:lineRule="exact"/>
        <w:ind w:firstLine="1001" w:firstLineChars="455"/>
        <w:rPr>
          <w:rFonts w:ascii="仿宋" w:hAnsi="仿宋" w:eastAsia="仿宋" w:cs="仿宋"/>
          <w:bCs/>
          <w:color w:val="auto"/>
          <w:sz w:val="22"/>
          <w:szCs w:val="22"/>
          <w:highlight w:val="none"/>
        </w:rPr>
      </w:pPr>
    </w:p>
    <w:p>
      <w:pPr>
        <w:snapToGrid w:val="0"/>
        <w:spacing w:line="560" w:lineRule="exact"/>
        <w:ind w:firstLine="1001" w:firstLineChars="455"/>
        <w:rPr>
          <w:rFonts w:ascii="仿宋" w:hAnsi="仿宋" w:eastAsia="仿宋" w:cs="仿宋"/>
          <w:bCs/>
          <w:color w:val="auto"/>
          <w:sz w:val="22"/>
          <w:szCs w:val="22"/>
          <w:highlight w:val="none"/>
        </w:rPr>
      </w:pPr>
    </w:p>
    <w:p>
      <w:pPr>
        <w:snapToGrid w:val="0"/>
        <w:spacing w:beforeLines="50" w:afterLines="50" w:line="560" w:lineRule="exact"/>
        <w:ind w:firstLine="880" w:firstLineChars="40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项目名称：</w:t>
      </w:r>
    </w:p>
    <w:p>
      <w:pPr>
        <w:snapToGrid w:val="0"/>
        <w:spacing w:beforeLines="50" w:afterLines="50" w:line="560" w:lineRule="exact"/>
        <w:ind w:firstLine="880" w:firstLineChars="400"/>
        <w:rPr>
          <w:rFonts w:ascii="仿宋" w:hAnsi="仿宋" w:eastAsia="仿宋" w:cs="仿宋"/>
          <w:bCs/>
          <w:color w:val="auto"/>
          <w:sz w:val="22"/>
          <w:szCs w:val="22"/>
          <w:highlight w:val="none"/>
          <w:u w:val="single"/>
        </w:rPr>
      </w:pPr>
      <w:r>
        <w:rPr>
          <w:rFonts w:hint="eastAsia" w:ascii="仿宋" w:hAnsi="仿宋" w:eastAsia="仿宋" w:cs="仿宋"/>
          <w:bCs/>
          <w:color w:val="auto"/>
          <w:sz w:val="22"/>
          <w:szCs w:val="22"/>
          <w:highlight w:val="none"/>
        </w:rPr>
        <w:t>项目编号：</w:t>
      </w:r>
    </w:p>
    <w:p>
      <w:pPr>
        <w:snapToGrid w:val="0"/>
        <w:spacing w:beforeLines="50" w:afterLines="50" w:line="560" w:lineRule="exact"/>
        <w:ind w:firstLine="880" w:firstLineChars="4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投标人名称（盖章）：</w:t>
      </w:r>
    </w:p>
    <w:p>
      <w:pPr>
        <w:snapToGrid w:val="0"/>
        <w:spacing w:beforeLines="50" w:afterLines="50" w:line="560" w:lineRule="exact"/>
        <w:ind w:firstLine="880" w:firstLineChars="4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投标人地址：</w:t>
      </w:r>
    </w:p>
    <w:p>
      <w:pPr>
        <w:snapToGrid w:val="0"/>
        <w:spacing w:beforeLines="50" w:afterLines="50" w:line="560" w:lineRule="exact"/>
        <w:ind w:firstLine="880" w:firstLineChars="40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授权代表签名：</w:t>
      </w:r>
    </w:p>
    <w:p>
      <w:pPr>
        <w:snapToGrid w:val="0"/>
        <w:spacing w:beforeLines="50" w:afterLines="50" w:line="560" w:lineRule="exact"/>
        <w:ind w:firstLine="880" w:firstLineChars="40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年月日</w:t>
      </w:r>
    </w:p>
    <w:p>
      <w:pPr>
        <w:pStyle w:val="20"/>
        <w:spacing w:line="560" w:lineRule="exact"/>
        <w:ind w:left="480"/>
        <w:rPr>
          <w:rFonts w:ascii="仿宋" w:hAnsi="仿宋" w:eastAsia="仿宋" w:cs="仿宋"/>
          <w:b/>
          <w:color w:val="auto"/>
          <w:sz w:val="22"/>
          <w:szCs w:val="22"/>
          <w:highlight w:val="none"/>
        </w:rPr>
      </w:pPr>
      <w:r>
        <w:rPr>
          <w:rFonts w:hint="eastAsia" w:ascii="仿宋" w:hAnsi="仿宋" w:eastAsia="仿宋" w:cs="仿宋"/>
          <w:color w:val="auto"/>
          <w:sz w:val="22"/>
          <w:szCs w:val="22"/>
          <w:highlight w:val="none"/>
        </w:rPr>
        <w:br w:type="page"/>
      </w:r>
      <w:r>
        <w:rPr>
          <w:rFonts w:hint="eastAsia" w:ascii="仿宋" w:hAnsi="仿宋" w:eastAsia="仿宋" w:cs="仿宋"/>
          <w:b/>
          <w:color w:val="auto"/>
          <w:sz w:val="22"/>
          <w:szCs w:val="22"/>
          <w:highlight w:val="none"/>
        </w:rPr>
        <w:t>1、资格文件（具体参考第三章投标</w:t>
      </w:r>
      <w:r>
        <w:rPr>
          <w:rFonts w:hint="eastAsia" w:ascii="仿宋" w:hAnsi="仿宋" w:eastAsia="仿宋" w:cs="仿宋"/>
          <w:b/>
          <w:color w:val="auto"/>
          <w:sz w:val="22"/>
          <w:szCs w:val="22"/>
          <w:highlight w:val="none"/>
          <w:lang w:eastAsia="zh-CN"/>
        </w:rPr>
        <w:t>人</w:t>
      </w:r>
      <w:r>
        <w:rPr>
          <w:rFonts w:hint="eastAsia" w:ascii="仿宋" w:hAnsi="仿宋" w:eastAsia="仿宋" w:cs="仿宋"/>
          <w:b/>
          <w:color w:val="auto"/>
          <w:sz w:val="22"/>
          <w:szCs w:val="22"/>
          <w:highlight w:val="none"/>
        </w:rPr>
        <w:t>须知“投标文件的组成”）</w:t>
      </w:r>
    </w:p>
    <w:p>
      <w:pPr>
        <w:pStyle w:val="20"/>
        <w:spacing w:line="560" w:lineRule="exact"/>
        <w:ind w:left="48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w:t>
      </w:r>
    </w:p>
    <w:p>
      <w:pPr>
        <w:pStyle w:val="20"/>
        <w:spacing w:line="560" w:lineRule="exact"/>
        <w:ind w:left="480"/>
        <w:rPr>
          <w:rFonts w:ascii="仿宋" w:hAnsi="仿宋" w:eastAsia="仿宋" w:cs="仿宋"/>
          <w:b/>
          <w:color w:val="auto"/>
          <w:sz w:val="22"/>
          <w:szCs w:val="22"/>
          <w:highlight w:val="none"/>
        </w:rPr>
      </w:pPr>
    </w:p>
    <w:p>
      <w:pPr>
        <w:pStyle w:val="20"/>
        <w:spacing w:line="560" w:lineRule="exact"/>
        <w:ind w:left="48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2、技术、商务资信文件（具体参考第三章投标</w:t>
      </w:r>
      <w:r>
        <w:rPr>
          <w:rFonts w:hint="eastAsia" w:ascii="仿宋" w:hAnsi="仿宋" w:eastAsia="仿宋" w:cs="仿宋"/>
          <w:b/>
          <w:color w:val="auto"/>
          <w:sz w:val="22"/>
          <w:szCs w:val="22"/>
          <w:highlight w:val="none"/>
          <w:lang w:eastAsia="zh-CN"/>
        </w:rPr>
        <w:t>人</w:t>
      </w:r>
      <w:r>
        <w:rPr>
          <w:rFonts w:hint="eastAsia" w:ascii="仿宋" w:hAnsi="仿宋" w:eastAsia="仿宋" w:cs="仿宋"/>
          <w:b/>
          <w:color w:val="auto"/>
          <w:sz w:val="22"/>
          <w:szCs w:val="22"/>
          <w:highlight w:val="none"/>
        </w:rPr>
        <w:t>须知“投标文件的组成”）</w:t>
      </w:r>
    </w:p>
    <w:p>
      <w:pPr>
        <w:pStyle w:val="20"/>
        <w:spacing w:line="560" w:lineRule="exact"/>
        <w:ind w:left="48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w:t>
      </w:r>
    </w:p>
    <w:p>
      <w:pPr>
        <w:pStyle w:val="20"/>
        <w:spacing w:line="560" w:lineRule="exact"/>
        <w:ind w:left="480"/>
        <w:rPr>
          <w:rFonts w:ascii="仿宋" w:hAnsi="仿宋" w:eastAsia="仿宋" w:cs="仿宋"/>
          <w:b/>
          <w:color w:val="auto"/>
          <w:sz w:val="22"/>
          <w:szCs w:val="22"/>
          <w:highlight w:val="none"/>
        </w:rPr>
      </w:pPr>
    </w:p>
    <w:p>
      <w:pPr>
        <w:pStyle w:val="20"/>
        <w:spacing w:line="560" w:lineRule="exact"/>
        <w:ind w:left="48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3、报价文件（具体参考第三章投标</w:t>
      </w:r>
      <w:r>
        <w:rPr>
          <w:rFonts w:hint="eastAsia" w:ascii="仿宋" w:hAnsi="仿宋" w:eastAsia="仿宋" w:cs="仿宋"/>
          <w:b/>
          <w:color w:val="auto"/>
          <w:sz w:val="22"/>
          <w:szCs w:val="22"/>
          <w:highlight w:val="none"/>
          <w:lang w:eastAsia="zh-CN"/>
        </w:rPr>
        <w:t>人</w:t>
      </w:r>
      <w:r>
        <w:rPr>
          <w:rFonts w:hint="eastAsia" w:ascii="仿宋" w:hAnsi="仿宋" w:eastAsia="仿宋" w:cs="仿宋"/>
          <w:b/>
          <w:color w:val="auto"/>
          <w:sz w:val="22"/>
          <w:szCs w:val="22"/>
          <w:highlight w:val="none"/>
        </w:rPr>
        <w:t>须知“投标文件的组成”）</w:t>
      </w:r>
    </w:p>
    <w:p>
      <w:pPr>
        <w:pStyle w:val="20"/>
        <w:spacing w:line="560" w:lineRule="exact"/>
        <w:ind w:left="480"/>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w:t>
      </w:r>
    </w:p>
    <w:p>
      <w:pPr>
        <w:pStyle w:val="20"/>
        <w:spacing w:line="560" w:lineRule="exact"/>
        <w:ind w:left="480"/>
        <w:rPr>
          <w:rFonts w:ascii="仿宋" w:hAnsi="仿宋" w:eastAsia="仿宋" w:cs="仿宋"/>
          <w:b/>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color w:val="auto"/>
          <w:sz w:val="22"/>
          <w:szCs w:val="22"/>
          <w:highlight w:val="none"/>
        </w:rPr>
      </w:pPr>
    </w:p>
    <w:p>
      <w:pPr>
        <w:snapToGrid w:val="0"/>
        <w:spacing w:beforeLines="50" w:after="50" w:line="560" w:lineRule="exac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附件（资格文件部分）：</w:t>
      </w:r>
    </w:p>
    <w:p>
      <w:pPr>
        <w:snapToGrid w:val="0"/>
        <w:spacing w:beforeLines="50" w:after="50"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法定代表人有效身份证明书</w:t>
      </w:r>
    </w:p>
    <w:p>
      <w:pPr>
        <w:pStyle w:val="8"/>
        <w:spacing w:line="560" w:lineRule="exact"/>
        <w:ind w:firstLine="513" w:firstLineChars="156"/>
        <w:jc w:val="center"/>
        <w:rPr>
          <w:rFonts w:ascii="仿宋" w:hAnsi="仿宋" w:eastAsia="仿宋" w:cs="仿宋"/>
          <w:b/>
          <w:bCs/>
          <w:color w:val="auto"/>
          <w:spacing w:val="24"/>
          <w:sz w:val="28"/>
          <w:szCs w:val="28"/>
          <w:highlight w:val="none"/>
        </w:rPr>
      </w:pPr>
    </w:p>
    <w:p>
      <w:pPr>
        <w:pStyle w:val="8"/>
        <w:spacing w:line="560" w:lineRule="exact"/>
        <w:ind w:firstLine="513" w:firstLineChars="156"/>
        <w:jc w:val="center"/>
        <w:rPr>
          <w:rFonts w:ascii="仿宋" w:hAnsi="仿宋" w:eastAsia="仿宋" w:cs="仿宋"/>
          <w:b/>
          <w:bCs/>
          <w:color w:val="auto"/>
          <w:spacing w:val="24"/>
          <w:sz w:val="28"/>
          <w:szCs w:val="28"/>
          <w:highlight w:val="none"/>
        </w:rPr>
      </w:pPr>
    </w:p>
    <w:p>
      <w:pPr>
        <w:pStyle w:val="8"/>
        <w:spacing w:line="560" w:lineRule="exact"/>
        <w:ind w:firstLine="385" w:firstLineChars="175"/>
        <w:rPr>
          <w:rFonts w:ascii="仿宋" w:hAnsi="仿宋" w:eastAsia="仿宋" w:cs="仿宋"/>
          <w:color w:val="auto"/>
          <w:sz w:val="22"/>
          <w:highlight w:val="none"/>
        </w:rPr>
      </w:pPr>
      <w:r>
        <w:rPr>
          <w:rFonts w:hint="eastAsia" w:ascii="仿宋" w:hAnsi="仿宋" w:eastAsia="仿宋" w:cs="仿宋"/>
          <w:color w:val="auto"/>
          <w:sz w:val="22"/>
          <w:highlight w:val="none"/>
          <w:u w:val="single"/>
        </w:rPr>
        <w:t>（姓名）</w:t>
      </w:r>
      <w:r>
        <w:rPr>
          <w:rFonts w:hint="eastAsia" w:ascii="仿宋" w:hAnsi="仿宋" w:eastAsia="仿宋" w:cs="仿宋"/>
          <w:color w:val="auto"/>
          <w:sz w:val="22"/>
          <w:highlight w:val="none"/>
        </w:rPr>
        <w:t>是</w:t>
      </w:r>
      <w:r>
        <w:rPr>
          <w:rFonts w:hint="eastAsia" w:ascii="仿宋" w:hAnsi="仿宋" w:eastAsia="仿宋" w:cs="仿宋"/>
          <w:color w:val="auto"/>
          <w:sz w:val="22"/>
          <w:highlight w:val="none"/>
          <w:u w:val="single"/>
        </w:rPr>
        <w:t>（单位全称）</w:t>
      </w:r>
      <w:r>
        <w:rPr>
          <w:rFonts w:hint="eastAsia" w:ascii="仿宋" w:hAnsi="仿宋" w:eastAsia="仿宋" w:cs="仿宋"/>
          <w:color w:val="auto"/>
          <w:sz w:val="22"/>
          <w:highlight w:val="none"/>
        </w:rPr>
        <w:t>的法定代表人，身份证号码为。</w:t>
      </w:r>
    </w:p>
    <w:p>
      <w:pPr>
        <w:pStyle w:val="8"/>
        <w:spacing w:line="560" w:lineRule="exact"/>
        <w:ind w:firstLine="440" w:firstLineChars="200"/>
        <w:rPr>
          <w:rFonts w:ascii="仿宋" w:hAnsi="仿宋" w:eastAsia="仿宋" w:cs="仿宋"/>
          <w:color w:val="auto"/>
          <w:sz w:val="22"/>
          <w:highlight w:val="none"/>
        </w:rPr>
      </w:pPr>
      <w:r>
        <w:rPr>
          <w:rFonts w:hint="eastAsia" w:ascii="仿宋" w:hAnsi="仿宋" w:eastAsia="仿宋" w:cs="仿宋"/>
          <w:color w:val="auto"/>
          <w:sz w:val="22"/>
          <w:highlight w:val="none"/>
        </w:rPr>
        <w:t>特此证明。</w:t>
      </w: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343" w:firstLineChars="156"/>
        <w:rPr>
          <w:rFonts w:ascii="仿宋" w:hAnsi="仿宋" w:eastAsia="仿宋" w:cs="仿宋"/>
          <w:color w:val="auto"/>
          <w:sz w:val="22"/>
          <w:highlight w:val="none"/>
        </w:rPr>
      </w:pPr>
    </w:p>
    <w:p>
      <w:pPr>
        <w:pStyle w:val="8"/>
        <w:spacing w:line="560" w:lineRule="exact"/>
        <w:ind w:firstLine="0"/>
        <w:rPr>
          <w:rFonts w:ascii="仿宋" w:hAnsi="仿宋" w:eastAsia="仿宋" w:cs="仿宋"/>
          <w:color w:val="auto"/>
          <w:sz w:val="22"/>
          <w:highlight w:val="none"/>
        </w:rPr>
      </w:pPr>
      <w:r>
        <w:rPr>
          <w:rFonts w:hint="eastAsia" w:ascii="仿宋" w:hAnsi="仿宋" w:eastAsia="仿宋" w:cs="仿宋"/>
          <w:color w:val="auto"/>
          <w:sz w:val="22"/>
          <w:highlight w:val="none"/>
        </w:rPr>
        <w:t xml:space="preserve">投标人：（盖章）                     </w:t>
      </w:r>
    </w:p>
    <w:p>
      <w:pPr>
        <w:pStyle w:val="8"/>
        <w:spacing w:line="560" w:lineRule="exact"/>
        <w:ind w:firstLine="0"/>
        <w:rPr>
          <w:rFonts w:ascii="仿宋" w:hAnsi="仿宋" w:eastAsia="仿宋" w:cs="仿宋"/>
          <w:color w:val="auto"/>
          <w:sz w:val="22"/>
          <w:highlight w:val="none"/>
        </w:rPr>
      </w:pPr>
      <w:r>
        <w:rPr>
          <w:rFonts w:hint="eastAsia" w:ascii="仿宋" w:hAnsi="仿宋" w:eastAsia="仿宋" w:cs="仿宋"/>
          <w:color w:val="auto"/>
          <w:sz w:val="22"/>
          <w:highlight w:val="none"/>
        </w:rPr>
        <w:t>法定代表人（签名或盖章）：</w:t>
      </w:r>
    </w:p>
    <w:p>
      <w:pPr>
        <w:pStyle w:val="8"/>
        <w:spacing w:line="560" w:lineRule="exact"/>
        <w:ind w:firstLine="0"/>
        <w:rPr>
          <w:rFonts w:ascii="仿宋" w:hAnsi="仿宋" w:eastAsia="仿宋" w:cs="仿宋"/>
          <w:color w:val="auto"/>
          <w:sz w:val="22"/>
          <w:highlight w:val="none"/>
        </w:rPr>
      </w:pPr>
      <w:r>
        <w:rPr>
          <w:rFonts w:hint="eastAsia" w:ascii="仿宋" w:hAnsi="仿宋" w:eastAsia="仿宋" w:cs="仿宋"/>
          <w:color w:val="auto"/>
          <w:sz w:val="22"/>
          <w:highlight w:val="none"/>
        </w:rPr>
        <w:t>日期：    年   月   日</w:t>
      </w:r>
    </w:p>
    <w:p>
      <w:pPr>
        <w:pStyle w:val="8"/>
        <w:spacing w:line="560" w:lineRule="exact"/>
        <w:ind w:firstLine="343" w:firstLineChars="156"/>
        <w:jc w:val="center"/>
        <w:rPr>
          <w:rFonts w:ascii="仿宋" w:hAnsi="仿宋" w:eastAsia="仿宋" w:cs="仿宋"/>
          <w:color w:val="auto"/>
          <w:sz w:val="22"/>
          <w:highlight w:val="none"/>
        </w:rPr>
      </w:pPr>
    </w:p>
    <w:p>
      <w:pPr>
        <w:pStyle w:val="8"/>
        <w:spacing w:line="560" w:lineRule="exact"/>
        <w:ind w:firstLine="0"/>
        <w:rPr>
          <w:rFonts w:ascii="仿宋" w:hAnsi="仿宋" w:eastAsia="仿宋" w:cs="仿宋"/>
          <w:color w:val="auto"/>
          <w:sz w:val="22"/>
          <w:highlight w:val="none"/>
        </w:rPr>
      </w:pPr>
      <w:r>
        <w:rPr>
          <w:rFonts w:hint="eastAsia" w:ascii="仿宋" w:hAnsi="仿宋" w:eastAsia="仿宋" w:cs="仿宋"/>
          <w:color w:val="auto"/>
          <w:sz w:val="22"/>
          <w:highlight w:val="none"/>
        </w:rPr>
        <w:t>————————————————————————————--------</w:t>
      </w:r>
    </w:p>
    <w:p>
      <w:pPr>
        <w:pStyle w:val="8"/>
        <w:spacing w:line="560" w:lineRule="exact"/>
        <w:ind w:firstLine="343" w:firstLineChars="156"/>
        <w:jc w:val="center"/>
        <w:rPr>
          <w:rFonts w:ascii="仿宋" w:hAnsi="仿宋" w:eastAsia="仿宋" w:cs="仿宋"/>
          <w:color w:val="auto"/>
          <w:sz w:val="22"/>
          <w:highlight w:val="none"/>
        </w:rPr>
      </w:pPr>
      <w:r>
        <w:rPr>
          <w:rFonts w:hint="eastAsia" w:ascii="仿宋" w:hAnsi="仿宋" w:eastAsia="仿宋" w:cs="仿宋"/>
          <w:color w:val="auto"/>
          <w:sz w:val="22"/>
          <w:highlight w:val="none"/>
        </w:rPr>
        <w:t>有效身份证明复印件粘贴处</w:t>
      </w:r>
    </w:p>
    <w:p>
      <w:pPr>
        <w:pStyle w:val="8"/>
        <w:spacing w:line="560" w:lineRule="exact"/>
        <w:ind w:firstLine="343" w:firstLineChars="156"/>
        <w:jc w:val="center"/>
        <w:rPr>
          <w:rFonts w:ascii="仿宋" w:hAnsi="仿宋" w:eastAsia="仿宋" w:cs="仿宋"/>
          <w:color w:val="auto"/>
          <w:sz w:val="22"/>
          <w:highlight w:val="none"/>
        </w:rPr>
      </w:pPr>
    </w:p>
    <w:p>
      <w:pPr>
        <w:pStyle w:val="8"/>
        <w:spacing w:line="560" w:lineRule="exact"/>
        <w:ind w:firstLine="0"/>
        <w:rPr>
          <w:rFonts w:ascii="仿宋" w:hAnsi="仿宋" w:eastAsia="仿宋" w:cs="仿宋"/>
          <w:b/>
          <w:bCs/>
          <w:color w:val="auto"/>
          <w:spacing w:val="24"/>
          <w:sz w:val="30"/>
          <w:szCs w:val="30"/>
          <w:highlight w:val="none"/>
        </w:rPr>
        <w:sectPr>
          <w:pgSz w:w="11906" w:h="16838"/>
          <w:pgMar w:top="1474" w:right="1286" w:bottom="1247" w:left="1418" w:header="851" w:footer="992" w:gutter="0"/>
          <w:pgNumType w:fmt="decimal"/>
          <w:cols w:space="720" w:num="1"/>
          <w:docGrid w:linePitch="312" w:charSpace="0"/>
        </w:sectPr>
      </w:pPr>
    </w:p>
    <w:p>
      <w:pPr>
        <w:snapToGrid w:val="0"/>
        <w:spacing w:beforeLines="50" w:after="50"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法定代表人授权委托书</w:t>
      </w:r>
    </w:p>
    <w:p>
      <w:pPr>
        <w:snapToGrid w:val="0"/>
        <w:spacing w:beforeLines="50" w:after="50" w:line="560" w:lineRule="exact"/>
        <w:rPr>
          <w:rFonts w:ascii="仿宋" w:hAnsi="仿宋" w:eastAsia="仿宋" w:cs="仿宋"/>
          <w:b/>
          <w:bCs/>
          <w:color w:val="auto"/>
          <w:sz w:val="22"/>
          <w:szCs w:val="22"/>
          <w:highlight w:val="none"/>
        </w:rPr>
      </w:pPr>
      <w:r>
        <w:rPr>
          <w:rFonts w:hint="eastAsia" w:ascii="仿宋" w:hAnsi="仿宋" w:eastAsia="仿宋" w:cs="仿宋"/>
          <w:bCs/>
          <w:color w:val="auto"/>
          <w:sz w:val="22"/>
          <w:szCs w:val="22"/>
          <w:highlight w:val="none"/>
        </w:rPr>
        <w:t>致：</w:t>
      </w:r>
      <w:r>
        <w:rPr>
          <w:rFonts w:hint="eastAsia" w:ascii="仿宋" w:hAnsi="仿宋" w:eastAsia="仿宋" w:cs="仿宋"/>
          <w:color w:val="auto"/>
          <w:sz w:val="22"/>
          <w:szCs w:val="22"/>
          <w:highlight w:val="none"/>
        </w:rPr>
        <w:t>（招标采购单位名称）：</w:t>
      </w:r>
    </w:p>
    <w:p>
      <w:pPr>
        <w:snapToGrid w:val="0"/>
        <w:spacing w:beforeLines="50" w:after="50" w:line="560" w:lineRule="exact"/>
        <w:ind w:firstLine="660" w:firstLineChars="3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我</w:t>
      </w:r>
      <w:r>
        <w:rPr>
          <w:rFonts w:hint="eastAsia" w:ascii="仿宋" w:hAnsi="仿宋" w:eastAsia="仿宋" w:cs="仿宋"/>
          <w:color w:val="auto"/>
          <w:sz w:val="22"/>
          <w:szCs w:val="22"/>
          <w:highlight w:val="none"/>
          <w:u w:val="single"/>
        </w:rPr>
        <w:t>（姓名）</w:t>
      </w:r>
      <w:r>
        <w:rPr>
          <w:rFonts w:hint="eastAsia" w:ascii="仿宋" w:hAnsi="仿宋" w:eastAsia="仿宋" w:cs="仿宋"/>
          <w:color w:val="auto"/>
          <w:sz w:val="22"/>
          <w:szCs w:val="22"/>
          <w:highlight w:val="none"/>
        </w:rPr>
        <w:t>系</w:t>
      </w:r>
      <w:r>
        <w:rPr>
          <w:rFonts w:hint="eastAsia" w:ascii="仿宋" w:hAnsi="仿宋" w:eastAsia="仿宋" w:cs="仿宋"/>
          <w:color w:val="auto"/>
          <w:sz w:val="22"/>
          <w:szCs w:val="22"/>
          <w:highlight w:val="none"/>
          <w:u w:val="single"/>
        </w:rPr>
        <w:t>（投标人名称）</w:t>
      </w:r>
      <w:r>
        <w:rPr>
          <w:rFonts w:hint="eastAsia" w:ascii="仿宋" w:hAnsi="仿宋" w:eastAsia="仿宋" w:cs="仿宋"/>
          <w:color w:val="auto"/>
          <w:sz w:val="22"/>
          <w:szCs w:val="22"/>
          <w:highlight w:val="none"/>
        </w:rPr>
        <w:t>的法定代表人，现授权委托本单位在职职工</w:t>
      </w:r>
      <w:r>
        <w:rPr>
          <w:rFonts w:hint="eastAsia" w:ascii="仿宋" w:hAnsi="仿宋" w:eastAsia="仿宋" w:cs="仿宋"/>
          <w:color w:val="auto"/>
          <w:sz w:val="22"/>
          <w:szCs w:val="22"/>
          <w:highlight w:val="none"/>
          <w:u w:val="single"/>
        </w:rPr>
        <w:t xml:space="preserve"> （姓名）</w:t>
      </w:r>
      <w:r>
        <w:rPr>
          <w:rFonts w:hint="eastAsia" w:ascii="仿宋" w:hAnsi="仿宋" w:eastAsia="仿宋" w:cs="仿宋"/>
          <w:color w:val="auto"/>
          <w:sz w:val="22"/>
          <w:szCs w:val="22"/>
          <w:highlight w:val="none"/>
        </w:rPr>
        <w:t>以我方的名义参加</w:t>
      </w:r>
      <w:r>
        <w:rPr>
          <w:rFonts w:hint="eastAsia" w:ascii="仿宋" w:hAnsi="仿宋" w:eastAsia="仿宋" w:cs="仿宋"/>
          <w:color w:val="auto"/>
          <w:sz w:val="22"/>
          <w:szCs w:val="22"/>
          <w:highlight w:val="none"/>
          <w:u w:val="single"/>
        </w:rPr>
        <w:t xml:space="preserve">(项目名称)      </w:t>
      </w:r>
      <w:r>
        <w:rPr>
          <w:rFonts w:hint="eastAsia" w:ascii="仿宋" w:hAnsi="仿宋" w:eastAsia="仿宋" w:cs="仿宋"/>
          <w:color w:val="auto"/>
          <w:sz w:val="22"/>
          <w:szCs w:val="22"/>
          <w:highlight w:val="none"/>
        </w:rPr>
        <w:t>的投标活动，并代表我方全权办理针对上述项目的投标、开标、评标、签约等具体事务和签署相关文件。</w:t>
      </w:r>
    </w:p>
    <w:p>
      <w:pPr>
        <w:snapToGrid w:val="0"/>
        <w:spacing w:beforeLines="50" w:after="50"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我方对被授权人的签名事项负全部责任。</w:t>
      </w:r>
    </w:p>
    <w:p>
      <w:pPr>
        <w:snapToGrid w:val="0"/>
        <w:spacing w:beforeLines="50" w:after="50" w:line="560" w:lineRule="exact"/>
        <w:ind w:firstLine="48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u w:val="single"/>
        </w:rPr>
        <w:t>在撤销授权的书面通知以前，本授权书一直有效。</w:t>
      </w:r>
      <w:r>
        <w:rPr>
          <w:rFonts w:hint="eastAsia" w:ascii="仿宋" w:hAnsi="仿宋" w:eastAsia="仿宋" w:cs="仿宋"/>
          <w:color w:val="auto"/>
          <w:sz w:val="22"/>
          <w:szCs w:val="22"/>
          <w:highlight w:val="none"/>
        </w:rPr>
        <w:t>被授权人在授权书有效期内签署的所有文件不因授权的撤销而失效。</w:t>
      </w:r>
    </w:p>
    <w:p>
      <w:pPr>
        <w:snapToGrid w:val="0"/>
        <w:spacing w:beforeLines="50" w:after="50" w:line="560" w:lineRule="exact"/>
        <w:ind w:firstLine="48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被授权人无转委托权，特此委托。</w:t>
      </w:r>
    </w:p>
    <w:p>
      <w:pPr>
        <w:snapToGrid w:val="0"/>
        <w:spacing w:beforeLines="50" w:after="50" w:line="560" w:lineRule="exact"/>
        <w:rPr>
          <w:rFonts w:ascii="仿宋" w:hAnsi="仿宋" w:eastAsia="仿宋" w:cs="仿宋"/>
          <w:color w:val="auto"/>
          <w:sz w:val="22"/>
          <w:szCs w:val="22"/>
          <w:highlight w:val="none"/>
        </w:rPr>
      </w:pPr>
    </w:p>
    <w:p>
      <w:pPr>
        <w:snapToGrid w:val="0"/>
        <w:spacing w:beforeLines="50" w:after="50" w:line="560" w:lineRule="exact"/>
        <w:rPr>
          <w:rFonts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被授权人签名：                         法定代表人签名：</w:t>
      </w:r>
    </w:p>
    <w:p>
      <w:pPr>
        <w:snapToGrid w:val="0"/>
        <w:spacing w:beforeLines="50" w:after="50" w:line="560" w:lineRule="exact"/>
        <w:ind w:firstLine="880" w:firstLineChars="4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职务：                          职务：</w:t>
      </w:r>
    </w:p>
    <w:p>
      <w:pPr>
        <w:snapToGrid w:val="0"/>
        <w:spacing w:beforeLines="50" w:after="50"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被授权人身份证号码：</w:t>
      </w:r>
    </w:p>
    <w:p>
      <w:pPr>
        <w:snapToGrid w:val="0"/>
        <w:spacing w:beforeLines="50" w:after="50"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投标人公章：</w:t>
      </w:r>
    </w:p>
    <w:p>
      <w:pPr>
        <w:pStyle w:val="8"/>
        <w:spacing w:line="560" w:lineRule="exact"/>
        <w:ind w:firstLine="343" w:firstLineChars="156"/>
        <w:rPr>
          <w:rFonts w:ascii="仿宋" w:hAnsi="仿宋" w:eastAsia="仿宋" w:cs="仿宋"/>
          <w:color w:val="auto"/>
          <w:sz w:val="22"/>
          <w:highlight w:val="none"/>
        </w:rPr>
      </w:pPr>
      <w:r>
        <w:rPr>
          <w:rFonts w:hint="eastAsia" w:ascii="仿宋" w:hAnsi="仿宋" w:eastAsia="仿宋" w:cs="仿宋"/>
          <w:color w:val="auto"/>
          <w:sz w:val="22"/>
          <w:highlight w:val="none"/>
        </w:rPr>
        <w:t>————————————————————-----------</w:t>
      </w:r>
    </w:p>
    <w:p>
      <w:pPr>
        <w:pStyle w:val="8"/>
        <w:spacing w:line="560" w:lineRule="exact"/>
        <w:ind w:firstLine="343" w:firstLineChars="156"/>
        <w:jc w:val="center"/>
        <w:rPr>
          <w:rFonts w:ascii="仿宋" w:hAnsi="仿宋" w:eastAsia="仿宋" w:cs="仿宋"/>
          <w:color w:val="auto"/>
          <w:sz w:val="22"/>
          <w:highlight w:val="none"/>
        </w:rPr>
      </w:pPr>
    </w:p>
    <w:p>
      <w:pPr>
        <w:pStyle w:val="8"/>
        <w:spacing w:line="560" w:lineRule="exact"/>
        <w:ind w:firstLine="343" w:firstLineChars="156"/>
        <w:jc w:val="center"/>
        <w:rPr>
          <w:rFonts w:ascii="仿宋" w:hAnsi="仿宋" w:eastAsia="仿宋" w:cs="仿宋"/>
          <w:color w:val="auto"/>
          <w:sz w:val="22"/>
          <w:highlight w:val="none"/>
        </w:rPr>
      </w:pPr>
      <w:r>
        <w:rPr>
          <w:rFonts w:hint="eastAsia" w:ascii="仿宋" w:hAnsi="仿宋" w:eastAsia="仿宋" w:cs="仿宋"/>
          <w:color w:val="auto"/>
          <w:sz w:val="22"/>
          <w:highlight w:val="none"/>
        </w:rPr>
        <w:t>授权代理人有效身份证明复印件粘贴处</w:t>
      </w:r>
    </w:p>
    <w:p>
      <w:pPr>
        <w:snapToGrid w:val="0"/>
        <w:spacing w:beforeLines="50" w:after="50" w:line="560" w:lineRule="exact"/>
        <w:rPr>
          <w:rFonts w:ascii="仿宋" w:hAnsi="仿宋" w:eastAsia="仿宋" w:cs="仿宋"/>
          <w:color w:val="auto"/>
          <w:sz w:val="22"/>
          <w:szCs w:val="22"/>
          <w:highlight w:val="none"/>
        </w:rPr>
      </w:pPr>
    </w:p>
    <w:p>
      <w:pPr>
        <w:snapToGrid w:val="0"/>
        <w:spacing w:beforeLines="50" w:after="50" w:line="560" w:lineRule="exact"/>
        <w:rPr>
          <w:rFonts w:ascii="仿宋" w:hAnsi="仿宋" w:eastAsia="仿宋" w:cs="仿宋"/>
          <w:color w:val="auto"/>
          <w:sz w:val="22"/>
          <w:szCs w:val="22"/>
          <w:highlight w:val="none"/>
        </w:rPr>
      </w:pPr>
    </w:p>
    <w:p>
      <w:pPr>
        <w:snapToGrid w:val="0"/>
        <w:spacing w:beforeLines="50" w:after="50"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年    月    日</w:t>
      </w:r>
    </w:p>
    <w:p>
      <w:pPr>
        <w:tabs>
          <w:tab w:val="left" w:pos="1650"/>
        </w:tabs>
        <w:spacing w:line="560" w:lineRule="exact"/>
        <w:jc w:val="center"/>
        <w:rPr>
          <w:rFonts w:ascii="仿宋" w:hAnsi="仿宋" w:eastAsia="仿宋" w:cs="仿宋"/>
          <w:color w:val="auto"/>
          <w:sz w:val="32"/>
          <w:szCs w:val="32"/>
          <w:highlight w:val="none"/>
        </w:rPr>
      </w:pPr>
    </w:p>
    <w:p>
      <w:pPr>
        <w:tabs>
          <w:tab w:val="left" w:pos="1650"/>
        </w:tabs>
        <w:spacing w:line="560" w:lineRule="exact"/>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信用承诺书</w:t>
      </w:r>
    </w:p>
    <w:p>
      <w:pPr>
        <w:tabs>
          <w:tab w:val="left" w:pos="1650"/>
        </w:tabs>
        <w:spacing w:line="560" w:lineRule="exact"/>
        <w:rPr>
          <w:rFonts w:ascii="仿宋" w:hAnsi="仿宋" w:eastAsia="仿宋" w:cs="仿宋"/>
          <w:color w:val="auto"/>
          <w:sz w:val="44"/>
          <w:szCs w:val="44"/>
          <w:highlight w:val="none"/>
        </w:rPr>
      </w:pPr>
    </w:p>
    <w:p>
      <w:pPr>
        <w:tabs>
          <w:tab w:val="left" w:pos="1650"/>
        </w:tabs>
        <w:jc w:val="left"/>
        <w:rPr>
          <w:rFonts w:ascii="仿宋" w:hAnsi="仿宋" w:eastAsia="仿宋" w:cs="仿宋"/>
          <w:color w:val="auto"/>
          <w:highlight w:val="none"/>
        </w:rPr>
      </w:pPr>
      <w:r>
        <w:rPr>
          <w:rFonts w:hint="eastAsia" w:ascii="仿宋" w:hAnsi="仿宋" w:eastAsia="仿宋" w:cs="仿宋"/>
          <w:color w:val="auto"/>
          <w:highlight w:val="none"/>
        </w:rPr>
        <w:t>（投标单位）现参加（采购项目）政府采购活动，郑重承诺如下：</w:t>
      </w:r>
    </w:p>
    <w:p>
      <w:pPr>
        <w:tabs>
          <w:tab w:val="left" w:pos="1650"/>
        </w:tabs>
        <w:spacing w:line="560" w:lineRule="exact"/>
        <w:ind w:firstLine="630"/>
        <w:rPr>
          <w:rFonts w:ascii="仿宋" w:hAnsi="仿宋" w:eastAsia="仿宋" w:cs="仿宋"/>
          <w:color w:val="auto"/>
          <w:highlight w:val="none"/>
        </w:rPr>
      </w:pPr>
      <w:r>
        <w:rPr>
          <w:rFonts w:hint="eastAsia" w:ascii="仿宋" w:hAnsi="仿宋" w:eastAsia="仿宋" w:cs="仿宋"/>
          <w:color w:val="auto"/>
          <w:highlight w:val="none"/>
        </w:rPr>
        <w:t>对所提供的资料合法性、真实性、准确性和有效性负责；</w:t>
      </w:r>
    </w:p>
    <w:p>
      <w:pPr>
        <w:tabs>
          <w:tab w:val="left" w:pos="1650"/>
        </w:tabs>
        <w:spacing w:line="560" w:lineRule="exact"/>
        <w:ind w:firstLine="630"/>
        <w:rPr>
          <w:rFonts w:ascii="仿宋" w:hAnsi="仿宋" w:eastAsia="仿宋" w:cs="仿宋"/>
          <w:color w:val="auto"/>
          <w:highlight w:val="none"/>
        </w:rPr>
      </w:pPr>
      <w:r>
        <w:rPr>
          <w:rFonts w:hint="eastAsia" w:ascii="仿宋" w:hAnsi="仿宋" w:eastAsia="仿宋" w:cs="仿宋"/>
          <w:color w:val="auto"/>
          <w:highlight w:val="none"/>
        </w:rPr>
        <w:t>严格按照国家法律、法规和规章，依法开展相关经济活动，全面履行应尽的责任和义务；</w:t>
      </w:r>
    </w:p>
    <w:p>
      <w:pPr>
        <w:tabs>
          <w:tab w:val="left" w:pos="1650"/>
        </w:tabs>
        <w:spacing w:line="560" w:lineRule="exact"/>
        <w:ind w:firstLine="630"/>
        <w:rPr>
          <w:rFonts w:ascii="仿宋" w:hAnsi="仿宋" w:eastAsia="仿宋" w:cs="仿宋"/>
          <w:color w:val="auto"/>
          <w:highlight w:val="none"/>
        </w:rPr>
      </w:pPr>
      <w:r>
        <w:rPr>
          <w:rFonts w:hint="eastAsia" w:ascii="仿宋" w:hAnsi="仿宋" w:eastAsia="仿宋" w:cs="仿宋"/>
          <w:color w:val="auto"/>
          <w:highlight w:val="none"/>
        </w:rPr>
        <w:t>加强自我约束、自我规范、自我管理，不制假售假、不虚假宣传、不违约毁约、不恶意逃债、不偷税漏税，诚信依法经营；</w:t>
      </w:r>
    </w:p>
    <w:p>
      <w:pPr>
        <w:tabs>
          <w:tab w:val="left" w:pos="1650"/>
        </w:tabs>
        <w:spacing w:line="560" w:lineRule="exact"/>
        <w:ind w:firstLine="630"/>
        <w:rPr>
          <w:rFonts w:ascii="仿宋" w:hAnsi="仿宋" w:eastAsia="仿宋" w:cs="仿宋"/>
          <w:color w:val="auto"/>
          <w:highlight w:val="none"/>
        </w:rPr>
      </w:pPr>
      <w:r>
        <w:rPr>
          <w:rFonts w:hint="eastAsia" w:ascii="仿宋" w:hAnsi="仿宋" w:eastAsia="仿宋" w:cs="仿宋"/>
          <w:color w:val="auto"/>
          <w:highlight w:val="none"/>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仿宋" w:hAnsi="仿宋" w:eastAsia="仿宋" w:cs="仿宋"/>
          <w:color w:val="auto"/>
          <w:highlight w:val="none"/>
        </w:rPr>
      </w:pPr>
      <w:r>
        <w:rPr>
          <w:rFonts w:hint="eastAsia" w:ascii="仿宋" w:hAnsi="仿宋" w:eastAsia="仿宋" w:cs="仿宋"/>
          <w:color w:val="auto"/>
          <w:highlight w:val="none"/>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rPr>
          <w:rFonts w:ascii="仿宋" w:hAnsi="仿宋" w:eastAsia="仿宋" w:cs="仿宋"/>
          <w:color w:val="auto"/>
          <w:highlight w:val="none"/>
          <w:u w:val="single"/>
        </w:rPr>
      </w:pPr>
    </w:p>
    <w:p>
      <w:pPr>
        <w:tabs>
          <w:tab w:val="left" w:pos="1650"/>
        </w:tabs>
        <w:spacing w:line="560" w:lineRule="exact"/>
        <w:rPr>
          <w:rFonts w:ascii="仿宋" w:hAnsi="仿宋" w:eastAsia="仿宋" w:cs="仿宋"/>
          <w:color w:val="auto"/>
          <w:highlight w:val="none"/>
          <w:u w:val="single"/>
        </w:rPr>
      </w:pPr>
    </w:p>
    <w:p>
      <w:pPr>
        <w:pStyle w:val="65"/>
        <w:spacing w:before="0" w:beforeAutospacing="0" w:after="0" w:afterAutospacing="0" w:line="560" w:lineRule="exact"/>
        <w:ind w:firstLine="600" w:firstLineChars="250"/>
        <w:rPr>
          <w:rFonts w:ascii="仿宋" w:hAnsi="仿宋" w:eastAsia="仿宋" w:cs="仿宋"/>
          <w:color w:val="auto"/>
          <w:spacing w:val="-7"/>
          <w:highlight w:val="none"/>
        </w:rPr>
      </w:pPr>
      <w:r>
        <w:rPr>
          <w:rFonts w:hint="eastAsia" w:ascii="仿宋" w:hAnsi="仿宋" w:eastAsia="仿宋" w:cs="仿宋"/>
          <w:color w:val="auto"/>
          <w:kern w:val="2"/>
          <w:highlight w:val="none"/>
        </w:rPr>
        <w:t>统一社会信用代码：</w:t>
      </w:r>
    </w:p>
    <w:p>
      <w:pPr>
        <w:pStyle w:val="65"/>
        <w:spacing w:before="0" w:beforeAutospacing="0" w:after="0" w:afterAutospacing="0" w:line="560" w:lineRule="exact"/>
        <w:rPr>
          <w:rFonts w:ascii="仿宋" w:hAnsi="仿宋" w:eastAsia="仿宋" w:cs="仿宋"/>
          <w:color w:val="auto"/>
          <w:highlight w:val="none"/>
        </w:rPr>
      </w:pPr>
    </w:p>
    <w:p>
      <w:pPr>
        <w:pStyle w:val="65"/>
        <w:spacing w:before="0" w:beforeAutospacing="0" w:after="0" w:afterAutospacing="0" w:line="560" w:lineRule="exact"/>
        <w:ind w:firstLine="3240" w:firstLineChars="1350"/>
        <w:rPr>
          <w:rFonts w:ascii="仿宋" w:hAnsi="仿宋" w:eastAsia="仿宋" w:cs="仿宋"/>
          <w:color w:val="auto"/>
          <w:kern w:val="2"/>
          <w:highlight w:val="none"/>
        </w:rPr>
      </w:pPr>
      <w:r>
        <w:rPr>
          <w:rFonts w:hint="eastAsia" w:ascii="仿宋" w:hAnsi="仿宋" w:eastAsia="仿宋" w:cs="仿宋"/>
          <w:color w:val="auto"/>
          <w:kern w:val="2"/>
          <w:highlight w:val="none"/>
        </w:rPr>
        <w:t>承诺单位/个人（盖章/签名）</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                               时间：20**年*月*日</w:t>
      </w:r>
    </w:p>
    <w:p>
      <w:pPr>
        <w:rPr>
          <w:rFonts w:ascii="仿宋" w:hAnsi="仿宋" w:eastAsia="仿宋" w:cs="仿宋"/>
          <w:color w:val="auto"/>
          <w:highlight w:val="none"/>
        </w:rPr>
      </w:pPr>
    </w:p>
    <w:p>
      <w:pPr>
        <w:snapToGrid w:val="0"/>
        <w:spacing w:beforeLines="50" w:after="50" w:line="560" w:lineRule="exact"/>
        <w:jc w:val="center"/>
        <w:rPr>
          <w:rFonts w:ascii="仿宋" w:hAnsi="仿宋" w:eastAsia="仿宋" w:cs="仿宋"/>
          <w:color w:val="auto"/>
          <w:sz w:val="22"/>
          <w:szCs w:val="22"/>
          <w:highlight w:val="none"/>
        </w:rPr>
      </w:pPr>
    </w:p>
    <w:p>
      <w:pPr>
        <w:snapToGrid w:val="0"/>
        <w:spacing w:beforeLines="50" w:after="50" w:line="560" w:lineRule="exact"/>
        <w:jc w:val="center"/>
        <w:rPr>
          <w:rFonts w:ascii="仿宋" w:hAnsi="仿宋" w:eastAsia="仿宋" w:cs="仿宋"/>
          <w:color w:val="auto"/>
          <w:sz w:val="22"/>
          <w:szCs w:val="22"/>
          <w:highlight w:val="none"/>
        </w:rPr>
      </w:pPr>
    </w:p>
    <w:p>
      <w:pPr>
        <w:snapToGrid w:val="0"/>
        <w:spacing w:beforeLines="50" w:after="50" w:line="560" w:lineRule="exact"/>
        <w:jc w:val="center"/>
        <w:rPr>
          <w:rFonts w:ascii="仿宋" w:hAnsi="仿宋" w:eastAsia="仿宋" w:cs="仿宋"/>
          <w:color w:val="auto"/>
          <w:sz w:val="22"/>
          <w:szCs w:val="22"/>
          <w:highlight w:val="none"/>
        </w:rPr>
      </w:pPr>
    </w:p>
    <w:p>
      <w:pPr>
        <w:snapToGrid w:val="0"/>
        <w:spacing w:beforeLines="50" w:after="50" w:line="560" w:lineRule="exact"/>
        <w:jc w:val="center"/>
        <w:rPr>
          <w:rFonts w:ascii="仿宋" w:hAnsi="仿宋" w:eastAsia="仿宋" w:cs="仿宋"/>
          <w:color w:val="auto"/>
          <w:sz w:val="22"/>
          <w:szCs w:val="22"/>
          <w:highlight w:val="none"/>
        </w:rPr>
      </w:pPr>
    </w:p>
    <w:p>
      <w:pPr>
        <w:snapToGrid w:val="0"/>
        <w:spacing w:before="50" w:afterLines="50" w:line="560" w:lineRule="exact"/>
        <w:jc w:val="left"/>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附件（</w:t>
      </w:r>
      <w:r>
        <w:rPr>
          <w:rFonts w:hint="eastAsia" w:ascii="仿宋" w:hAnsi="仿宋" w:eastAsia="仿宋" w:cs="仿宋"/>
          <w:b/>
          <w:color w:val="auto"/>
          <w:sz w:val="22"/>
          <w:szCs w:val="22"/>
          <w:highlight w:val="none"/>
        </w:rPr>
        <w:t>技术、商务资信文件</w:t>
      </w:r>
      <w:r>
        <w:rPr>
          <w:rFonts w:hint="eastAsia" w:ascii="仿宋" w:hAnsi="仿宋" w:eastAsia="仿宋" w:cs="仿宋"/>
          <w:b/>
          <w:bCs/>
          <w:color w:val="auto"/>
          <w:sz w:val="22"/>
          <w:szCs w:val="22"/>
          <w:highlight w:val="none"/>
        </w:rPr>
        <w:t>）</w:t>
      </w:r>
    </w:p>
    <w:p>
      <w:pPr>
        <w:spacing w:line="360" w:lineRule="auto"/>
        <w:jc w:val="center"/>
        <w:rPr>
          <w:rFonts w:ascii="仿宋" w:hAnsi="仿宋" w:eastAsia="仿宋" w:cs="仿宋"/>
          <w:b/>
          <w:bCs/>
          <w:color w:val="auto"/>
          <w:szCs w:val="28"/>
          <w:highlight w:val="none"/>
        </w:rPr>
      </w:pPr>
      <w:r>
        <w:rPr>
          <w:rFonts w:hint="eastAsia" w:ascii="仿宋" w:hAnsi="仿宋" w:eastAsia="仿宋" w:cs="仿宋"/>
          <w:b/>
          <w:bCs/>
          <w:color w:val="auto"/>
          <w:szCs w:val="28"/>
          <w:highlight w:val="none"/>
        </w:rPr>
        <w:t>评分索引表</w:t>
      </w:r>
    </w:p>
    <w:p>
      <w:pPr>
        <w:snapToGrid w:val="0"/>
        <w:spacing w:before="50"/>
        <w:jc w:val="center"/>
        <w:rPr>
          <w:rFonts w:ascii="仿宋" w:hAnsi="仿宋" w:eastAsia="仿宋" w:cs="仿宋"/>
          <w:b/>
          <w:color w:val="auto"/>
          <w:sz w:val="32"/>
          <w:szCs w:val="32"/>
          <w:highlight w:val="none"/>
        </w:rPr>
      </w:pPr>
    </w:p>
    <w:p>
      <w:pPr>
        <w:pStyle w:val="9"/>
        <w:snapToGrid w:val="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供应商全称（公章）：              </w:t>
      </w:r>
    </w:p>
    <w:tbl>
      <w:tblPr>
        <w:tblStyle w:val="27"/>
        <w:tblW w:w="87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977"/>
        <w:gridCol w:w="1275"/>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投标文件对应资料</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自评分</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对应技术商务资信评分标准</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auto"/>
                <w:sz w:val="22"/>
                <w:szCs w:val="22"/>
                <w:highlight w:val="none"/>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cs="仿宋"/>
                <w:color w:val="auto"/>
                <w:sz w:val="22"/>
                <w:szCs w:val="22"/>
                <w:highlight w:val="none"/>
              </w:rPr>
            </w:pPr>
          </w:p>
        </w:tc>
      </w:tr>
    </w:tbl>
    <w:p>
      <w:pPr>
        <w:snapToGrid w:val="0"/>
        <w:spacing w:beforeLines="50" w:line="360" w:lineRule="auto"/>
        <w:rPr>
          <w:rFonts w:ascii="仿宋" w:hAnsi="仿宋" w:eastAsia="仿宋" w:cs="仿宋"/>
          <w:color w:val="auto"/>
          <w:sz w:val="22"/>
          <w:szCs w:val="22"/>
          <w:highlight w:val="none"/>
        </w:rPr>
      </w:pPr>
    </w:p>
    <w:p>
      <w:pPr>
        <w:snapToGrid w:val="0"/>
        <w:spacing w:beforeLines="50" w:line="360" w:lineRule="auto"/>
        <w:rPr>
          <w:rFonts w:ascii="仿宋" w:hAnsi="仿宋" w:eastAsia="仿宋" w:cs="仿宋"/>
          <w:color w:val="auto"/>
          <w:sz w:val="22"/>
          <w:szCs w:val="22"/>
          <w:highlight w:val="none"/>
        </w:rPr>
      </w:pP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供应商名称（公章）：                             </w:t>
      </w: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法定代表人或其授权委托人（签字）： </w:t>
      </w: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日期：          年        月        日</w:t>
      </w:r>
    </w:p>
    <w:p>
      <w:pPr>
        <w:snapToGrid w:val="0"/>
        <w:spacing w:beforeLines="50" w:line="360" w:lineRule="auto"/>
        <w:rPr>
          <w:rFonts w:ascii="仿宋" w:hAnsi="仿宋" w:eastAsia="仿宋" w:cs="仿宋"/>
          <w:color w:val="auto"/>
          <w:sz w:val="22"/>
          <w:szCs w:val="22"/>
          <w:highlight w:val="none"/>
        </w:rPr>
      </w:pPr>
    </w:p>
    <w:p>
      <w:pPr>
        <w:snapToGrid w:val="0"/>
        <w:spacing w:beforeLines="50" w:line="360" w:lineRule="auto"/>
        <w:rPr>
          <w:rFonts w:ascii="仿宋" w:hAnsi="仿宋" w:eastAsia="仿宋" w:cs="仿宋"/>
          <w:color w:val="auto"/>
          <w:sz w:val="22"/>
          <w:szCs w:val="22"/>
          <w:highlight w:val="none"/>
        </w:rPr>
      </w:pPr>
    </w:p>
    <w:p>
      <w:pPr>
        <w:snapToGrid w:val="0"/>
        <w:spacing w:beforeLines="50" w:after="50" w:line="560" w:lineRule="exact"/>
        <w:jc w:val="left"/>
        <w:rPr>
          <w:rFonts w:ascii="仿宋" w:hAnsi="仿宋" w:eastAsia="仿宋" w:cs="仿宋"/>
          <w:b/>
          <w:bCs/>
          <w:color w:val="auto"/>
          <w:highlight w:val="none"/>
        </w:rPr>
      </w:pPr>
    </w:p>
    <w:p>
      <w:pPr>
        <w:snapToGrid w:val="0"/>
        <w:spacing w:before="50" w:afterLines="50" w:line="560" w:lineRule="exact"/>
        <w:jc w:val="left"/>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附件（</w:t>
      </w:r>
      <w:r>
        <w:rPr>
          <w:rFonts w:hint="eastAsia" w:ascii="仿宋" w:hAnsi="仿宋" w:eastAsia="仿宋" w:cs="仿宋"/>
          <w:b/>
          <w:color w:val="auto"/>
          <w:sz w:val="22"/>
          <w:szCs w:val="22"/>
          <w:highlight w:val="none"/>
        </w:rPr>
        <w:t>技术文件</w:t>
      </w:r>
      <w:r>
        <w:rPr>
          <w:rFonts w:hint="eastAsia" w:ascii="仿宋" w:hAnsi="仿宋" w:eastAsia="仿宋" w:cs="仿宋"/>
          <w:b/>
          <w:bCs/>
          <w:color w:val="auto"/>
          <w:sz w:val="22"/>
          <w:szCs w:val="22"/>
          <w:highlight w:val="none"/>
        </w:rPr>
        <w:t>）</w:t>
      </w:r>
    </w:p>
    <w:p>
      <w:pPr>
        <w:snapToGrid w:val="0"/>
        <w:spacing w:beforeLines="50" w:after="50" w:line="560" w:lineRule="exact"/>
        <w:ind w:firstLine="221" w:firstLineChars="100"/>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投标项目实施人员情况一览表</w:t>
      </w:r>
    </w:p>
    <w:p>
      <w:pPr>
        <w:spacing w:line="360" w:lineRule="auto"/>
        <w:rPr>
          <w:rFonts w:ascii="仿宋" w:hAnsi="仿宋" w:eastAsia="仿宋" w:cs="仿宋"/>
          <w:color w:val="auto"/>
          <w:szCs w:val="22"/>
          <w:highlight w:val="none"/>
        </w:rPr>
      </w:pPr>
      <w:r>
        <w:rPr>
          <w:rFonts w:hint="eastAsia" w:ascii="仿宋" w:hAnsi="仿宋" w:eastAsia="仿宋" w:cs="仿宋"/>
          <w:color w:val="auto"/>
          <w:szCs w:val="22"/>
          <w:highlight w:val="none"/>
        </w:rPr>
        <w:t>投标人全称（加盖公章）：            招标文件编号：</w:t>
      </w:r>
    </w:p>
    <w:tbl>
      <w:tblPr>
        <w:tblStyle w:val="27"/>
        <w:tblW w:w="9747" w:type="dxa"/>
        <w:tblInd w:w="2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4"/>
        <w:gridCol w:w="944"/>
        <w:gridCol w:w="872"/>
        <w:gridCol w:w="742"/>
        <w:gridCol w:w="758"/>
        <w:gridCol w:w="852"/>
        <w:gridCol w:w="920"/>
        <w:gridCol w:w="868"/>
        <w:gridCol w:w="758"/>
        <w:gridCol w:w="1247"/>
        <w:gridCol w:w="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44"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序号</w:t>
            </w:r>
          </w:p>
        </w:tc>
        <w:tc>
          <w:tcPr>
            <w:tcW w:w="944"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姓名</w:t>
            </w:r>
          </w:p>
        </w:tc>
        <w:tc>
          <w:tcPr>
            <w:tcW w:w="872"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岗位</w:t>
            </w:r>
          </w:p>
        </w:tc>
        <w:tc>
          <w:tcPr>
            <w:tcW w:w="742"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年龄</w:t>
            </w:r>
          </w:p>
        </w:tc>
        <w:tc>
          <w:tcPr>
            <w:tcW w:w="758"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性别</w:t>
            </w:r>
          </w:p>
        </w:tc>
        <w:tc>
          <w:tcPr>
            <w:tcW w:w="852" w:type="dxa"/>
            <w:vMerge w:val="restart"/>
            <w:tcBorders>
              <w:top w:val="single" w:color="auto" w:sz="4" w:space="0"/>
              <w:left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学历</w:t>
            </w:r>
          </w:p>
        </w:tc>
        <w:tc>
          <w:tcPr>
            <w:tcW w:w="254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持何种资格证件(√)</w:t>
            </w: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从事本工作时间</w:t>
            </w: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vMerge w:val="continue"/>
            <w:tcBorders>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消防证</w:t>
            </w: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驾驶证</w:t>
            </w: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保安证</w:t>
            </w: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747"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 w:val="22"/>
                <w:szCs w:val="22"/>
                <w:highlight w:val="none"/>
              </w:rPr>
              <w:t>40周岁（含40）以下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747"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 w:val="22"/>
                <w:szCs w:val="22"/>
                <w:highlight w:val="none"/>
              </w:rPr>
              <w:t>4</w:t>
            </w: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rPr>
              <w:t>-45周岁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747"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 w:val="22"/>
                <w:szCs w:val="22"/>
                <w:highlight w:val="none"/>
              </w:rPr>
              <w:t>46-50周岁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44"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6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c>
          <w:tcPr>
            <w:tcW w:w="842"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szCs w:val="22"/>
                <w:highlight w:val="none"/>
              </w:rPr>
            </w:pPr>
          </w:p>
        </w:tc>
      </w:tr>
    </w:tbl>
    <w:p>
      <w:pPr>
        <w:snapToGrid w:val="0"/>
        <w:spacing w:before="50" w:afterLines="50" w:line="300" w:lineRule="exact"/>
        <w:jc w:val="left"/>
        <w:rPr>
          <w:rFonts w:ascii="仿宋" w:hAnsi="仿宋" w:eastAsia="仿宋" w:cs="仿宋"/>
          <w:color w:val="auto"/>
          <w:szCs w:val="22"/>
          <w:highlight w:val="none"/>
        </w:rPr>
      </w:pPr>
      <w:r>
        <w:rPr>
          <w:rFonts w:hint="eastAsia" w:ascii="仿宋" w:hAnsi="仿宋" w:eastAsia="仿宋" w:cs="仿宋"/>
          <w:color w:val="auto"/>
          <w:szCs w:val="22"/>
          <w:highlight w:val="none"/>
        </w:rPr>
        <w:t>注：1、此表仅提供了表格形式，投标人应根据需要准备足够数量的表格来填写；</w:t>
      </w:r>
    </w:p>
    <w:p>
      <w:pPr>
        <w:snapToGrid w:val="0"/>
        <w:spacing w:before="50" w:afterLines="50" w:line="300" w:lineRule="exact"/>
        <w:jc w:val="left"/>
        <w:rPr>
          <w:rFonts w:ascii="仿宋" w:hAnsi="仿宋" w:eastAsia="仿宋" w:cs="仿宋"/>
          <w:color w:val="auto"/>
          <w:szCs w:val="22"/>
          <w:highlight w:val="none"/>
        </w:rPr>
      </w:pPr>
      <w:r>
        <w:rPr>
          <w:rFonts w:hint="eastAsia" w:ascii="仿宋" w:hAnsi="仿宋" w:eastAsia="仿宋" w:cs="仿宋"/>
          <w:color w:val="auto"/>
          <w:szCs w:val="22"/>
          <w:highlight w:val="none"/>
        </w:rPr>
        <w:t>2、按照第二章招标需求中岗位需求进行配置。附相关人员资格证书、身份证、驾驶证、等证明材料。</w:t>
      </w:r>
    </w:p>
    <w:p>
      <w:pPr>
        <w:snapToGrid w:val="0"/>
        <w:spacing w:before="50" w:afterLines="50" w:line="300" w:lineRule="exact"/>
        <w:jc w:val="center"/>
        <w:rPr>
          <w:rFonts w:ascii="仿宋" w:hAnsi="仿宋" w:eastAsia="仿宋" w:cs="仿宋"/>
          <w:color w:val="auto"/>
          <w:szCs w:val="22"/>
          <w:highlight w:val="none"/>
        </w:rPr>
      </w:pPr>
    </w:p>
    <w:p>
      <w:pPr>
        <w:snapToGrid w:val="0"/>
        <w:spacing w:before="50" w:afterLines="50" w:line="3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法定代表人或其授权代理人签字或盖章：</w:t>
      </w:r>
    </w:p>
    <w:p>
      <w:pPr>
        <w:snapToGrid w:val="0"/>
        <w:spacing w:before="50" w:afterLines="50" w:line="400" w:lineRule="exact"/>
        <w:rPr>
          <w:rFonts w:ascii="仿宋" w:hAnsi="仿宋" w:eastAsia="仿宋" w:cs="仿宋"/>
          <w:color w:val="auto"/>
          <w:szCs w:val="22"/>
          <w:highlight w:val="none"/>
        </w:rPr>
      </w:pPr>
    </w:p>
    <w:p>
      <w:pPr>
        <w:snapToGrid w:val="0"/>
        <w:spacing w:before="50" w:afterLines="50" w:line="400" w:lineRule="exact"/>
        <w:jc w:val="center"/>
        <w:rPr>
          <w:rFonts w:ascii="仿宋" w:hAnsi="仿宋" w:eastAsia="仿宋" w:cs="仿宋"/>
          <w:color w:val="auto"/>
          <w:szCs w:val="22"/>
          <w:highlight w:val="none"/>
        </w:rPr>
      </w:pPr>
    </w:p>
    <w:p>
      <w:pPr>
        <w:snapToGrid w:val="0"/>
        <w:spacing w:before="50" w:afterLines="50" w:line="400" w:lineRule="exact"/>
        <w:jc w:val="center"/>
        <w:rPr>
          <w:rFonts w:ascii="仿宋" w:hAnsi="仿宋" w:eastAsia="仿宋" w:cs="仿宋"/>
          <w:color w:val="auto"/>
          <w:szCs w:val="22"/>
          <w:highlight w:val="none"/>
        </w:rPr>
      </w:pPr>
    </w:p>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 xml:space="preserve">                                   日期：     年  月   日</w:t>
      </w:r>
    </w:p>
    <w:p>
      <w:pPr>
        <w:snapToGrid w:val="0"/>
        <w:spacing w:beforeLines="50" w:after="50" w:line="560" w:lineRule="exact"/>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附件（商务、资信部分）</w:t>
      </w:r>
    </w:p>
    <w:p>
      <w:pPr>
        <w:snapToGrid w:val="0"/>
        <w:spacing w:beforeLines="50" w:after="50"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投标声明书</w:t>
      </w:r>
    </w:p>
    <w:p>
      <w:pPr>
        <w:snapToGrid w:val="0"/>
        <w:spacing w:beforeLines="50" w:after="50"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致：（招标采购单位名称）：</w:t>
      </w:r>
    </w:p>
    <w:p>
      <w:pPr>
        <w:snapToGrid w:val="0"/>
        <w:spacing w:beforeLines="50" w:after="50" w:line="560" w:lineRule="exact"/>
        <w:ind w:firstLine="660" w:firstLineChars="3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u w:val="single"/>
        </w:rPr>
        <w:t>（投标人名称）</w:t>
      </w:r>
      <w:r>
        <w:rPr>
          <w:rFonts w:hint="eastAsia" w:ascii="仿宋" w:hAnsi="仿宋" w:eastAsia="仿宋" w:cs="仿宋"/>
          <w:color w:val="auto"/>
          <w:sz w:val="22"/>
          <w:szCs w:val="22"/>
          <w:highlight w:val="none"/>
        </w:rPr>
        <w:t>系中华人民共和国合法企业，经营地址。</w:t>
      </w:r>
    </w:p>
    <w:p>
      <w:pPr>
        <w:snapToGrid w:val="0"/>
        <w:spacing w:beforeLines="50" w:after="50"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我</w:t>
      </w:r>
      <w:r>
        <w:rPr>
          <w:rFonts w:hint="eastAsia" w:ascii="仿宋" w:hAnsi="仿宋" w:eastAsia="仿宋" w:cs="仿宋"/>
          <w:color w:val="auto"/>
          <w:sz w:val="22"/>
          <w:szCs w:val="22"/>
          <w:highlight w:val="none"/>
          <w:u w:val="single"/>
        </w:rPr>
        <w:t>（姓名）</w:t>
      </w:r>
      <w:r>
        <w:rPr>
          <w:rFonts w:hint="eastAsia" w:ascii="仿宋" w:hAnsi="仿宋" w:eastAsia="仿宋" w:cs="仿宋"/>
          <w:color w:val="auto"/>
          <w:sz w:val="22"/>
          <w:szCs w:val="22"/>
          <w:highlight w:val="none"/>
        </w:rPr>
        <w:t>系</w:t>
      </w:r>
      <w:r>
        <w:rPr>
          <w:rFonts w:hint="eastAsia" w:ascii="仿宋" w:hAnsi="仿宋" w:eastAsia="仿宋" w:cs="仿宋"/>
          <w:color w:val="auto"/>
          <w:sz w:val="22"/>
          <w:szCs w:val="22"/>
          <w:highlight w:val="none"/>
          <w:u w:val="single"/>
        </w:rPr>
        <w:t>（投标人名称）</w:t>
      </w:r>
      <w:r>
        <w:rPr>
          <w:rFonts w:hint="eastAsia" w:ascii="仿宋" w:hAnsi="仿宋" w:eastAsia="仿宋" w:cs="仿宋"/>
          <w:color w:val="auto"/>
          <w:sz w:val="22"/>
          <w:szCs w:val="22"/>
          <w:highlight w:val="none"/>
        </w:rPr>
        <w:t>的法定代表人，我方愿意参加贵方组织的项目的投标，为便于贵方公正、择优地确定中标人及其投标产品和服务，我方就本次投标有关事项郑重声明如下：</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1.我方向贵方提交的所有投标文件、资料都是准确的和真实的。</w:t>
      </w:r>
    </w:p>
    <w:p>
      <w:pPr>
        <w:snapToGrid w:val="0"/>
        <w:spacing w:beforeLines="50"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2.我方不是采购人的附属机构；在获知本项目采购信息后，与采购人聘请的为此项目提供咨询服务的公司及其附属机构没有任何联系。</w:t>
      </w:r>
    </w:p>
    <w:p>
      <w:pPr>
        <w:snapToGrid w:val="0"/>
        <w:spacing w:beforeLines="50"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3.我方此次向贵方提供的产品名称为：</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；规格型号：</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；该型号产品我方有现货可供，并已于年月生产完工或向</w:t>
      </w:r>
      <w:r>
        <w:rPr>
          <w:rFonts w:hint="eastAsia" w:ascii="仿宋" w:hAnsi="仿宋" w:eastAsia="仿宋" w:cs="仿宋"/>
          <w:color w:val="auto"/>
          <w:sz w:val="22"/>
          <w:szCs w:val="22"/>
          <w:highlight w:val="none"/>
          <w:u w:val="single"/>
        </w:rPr>
        <w:t>　　    /</w:t>
      </w:r>
      <w:r>
        <w:rPr>
          <w:rFonts w:hint="eastAsia" w:ascii="仿宋" w:hAnsi="仿宋" w:eastAsia="仿宋" w:cs="仿宋"/>
          <w:color w:val="auto"/>
          <w:sz w:val="22"/>
          <w:szCs w:val="22"/>
          <w:highlight w:val="none"/>
        </w:rPr>
        <w:t>（原厂商名称）购进［</w:t>
      </w:r>
      <w:r>
        <w:rPr>
          <w:rFonts w:hint="eastAsia" w:ascii="仿宋" w:hAnsi="仿宋" w:eastAsia="仿宋" w:cs="仿宋"/>
          <w:b/>
          <w:bCs/>
          <w:color w:val="auto"/>
          <w:sz w:val="22"/>
          <w:szCs w:val="22"/>
          <w:highlight w:val="none"/>
        </w:rPr>
        <w:t>或</w:t>
      </w:r>
      <w:r>
        <w:rPr>
          <w:rFonts w:hint="eastAsia" w:ascii="仿宋" w:hAnsi="仿宋" w:eastAsia="仿宋" w:cs="仿宋"/>
          <w:color w:val="auto"/>
          <w:sz w:val="22"/>
          <w:szCs w:val="22"/>
          <w:highlight w:val="none"/>
        </w:rPr>
        <w:t>需在中标后向订购］。</w:t>
      </w:r>
    </w:p>
    <w:p>
      <w:pPr>
        <w:snapToGrid w:val="0"/>
        <w:spacing w:beforeLines="50" w:line="560" w:lineRule="exact"/>
        <w:ind w:firstLine="440" w:firstLineChars="200"/>
        <w:rPr>
          <w:rFonts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4.我方诚意提请贵方关注：近期有关该型号产品的生产、供货、售后服务以及性能等方面的重大决策和事项有：</w:t>
      </w:r>
      <w:r>
        <w:rPr>
          <w:rFonts w:hint="eastAsia" w:ascii="仿宋" w:hAnsi="仿宋" w:eastAsia="仿宋" w:cs="仿宋"/>
          <w:color w:val="auto"/>
          <w:sz w:val="22"/>
          <w:szCs w:val="22"/>
          <w:highlight w:val="none"/>
          <w:u w:val="single"/>
        </w:rPr>
        <w:t>/</w:t>
      </w:r>
    </w:p>
    <w:p>
      <w:pPr>
        <w:pStyle w:val="2"/>
        <w:numPr>
          <w:ilvl w:val="255"/>
          <w:numId w:val="0"/>
        </w:numPr>
        <w:tabs>
          <w:tab w:val="left" w:pos="0"/>
          <w:tab w:val="left" w:pos="993"/>
          <w:tab w:val="left" w:pos="1134"/>
        </w:tabs>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5.我方及由本人担任法定代表人的其他机构最近三年内被通报或者被处罚的违法行为有：</w:t>
      </w:r>
    </w:p>
    <w:p>
      <w:pPr>
        <w:pStyle w:val="2"/>
        <w:numPr>
          <w:ilvl w:val="255"/>
          <w:numId w:val="0"/>
        </w:numPr>
        <w:tabs>
          <w:tab w:val="left" w:pos="0"/>
          <w:tab w:val="left" w:pos="993"/>
          <w:tab w:val="left" w:pos="1134"/>
        </w:tabs>
        <w:snapToGrid w:val="0"/>
        <w:spacing w:line="560" w:lineRule="exact"/>
        <w:ind w:firstLine="440" w:firstLineChars="200"/>
        <w:rPr>
          <w:rFonts w:ascii="仿宋" w:hAnsi="仿宋" w:eastAsia="仿宋" w:cs="仿宋"/>
          <w:color w:val="auto"/>
          <w:sz w:val="22"/>
          <w:szCs w:val="22"/>
          <w:highlight w:val="none"/>
          <w:u w:val="single"/>
        </w:rPr>
      </w:pP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6.以上事项如有虚假或隐瞒，我方愿意承担一切后果，并不再寻求任何旨在减轻或免除法律责任的辩解。</w:t>
      </w:r>
    </w:p>
    <w:p>
      <w:pPr>
        <w:pStyle w:val="2"/>
        <w:ind w:left="480"/>
        <w:rPr>
          <w:color w:val="auto"/>
          <w:highlight w:val="none"/>
        </w:rPr>
      </w:pP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法定代表人或其授权委托人（签字）： </w:t>
      </w:r>
    </w:p>
    <w:p>
      <w:pPr>
        <w:snapToGrid w:val="0"/>
        <w:spacing w:beforeLines="50" w:after="50" w:line="560" w:lineRule="exact"/>
        <w:rPr>
          <w:rFonts w:ascii="仿宋" w:hAnsi="仿宋" w:eastAsia="仿宋" w:cs="仿宋"/>
          <w:b/>
          <w:color w:val="auto"/>
          <w:sz w:val="22"/>
          <w:szCs w:val="22"/>
          <w:highlight w:val="none"/>
        </w:rPr>
        <w:sectPr>
          <w:footerReference r:id="rId8" w:type="first"/>
          <w:headerReference r:id="rId6" w:type="default"/>
          <w:footerReference r:id="rId7" w:type="default"/>
          <w:pgSz w:w="11906" w:h="16838"/>
          <w:pgMar w:top="1440" w:right="1622" w:bottom="1440" w:left="1287" w:header="851" w:footer="992" w:gutter="0"/>
          <w:pgNumType w:fmt="decimal"/>
          <w:cols w:space="720" w:num="1"/>
          <w:titlePg/>
          <w:docGrid w:linePitch="312" w:charSpace="0"/>
        </w:sectPr>
      </w:pPr>
      <w:r>
        <w:rPr>
          <w:rFonts w:hint="eastAsia" w:ascii="仿宋" w:hAnsi="仿宋" w:eastAsia="仿宋" w:cs="仿宋"/>
          <w:color w:val="auto"/>
          <w:sz w:val="22"/>
          <w:szCs w:val="22"/>
          <w:highlight w:val="none"/>
        </w:rPr>
        <w:t>供应商公章：                      年    月    日</w:t>
      </w:r>
    </w:p>
    <w:p>
      <w:pPr>
        <w:snapToGrid w:val="0"/>
        <w:spacing w:beforeLines="50" w:after="50" w:line="560" w:lineRule="exact"/>
        <w:ind w:firstLine="221" w:firstLineChars="100"/>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商务响应表</w:t>
      </w:r>
    </w:p>
    <w:p>
      <w:pPr>
        <w:pStyle w:val="9"/>
        <w:snapToGrid w:val="0"/>
        <w:spacing w:line="560" w:lineRule="exact"/>
        <w:rPr>
          <w:rFonts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单位全称（公章）：                 项目编号：</w:t>
      </w:r>
    </w:p>
    <w:tbl>
      <w:tblPr>
        <w:tblStyle w:val="27"/>
        <w:tblpPr w:leftFromText="180" w:rightFromText="180" w:vertAnchor="text" w:horzAnchor="page" w:tblpX="1321" w:tblpY="171"/>
        <w:tblOverlap w:val="never"/>
        <w:tblW w:w="90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08"/>
        <w:gridCol w:w="2160"/>
        <w:gridCol w:w="1035"/>
        <w:gridCol w:w="3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项  目</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招标文件要求</w:t>
            </w: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beforeLines="50"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是否</w:t>
            </w:r>
          </w:p>
          <w:p>
            <w:pPr>
              <w:snapToGrid w:val="0"/>
              <w:spacing w:beforeLines="50"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响应</w:t>
            </w:r>
          </w:p>
        </w:tc>
        <w:tc>
          <w:tcPr>
            <w:tcW w:w="3033" w:type="dxa"/>
            <w:tcBorders>
              <w:top w:val="single" w:color="auto" w:sz="4" w:space="0"/>
              <w:left w:val="single" w:color="auto" w:sz="4" w:space="0"/>
              <w:bottom w:val="single" w:color="auto" w:sz="4" w:space="0"/>
              <w:right w:val="single" w:color="auto" w:sz="4" w:space="0"/>
            </w:tcBorders>
            <w:vAlign w:val="center"/>
          </w:tcPr>
          <w:p>
            <w:pPr>
              <w:snapToGrid w:val="0"/>
              <w:spacing w:beforeLines="50"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2808" w:type="dxa"/>
            <w:tcBorders>
              <w:top w:val="single" w:color="auto" w:sz="4" w:space="0"/>
              <w:left w:val="single" w:color="auto" w:sz="4" w:space="0"/>
              <w:bottom w:val="single" w:color="auto" w:sz="4" w:space="0"/>
              <w:right w:val="single" w:color="auto" w:sz="4" w:space="0"/>
            </w:tcBorders>
            <w:vAlign w:val="center"/>
          </w:tcPr>
          <w:p>
            <w:pPr>
              <w:tabs>
                <w:tab w:val="left" w:pos="1831"/>
              </w:tabs>
              <w:snapToGrid w:val="0"/>
              <w:spacing w:line="560" w:lineRule="exact"/>
              <w:ind w:firstLine="880" w:firstLineChars="400"/>
              <w:jc w:val="left"/>
              <w:rPr>
                <w:rFonts w:ascii="仿宋" w:hAnsi="仿宋" w:eastAsia="仿宋" w:cs="仿宋"/>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60" w:lineRule="exact"/>
              <w:jc w:val="center"/>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ind w:left="43"/>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ind w:left="43"/>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仿宋" w:hAnsi="仿宋" w:eastAsia="仿宋" w:cs="仿宋"/>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仿宋"/>
                <w:color w:val="auto"/>
                <w:sz w:val="22"/>
                <w:szCs w:val="22"/>
                <w:highlight w:val="none"/>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napToGrid w:val="0"/>
              <w:spacing w:beforeLines="50"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tc>
        <w:tc>
          <w:tcPr>
            <w:tcW w:w="2160"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c>
          <w:tcPr>
            <w:tcW w:w="3033" w:type="dxa"/>
            <w:tcBorders>
              <w:top w:val="single" w:color="auto" w:sz="4" w:space="0"/>
              <w:left w:val="single" w:color="auto" w:sz="4" w:space="0"/>
              <w:bottom w:val="single" w:color="auto" w:sz="4" w:space="0"/>
              <w:right w:val="single" w:color="auto" w:sz="4" w:space="0"/>
            </w:tcBorders>
          </w:tcPr>
          <w:p>
            <w:pPr>
              <w:snapToGrid w:val="0"/>
              <w:spacing w:beforeLines="50" w:line="560" w:lineRule="exact"/>
              <w:rPr>
                <w:rFonts w:ascii="仿宋" w:hAnsi="仿宋" w:eastAsia="仿宋" w:cs="仿宋"/>
                <w:color w:val="auto"/>
                <w:sz w:val="22"/>
                <w:szCs w:val="22"/>
                <w:highlight w:val="none"/>
              </w:rPr>
            </w:pPr>
          </w:p>
        </w:tc>
      </w:tr>
    </w:tbl>
    <w:p>
      <w:pPr>
        <w:spacing w:line="560" w:lineRule="exact"/>
        <w:rPr>
          <w:rFonts w:ascii="仿宋" w:hAnsi="仿宋" w:eastAsia="仿宋" w:cs="仿宋"/>
          <w:b/>
          <w:color w:val="auto"/>
          <w:sz w:val="22"/>
          <w:szCs w:val="22"/>
          <w:highlight w:val="none"/>
        </w:rPr>
      </w:pPr>
    </w:p>
    <w:p>
      <w:pPr>
        <w:spacing w:line="560" w:lineRule="exac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注：本表格内容</w:t>
      </w:r>
      <w:r>
        <w:rPr>
          <w:rFonts w:hint="eastAsia" w:ascii="仿宋" w:hAnsi="仿宋" w:eastAsia="仿宋" w:cs="仿宋"/>
          <w:b/>
          <w:bCs/>
          <w:color w:val="auto"/>
          <w:sz w:val="22"/>
          <w:szCs w:val="22"/>
          <w:highlight w:val="none"/>
        </w:rPr>
        <w:t>不填写视同完全响应采购文件商务要求，</w:t>
      </w:r>
      <w:r>
        <w:rPr>
          <w:rFonts w:hint="eastAsia" w:ascii="仿宋" w:hAnsi="仿宋" w:eastAsia="仿宋" w:cs="仿宋"/>
          <w:b/>
          <w:color w:val="auto"/>
          <w:sz w:val="22"/>
          <w:szCs w:val="22"/>
          <w:highlight w:val="none"/>
        </w:rPr>
        <w:t>此表可在不改变格式的情况下自行制作。</w:t>
      </w:r>
    </w:p>
    <w:p>
      <w:pPr>
        <w:snapToGrid w:val="0"/>
        <w:spacing w:beforeLines="50" w:line="360" w:lineRule="auto"/>
        <w:rPr>
          <w:rFonts w:ascii="仿宋" w:hAnsi="仿宋" w:eastAsia="仿宋" w:cs="仿宋"/>
          <w:color w:val="auto"/>
          <w:sz w:val="22"/>
          <w:szCs w:val="22"/>
          <w:highlight w:val="none"/>
        </w:rPr>
      </w:pP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法定代表人或其授权委托人（签字）： </w:t>
      </w:r>
    </w:p>
    <w:p>
      <w:pPr>
        <w:snapToGrid w:val="0"/>
        <w:spacing w:beforeLines="50"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日期：</w:t>
      </w:r>
    </w:p>
    <w:p>
      <w:pPr>
        <w:snapToGrid w:val="0"/>
        <w:spacing w:beforeLines="50" w:line="560" w:lineRule="exact"/>
        <w:rPr>
          <w:rFonts w:ascii="仿宋" w:hAnsi="仿宋" w:eastAsia="仿宋" w:cs="仿宋"/>
          <w:color w:val="auto"/>
          <w:sz w:val="22"/>
          <w:szCs w:val="22"/>
          <w:highlight w:val="none"/>
        </w:rPr>
      </w:pPr>
    </w:p>
    <w:p>
      <w:pPr>
        <w:pStyle w:val="2"/>
        <w:ind w:left="480"/>
        <w:rPr>
          <w:color w:val="auto"/>
          <w:highlight w:val="none"/>
        </w:rPr>
      </w:pPr>
    </w:p>
    <w:p>
      <w:pPr>
        <w:pStyle w:val="2"/>
        <w:ind w:left="480"/>
        <w:rPr>
          <w:color w:val="auto"/>
          <w:highlight w:val="none"/>
        </w:rPr>
      </w:pPr>
    </w:p>
    <w:p>
      <w:pPr>
        <w:snapToGrid w:val="0"/>
        <w:spacing w:beforeLines="50" w:line="560" w:lineRule="exact"/>
        <w:rPr>
          <w:rFonts w:ascii="仿宋" w:hAnsi="仿宋" w:eastAsia="仿宋" w:cs="仿宋"/>
          <w:color w:val="auto"/>
          <w:sz w:val="22"/>
          <w:szCs w:val="22"/>
          <w:highlight w:val="none"/>
        </w:rPr>
      </w:pPr>
    </w:p>
    <w:p>
      <w:pPr>
        <w:snapToGrid w:val="0"/>
        <w:spacing w:beforeLines="50" w:after="50" w:line="560" w:lineRule="exact"/>
        <w:ind w:firstLine="221" w:firstLineChars="100"/>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投标人基本情况一览表</w:t>
      </w:r>
    </w:p>
    <w:tbl>
      <w:tblPr>
        <w:tblStyle w:val="2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单位名称</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企业代码</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经营地址</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企业法人</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经济类型</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授权代表</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公司成立时间</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公司联系电话、传真</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职工总人数</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资产总额</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其中固定资产原值</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固定资产净值</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负债总额</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其中银行借款</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所有者权益总额</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其中实收资本</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上年工业总产值</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上年销售收入</w:t>
            </w:r>
          </w:p>
        </w:tc>
        <w:tc>
          <w:tcPr>
            <w:tcW w:w="5900" w:type="dxa"/>
          </w:tcPr>
          <w:p>
            <w:pPr>
              <w:spacing w:line="560" w:lineRule="exact"/>
              <w:jc w:val="center"/>
              <w:rPr>
                <w:rFonts w:ascii="仿宋" w:hAnsi="仿宋" w:eastAsia="仿宋" w:cs="仿宋"/>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上年销售利润</w:t>
            </w:r>
          </w:p>
        </w:tc>
        <w:tc>
          <w:tcPr>
            <w:tcW w:w="5900" w:type="dxa"/>
          </w:tcPr>
          <w:p>
            <w:pPr>
              <w:spacing w:line="560" w:lineRule="exact"/>
              <w:jc w:val="center"/>
              <w:rPr>
                <w:rFonts w:ascii="仿宋" w:hAnsi="仿宋" w:eastAsia="仿宋" w:cs="仿宋"/>
                <w:b/>
                <w:color w:val="auto"/>
                <w:sz w:val="22"/>
                <w:szCs w:val="22"/>
                <w:highlight w:val="none"/>
              </w:rPr>
            </w:pPr>
          </w:p>
        </w:tc>
      </w:tr>
    </w:tbl>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供应商名称（公章）：                             </w:t>
      </w: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法定代表人或其授权委托人（签字）： </w:t>
      </w: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日期：          年        月        日</w:t>
      </w:r>
    </w:p>
    <w:p>
      <w:pPr>
        <w:pStyle w:val="2"/>
        <w:ind w:left="0" w:leftChars="0"/>
        <w:rPr>
          <w:rFonts w:ascii="仿宋" w:hAnsi="仿宋" w:eastAsia="仿宋" w:cs="仿宋"/>
          <w:color w:val="auto"/>
          <w:highlight w:val="none"/>
          <w:lang w:val="zh-CN"/>
        </w:rPr>
      </w:pPr>
    </w:p>
    <w:p>
      <w:pPr>
        <w:snapToGrid w:val="0"/>
        <w:spacing w:beforeLines="50" w:after="50" w:line="560" w:lineRule="exact"/>
        <w:ind w:firstLine="221" w:firstLineChars="100"/>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项目业绩一览表</w:t>
      </w:r>
    </w:p>
    <w:tbl>
      <w:tblPr>
        <w:tblStyle w:val="27"/>
        <w:tblpPr w:leftFromText="180" w:rightFromText="180" w:vertAnchor="text" w:horzAnchor="page" w:tblpX="1223" w:tblpY="69"/>
        <w:tblOverlap w:val="never"/>
        <w:tblW w:w="96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89"/>
        <w:gridCol w:w="1410"/>
        <w:gridCol w:w="1530"/>
        <w:gridCol w:w="1380"/>
        <w:gridCol w:w="1605"/>
        <w:gridCol w:w="15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highlight w:val="none"/>
              </w:rPr>
            </w:pPr>
            <w:r>
              <w:rPr>
                <w:rFonts w:hint="eastAsia" w:ascii="仿宋" w:hAnsi="仿宋" w:eastAsia="仿宋" w:cs="仿宋"/>
                <w:color w:val="auto"/>
                <w:highlight w:val="none"/>
              </w:rPr>
              <w:t>采购单位名称</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highlight w:val="none"/>
              </w:rPr>
            </w:pPr>
            <w:r>
              <w:rPr>
                <w:rFonts w:hint="eastAsia" w:ascii="仿宋" w:hAnsi="仿宋" w:eastAsia="仿宋" w:cs="仿宋"/>
                <w:color w:val="auto"/>
                <w:highlight w:val="none"/>
              </w:rPr>
              <w:t>项目名称</w:t>
            </w:r>
          </w:p>
        </w:tc>
        <w:tc>
          <w:tcPr>
            <w:tcW w:w="153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highlight w:val="none"/>
              </w:rPr>
            </w:pPr>
            <w:r>
              <w:rPr>
                <w:rFonts w:hint="eastAsia" w:ascii="仿宋" w:hAnsi="仿宋" w:eastAsia="仿宋" w:cs="仿宋"/>
                <w:color w:val="auto"/>
                <w:highlight w:val="none"/>
              </w:rPr>
              <w:t>合同金额（万元）</w:t>
            </w:r>
          </w:p>
        </w:tc>
        <w:tc>
          <w:tcPr>
            <w:tcW w:w="138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highlight w:val="none"/>
              </w:rPr>
            </w:pPr>
            <w:r>
              <w:rPr>
                <w:rFonts w:hint="eastAsia" w:ascii="仿宋" w:hAnsi="仿宋" w:eastAsia="仿宋" w:cs="仿宋"/>
                <w:color w:val="auto"/>
                <w:highlight w:val="none"/>
              </w:rPr>
              <w:t>合同签订日期及项目完成日期</w:t>
            </w:r>
          </w:p>
        </w:tc>
        <w:tc>
          <w:tcPr>
            <w:tcW w:w="1605"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highlight w:val="none"/>
              </w:rPr>
            </w:pPr>
            <w:r>
              <w:rPr>
                <w:rFonts w:hint="eastAsia" w:ascii="仿宋" w:hAnsi="仿宋" w:eastAsia="仿宋" w:cs="仿宋"/>
                <w:color w:val="auto"/>
                <w:highlight w:val="none"/>
              </w:rPr>
              <w:t>项目所在地</w:t>
            </w:r>
          </w:p>
        </w:tc>
        <w:tc>
          <w:tcPr>
            <w:tcW w:w="1530" w:type="dxa"/>
            <w:tcBorders>
              <w:top w:val="single" w:color="auto" w:sz="4" w:space="0"/>
              <w:left w:val="single" w:color="auto" w:sz="4" w:space="0"/>
              <w:bottom w:val="single" w:color="auto" w:sz="4" w:space="0"/>
              <w:right w:val="single" w:color="auto" w:sz="4" w:space="0"/>
            </w:tcBorders>
            <w:vAlign w:val="center"/>
          </w:tcPr>
          <w:p>
            <w:pPr>
              <w:snapToGrid w:val="0"/>
              <w:spacing w:before="50" w:afterLines="50" w:line="400" w:lineRule="exact"/>
              <w:jc w:val="center"/>
              <w:rPr>
                <w:rFonts w:ascii="仿宋" w:hAnsi="仿宋" w:eastAsia="仿宋" w:cs="仿宋"/>
                <w:color w:val="auto"/>
                <w:highlight w:val="none"/>
              </w:rPr>
            </w:pPr>
            <w:r>
              <w:rPr>
                <w:rFonts w:hint="eastAsia" w:ascii="仿宋" w:hAnsi="仿宋" w:eastAsia="仿宋" w:cs="仿宋"/>
                <w:color w:val="auto"/>
                <w:highlight w:val="none"/>
              </w:rPr>
              <w:t>采购单位负责人及联系电话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8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41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3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60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c>
          <w:tcPr>
            <w:tcW w:w="153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cs="仿宋"/>
                <w:color w:val="auto"/>
                <w:szCs w:val="28"/>
                <w:highlight w:val="none"/>
              </w:rPr>
            </w:pPr>
          </w:p>
        </w:tc>
      </w:tr>
    </w:tbl>
    <w:p>
      <w:pPr>
        <w:spacing w:line="400" w:lineRule="exact"/>
        <w:rPr>
          <w:rFonts w:ascii="仿宋" w:hAnsi="仿宋" w:eastAsia="仿宋" w:cs="仿宋"/>
          <w:color w:val="auto"/>
          <w:sz w:val="32"/>
          <w:szCs w:val="32"/>
          <w:highlight w:val="none"/>
        </w:rPr>
      </w:pPr>
    </w:p>
    <w:p>
      <w:pPr>
        <w:snapToGrid w:val="0"/>
        <w:spacing w:beforeLines="50" w:line="360" w:lineRule="auto"/>
        <w:rPr>
          <w:rFonts w:ascii="仿宋" w:hAnsi="仿宋" w:eastAsia="仿宋" w:cs="仿宋"/>
          <w:color w:val="auto"/>
          <w:highlight w:val="none"/>
        </w:rPr>
      </w:pPr>
    </w:p>
    <w:p>
      <w:pPr>
        <w:snapToGrid w:val="0"/>
        <w:spacing w:beforeLines="50" w:line="360" w:lineRule="auto"/>
        <w:rPr>
          <w:rFonts w:ascii="仿宋" w:hAnsi="仿宋" w:eastAsia="仿宋" w:cs="仿宋"/>
          <w:color w:val="auto"/>
          <w:highlight w:val="none"/>
        </w:rPr>
      </w:pPr>
      <w:r>
        <w:rPr>
          <w:rFonts w:hint="eastAsia" w:ascii="仿宋" w:hAnsi="仿宋" w:eastAsia="仿宋" w:cs="仿宋"/>
          <w:color w:val="auto"/>
          <w:highlight w:val="none"/>
        </w:rPr>
        <w:t xml:space="preserve">供应商名称（公章）：                             </w:t>
      </w:r>
    </w:p>
    <w:p>
      <w:pPr>
        <w:snapToGrid w:val="0"/>
        <w:spacing w:beforeLines="50" w:line="360" w:lineRule="auto"/>
        <w:rPr>
          <w:rFonts w:ascii="仿宋" w:hAnsi="仿宋" w:eastAsia="仿宋" w:cs="仿宋"/>
          <w:color w:val="auto"/>
          <w:highlight w:val="none"/>
        </w:rPr>
      </w:pPr>
      <w:r>
        <w:rPr>
          <w:rFonts w:hint="eastAsia" w:ascii="仿宋" w:hAnsi="仿宋" w:eastAsia="仿宋" w:cs="仿宋"/>
          <w:color w:val="auto"/>
          <w:highlight w:val="none"/>
        </w:rPr>
        <w:t xml:space="preserve">法定代表人或其授权委托人（签字）： </w:t>
      </w:r>
    </w:p>
    <w:p>
      <w:pPr>
        <w:snapToGrid w:val="0"/>
        <w:spacing w:beforeLines="50" w:line="360" w:lineRule="auto"/>
        <w:rPr>
          <w:rFonts w:ascii="仿宋" w:hAnsi="仿宋" w:eastAsia="仿宋" w:cs="仿宋"/>
          <w:color w:val="auto"/>
          <w:highlight w:val="none"/>
        </w:rPr>
      </w:pPr>
      <w:r>
        <w:rPr>
          <w:rFonts w:hint="eastAsia" w:ascii="仿宋" w:hAnsi="仿宋" w:eastAsia="仿宋" w:cs="仿宋"/>
          <w:color w:val="auto"/>
          <w:highlight w:val="none"/>
        </w:rPr>
        <w:t>日期：          年        月        日</w:t>
      </w:r>
    </w:p>
    <w:p>
      <w:pPr>
        <w:snapToGrid w:val="0"/>
        <w:spacing w:beforeLines="50" w:line="360" w:lineRule="auto"/>
        <w:rPr>
          <w:rFonts w:ascii="仿宋" w:hAnsi="仿宋" w:eastAsia="仿宋" w:cs="仿宋"/>
          <w:color w:val="auto"/>
          <w:sz w:val="22"/>
          <w:szCs w:val="22"/>
          <w:highlight w:val="none"/>
        </w:rPr>
      </w:pPr>
    </w:p>
    <w:p>
      <w:pPr>
        <w:spacing w:line="360" w:lineRule="auto"/>
        <w:jc w:val="center"/>
        <w:rPr>
          <w:rFonts w:ascii="仿宋" w:hAnsi="仿宋" w:eastAsia="仿宋" w:cs="仿宋"/>
          <w:b/>
          <w:color w:val="auto"/>
          <w:highlight w:val="none"/>
        </w:rPr>
      </w:pPr>
    </w:p>
    <w:p>
      <w:pPr>
        <w:spacing w:line="360" w:lineRule="auto"/>
        <w:jc w:val="center"/>
        <w:rPr>
          <w:rFonts w:ascii="仿宋" w:hAnsi="仿宋" w:eastAsia="仿宋" w:cs="仿宋"/>
          <w:b/>
          <w:color w:val="auto"/>
          <w:highlight w:val="none"/>
        </w:rPr>
      </w:pPr>
    </w:p>
    <w:p>
      <w:pPr>
        <w:pStyle w:val="2"/>
        <w:ind w:left="480"/>
        <w:rPr>
          <w:rFonts w:ascii="仿宋" w:hAnsi="仿宋" w:eastAsia="仿宋" w:cs="仿宋"/>
          <w:b/>
          <w:color w:val="auto"/>
          <w:highlight w:val="none"/>
        </w:rPr>
      </w:pPr>
    </w:p>
    <w:p>
      <w:pPr>
        <w:pStyle w:val="2"/>
        <w:ind w:left="480"/>
        <w:rPr>
          <w:rFonts w:ascii="仿宋" w:hAnsi="仿宋" w:eastAsia="仿宋" w:cs="仿宋"/>
          <w:b/>
          <w:color w:val="auto"/>
          <w:highlight w:val="none"/>
        </w:rPr>
      </w:pPr>
    </w:p>
    <w:p>
      <w:pPr>
        <w:snapToGrid w:val="0"/>
        <w:spacing w:beforeLines="50" w:after="50" w:line="560" w:lineRule="exact"/>
        <w:ind w:firstLine="221" w:firstLineChars="100"/>
        <w:jc w:val="center"/>
        <w:rPr>
          <w:rFonts w:ascii="仿宋" w:hAnsi="仿宋" w:eastAsia="仿宋" w:cs="仿宋"/>
          <w:b/>
          <w:color w:val="auto"/>
          <w:sz w:val="22"/>
          <w:szCs w:val="22"/>
          <w:highlight w:val="none"/>
        </w:rPr>
      </w:pPr>
    </w:p>
    <w:p>
      <w:pPr>
        <w:pStyle w:val="2"/>
        <w:ind w:left="0" w:leftChars="0"/>
        <w:rPr>
          <w:rFonts w:ascii="仿宋" w:hAnsi="仿宋" w:eastAsia="仿宋" w:cs="仿宋"/>
          <w:color w:val="auto"/>
          <w:szCs w:val="22"/>
          <w:highlight w:val="none"/>
        </w:rPr>
      </w:pPr>
      <w:bookmarkStart w:id="33" w:name="_Toc232080144"/>
    </w:p>
    <w:p>
      <w:pPr>
        <w:snapToGrid w:val="0"/>
        <w:spacing w:beforeLines="50" w:after="50" w:line="560" w:lineRule="exact"/>
        <w:ind w:firstLine="221" w:firstLineChars="100"/>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投标硬件设备组成清单</w:t>
      </w:r>
    </w:p>
    <w:p>
      <w:pPr>
        <w:pStyle w:val="2"/>
        <w:ind w:left="480"/>
        <w:rPr>
          <w:color w:val="auto"/>
          <w:highlight w:val="none"/>
        </w:rPr>
      </w:pPr>
    </w:p>
    <w:p>
      <w:pPr>
        <w:snapToGrid w:val="0"/>
        <w:spacing w:before="50" w:afterLines="50" w:line="400" w:lineRule="exact"/>
        <w:rPr>
          <w:rFonts w:ascii="仿宋" w:hAnsi="仿宋" w:eastAsia="仿宋" w:cs="仿宋"/>
          <w:color w:val="auto"/>
          <w:szCs w:val="22"/>
          <w:highlight w:val="none"/>
        </w:rPr>
      </w:pPr>
      <w:r>
        <w:rPr>
          <w:rFonts w:hint="eastAsia" w:ascii="仿宋" w:hAnsi="仿宋" w:eastAsia="仿宋" w:cs="仿宋"/>
          <w:color w:val="auto"/>
          <w:szCs w:val="22"/>
          <w:highlight w:val="none"/>
        </w:rPr>
        <w:t>投标人全称（加盖公章）：            招标文件编号：</w:t>
      </w:r>
    </w:p>
    <w:tbl>
      <w:tblPr>
        <w:tblStyle w:val="27"/>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48"/>
        <w:gridCol w:w="872"/>
        <w:gridCol w:w="900"/>
        <w:gridCol w:w="1496"/>
        <w:gridCol w:w="1744"/>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序号</w:t>
            </w: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设备名称</w:t>
            </w: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数量</w:t>
            </w: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产地</w:t>
            </w: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生产厂商</w:t>
            </w: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型号、规格、参数</w:t>
            </w: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品牌</w:t>
            </w: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655" w:type="dxa"/>
          </w:tcPr>
          <w:p>
            <w:pPr>
              <w:snapToGrid w:val="0"/>
              <w:spacing w:before="50" w:afterLines="50" w:line="400" w:lineRule="exact"/>
              <w:jc w:val="center"/>
              <w:rPr>
                <w:rFonts w:ascii="仿宋" w:hAnsi="仿宋" w:eastAsia="仿宋" w:cs="仿宋"/>
                <w:color w:val="auto"/>
                <w:szCs w:val="22"/>
                <w:highlight w:val="none"/>
              </w:rPr>
            </w:pPr>
          </w:p>
        </w:tc>
        <w:tc>
          <w:tcPr>
            <w:tcW w:w="1648"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872"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496"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744"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900" w:type="dxa"/>
            <w:vAlign w:val="center"/>
          </w:tcPr>
          <w:p>
            <w:pPr>
              <w:snapToGrid w:val="0"/>
              <w:spacing w:before="50" w:afterLines="50" w:line="400" w:lineRule="exact"/>
              <w:jc w:val="center"/>
              <w:rPr>
                <w:rFonts w:ascii="仿宋" w:hAnsi="仿宋" w:eastAsia="仿宋" w:cs="仿宋"/>
                <w:color w:val="auto"/>
                <w:szCs w:val="22"/>
                <w:highlight w:val="none"/>
              </w:rPr>
            </w:pPr>
          </w:p>
        </w:tc>
        <w:tc>
          <w:tcPr>
            <w:tcW w:w="1080" w:type="dxa"/>
            <w:vAlign w:val="center"/>
          </w:tcPr>
          <w:p>
            <w:pPr>
              <w:snapToGrid w:val="0"/>
              <w:spacing w:before="50" w:afterLines="50" w:line="400" w:lineRule="exact"/>
              <w:jc w:val="center"/>
              <w:rPr>
                <w:rFonts w:ascii="仿宋" w:hAnsi="仿宋" w:eastAsia="仿宋" w:cs="仿宋"/>
                <w:color w:val="auto"/>
                <w:szCs w:val="22"/>
                <w:highlight w:val="none"/>
              </w:rPr>
            </w:pPr>
          </w:p>
        </w:tc>
      </w:tr>
    </w:tbl>
    <w:p>
      <w:pPr>
        <w:snapToGrid w:val="0"/>
        <w:spacing w:before="50" w:afterLines="50" w:line="400" w:lineRule="exact"/>
        <w:jc w:val="left"/>
        <w:rPr>
          <w:rFonts w:ascii="仿宋" w:hAnsi="仿宋" w:eastAsia="仿宋" w:cs="仿宋"/>
          <w:color w:val="auto"/>
          <w:szCs w:val="22"/>
          <w:highlight w:val="none"/>
        </w:rPr>
      </w:pPr>
      <w:r>
        <w:rPr>
          <w:rFonts w:hint="eastAsia" w:ascii="仿宋" w:hAnsi="仿宋" w:eastAsia="仿宋" w:cs="仿宋"/>
          <w:color w:val="auto"/>
          <w:szCs w:val="22"/>
          <w:highlight w:val="none"/>
        </w:rPr>
        <w:t>注：1、本表所列项目应根据实际情况填写；</w:t>
      </w:r>
    </w:p>
    <w:p>
      <w:pPr>
        <w:snapToGrid w:val="0"/>
        <w:spacing w:before="50" w:afterLines="50" w:line="400" w:lineRule="exact"/>
        <w:jc w:val="center"/>
        <w:rPr>
          <w:rFonts w:ascii="仿宋" w:hAnsi="仿宋" w:eastAsia="仿宋" w:cs="仿宋"/>
          <w:color w:val="auto"/>
          <w:szCs w:val="22"/>
          <w:highlight w:val="none"/>
        </w:rPr>
      </w:pPr>
      <w:r>
        <w:rPr>
          <w:rFonts w:hint="eastAsia" w:ascii="仿宋" w:hAnsi="仿宋" w:eastAsia="仿宋" w:cs="仿宋"/>
          <w:color w:val="auto"/>
          <w:szCs w:val="22"/>
          <w:highlight w:val="none"/>
        </w:rPr>
        <w:t>2、此表仅提供了表格形式，投标人应根据需要准备足够数量的表格来填写。</w:t>
      </w:r>
    </w:p>
    <w:p>
      <w:pPr>
        <w:pStyle w:val="2"/>
        <w:ind w:left="0" w:leftChars="0"/>
        <w:rPr>
          <w:color w:val="auto"/>
          <w:highlight w:val="none"/>
        </w:rPr>
      </w:pPr>
    </w:p>
    <w:p>
      <w:pPr>
        <w:pStyle w:val="2"/>
        <w:ind w:left="0" w:leftChars="0"/>
        <w:rPr>
          <w:color w:val="auto"/>
          <w:highlight w:val="none"/>
        </w:rPr>
      </w:pPr>
    </w:p>
    <w:p>
      <w:pPr>
        <w:pStyle w:val="2"/>
        <w:ind w:left="0" w:leftChars="0"/>
        <w:rPr>
          <w:color w:val="auto"/>
          <w:highlight w:val="none"/>
        </w:rPr>
      </w:pPr>
    </w:p>
    <w:p>
      <w:pPr>
        <w:snapToGrid w:val="0"/>
        <w:spacing w:beforeLines="50" w:after="50" w:line="560" w:lineRule="exact"/>
        <w:ind w:firstLine="3300" w:firstLineChars="1500"/>
        <w:jc w:val="left"/>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法定代表人或其授权代理人签字或盖章：</w:t>
      </w:r>
    </w:p>
    <w:p>
      <w:pPr>
        <w:snapToGrid w:val="0"/>
        <w:spacing w:beforeLines="50" w:after="50" w:line="560" w:lineRule="exact"/>
        <w:ind w:firstLine="5280" w:firstLineChars="2400"/>
        <w:jc w:val="left"/>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日期：     年  月   日</w:t>
      </w:r>
    </w:p>
    <w:p>
      <w:pPr>
        <w:pStyle w:val="2"/>
        <w:ind w:left="0" w:leftChars="0"/>
        <w:rPr>
          <w:color w:val="auto"/>
          <w:highlight w:val="none"/>
        </w:rPr>
      </w:pPr>
    </w:p>
    <w:p>
      <w:pPr>
        <w:pStyle w:val="2"/>
        <w:ind w:left="0" w:leftChars="0"/>
        <w:rPr>
          <w:color w:val="auto"/>
          <w:highlight w:val="none"/>
        </w:rPr>
      </w:pPr>
    </w:p>
    <w:p>
      <w:pPr>
        <w:pStyle w:val="2"/>
        <w:ind w:left="0" w:leftChars="0"/>
        <w:rPr>
          <w:color w:val="auto"/>
          <w:highlight w:val="none"/>
        </w:rPr>
      </w:pPr>
    </w:p>
    <w:p>
      <w:pPr>
        <w:pStyle w:val="2"/>
        <w:ind w:left="0" w:leftChars="0"/>
        <w:rPr>
          <w:color w:val="auto"/>
          <w:highlight w:val="none"/>
        </w:rPr>
      </w:pPr>
    </w:p>
    <w:p>
      <w:pPr>
        <w:pStyle w:val="2"/>
        <w:ind w:left="0" w:leftChars="0"/>
        <w:rPr>
          <w:color w:val="auto"/>
          <w:highlight w:val="none"/>
        </w:rPr>
      </w:pPr>
    </w:p>
    <w:p>
      <w:pPr>
        <w:pStyle w:val="2"/>
        <w:ind w:left="0" w:leftChars="0"/>
        <w:rPr>
          <w:color w:val="auto"/>
          <w:highlight w:val="none"/>
        </w:rPr>
      </w:pPr>
    </w:p>
    <w:p>
      <w:pPr>
        <w:snapToGrid w:val="0"/>
        <w:spacing w:beforeLines="50" w:after="50" w:line="560" w:lineRule="exact"/>
        <w:ind w:firstLine="221" w:firstLineChars="100"/>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采购代理服务费承诺函</w:t>
      </w:r>
    </w:p>
    <w:p>
      <w:pPr>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湖州江南工程管理有限公司：</w:t>
      </w:r>
    </w:p>
    <w:p>
      <w:pPr>
        <w:spacing w:line="360" w:lineRule="auto"/>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根据</w:t>
      </w:r>
      <w:r>
        <w:rPr>
          <w:rFonts w:hint="eastAsia" w:ascii="仿宋" w:hAnsi="仿宋" w:eastAsia="仿宋" w:cs="仿宋"/>
          <w:color w:val="auto"/>
          <w:sz w:val="22"/>
          <w:szCs w:val="22"/>
          <w:highlight w:val="none"/>
          <w:u w:val="single"/>
          <w:lang w:val="zh-CN"/>
        </w:rPr>
        <w:t>湖州市中心医院新医院安全保卫服务项目招</w:t>
      </w:r>
      <w:r>
        <w:rPr>
          <w:rFonts w:hint="eastAsia" w:ascii="仿宋" w:hAnsi="仿宋" w:eastAsia="仿宋" w:cs="仿宋"/>
          <w:color w:val="auto"/>
          <w:sz w:val="22"/>
          <w:szCs w:val="22"/>
          <w:highlight w:val="none"/>
        </w:rPr>
        <w:t>标文件规定，一旦我公司成交，我公司全额支付本项目的采购代理服务费（按照采购文件的约定）。在我公司收到中标通知书前一次性向贵公司缴清，费用缴清后代理机构开具等额发票。</w:t>
      </w:r>
    </w:p>
    <w:p>
      <w:pPr>
        <w:spacing w:line="360" w:lineRule="auto"/>
        <w:rPr>
          <w:rFonts w:ascii="仿宋" w:hAnsi="仿宋" w:eastAsia="仿宋" w:cs="仿宋"/>
          <w:color w:val="auto"/>
          <w:sz w:val="22"/>
          <w:szCs w:val="22"/>
          <w:highlight w:val="none"/>
        </w:rPr>
      </w:pPr>
    </w:p>
    <w:p>
      <w:pPr>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本承诺函自开标之日起至本次采购期满有效。</w:t>
      </w:r>
    </w:p>
    <w:p>
      <w:pPr>
        <w:spacing w:line="360" w:lineRule="auto"/>
        <w:rPr>
          <w:rFonts w:ascii="仿宋" w:hAnsi="仿宋" w:eastAsia="仿宋" w:cs="仿宋"/>
          <w:color w:val="auto"/>
          <w:sz w:val="22"/>
          <w:szCs w:val="22"/>
          <w:highlight w:val="none"/>
        </w:rPr>
      </w:pPr>
    </w:p>
    <w:p>
      <w:pPr>
        <w:spacing w:line="360" w:lineRule="auto"/>
        <w:rPr>
          <w:rFonts w:ascii="仿宋" w:hAnsi="仿宋" w:eastAsia="仿宋" w:cs="仿宋"/>
          <w:color w:val="auto"/>
          <w:sz w:val="22"/>
          <w:szCs w:val="22"/>
          <w:highlight w:val="none"/>
        </w:rPr>
      </w:pPr>
    </w:p>
    <w:p>
      <w:pPr>
        <w:snapToGrid w:val="0"/>
        <w:spacing w:line="360" w:lineRule="auto"/>
        <w:jc w:val="center"/>
        <w:rPr>
          <w:rFonts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法定代表人或其授权委托人（签字）：</w:t>
      </w:r>
    </w:p>
    <w:p>
      <w:pPr>
        <w:snapToGrid w:val="0"/>
        <w:spacing w:beforeLines="50" w:after="50"/>
        <w:ind w:firstLine="4400" w:firstLineChars="20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供应商（公章）：</w:t>
      </w:r>
    </w:p>
    <w:p>
      <w:pPr>
        <w:snapToGrid w:val="0"/>
        <w:spacing w:beforeLines="50" w:after="50"/>
        <w:ind w:left="823" w:leftChars="343" w:firstLine="4680" w:firstLineChars="1950"/>
        <w:jc w:val="right"/>
        <w:rPr>
          <w:rFonts w:ascii="仿宋" w:hAnsi="仿宋" w:eastAsia="仿宋" w:cs="仿宋"/>
          <w:color w:val="auto"/>
          <w:highlight w:val="none"/>
        </w:rPr>
      </w:pPr>
    </w:p>
    <w:p>
      <w:pPr>
        <w:snapToGrid w:val="0"/>
        <w:spacing w:beforeLines="50" w:after="50"/>
        <w:ind w:left="823" w:leftChars="343" w:firstLine="4680" w:firstLineChars="1950"/>
        <w:jc w:val="right"/>
        <w:rPr>
          <w:rFonts w:ascii="仿宋" w:hAnsi="仿宋" w:eastAsia="仿宋" w:cs="仿宋"/>
          <w:color w:val="auto"/>
          <w:highlight w:val="none"/>
        </w:rPr>
      </w:pPr>
      <w:r>
        <w:rPr>
          <w:rFonts w:hint="eastAsia" w:ascii="仿宋" w:hAnsi="仿宋" w:eastAsia="仿宋" w:cs="仿宋"/>
          <w:color w:val="auto"/>
          <w:highlight w:val="none"/>
        </w:rPr>
        <w:t>年    月  日</w:t>
      </w:r>
    </w:p>
    <w:p>
      <w:pPr>
        <w:snapToGrid w:val="0"/>
        <w:spacing w:line="360" w:lineRule="auto"/>
        <w:rPr>
          <w:rFonts w:ascii="仿宋" w:hAnsi="仿宋" w:eastAsia="仿宋" w:cs="仿宋"/>
          <w:b/>
          <w:color w:val="auto"/>
          <w:highlight w:val="none"/>
        </w:rPr>
      </w:pPr>
    </w:p>
    <w:p>
      <w:pPr>
        <w:spacing w:line="360" w:lineRule="auto"/>
        <w:rPr>
          <w:rFonts w:ascii="仿宋" w:hAnsi="仿宋" w:eastAsia="仿宋" w:cs="仿宋"/>
          <w:color w:val="auto"/>
          <w:sz w:val="22"/>
          <w:szCs w:val="22"/>
          <w:highlight w:val="none"/>
        </w:rPr>
      </w:pPr>
    </w:p>
    <w:p>
      <w:pPr>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代理费汇款帐号:</w:t>
      </w:r>
    </w:p>
    <w:p>
      <w:pPr>
        <w:snapToGrid w:val="0"/>
        <w:spacing w:line="48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单位名称：湖州江南工程管理有限公司</w:t>
      </w:r>
    </w:p>
    <w:p>
      <w:pPr>
        <w:snapToGrid w:val="0"/>
        <w:spacing w:line="48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开户银行：农行湖州红丰支行</w:t>
      </w:r>
    </w:p>
    <w:p>
      <w:pPr>
        <w:snapToGrid w:val="0"/>
        <w:spacing w:line="48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银行帐号：1910 5401 0400 04453</w:t>
      </w:r>
    </w:p>
    <w:p>
      <w:pPr>
        <w:spacing w:line="360" w:lineRule="auto"/>
        <w:rPr>
          <w:rFonts w:ascii="仿宋" w:hAnsi="仿宋" w:eastAsia="仿宋" w:cs="仿宋"/>
          <w:b/>
          <w:color w:val="auto"/>
          <w:szCs w:val="28"/>
          <w:highlight w:val="none"/>
        </w:rPr>
      </w:pPr>
    </w:p>
    <w:p>
      <w:pPr>
        <w:snapToGrid w:val="0"/>
        <w:spacing w:beforeLines="50" w:after="50" w:line="560" w:lineRule="exact"/>
        <w:jc w:val="left"/>
        <w:rPr>
          <w:rFonts w:ascii="仿宋" w:hAnsi="仿宋" w:eastAsia="仿宋" w:cs="仿宋"/>
          <w:b/>
          <w:color w:val="auto"/>
          <w:sz w:val="22"/>
          <w:szCs w:val="22"/>
          <w:highlight w:val="none"/>
        </w:rPr>
      </w:pPr>
    </w:p>
    <w:p>
      <w:pPr>
        <w:snapToGrid w:val="0"/>
        <w:spacing w:beforeLines="50" w:after="50" w:line="560" w:lineRule="exact"/>
        <w:jc w:val="left"/>
        <w:rPr>
          <w:rFonts w:ascii="仿宋" w:hAnsi="仿宋" w:eastAsia="仿宋" w:cs="仿宋"/>
          <w:b/>
          <w:color w:val="auto"/>
          <w:sz w:val="22"/>
          <w:szCs w:val="22"/>
          <w:highlight w:val="none"/>
        </w:rPr>
      </w:pPr>
    </w:p>
    <w:p>
      <w:pPr>
        <w:snapToGrid w:val="0"/>
        <w:spacing w:beforeLines="50" w:after="50" w:line="560" w:lineRule="exact"/>
        <w:jc w:val="left"/>
        <w:rPr>
          <w:rFonts w:ascii="仿宋" w:hAnsi="仿宋" w:eastAsia="仿宋" w:cs="仿宋"/>
          <w:b/>
          <w:color w:val="auto"/>
          <w:sz w:val="22"/>
          <w:szCs w:val="22"/>
          <w:highlight w:val="none"/>
        </w:rPr>
      </w:pPr>
    </w:p>
    <w:p>
      <w:pPr>
        <w:snapToGrid w:val="0"/>
        <w:spacing w:beforeLines="50" w:after="50" w:line="560" w:lineRule="exact"/>
        <w:jc w:val="left"/>
        <w:rPr>
          <w:rFonts w:ascii="仿宋" w:hAnsi="仿宋" w:eastAsia="仿宋" w:cs="仿宋"/>
          <w:b/>
          <w:color w:val="auto"/>
          <w:sz w:val="22"/>
          <w:szCs w:val="22"/>
          <w:highlight w:val="none"/>
        </w:rPr>
      </w:pPr>
    </w:p>
    <w:p>
      <w:pPr>
        <w:snapToGrid w:val="0"/>
        <w:spacing w:beforeLines="50" w:after="50" w:line="560" w:lineRule="exact"/>
        <w:jc w:val="left"/>
        <w:rPr>
          <w:rFonts w:ascii="仿宋" w:hAnsi="仿宋" w:eastAsia="仿宋" w:cs="仿宋"/>
          <w:b/>
          <w:color w:val="auto"/>
          <w:sz w:val="22"/>
          <w:szCs w:val="22"/>
          <w:highlight w:val="none"/>
        </w:rPr>
      </w:pPr>
    </w:p>
    <w:p>
      <w:pPr>
        <w:snapToGrid w:val="0"/>
        <w:spacing w:beforeLines="50" w:after="50" w:line="560" w:lineRule="exact"/>
        <w:jc w:val="left"/>
        <w:rPr>
          <w:rFonts w:ascii="仿宋" w:hAnsi="仿宋" w:eastAsia="仿宋" w:cs="仿宋"/>
          <w:b/>
          <w:color w:val="auto"/>
          <w:sz w:val="22"/>
          <w:szCs w:val="22"/>
          <w:highlight w:val="none"/>
        </w:rPr>
      </w:pPr>
    </w:p>
    <w:p>
      <w:pPr>
        <w:snapToGrid w:val="0"/>
        <w:spacing w:beforeLines="50" w:after="50" w:line="560" w:lineRule="exact"/>
        <w:jc w:val="left"/>
        <w:rPr>
          <w:rFonts w:ascii="仿宋" w:hAnsi="仿宋" w:eastAsia="仿宋" w:cs="仿宋"/>
          <w:b/>
          <w:color w:val="auto"/>
          <w:sz w:val="22"/>
          <w:szCs w:val="22"/>
          <w:highlight w:val="none"/>
        </w:rPr>
      </w:pPr>
    </w:p>
    <w:p>
      <w:pPr>
        <w:snapToGrid w:val="0"/>
        <w:spacing w:beforeLines="50" w:after="50" w:line="560" w:lineRule="exact"/>
        <w:jc w:val="left"/>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附件（报价文件）：</w:t>
      </w:r>
    </w:p>
    <w:p>
      <w:pPr>
        <w:snapToGrid w:val="0"/>
        <w:spacing w:beforeLines="50" w:after="50"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 标 函</w:t>
      </w:r>
    </w:p>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致：______（招标采购单位名称）：</w:t>
      </w:r>
    </w:p>
    <w:p>
      <w:pPr>
        <w:snapToGrid w:val="0"/>
        <w:spacing w:line="560" w:lineRule="exact"/>
        <w:ind w:firstLine="48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根据贵方为</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rPr>
        <w:t>项目的招标公告（项目编号：</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rPr>
        <w:t xml:space="preserve"> ），签字代表</w:t>
      </w:r>
      <w:r>
        <w:rPr>
          <w:rFonts w:hint="eastAsia" w:ascii="仿宋" w:hAnsi="仿宋" w:eastAsia="仿宋" w:cs="仿宋"/>
          <w:color w:val="auto"/>
          <w:sz w:val="22"/>
          <w:szCs w:val="22"/>
          <w:highlight w:val="none"/>
          <w:u w:val="single"/>
        </w:rPr>
        <w:t>（全名）</w:t>
      </w:r>
      <w:r>
        <w:rPr>
          <w:rFonts w:hint="eastAsia" w:ascii="仿宋" w:hAnsi="仿宋" w:eastAsia="仿宋" w:cs="仿宋"/>
          <w:color w:val="auto"/>
          <w:sz w:val="22"/>
          <w:szCs w:val="22"/>
          <w:highlight w:val="none"/>
        </w:rPr>
        <w:t>经正式授权并代表投标方</w:t>
      </w:r>
      <w:r>
        <w:rPr>
          <w:rFonts w:hint="eastAsia" w:ascii="仿宋" w:hAnsi="仿宋" w:eastAsia="仿宋" w:cs="仿宋"/>
          <w:color w:val="auto"/>
          <w:sz w:val="22"/>
          <w:szCs w:val="22"/>
          <w:highlight w:val="none"/>
          <w:u w:val="single"/>
        </w:rPr>
        <w:t>（投标方名称）</w:t>
      </w:r>
      <w:r>
        <w:rPr>
          <w:rFonts w:hint="eastAsia" w:ascii="仿宋" w:hAnsi="仿宋" w:eastAsia="仿宋" w:cs="仿宋"/>
          <w:color w:val="auto"/>
          <w:sz w:val="22"/>
          <w:szCs w:val="22"/>
          <w:highlight w:val="none"/>
        </w:rPr>
        <w:t>提交资格文件、技术商务资信文件、报价文件。</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据此函，签字代表宣布如下：</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1.投标方已详细审查全部“招标文件”，包括修改文件（如有的话）以及全部参考资料和有关附件，已经了解我方对于招标文件、采购过程、采购结果有依法进行询问、质疑、投诉的权利及相关渠道和要求。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2.投标方在投标之前已经与贵方进行了充分的沟通，完全理解并接受招标文件的各项规定和要求，对招标文件的合理性、合法性不再有异议。</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3.本投标有效期自开标日起 ______日。</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4.如中标，本投标文件至本项目合同履行完毕止均保持有效，本投标方将按“招标文件”及政府采购法律、法规的规定履行合同责任和义务。</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5.投标方同意按照贵方要求提供与投标有关的一切数据或资料。</w:t>
      </w:r>
    </w:p>
    <w:p>
      <w:pPr>
        <w:snapToGrid w:val="0"/>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6.与本投标有关的一切正式往来信函请寄：</w:t>
      </w:r>
    </w:p>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地址： 邮编：__________   电话：______________</w:t>
      </w:r>
    </w:p>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传真：______________投标方代表姓名 ___________  职务：</w:t>
      </w:r>
    </w:p>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投标方名称(公章):___________________</w:t>
      </w:r>
    </w:p>
    <w:p>
      <w:pPr>
        <w:snapToGrid w:val="0"/>
        <w:spacing w:beforeLines="50"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法定代表人或其授权委托人（签字）： </w:t>
      </w:r>
    </w:p>
    <w:p>
      <w:pPr>
        <w:snapToGrid w:val="0"/>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日期:_____年___月___日</w:t>
      </w:r>
    </w:p>
    <w:p>
      <w:pPr>
        <w:snapToGrid w:val="0"/>
        <w:spacing w:line="560" w:lineRule="exact"/>
        <w:rPr>
          <w:rFonts w:ascii="仿宋" w:hAnsi="仿宋" w:eastAsia="仿宋" w:cs="仿宋"/>
          <w:color w:val="auto"/>
          <w:sz w:val="22"/>
          <w:szCs w:val="22"/>
          <w:highlight w:val="none"/>
        </w:rPr>
        <w:sectPr>
          <w:pgSz w:w="11906" w:h="16838"/>
          <w:pgMar w:top="1440" w:right="1622" w:bottom="1440" w:left="1287" w:header="851" w:footer="992" w:gutter="0"/>
          <w:pgNumType w:fmt="decimal"/>
          <w:cols w:space="720" w:num="1"/>
          <w:titlePg/>
          <w:docGrid w:linePitch="312" w:charSpace="0"/>
        </w:sectPr>
      </w:pPr>
    </w:p>
    <w:p>
      <w:pPr>
        <w:spacing w:beforeLines="100" w:afterLines="50" w:line="560" w:lineRule="exact"/>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开标一览表</w:t>
      </w:r>
    </w:p>
    <w:p>
      <w:pPr>
        <w:tabs>
          <w:tab w:val="left" w:pos="4477"/>
        </w:tabs>
        <w:spacing w:line="560" w:lineRule="exac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项目名称：</w:t>
      </w:r>
      <w:r>
        <w:rPr>
          <w:rFonts w:hint="eastAsia" w:ascii="仿宋" w:hAnsi="仿宋" w:eastAsia="仿宋" w:cs="仿宋"/>
          <w:bCs/>
          <w:color w:val="auto"/>
          <w:sz w:val="21"/>
          <w:szCs w:val="21"/>
          <w:highlight w:val="none"/>
          <w:lang w:val="zh-CN"/>
        </w:rPr>
        <w:t>湖州市中心医院新医院安全保卫服务项目</w:t>
      </w:r>
    </w:p>
    <w:tbl>
      <w:tblPr>
        <w:tblStyle w:val="27"/>
        <w:tblW w:w="796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727"/>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908"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序号</w:t>
            </w:r>
          </w:p>
        </w:tc>
        <w:tc>
          <w:tcPr>
            <w:tcW w:w="2727"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服务期限（年）</w:t>
            </w:r>
          </w:p>
        </w:tc>
        <w:tc>
          <w:tcPr>
            <w:tcW w:w="3325" w:type="dxa"/>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人数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908" w:type="dxa"/>
            <w:vAlign w:val="center"/>
          </w:tcPr>
          <w:p>
            <w:pPr>
              <w:spacing w:line="560" w:lineRule="exact"/>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2727" w:type="dxa"/>
            <w:vAlign w:val="center"/>
          </w:tcPr>
          <w:p>
            <w:pPr>
              <w:spacing w:line="560" w:lineRule="exact"/>
              <w:jc w:val="center"/>
              <w:rPr>
                <w:rFonts w:ascii="仿宋" w:hAnsi="仿宋" w:eastAsia="仿宋" w:cs="仿宋"/>
                <w:bCs/>
                <w:color w:val="auto"/>
                <w:sz w:val="21"/>
                <w:szCs w:val="21"/>
                <w:highlight w:val="none"/>
                <w:lang w:val="zh-CN"/>
              </w:rPr>
            </w:pPr>
          </w:p>
        </w:tc>
        <w:tc>
          <w:tcPr>
            <w:tcW w:w="3325" w:type="dxa"/>
            <w:vAlign w:val="center"/>
          </w:tcPr>
          <w:p>
            <w:pPr>
              <w:spacing w:line="560" w:lineRule="exact"/>
              <w:jc w:val="center"/>
              <w:rPr>
                <w:rFonts w:ascii="仿宋" w:hAnsi="仿宋" w:eastAsia="仿宋" w:cs="仿宋"/>
                <w:bCs/>
                <w:color w:val="auto"/>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908" w:type="dxa"/>
            <w:tcBorders>
              <w:top w:val="single" w:color="auto" w:sz="4" w:space="0"/>
              <w:bottom w:val="single" w:color="auto" w:sz="4" w:space="0"/>
            </w:tcBorders>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投标报价（每年）</w:t>
            </w:r>
          </w:p>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（人民币）</w:t>
            </w:r>
          </w:p>
        </w:tc>
        <w:tc>
          <w:tcPr>
            <w:tcW w:w="6052" w:type="dxa"/>
            <w:gridSpan w:val="2"/>
            <w:tcBorders>
              <w:top w:val="single" w:color="auto" w:sz="4" w:space="0"/>
              <w:bottom w:val="single" w:color="auto" w:sz="4" w:space="0"/>
            </w:tcBorders>
            <w:vAlign w:val="center"/>
          </w:tcPr>
          <w:p>
            <w:pPr>
              <w:spacing w:line="5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大写：                </w:t>
            </w:r>
          </w:p>
          <w:p>
            <w:pPr>
              <w:spacing w:line="5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908" w:type="dxa"/>
            <w:tcBorders>
              <w:top w:val="single" w:color="auto" w:sz="4" w:space="0"/>
              <w:bottom w:val="single" w:color="auto" w:sz="4" w:space="0"/>
            </w:tcBorders>
            <w:vAlign w:val="center"/>
          </w:tcPr>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投标总报价（每年报价*3）</w:t>
            </w:r>
          </w:p>
          <w:p>
            <w:pPr>
              <w:spacing w:line="560" w:lineRule="exact"/>
              <w:jc w:val="center"/>
              <w:rPr>
                <w:rFonts w:ascii="仿宋" w:hAnsi="仿宋" w:eastAsia="仿宋" w:cs="仿宋"/>
                <w:b/>
                <w:color w:val="auto"/>
                <w:sz w:val="22"/>
                <w:szCs w:val="22"/>
                <w:highlight w:val="none"/>
              </w:rPr>
            </w:pPr>
            <w:r>
              <w:rPr>
                <w:rFonts w:hint="eastAsia" w:ascii="仿宋" w:hAnsi="仿宋" w:eastAsia="仿宋" w:cs="仿宋"/>
                <w:b/>
                <w:color w:val="auto"/>
                <w:sz w:val="22"/>
                <w:szCs w:val="22"/>
                <w:highlight w:val="none"/>
              </w:rPr>
              <w:t>（人民币）</w:t>
            </w:r>
          </w:p>
        </w:tc>
        <w:tc>
          <w:tcPr>
            <w:tcW w:w="6052" w:type="dxa"/>
            <w:gridSpan w:val="2"/>
            <w:tcBorders>
              <w:top w:val="single" w:color="auto" w:sz="4" w:space="0"/>
              <w:bottom w:val="single" w:color="auto" w:sz="4" w:space="0"/>
            </w:tcBorders>
            <w:vAlign w:val="center"/>
          </w:tcPr>
          <w:p>
            <w:pPr>
              <w:spacing w:line="5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大写：                </w:t>
            </w:r>
          </w:p>
          <w:p>
            <w:pPr>
              <w:spacing w:line="5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小写：</w:t>
            </w:r>
          </w:p>
        </w:tc>
      </w:tr>
    </w:tbl>
    <w:p>
      <w:pPr>
        <w:snapToGrid w:val="0"/>
        <w:spacing w:before="50" w:after="50" w:line="560" w:lineRule="exact"/>
        <w:ind w:right="-374" w:rightChars="-156"/>
        <w:jc w:val="left"/>
        <w:rPr>
          <w:rFonts w:ascii="仿宋" w:hAnsi="仿宋" w:eastAsia="仿宋" w:cs="仿宋"/>
          <w:color w:val="auto"/>
          <w:sz w:val="22"/>
          <w:szCs w:val="22"/>
          <w:highlight w:val="none"/>
        </w:rPr>
      </w:pPr>
      <w:r>
        <w:rPr>
          <w:rFonts w:hint="eastAsia" w:ascii="仿宋" w:hAnsi="仿宋" w:eastAsia="仿宋" w:cs="仿宋"/>
          <w:b/>
          <w:color w:val="auto"/>
          <w:sz w:val="22"/>
          <w:szCs w:val="22"/>
          <w:highlight w:val="none"/>
        </w:rPr>
        <w:t xml:space="preserve">注: </w:t>
      </w:r>
      <w:r>
        <w:rPr>
          <w:rFonts w:hint="eastAsia" w:ascii="仿宋" w:hAnsi="仿宋" w:eastAsia="仿宋" w:cs="仿宋"/>
          <w:color w:val="auto"/>
          <w:sz w:val="22"/>
          <w:szCs w:val="22"/>
          <w:highlight w:val="none"/>
        </w:rPr>
        <w:t>1、报价一经涂改，应在涂改处加盖单位公章或者由法定代表人签字或盖章，</w:t>
      </w:r>
    </w:p>
    <w:p>
      <w:pPr>
        <w:snapToGrid w:val="0"/>
        <w:spacing w:before="50" w:after="50" w:line="560" w:lineRule="exact"/>
        <w:ind w:right="-374" w:rightChars="-156"/>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否则其投标作无效标处理。</w:t>
      </w:r>
    </w:p>
    <w:p>
      <w:pPr>
        <w:widowControl/>
        <w:numPr>
          <w:ilvl w:val="0"/>
          <w:numId w:val="10"/>
        </w:numPr>
        <w:spacing w:line="500" w:lineRule="exact"/>
        <w:ind w:firstLine="240" w:firstLineChars="100"/>
        <w:jc w:val="left"/>
        <w:rPr>
          <w:rFonts w:ascii="仿宋" w:hAnsi="仿宋" w:eastAsia="仿宋" w:cs="仿宋"/>
          <w:color w:val="auto"/>
          <w:szCs w:val="24"/>
          <w:highlight w:val="none"/>
        </w:rPr>
      </w:pPr>
      <w:r>
        <w:rPr>
          <w:rFonts w:hint="eastAsia" w:ascii="仿宋" w:hAnsi="仿宋" w:eastAsia="仿宋" w:cs="仿宋"/>
          <w:color w:val="auto"/>
          <w:szCs w:val="24"/>
          <w:highlight w:val="none"/>
        </w:rPr>
        <w:t>投标报价包括所有安保管理人员的工资、社保、服装费、加班费、年终奖、年休假补贴、培训费、通讯设备、低值易耗品、工具及相关设备费、临时性杂项服务费、政策性文件规定及合同包含的所有风险、责任、税费、合理利润等各项全部费用。</w:t>
      </w:r>
    </w:p>
    <w:bookmarkEnd w:id="33"/>
    <w:p>
      <w:pPr>
        <w:snapToGrid w:val="0"/>
        <w:spacing w:beforeLines="50" w:line="360" w:lineRule="auto"/>
        <w:rPr>
          <w:rFonts w:ascii="仿宋" w:hAnsi="仿宋" w:eastAsia="仿宋" w:cs="仿宋"/>
          <w:color w:val="auto"/>
          <w:sz w:val="22"/>
          <w:szCs w:val="22"/>
          <w:highlight w:val="none"/>
        </w:rPr>
      </w:pPr>
    </w:p>
    <w:p>
      <w:pPr>
        <w:pStyle w:val="2"/>
        <w:ind w:left="480"/>
        <w:rPr>
          <w:color w:val="auto"/>
          <w:highlight w:val="none"/>
        </w:rPr>
      </w:pPr>
    </w:p>
    <w:p>
      <w:pPr>
        <w:snapToGrid w:val="0"/>
        <w:spacing w:beforeLines="50" w:line="360" w:lineRule="auto"/>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法定代表人或其授权委托人（签字）：</w:t>
      </w:r>
    </w:p>
    <w:p>
      <w:pPr>
        <w:snapToGrid w:val="0"/>
        <w:spacing w:before="50" w:after="50" w:line="560" w:lineRule="exact"/>
        <w:ind w:right="-934" w:rightChars="-389"/>
        <w:jc w:val="cente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供应商名称（盖章）：</w:t>
      </w:r>
    </w:p>
    <w:p>
      <w:pPr>
        <w:jc w:val="center"/>
        <w:rPr>
          <w:rFonts w:ascii="仿宋" w:hAnsi="仿宋" w:eastAsia="仿宋" w:cs="仿宋"/>
          <w:color w:val="auto"/>
          <w:highlight w:val="none"/>
        </w:rPr>
      </w:pPr>
      <w:r>
        <w:rPr>
          <w:rFonts w:hint="eastAsia" w:ascii="仿宋" w:hAnsi="仿宋" w:eastAsia="仿宋" w:cs="仿宋"/>
          <w:color w:val="auto"/>
          <w:sz w:val="22"/>
          <w:szCs w:val="22"/>
          <w:highlight w:val="none"/>
        </w:rPr>
        <w:t xml:space="preserve">                   日期：    年   月   日</w:t>
      </w:r>
    </w:p>
    <w:p>
      <w:pPr>
        <w:pStyle w:val="2"/>
        <w:ind w:left="0" w:leftChars="0"/>
        <w:rPr>
          <w:rFonts w:ascii="仿宋" w:hAnsi="仿宋" w:eastAsia="仿宋" w:cs="仿宋"/>
          <w:color w:val="auto"/>
          <w:highlight w:val="none"/>
        </w:rPr>
        <w:sectPr>
          <w:pgSz w:w="11906" w:h="16838"/>
          <w:pgMar w:top="1440" w:right="1800" w:bottom="1440" w:left="1800" w:header="851" w:footer="992" w:gutter="0"/>
          <w:pgNumType w:fmt="decimal"/>
          <w:cols w:space="425" w:num="1"/>
          <w:docGrid w:type="lines" w:linePitch="312" w:charSpace="0"/>
        </w:sectPr>
      </w:pPr>
    </w:p>
    <w:p>
      <w:pPr>
        <w:pStyle w:val="2"/>
        <w:ind w:left="0" w:leftChars="0"/>
        <w:rPr>
          <w:rFonts w:ascii="仿宋" w:hAnsi="仿宋" w:eastAsia="仿宋" w:cs="仿宋"/>
          <w:color w:val="auto"/>
          <w:highlight w:val="none"/>
        </w:rPr>
      </w:pPr>
    </w:p>
    <w:p>
      <w:pPr>
        <w:snapToGrid w:val="0"/>
        <w:spacing w:beforeLines="50"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保安员工资明细表</w:t>
      </w:r>
    </w:p>
    <w:tbl>
      <w:tblPr>
        <w:tblStyle w:val="2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2565"/>
        <w:gridCol w:w="1515"/>
        <w:gridCol w:w="118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256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类  别</w:t>
            </w:r>
          </w:p>
        </w:tc>
        <w:tc>
          <w:tcPr>
            <w:tcW w:w="1515" w:type="dxa"/>
            <w:vAlign w:val="center"/>
          </w:tcPr>
          <w:p>
            <w:pPr>
              <w:pStyle w:val="2"/>
              <w:ind w:left="0" w:leftChars="0"/>
              <w:rPr>
                <w:rFonts w:ascii="仿宋" w:hAnsi="仿宋" w:eastAsia="仿宋" w:cs="仿宋"/>
                <w:color w:val="auto"/>
                <w:szCs w:val="24"/>
                <w:highlight w:val="none"/>
              </w:rPr>
            </w:pPr>
            <w:r>
              <w:rPr>
                <w:rFonts w:hint="eastAsia" w:ascii="仿宋" w:hAnsi="仿宋" w:eastAsia="仿宋" w:cs="仿宋"/>
                <w:color w:val="auto"/>
                <w:szCs w:val="24"/>
                <w:highlight w:val="none"/>
              </w:rPr>
              <w:t>月工资（元）</w:t>
            </w:r>
          </w:p>
        </w:tc>
        <w:tc>
          <w:tcPr>
            <w:tcW w:w="118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人数(人）</w:t>
            </w:r>
          </w:p>
        </w:tc>
        <w:tc>
          <w:tcPr>
            <w:tcW w:w="193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256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40周岁</w:t>
            </w:r>
            <w:r>
              <w:rPr>
                <w:rFonts w:hint="eastAsia" w:ascii="仿宋" w:hAnsi="仿宋" w:eastAsia="仿宋" w:cs="仿宋"/>
                <w:color w:val="auto"/>
                <w:szCs w:val="24"/>
                <w:highlight w:val="none"/>
                <w:lang w:eastAsia="zh-CN"/>
              </w:rPr>
              <w:t>（含</w:t>
            </w:r>
            <w:r>
              <w:rPr>
                <w:rFonts w:hint="eastAsia" w:ascii="仿宋" w:hAnsi="仿宋" w:eastAsia="仿宋" w:cs="仿宋"/>
                <w:color w:val="auto"/>
                <w:szCs w:val="24"/>
                <w:highlight w:val="none"/>
                <w:lang w:val="en-US" w:eastAsia="zh-CN"/>
              </w:rPr>
              <w:t>40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以下</w:t>
            </w:r>
          </w:p>
        </w:tc>
        <w:tc>
          <w:tcPr>
            <w:tcW w:w="1515" w:type="dxa"/>
            <w:vAlign w:val="center"/>
          </w:tcPr>
          <w:p>
            <w:pPr>
              <w:pStyle w:val="2"/>
              <w:ind w:left="0" w:leftChars="0"/>
              <w:jc w:val="center"/>
              <w:rPr>
                <w:rFonts w:ascii="仿宋" w:hAnsi="仿宋" w:eastAsia="仿宋" w:cs="仿宋"/>
                <w:color w:val="auto"/>
                <w:szCs w:val="24"/>
                <w:highlight w:val="none"/>
              </w:rPr>
            </w:pPr>
          </w:p>
        </w:tc>
        <w:tc>
          <w:tcPr>
            <w:tcW w:w="1185" w:type="dxa"/>
          </w:tcPr>
          <w:p>
            <w:pPr>
              <w:pStyle w:val="2"/>
              <w:ind w:left="480"/>
              <w:rPr>
                <w:rFonts w:ascii="仿宋" w:hAnsi="仿宋" w:eastAsia="仿宋" w:cs="仿宋"/>
                <w:color w:val="auto"/>
                <w:szCs w:val="24"/>
                <w:highlight w:val="none"/>
              </w:rPr>
            </w:pPr>
          </w:p>
        </w:tc>
        <w:tc>
          <w:tcPr>
            <w:tcW w:w="1935" w:type="dxa"/>
          </w:tcPr>
          <w:p>
            <w:pPr>
              <w:pStyle w:val="2"/>
              <w:ind w:left="48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256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-45周岁</w:t>
            </w:r>
          </w:p>
        </w:tc>
        <w:tc>
          <w:tcPr>
            <w:tcW w:w="1515" w:type="dxa"/>
            <w:vAlign w:val="center"/>
          </w:tcPr>
          <w:p>
            <w:pPr>
              <w:snapToGrid w:val="0"/>
              <w:spacing w:beforeLines="50" w:line="360" w:lineRule="auto"/>
              <w:jc w:val="center"/>
              <w:rPr>
                <w:rFonts w:ascii="仿宋" w:hAnsi="仿宋" w:eastAsia="仿宋" w:cs="仿宋"/>
                <w:color w:val="auto"/>
                <w:szCs w:val="24"/>
                <w:highlight w:val="none"/>
              </w:rPr>
            </w:pPr>
          </w:p>
        </w:tc>
        <w:tc>
          <w:tcPr>
            <w:tcW w:w="1185" w:type="dxa"/>
          </w:tcPr>
          <w:p>
            <w:pPr>
              <w:pStyle w:val="2"/>
              <w:ind w:left="480"/>
              <w:rPr>
                <w:rFonts w:ascii="仿宋" w:hAnsi="仿宋" w:eastAsia="仿宋" w:cs="仿宋"/>
                <w:color w:val="auto"/>
                <w:szCs w:val="24"/>
                <w:highlight w:val="none"/>
              </w:rPr>
            </w:pPr>
          </w:p>
        </w:tc>
        <w:tc>
          <w:tcPr>
            <w:tcW w:w="1935" w:type="dxa"/>
          </w:tcPr>
          <w:p>
            <w:pPr>
              <w:pStyle w:val="2"/>
              <w:ind w:left="48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256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46-50周岁</w:t>
            </w:r>
          </w:p>
        </w:tc>
        <w:tc>
          <w:tcPr>
            <w:tcW w:w="1515" w:type="dxa"/>
            <w:vAlign w:val="center"/>
          </w:tcPr>
          <w:p>
            <w:pPr>
              <w:snapToGrid w:val="0"/>
              <w:spacing w:beforeLines="50" w:line="360" w:lineRule="auto"/>
              <w:jc w:val="center"/>
              <w:rPr>
                <w:rFonts w:ascii="仿宋" w:hAnsi="仿宋" w:eastAsia="仿宋" w:cs="仿宋"/>
                <w:color w:val="auto"/>
                <w:szCs w:val="24"/>
                <w:highlight w:val="none"/>
              </w:rPr>
            </w:pPr>
          </w:p>
        </w:tc>
        <w:tc>
          <w:tcPr>
            <w:tcW w:w="1185" w:type="dxa"/>
          </w:tcPr>
          <w:p>
            <w:pPr>
              <w:pStyle w:val="2"/>
              <w:ind w:left="480"/>
              <w:rPr>
                <w:rFonts w:ascii="仿宋" w:hAnsi="仿宋" w:eastAsia="仿宋" w:cs="仿宋"/>
                <w:color w:val="auto"/>
                <w:szCs w:val="24"/>
                <w:highlight w:val="none"/>
              </w:rPr>
            </w:pPr>
          </w:p>
        </w:tc>
        <w:tc>
          <w:tcPr>
            <w:tcW w:w="1935" w:type="dxa"/>
          </w:tcPr>
          <w:p>
            <w:pPr>
              <w:pStyle w:val="2"/>
              <w:ind w:left="48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256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合计</w:t>
            </w:r>
          </w:p>
        </w:tc>
        <w:tc>
          <w:tcPr>
            <w:tcW w:w="1515" w:type="dxa"/>
            <w:vAlign w:val="center"/>
          </w:tcPr>
          <w:p>
            <w:pPr>
              <w:snapToGrid w:val="0"/>
              <w:spacing w:beforeLines="50"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w:t>
            </w:r>
          </w:p>
        </w:tc>
        <w:tc>
          <w:tcPr>
            <w:tcW w:w="1185" w:type="dxa"/>
          </w:tcPr>
          <w:p>
            <w:pPr>
              <w:pStyle w:val="2"/>
              <w:ind w:left="0" w:leftChars="0" w:firstLine="0" w:firstLineChars="0"/>
              <w:rPr>
                <w:rFonts w:ascii="仿宋" w:hAnsi="仿宋" w:eastAsia="仿宋" w:cs="仿宋"/>
                <w:color w:val="auto"/>
                <w:szCs w:val="24"/>
                <w:highlight w:val="none"/>
              </w:rPr>
            </w:pPr>
            <w:r>
              <w:rPr>
                <w:rFonts w:hint="eastAsia" w:ascii="仿宋" w:hAnsi="仿宋" w:eastAsia="仿宋" w:cs="仿宋"/>
                <w:color w:val="auto"/>
                <w:sz w:val="22"/>
                <w:szCs w:val="22"/>
                <w:highlight w:val="none"/>
                <w:u w:val="single"/>
                <w:lang w:val="en-US" w:eastAsia="zh-CN"/>
              </w:rPr>
              <w:t xml:space="preserve">      人</w:t>
            </w:r>
          </w:p>
        </w:tc>
        <w:tc>
          <w:tcPr>
            <w:tcW w:w="1935" w:type="dxa"/>
          </w:tcPr>
          <w:p>
            <w:pPr>
              <w:pStyle w:val="2"/>
              <w:ind w:left="0" w:leftChars="0" w:firstLine="0" w:firstLineChars="0"/>
              <w:rPr>
                <w:rFonts w:ascii="仿宋" w:hAnsi="仿宋" w:eastAsia="仿宋" w:cs="仿宋"/>
                <w:color w:val="auto"/>
                <w:szCs w:val="24"/>
                <w:highlight w:val="none"/>
                <w:u w:val="single"/>
              </w:rPr>
            </w:pP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256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纯人工工资平均值（元）</w:t>
            </w:r>
          </w:p>
        </w:tc>
        <w:tc>
          <w:tcPr>
            <w:tcW w:w="4635" w:type="dxa"/>
            <w:gridSpan w:val="3"/>
            <w:vAlign w:val="center"/>
          </w:tcPr>
          <w:p>
            <w:pPr>
              <w:snapToGrid w:val="0"/>
              <w:spacing w:beforeLines="50" w:line="360" w:lineRule="auto"/>
              <w:jc w:val="left"/>
              <w:rPr>
                <w:rFonts w:ascii="仿宋" w:hAnsi="仿宋" w:eastAsia="仿宋" w:cs="仿宋"/>
                <w:color w:val="auto"/>
                <w:szCs w:val="24"/>
                <w:highlight w:val="none"/>
              </w:rPr>
            </w:pP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Cs w:val="24"/>
                <w:highlight w:val="none"/>
              </w:rPr>
              <w:t>元=月工资合计数/总人数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7200" w:type="dxa"/>
            <w:gridSpan w:val="4"/>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岗位津贴(元/月）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6.1</w:t>
            </w:r>
          </w:p>
        </w:tc>
        <w:tc>
          <w:tcPr>
            <w:tcW w:w="2565"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队长</w:t>
            </w:r>
          </w:p>
        </w:tc>
        <w:tc>
          <w:tcPr>
            <w:tcW w:w="4635" w:type="dxa"/>
            <w:gridSpan w:val="3"/>
            <w:vAlign w:val="center"/>
          </w:tcPr>
          <w:p>
            <w:pPr>
              <w:pStyle w:val="2"/>
              <w:ind w:left="480"/>
              <w:jc w:val="center"/>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6.2</w:t>
            </w:r>
          </w:p>
        </w:tc>
        <w:tc>
          <w:tcPr>
            <w:tcW w:w="2565" w:type="dxa"/>
            <w:vAlign w:val="center"/>
          </w:tcPr>
          <w:p>
            <w:pPr>
              <w:snapToGrid w:val="0"/>
              <w:spacing w:beforeLines="50"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副队长</w:t>
            </w:r>
          </w:p>
        </w:tc>
        <w:tc>
          <w:tcPr>
            <w:tcW w:w="4635" w:type="dxa"/>
            <w:gridSpan w:val="3"/>
          </w:tcPr>
          <w:p>
            <w:pPr>
              <w:pStyle w:val="2"/>
              <w:ind w:left="48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6.3</w:t>
            </w:r>
          </w:p>
        </w:tc>
        <w:tc>
          <w:tcPr>
            <w:tcW w:w="2565" w:type="dxa"/>
            <w:vAlign w:val="center"/>
          </w:tcPr>
          <w:p>
            <w:pPr>
              <w:snapToGrid w:val="0"/>
              <w:spacing w:beforeLines="50"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班长</w:t>
            </w:r>
          </w:p>
        </w:tc>
        <w:tc>
          <w:tcPr>
            <w:tcW w:w="4635" w:type="dxa"/>
            <w:gridSpan w:val="3"/>
          </w:tcPr>
          <w:p>
            <w:pPr>
              <w:pStyle w:val="2"/>
              <w:ind w:left="48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6.4</w:t>
            </w:r>
          </w:p>
        </w:tc>
        <w:tc>
          <w:tcPr>
            <w:tcW w:w="2565" w:type="dxa"/>
            <w:vAlign w:val="center"/>
          </w:tcPr>
          <w:p>
            <w:pPr>
              <w:snapToGrid w:val="0"/>
              <w:spacing w:beforeLines="50"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消控员</w:t>
            </w:r>
          </w:p>
        </w:tc>
        <w:tc>
          <w:tcPr>
            <w:tcW w:w="4635" w:type="dxa"/>
            <w:gridSpan w:val="3"/>
          </w:tcPr>
          <w:p>
            <w:pPr>
              <w:pStyle w:val="2"/>
              <w:ind w:left="480"/>
              <w:rPr>
                <w:rFonts w:ascii="仿宋" w:hAnsi="仿宋" w:eastAsia="仿宋" w:cs="仿宋"/>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096" w:type="dxa"/>
            <w:vAlign w:val="center"/>
          </w:tcPr>
          <w:p>
            <w:pPr>
              <w:pStyle w:val="2"/>
              <w:ind w:left="0" w:left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6.5</w:t>
            </w:r>
          </w:p>
        </w:tc>
        <w:tc>
          <w:tcPr>
            <w:tcW w:w="2565" w:type="dxa"/>
            <w:vAlign w:val="center"/>
          </w:tcPr>
          <w:p>
            <w:pPr>
              <w:snapToGrid w:val="0"/>
              <w:spacing w:beforeLines="50" w:line="360" w:lineRule="auto"/>
              <w:jc w:val="center"/>
              <w:rPr>
                <w:rFonts w:ascii="仿宋" w:hAnsi="仿宋" w:eastAsia="仿宋" w:cs="仿宋"/>
                <w:color w:val="auto"/>
                <w:szCs w:val="24"/>
                <w:highlight w:val="none"/>
              </w:rPr>
            </w:pPr>
            <w:r>
              <w:rPr>
                <w:rFonts w:hint="eastAsia" w:ascii="仿宋" w:hAnsi="仿宋" w:eastAsia="仿宋" w:cs="仿宋"/>
                <w:color w:val="auto"/>
                <w:szCs w:val="24"/>
                <w:highlight w:val="none"/>
              </w:rPr>
              <w:t>专职消防员</w:t>
            </w:r>
          </w:p>
        </w:tc>
        <w:tc>
          <w:tcPr>
            <w:tcW w:w="4635" w:type="dxa"/>
            <w:gridSpan w:val="3"/>
          </w:tcPr>
          <w:p>
            <w:pPr>
              <w:pStyle w:val="2"/>
              <w:ind w:left="480"/>
              <w:rPr>
                <w:rFonts w:ascii="仿宋" w:hAnsi="仿宋" w:eastAsia="仿宋" w:cs="仿宋"/>
                <w:color w:val="auto"/>
                <w:szCs w:val="24"/>
                <w:highlight w:val="none"/>
              </w:rPr>
            </w:pPr>
          </w:p>
        </w:tc>
      </w:tr>
    </w:tbl>
    <w:p>
      <w:pPr>
        <w:snapToGrid w:val="0"/>
        <w:spacing w:beforeLines="50" w:line="360" w:lineRule="auto"/>
        <w:jc w:val="left"/>
        <w:rPr>
          <w:rFonts w:ascii="仿宋" w:hAnsi="仿宋" w:eastAsia="仿宋" w:cs="仿宋"/>
          <w:color w:val="auto"/>
          <w:sz w:val="22"/>
          <w:szCs w:val="22"/>
          <w:highlight w:val="none"/>
        </w:rPr>
      </w:pPr>
    </w:p>
    <w:p>
      <w:pPr>
        <w:snapToGrid w:val="0"/>
        <w:spacing w:beforeLines="50" w:line="360" w:lineRule="auto"/>
        <w:jc w:val="left"/>
        <w:rPr>
          <w:rFonts w:hint="default" w:ascii="仿宋" w:hAnsi="仿宋" w:eastAsia="仿宋" w:cs="仿宋"/>
          <w:color w:val="auto"/>
          <w:sz w:val="22"/>
          <w:szCs w:val="22"/>
          <w:highlight w:val="none"/>
          <w:u w:val="single"/>
          <w:lang w:val="en-US" w:eastAsia="zh-CN"/>
        </w:rPr>
      </w:pPr>
      <w:r>
        <w:rPr>
          <w:rFonts w:hint="eastAsia" w:ascii="仿宋" w:hAnsi="仿宋" w:eastAsia="仿宋" w:cs="仿宋"/>
          <w:color w:val="auto"/>
          <w:sz w:val="22"/>
          <w:szCs w:val="22"/>
          <w:highlight w:val="none"/>
        </w:rPr>
        <w:t>注: 1、此表中的合计人数须与招标需求一致；</w:t>
      </w:r>
    </w:p>
    <w:p>
      <w:pPr>
        <w:widowControl/>
        <w:spacing w:line="50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2、月工资仅指保安人员纯人工工资，不包括社保（含个人缴纳部分）、考核奖、服装费、加班费、年终奖、年休假补贴、税金等相关的费用。</w:t>
      </w:r>
    </w:p>
    <w:p>
      <w:pPr>
        <w:pStyle w:val="2"/>
        <w:ind w:left="0" w:leftChars="0"/>
        <w:rPr>
          <w:rFonts w:ascii="仿宋" w:hAnsi="仿宋" w:eastAsia="仿宋" w:cs="仿宋"/>
          <w:color w:val="auto"/>
          <w:highlight w:val="none"/>
        </w:rPr>
      </w:pPr>
    </w:p>
    <w:p>
      <w:pPr>
        <w:pStyle w:val="2"/>
        <w:ind w:left="480"/>
        <w:rPr>
          <w:color w:val="auto"/>
          <w:highlight w:val="none"/>
        </w:rPr>
      </w:pPr>
    </w:p>
    <w:p>
      <w:pPr>
        <w:snapToGrid w:val="0"/>
        <w:spacing w:beforeLines="50" w:line="360" w:lineRule="auto"/>
        <w:rPr>
          <w:rFonts w:ascii="仿宋" w:hAnsi="仿宋" w:eastAsia="仿宋" w:cs="仿宋"/>
          <w:color w:val="auto"/>
          <w:sz w:val="22"/>
          <w:szCs w:val="22"/>
          <w:highlight w:val="none"/>
        </w:rPr>
      </w:pPr>
    </w:p>
    <w:p>
      <w:pPr>
        <w:pStyle w:val="2"/>
        <w:ind w:left="0" w:leftChars="0"/>
        <w:rPr>
          <w:rFonts w:ascii="仿宋" w:hAnsi="仿宋" w:eastAsia="仿宋" w:cs="仿宋"/>
          <w:color w:val="auto"/>
          <w:highlight w:val="none"/>
        </w:rPr>
      </w:pPr>
      <w:bookmarkStart w:id="34" w:name="OLE_LINK4"/>
    </w:p>
    <w:bookmarkEnd w:id="34"/>
    <w:p>
      <w:pPr>
        <w:pStyle w:val="2"/>
        <w:ind w:left="0" w:leftChars="0"/>
        <w:rPr>
          <w:rFonts w:ascii="仿宋" w:hAnsi="仿宋" w:eastAsia="仿宋" w:cs="仿宋"/>
          <w:color w:val="auto"/>
          <w:highlight w:val="none"/>
        </w:rPr>
      </w:pPr>
    </w:p>
    <w:p>
      <w:pPr>
        <w:pStyle w:val="2"/>
        <w:ind w:left="0" w:leftChars="0"/>
        <w:rPr>
          <w:rFonts w:ascii="仿宋" w:hAnsi="仿宋" w:eastAsia="仿宋" w:cs="仿宋"/>
          <w:color w:val="auto"/>
          <w:highlight w:val="none"/>
        </w:rPr>
      </w:pPr>
    </w:p>
    <w:p>
      <w:pPr>
        <w:pStyle w:val="2"/>
        <w:ind w:left="0" w:leftChars="0"/>
        <w:rPr>
          <w:rFonts w:ascii="仿宋" w:hAnsi="仿宋" w:eastAsia="仿宋" w:cs="仿宋"/>
          <w:color w:val="auto"/>
          <w:highlight w:val="none"/>
        </w:rPr>
      </w:pPr>
    </w:p>
    <w:p>
      <w:pPr>
        <w:pStyle w:val="2"/>
        <w:ind w:left="0" w:leftChars="0"/>
        <w:rPr>
          <w:rFonts w:ascii="仿宋" w:hAnsi="仿宋" w:eastAsia="仿宋" w:cs="仿宋"/>
          <w:color w:val="auto"/>
          <w:highlight w:val="none"/>
        </w:rPr>
      </w:pPr>
    </w:p>
    <w:p>
      <w:pPr>
        <w:pStyle w:val="2"/>
        <w:ind w:left="0" w:leftChars="0"/>
        <w:rPr>
          <w:rFonts w:ascii="仿宋" w:hAnsi="仿宋" w:eastAsia="仿宋" w:cs="仿宋"/>
          <w:color w:val="auto"/>
          <w:highlight w:val="none"/>
        </w:rPr>
      </w:pPr>
    </w:p>
    <w:p>
      <w:pPr>
        <w:pStyle w:val="2"/>
        <w:ind w:left="0" w:leftChars="0"/>
        <w:rPr>
          <w:rFonts w:ascii="仿宋" w:hAnsi="仿宋" w:eastAsia="仿宋" w:cs="仿宋"/>
          <w:color w:val="auto"/>
          <w:highlight w:val="none"/>
        </w:rPr>
      </w:pPr>
    </w:p>
    <w:p>
      <w:pPr>
        <w:pStyle w:val="3"/>
        <w:spacing w:line="560" w:lineRule="exact"/>
        <w:rPr>
          <w:rFonts w:ascii="仿宋" w:hAnsi="仿宋" w:eastAsia="仿宋" w:cs="仿宋"/>
          <w:color w:val="auto"/>
          <w:sz w:val="22"/>
          <w:highlight w:val="none"/>
        </w:rPr>
      </w:pPr>
      <w:r>
        <w:rPr>
          <w:rFonts w:hint="eastAsia" w:ascii="仿宋" w:hAnsi="仿宋" w:eastAsia="仿宋" w:cs="仿宋"/>
          <w:color w:val="auto"/>
          <w:szCs w:val="36"/>
          <w:highlight w:val="none"/>
        </w:rPr>
        <w:t>第七章  政府采购政策相关说明</w:t>
      </w:r>
    </w:p>
    <w:p>
      <w:pPr>
        <w:spacing w:line="560" w:lineRule="exact"/>
        <w:jc w:val="left"/>
        <w:rPr>
          <w:rFonts w:ascii="仿宋" w:hAnsi="仿宋" w:eastAsia="仿宋" w:cs="仿宋"/>
          <w:b/>
          <w:color w:val="auto"/>
          <w:sz w:val="22"/>
          <w:highlight w:val="none"/>
        </w:rPr>
      </w:pPr>
      <w:r>
        <w:rPr>
          <w:rFonts w:hint="eastAsia" w:ascii="仿宋" w:hAnsi="仿宋" w:eastAsia="仿宋" w:cs="仿宋"/>
          <w:b/>
          <w:color w:val="auto"/>
          <w:sz w:val="22"/>
          <w:highlight w:val="none"/>
        </w:rPr>
        <w:t>一、小、微企业（含监狱企业、残疾人福利性单位）扶持政策说明</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1、文件依据</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（1）关于印发《政府采购促进中小企业发展暂行办法》的通知（财库[2011]181号）</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（2）浙江省财政厅转发财政部 工业和信息化部关于印发《政府采购促进中小企业发展暂行办法》的通知（浙财采监[2012]11号）</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（3）《工业和信息化部、国家统计局、国家发展和改革委员会、财政部关于印发中小企业划型标准规定的通知》（工信部联企业[2011]300号）</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（4）财政部、司法部《关于政府采购支持监狱企业发展有关问题的通知》（财库〔2014〕68号）</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（5）《财政部 民政部 中国残疾人联合会关于促进残疾人就业政府采购政策的通知》（财库〔2017〕 141号）</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2、享受小微企业价格折扣应具备的条件与价格折扣比例</w:t>
      </w:r>
    </w:p>
    <w:p>
      <w:pPr>
        <w:spacing w:line="560" w:lineRule="exact"/>
        <w:jc w:val="left"/>
        <w:rPr>
          <w:rFonts w:ascii="仿宋" w:hAnsi="仿宋" w:eastAsia="仿宋" w:cs="仿宋"/>
          <w:color w:val="auto"/>
          <w:sz w:val="22"/>
          <w:highlight w:val="none"/>
        </w:rPr>
      </w:pPr>
      <w:r>
        <w:rPr>
          <w:rFonts w:hint="eastAsia" w:ascii="仿宋" w:hAnsi="仿宋" w:eastAsia="仿宋" w:cs="仿宋"/>
          <w:color w:val="auto"/>
          <w:sz w:val="22"/>
          <w:highlight w:val="none"/>
        </w:rPr>
        <w:t>（1）符合中小企业划分标准；</w:t>
      </w:r>
      <w:r>
        <w:rPr>
          <w:rFonts w:hint="eastAsia" w:ascii="仿宋" w:hAnsi="仿宋" w:eastAsia="仿宋" w:cs="仿宋"/>
          <w:color w:val="auto"/>
          <w:sz w:val="22"/>
          <w:highlight w:val="none"/>
        </w:rPr>
        <w:br w:type="textWrapping"/>
      </w:r>
      <w:r>
        <w:rPr>
          <w:rFonts w:hint="eastAsia" w:ascii="仿宋" w:hAnsi="仿宋" w:eastAsia="仿宋" w:cs="仿宋"/>
          <w:color w:val="auto"/>
          <w:sz w:val="22"/>
          <w:highlight w:val="none"/>
        </w:rPr>
        <w:t>  中小企业划分标准，是指国务院有关部门根据企业从业人员、营业收入、资产总额等指标制定的中小企业划型标准。</w:t>
      </w:r>
      <w:r>
        <w:rPr>
          <w:rFonts w:hint="eastAsia" w:ascii="仿宋" w:hAnsi="仿宋" w:eastAsia="仿宋" w:cs="仿宋"/>
          <w:color w:val="auto"/>
          <w:sz w:val="22"/>
          <w:highlight w:val="none"/>
        </w:rPr>
        <w:br w:type="textWrapping"/>
      </w:r>
      <w:r>
        <w:rPr>
          <w:rFonts w:hint="eastAsia" w:ascii="仿宋" w:hAnsi="仿宋" w:eastAsia="仿宋" w:cs="仿宋"/>
          <w:color w:val="auto"/>
          <w:sz w:val="22"/>
          <w:highlight w:val="none"/>
        </w:rPr>
        <w:t>  小型、微型企业提供中型企业制造的货物的，视同为中型企业。</w:t>
      </w:r>
    </w:p>
    <w:p>
      <w:pPr>
        <w:spacing w:line="560" w:lineRule="exact"/>
        <w:jc w:val="left"/>
        <w:rPr>
          <w:rFonts w:ascii="仿宋" w:hAnsi="仿宋" w:eastAsia="仿宋" w:cs="仿宋"/>
          <w:color w:val="auto"/>
          <w:sz w:val="22"/>
          <w:highlight w:val="none"/>
          <w:u w:val="single"/>
        </w:rPr>
      </w:pPr>
      <w:r>
        <w:rPr>
          <w:rFonts w:hint="eastAsia" w:ascii="仿宋" w:hAnsi="仿宋" w:eastAsia="仿宋" w:cs="仿宋"/>
          <w:color w:val="auto"/>
          <w:sz w:val="22"/>
          <w:highlight w:val="none"/>
          <w:u w:val="single"/>
        </w:rPr>
        <w:t>（2）本项目对小型和微型企业产品的价格给予6%的扣除，用扣除后的价格参与评审。</w:t>
      </w:r>
    </w:p>
    <w:p>
      <w:pPr>
        <w:spacing w:line="560" w:lineRule="exact"/>
        <w:jc w:val="left"/>
        <w:rPr>
          <w:rFonts w:ascii="仿宋" w:hAnsi="仿宋" w:eastAsia="仿宋" w:cs="仿宋"/>
          <w:color w:val="auto"/>
          <w:sz w:val="22"/>
          <w:highlight w:val="none"/>
        </w:rPr>
      </w:pPr>
      <w:r>
        <w:rPr>
          <w:rFonts w:hint="eastAsia" w:ascii="仿宋" w:hAnsi="仿宋" w:eastAsia="仿宋" w:cs="仿宋"/>
          <w:color w:val="auto"/>
          <w:sz w:val="22"/>
          <w:highlight w:val="none"/>
          <w:u w:val="single"/>
        </w:rPr>
        <w:t>3、享受小微企业价格折扣应提供以下证明材料（放在投标文件《报价文件》中，不提供的不享受价格折扣）</w:t>
      </w:r>
      <w:r>
        <w:rPr>
          <w:rFonts w:hint="eastAsia" w:ascii="仿宋" w:hAnsi="仿宋" w:eastAsia="仿宋" w:cs="仿宋"/>
          <w:color w:val="auto"/>
          <w:sz w:val="22"/>
          <w:highlight w:val="none"/>
        </w:rPr>
        <w:t>：</w:t>
      </w:r>
    </w:p>
    <w:p>
      <w:pPr>
        <w:spacing w:line="560" w:lineRule="exact"/>
        <w:jc w:val="left"/>
        <w:rPr>
          <w:rFonts w:ascii="仿宋" w:hAnsi="仿宋" w:eastAsia="仿宋" w:cs="仿宋"/>
          <w:color w:val="auto"/>
          <w:sz w:val="22"/>
          <w:highlight w:val="none"/>
        </w:rPr>
      </w:pPr>
      <w:r>
        <w:rPr>
          <w:rFonts w:hint="eastAsia" w:ascii="仿宋" w:hAnsi="仿宋" w:eastAsia="仿宋" w:cs="仿宋"/>
          <w:color w:val="auto"/>
          <w:sz w:val="22"/>
          <w:highlight w:val="none"/>
        </w:rPr>
        <w:t>（1）《中小企业声明函》（格式附后）；</w:t>
      </w:r>
    </w:p>
    <w:p>
      <w:pPr>
        <w:spacing w:line="5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（2）提供投标人注册加入政府采购供应商库的相应证明材料。</w:t>
      </w:r>
    </w:p>
    <w:p>
      <w:pPr>
        <w:spacing w:line="560" w:lineRule="exact"/>
        <w:jc w:val="left"/>
        <w:rPr>
          <w:rFonts w:ascii="仿宋" w:hAnsi="仿宋" w:eastAsia="仿宋" w:cs="仿宋"/>
          <w:color w:val="auto"/>
          <w:sz w:val="22"/>
          <w:highlight w:val="none"/>
        </w:rPr>
      </w:pPr>
      <w:r>
        <w:rPr>
          <w:rFonts w:hint="eastAsia" w:ascii="仿宋" w:hAnsi="仿宋" w:eastAsia="仿宋" w:cs="仿宋"/>
          <w:color w:val="auto"/>
          <w:sz w:val="22"/>
          <w:highlight w:val="none"/>
        </w:rPr>
        <w:t>4、</w:t>
      </w:r>
      <w:r>
        <w:rPr>
          <w:rFonts w:hint="eastAsia" w:ascii="仿宋" w:hAnsi="仿宋" w:eastAsia="仿宋" w:cs="仿宋"/>
          <w:color w:val="auto"/>
          <w:sz w:val="22"/>
          <w:highlight w:val="none"/>
          <w:u w:val="single"/>
        </w:rPr>
        <w:t>享受监狱企业价格折扣应提供以下证明材料（放在投标文件《报价文件》中，不提供的不享受价格折扣）</w:t>
      </w:r>
      <w:r>
        <w:rPr>
          <w:rFonts w:hint="eastAsia" w:ascii="仿宋" w:hAnsi="仿宋" w:eastAsia="仿宋" w:cs="仿宋"/>
          <w:color w:val="auto"/>
          <w:sz w:val="22"/>
          <w:highlight w:val="none"/>
        </w:rPr>
        <w:t>：</w:t>
      </w:r>
    </w:p>
    <w:p>
      <w:pPr>
        <w:spacing w:line="560" w:lineRule="exact"/>
        <w:jc w:val="left"/>
        <w:rPr>
          <w:rFonts w:ascii="仿宋" w:hAnsi="仿宋" w:eastAsia="仿宋" w:cs="仿宋"/>
          <w:bCs/>
          <w:color w:val="auto"/>
          <w:sz w:val="22"/>
          <w:highlight w:val="none"/>
        </w:rPr>
      </w:pPr>
      <w:r>
        <w:rPr>
          <w:rFonts w:hint="eastAsia" w:ascii="仿宋" w:hAnsi="仿宋" w:eastAsia="仿宋" w:cs="仿宋"/>
          <w:color w:val="auto"/>
          <w:sz w:val="22"/>
          <w:highlight w:val="none"/>
        </w:rPr>
        <w:t>（1）监狱企业参加政府采购活动时，应当提供由省级以上监狱管理局、戒毒管理局(含新疆生产建设兵团)出具的属于监狱企业的证明文件（原件或复印件加盖公章）。在政</w:t>
      </w:r>
      <w:r>
        <w:rPr>
          <w:rFonts w:hint="eastAsia" w:ascii="仿宋" w:hAnsi="仿宋" w:eastAsia="仿宋" w:cs="仿宋"/>
          <w:bCs/>
          <w:color w:val="auto"/>
          <w:sz w:val="22"/>
          <w:highlight w:val="none"/>
        </w:rPr>
        <w:t>府采购活动中，监狱企业视同小型、微型企业，享受评审中价格扣除政策。</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5、</w:t>
      </w:r>
      <w:r>
        <w:rPr>
          <w:rFonts w:hint="eastAsia" w:ascii="仿宋" w:hAnsi="仿宋" w:eastAsia="仿宋" w:cs="仿宋"/>
          <w:bCs/>
          <w:color w:val="auto"/>
          <w:sz w:val="22"/>
          <w:highlight w:val="none"/>
          <w:u w:val="single"/>
        </w:rPr>
        <w:t>享受残疾人福利性单位格折扣应提供以下证明材料（放在投标文件《报价文件》中，不提供的不享受价格折扣）</w:t>
      </w:r>
      <w:r>
        <w:rPr>
          <w:rFonts w:hint="eastAsia" w:ascii="仿宋" w:hAnsi="仿宋" w:eastAsia="仿宋" w:cs="仿宋"/>
          <w:bCs/>
          <w:color w:val="auto"/>
          <w:sz w:val="22"/>
          <w:highlight w:val="none"/>
        </w:rPr>
        <w:t>：</w:t>
      </w:r>
    </w:p>
    <w:p>
      <w:pPr>
        <w:spacing w:line="560" w:lineRule="exact"/>
        <w:jc w:val="left"/>
        <w:rPr>
          <w:rFonts w:ascii="仿宋" w:hAnsi="仿宋" w:eastAsia="仿宋" w:cs="仿宋"/>
          <w:bCs/>
          <w:color w:val="auto"/>
          <w:sz w:val="22"/>
          <w:highlight w:val="none"/>
        </w:rPr>
      </w:pPr>
      <w:r>
        <w:rPr>
          <w:rFonts w:hint="eastAsia" w:ascii="仿宋" w:hAnsi="仿宋" w:eastAsia="仿宋" w:cs="仿宋"/>
          <w:bCs/>
          <w:color w:val="auto"/>
          <w:sz w:val="22"/>
          <w:highlight w:val="none"/>
        </w:rPr>
        <w:t>（1）残疾人福利性单位声明函（格式附后）。</w:t>
      </w: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spacing w:line="560" w:lineRule="exact"/>
        <w:jc w:val="left"/>
        <w:rPr>
          <w:rFonts w:ascii="仿宋" w:hAnsi="仿宋" w:eastAsia="仿宋" w:cs="仿宋"/>
          <w:b/>
          <w:color w:val="auto"/>
          <w:sz w:val="22"/>
          <w:highlight w:val="none"/>
        </w:rPr>
      </w:pPr>
    </w:p>
    <w:p>
      <w:pPr>
        <w:widowControl/>
        <w:spacing w:before="100" w:beforeAutospacing="1" w:after="100" w:afterAutospacing="1" w:line="560" w:lineRule="exact"/>
        <w:jc w:val="center"/>
        <w:rPr>
          <w:rFonts w:ascii="仿宋" w:hAnsi="仿宋" w:eastAsia="仿宋" w:cs="仿宋"/>
          <w:color w:val="auto"/>
          <w:highlight w:val="none"/>
        </w:rPr>
      </w:pPr>
      <w:r>
        <w:rPr>
          <w:rFonts w:hint="eastAsia" w:ascii="仿宋" w:hAnsi="仿宋" w:eastAsia="仿宋" w:cs="仿宋"/>
          <w:color w:val="auto"/>
          <w:highlight w:val="none"/>
        </w:rPr>
        <w:t>中小企业声明函</w:t>
      </w:r>
    </w:p>
    <w:p>
      <w:pPr>
        <w:widowControl/>
        <w:spacing w:before="100" w:beforeAutospacing="1" w:after="100" w:afterAutospacing="1" w:line="560" w:lineRule="exact"/>
        <w:ind w:firstLine="480" w:firstLineChars="200"/>
        <w:jc w:val="left"/>
        <w:rPr>
          <w:rFonts w:ascii="仿宋" w:hAnsi="仿宋" w:eastAsia="仿宋" w:cs="仿宋"/>
          <w:color w:val="auto"/>
          <w:highlight w:val="none"/>
        </w:rPr>
      </w:pPr>
      <w:r>
        <w:rPr>
          <w:rFonts w:hint="eastAsia" w:ascii="仿宋" w:hAnsi="仿宋" w:eastAsia="仿宋" w:cs="仿宋"/>
          <w:color w:val="auto"/>
          <w:highlight w:val="none"/>
        </w:rPr>
        <w:t>本公司郑重声明，根据《政府采购促进中小企业发展暂行办法》（财库[2011]181号）的规定，本公司为______（请填写：中型、小型、微型）企业。即，本公司同时满足以下条件：</w:t>
      </w:r>
    </w:p>
    <w:p>
      <w:pPr>
        <w:widowControl/>
        <w:numPr>
          <w:ilvl w:val="0"/>
          <w:numId w:val="11"/>
        </w:numPr>
        <w:spacing w:before="100" w:beforeAutospacing="1" w:after="100" w:afterAutospacing="1" w:line="560" w:lineRule="exact"/>
        <w:ind w:firstLine="480" w:firstLineChars="200"/>
        <w:jc w:val="left"/>
        <w:rPr>
          <w:rFonts w:ascii="仿宋" w:hAnsi="仿宋" w:eastAsia="仿宋" w:cs="仿宋"/>
          <w:color w:val="auto"/>
          <w:highlight w:val="none"/>
        </w:rPr>
      </w:pPr>
      <w:r>
        <w:rPr>
          <w:rFonts w:hint="eastAsia" w:ascii="仿宋" w:hAnsi="仿宋" w:eastAsia="仿宋" w:cs="仿宋"/>
          <w:color w:val="auto"/>
          <w:highlight w:val="none"/>
        </w:rPr>
        <w:t>根据《工业和信息化部、国家统计局、国家发展和改革委员会、财政部关于印发中小企业划型标准规定的通知》（工信部联企业[2011]300号）规定的划分标准，本公司为______（请填写：中型、小型、微型）企业。</w:t>
      </w:r>
    </w:p>
    <w:p>
      <w:pPr>
        <w:widowControl/>
        <w:numPr>
          <w:ilvl w:val="0"/>
          <w:numId w:val="11"/>
        </w:numPr>
        <w:spacing w:before="100" w:beforeAutospacing="1" w:after="100" w:afterAutospacing="1" w:line="560" w:lineRule="exact"/>
        <w:ind w:firstLine="480" w:firstLineChars="200"/>
        <w:jc w:val="left"/>
        <w:rPr>
          <w:rFonts w:ascii="仿宋" w:hAnsi="仿宋" w:eastAsia="仿宋" w:cs="仿宋"/>
          <w:color w:val="auto"/>
          <w:highlight w:val="none"/>
        </w:rPr>
      </w:pPr>
      <w:r>
        <w:rPr>
          <w:rFonts w:hint="eastAsia" w:ascii="仿宋" w:hAnsi="仿宋" w:eastAsia="仿宋" w:cs="仿宋"/>
          <w:color w:val="auto"/>
          <w:highlight w:val="none"/>
        </w:rPr>
        <w:t>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仿宋" w:hAnsi="仿宋" w:eastAsia="仿宋" w:cs="仿宋"/>
          <w:color w:val="auto"/>
          <w:highlight w:val="none"/>
        </w:rPr>
        <w:br w:type="textWrapping"/>
      </w:r>
      <w:r>
        <w:rPr>
          <w:rFonts w:hint="eastAsia" w:ascii="仿宋" w:hAnsi="仿宋" w:eastAsia="仿宋" w:cs="仿宋"/>
          <w:color w:val="auto"/>
          <w:highlight w:val="none"/>
        </w:rPr>
        <w:t>    本公司对上述声明的真实性负责。如有虚假，将依法承担相应责任。</w:t>
      </w:r>
    </w:p>
    <w:p>
      <w:pPr>
        <w:widowControl/>
        <w:spacing w:before="100" w:beforeAutospacing="1" w:after="100" w:afterAutospacing="1" w:line="560" w:lineRule="exact"/>
        <w:jc w:val="left"/>
        <w:rPr>
          <w:rFonts w:ascii="仿宋" w:hAnsi="仿宋" w:eastAsia="仿宋" w:cs="仿宋"/>
          <w:color w:val="auto"/>
          <w:highlight w:val="none"/>
        </w:rPr>
      </w:pPr>
    </w:p>
    <w:p>
      <w:pPr>
        <w:widowControl/>
        <w:spacing w:before="100" w:beforeAutospacing="1" w:after="100" w:afterAutospacing="1" w:line="560" w:lineRule="exact"/>
        <w:jc w:val="left"/>
        <w:rPr>
          <w:rFonts w:ascii="仿宋" w:hAnsi="仿宋" w:eastAsia="仿宋" w:cs="仿宋"/>
          <w:color w:val="auto"/>
          <w:highlight w:val="none"/>
        </w:rPr>
      </w:pPr>
      <w:r>
        <w:rPr>
          <w:rFonts w:hint="eastAsia" w:ascii="仿宋" w:hAnsi="仿宋" w:eastAsia="仿宋" w:cs="仿宋"/>
          <w:color w:val="auto"/>
          <w:highlight w:val="none"/>
        </w:rPr>
        <w:t>投标人名称（盖章）：                </w:t>
      </w:r>
      <w:r>
        <w:rPr>
          <w:rFonts w:hint="eastAsia" w:ascii="仿宋" w:hAnsi="仿宋" w:eastAsia="仿宋" w:cs="仿宋"/>
          <w:color w:val="auto"/>
          <w:highlight w:val="none"/>
        </w:rPr>
        <w:br w:type="textWrapping"/>
      </w:r>
      <w:r>
        <w:rPr>
          <w:rFonts w:hint="eastAsia" w:ascii="仿宋" w:hAnsi="仿宋" w:eastAsia="仿宋" w:cs="仿宋"/>
          <w:color w:val="auto"/>
          <w:highlight w:val="none"/>
        </w:rPr>
        <w:t>日期：                             　　　　　</w:t>
      </w:r>
    </w:p>
    <w:p>
      <w:pPr>
        <w:spacing w:line="560" w:lineRule="exact"/>
        <w:rPr>
          <w:rFonts w:ascii="仿宋" w:hAnsi="仿宋" w:eastAsia="仿宋" w:cs="仿宋"/>
          <w:b/>
          <w:color w:val="auto"/>
          <w:highlight w:val="none"/>
        </w:rPr>
      </w:pPr>
    </w:p>
    <w:p>
      <w:pPr>
        <w:widowControl/>
        <w:spacing w:before="100" w:beforeAutospacing="1" w:after="100" w:afterAutospacing="1" w:line="560" w:lineRule="exact"/>
        <w:jc w:val="left"/>
        <w:rPr>
          <w:rFonts w:ascii="仿宋" w:hAnsi="仿宋" w:eastAsia="仿宋" w:cs="仿宋"/>
          <w:b/>
          <w:color w:val="auto"/>
          <w:highlight w:val="none"/>
        </w:rPr>
      </w:pPr>
    </w:p>
    <w:p>
      <w:pPr>
        <w:widowControl/>
        <w:spacing w:before="100" w:beforeAutospacing="1" w:after="100" w:afterAutospacing="1" w:line="560" w:lineRule="exact"/>
        <w:jc w:val="left"/>
        <w:rPr>
          <w:rFonts w:ascii="仿宋" w:hAnsi="仿宋" w:eastAsia="仿宋" w:cs="仿宋"/>
          <w:b/>
          <w:color w:val="auto"/>
          <w:highlight w:val="none"/>
        </w:rPr>
      </w:pPr>
    </w:p>
    <w:p>
      <w:pPr>
        <w:pStyle w:val="2"/>
        <w:ind w:left="480"/>
        <w:rPr>
          <w:rFonts w:ascii="仿宋" w:hAnsi="仿宋" w:eastAsia="仿宋" w:cs="仿宋"/>
          <w:b/>
          <w:color w:val="auto"/>
          <w:highlight w:val="none"/>
        </w:rPr>
      </w:pPr>
    </w:p>
    <w:p>
      <w:pPr>
        <w:pStyle w:val="2"/>
        <w:ind w:left="480"/>
        <w:rPr>
          <w:rFonts w:ascii="仿宋" w:hAnsi="仿宋" w:eastAsia="仿宋" w:cs="仿宋"/>
          <w:b/>
          <w:color w:val="auto"/>
          <w:highlight w:val="none"/>
        </w:rPr>
      </w:pPr>
    </w:p>
    <w:p>
      <w:pPr>
        <w:widowControl/>
        <w:spacing w:before="100" w:beforeAutospacing="1" w:after="100" w:afterAutospacing="1" w:line="560" w:lineRule="exact"/>
        <w:jc w:val="left"/>
        <w:rPr>
          <w:rFonts w:ascii="仿宋" w:hAnsi="仿宋" w:eastAsia="仿宋" w:cs="仿宋"/>
          <w:b/>
          <w:color w:val="auto"/>
          <w:highlight w:val="none"/>
        </w:rPr>
      </w:pPr>
    </w:p>
    <w:p>
      <w:pPr>
        <w:widowControl/>
        <w:spacing w:before="100" w:beforeAutospacing="1" w:after="100" w:afterAutospacing="1" w:line="560" w:lineRule="exact"/>
        <w:jc w:val="center"/>
        <w:rPr>
          <w:rFonts w:ascii="仿宋" w:hAnsi="仿宋" w:eastAsia="仿宋" w:cs="仿宋"/>
          <w:b/>
          <w:bCs/>
          <w:color w:val="auto"/>
          <w:highlight w:val="none"/>
        </w:rPr>
      </w:pPr>
      <w:bookmarkStart w:id="35" w:name="OLE_LINK14"/>
      <w:bookmarkStart w:id="36" w:name="OLE_LINK13"/>
      <w:r>
        <w:rPr>
          <w:rFonts w:hint="eastAsia" w:ascii="仿宋" w:hAnsi="仿宋" w:eastAsia="仿宋" w:cs="仿宋"/>
          <w:b/>
          <w:bCs/>
          <w:color w:val="auto"/>
          <w:highlight w:val="none"/>
        </w:rPr>
        <w:t>残疾人福利性单位声明函</w:t>
      </w:r>
    </w:p>
    <w:bookmarkEnd w:id="35"/>
    <w:bookmarkEnd w:id="36"/>
    <w:p>
      <w:pPr>
        <w:spacing w:line="560" w:lineRule="exact"/>
        <w:rPr>
          <w:rFonts w:ascii="仿宋" w:hAnsi="仿宋" w:eastAsia="仿宋" w:cs="仿宋"/>
          <w:b/>
          <w:color w:val="auto"/>
          <w:spacing w:val="6"/>
          <w:sz w:val="30"/>
          <w:szCs w:val="30"/>
          <w:highlight w:val="none"/>
        </w:rPr>
      </w:pPr>
    </w:p>
    <w:p>
      <w:pPr>
        <w:spacing w:line="560" w:lineRule="exact"/>
        <w:ind w:firstLine="504" w:firstLineChars="200"/>
        <w:rPr>
          <w:rFonts w:ascii="仿宋" w:hAnsi="仿宋" w:eastAsia="仿宋" w:cs="仿宋"/>
          <w:color w:val="auto"/>
          <w:spacing w:val="6"/>
          <w:highlight w:val="none"/>
        </w:rPr>
      </w:pPr>
      <w:r>
        <w:rPr>
          <w:rFonts w:hint="eastAsia" w:ascii="仿宋" w:hAnsi="仿宋" w:eastAsia="仿宋" w:cs="仿宋"/>
          <w:color w:val="auto"/>
          <w:spacing w:val="6"/>
          <w:highlight w:val="none"/>
        </w:rPr>
        <w:t>本单位郑重声明，根据《财政部 民政部 中国残疾人联合会关于促进残疾人就业政府采购政策的通知》（财库</w:t>
      </w:r>
      <w:r>
        <w:rPr>
          <w:rFonts w:hint="eastAsia" w:ascii="仿宋" w:hAnsi="仿宋" w:eastAsia="仿宋" w:cs="仿宋"/>
          <w:color w:val="auto"/>
          <w:highlight w:val="none"/>
        </w:rPr>
        <w:t>〔2017〕 141</w:t>
      </w:r>
      <w:r>
        <w:rPr>
          <w:rFonts w:hint="eastAsia" w:ascii="仿宋" w:hAnsi="仿宋" w:eastAsia="仿宋" w:cs="仿宋"/>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60" w:lineRule="exact"/>
        <w:ind w:firstLine="504" w:firstLineChars="200"/>
        <w:rPr>
          <w:rFonts w:ascii="仿宋" w:hAnsi="仿宋" w:eastAsia="仿宋" w:cs="仿宋"/>
          <w:color w:val="auto"/>
          <w:spacing w:val="6"/>
          <w:highlight w:val="none"/>
        </w:rPr>
      </w:pPr>
      <w:r>
        <w:rPr>
          <w:rFonts w:hint="eastAsia" w:ascii="仿宋" w:hAnsi="仿宋" w:eastAsia="仿宋" w:cs="仿宋"/>
          <w:color w:val="auto"/>
          <w:spacing w:val="6"/>
          <w:highlight w:val="none"/>
        </w:rPr>
        <w:t>本单位对上述声明的真实性负责。如有虚假，将依法承担相应责任。</w:t>
      </w:r>
    </w:p>
    <w:p>
      <w:pPr>
        <w:spacing w:line="560" w:lineRule="exact"/>
        <w:ind w:firstLine="464" w:firstLineChars="200"/>
        <w:rPr>
          <w:rFonts w:ascii="仿宋" w:hAnsi="仿宋" w:eastAsia="仿宋" w:cs="仿宋"/>
          <w:color w:val="auto"/>
          <w:spacing w:val="6"/>
          <w:sz w:val="22"/>
          <w:szCs w:val="22"/>
          <w:highlight w:val="none"/>
        </w:rPr>
      </w:pPr>
    </w:p>
    <w:p>
      <w:pPr>
        <w:spacing w:line="560" w:lineRule="exact"/>
        <w:ind w:firstLine="464" w:firstLineChars="200"/>
        <w:rPr>
          <w:rFonts w:ascii="仿宋" w:hAnsi="仿宋" w:eastAsia="仿宋" w:cs="仿宋"/>
          <w:color w:val="auto"/>
          <w:spacing w:val="6"/>
          <w:sz w:val="22"/>
          <w:szCs w:val="22"/>
          <w:highlight w:val="none"/>
        </w:rPr>
      </w:pPr>
    </w:p>
    <w:p>
      <w:pPr>
        <w:tabs>
          <w:tab w:val="left" w:pos="4860"/>
        </w:tabs>
        <w:spacing w:line="560" w:lineRule="exact"/>
        <w:ind w:right="1560" w:firstLine="480" w:firstLineChars="200"/>
        <w:jc w:val="center"/>
        <w:rPr>
          <w:rFonts w:ascii="仿宋" w:hAnsi="仿宋" w:eastAsia="仿宋" w:cs="仿宋"/>
          <w:color w:val="auto"/>
          <w:spacing w:val="6"/>
          <w:sz w:val="22"/>
          <w:szCs w:val="22"/>
          <w:highlight w:val="none"/>
        </w:rPr>
      </w:pPr>
      <w:r>
        <w:rPr>
          <w:rFonts w:hint="eastAsia" w:ascii="仿宋" w:hAnsi="仿宋" w:eastAsia="仿宋" w:cs="仿宋"/>
          <w:color w:val="auto"/>
          <w:highlight w:val="none"/>
        </w:rPr>
        <w:t>投标人名称（盖章）：                </w:t>
      </w:r>
      <w:r>
        <w:rPr>
          <w:rFonts w:hint="eastAsia" w:ascii="仿宋" w:hAnsi="仿宋" w:eastAsia="仿宋" w:cs="仿宋"/>
          <w:color w:val="auto"/>
          <w:highlight w:val="none"/>
        </w:rPr>
        <w:br w:type="textWrapping"/>
      </w:r>
      <w:r>
        <w:rPr>
          <w:rFonts w:hint="eastAsia" w:ascii="仿宋" w:hAnsi="仿宋" w:eastAsia="仿宋" w:cs="仿宋"/>
          <w:color w:val="auto"/>
          <w:highlight w:val="none"/>
        </w:rPr>
        <w:t>日期：            </w:t>
      </w:r>
    </w:p>
    <w:p>
      <w:pPr>
        <w:tabs>
          <w:tab w:val="left" w:pos="4860"/>
        </w:tabs>
        <w:spacing w:line="560" w:lineRule="exact"/>
        <w:ind w:right="1560" w:firstLine="624" w:firstLineChars="200"/>
        <w:jc w:val="center"/>
        <w:rPr>
          <w:rFonts w:ascii="仿宋" w:hAnsi="仿宋" w:eastAsia="仿宋" w:cs="仿宋"/>
          <w:color w:val="auto"/>
          <w:spacing w:val="6"/>
          <w:sz w:val="30"/>
          <w:szCs w:val="30"/>
          <w:highlight w:val="none"/>
        </w:rPr>
      </w:pPr>
    </w:p>
    <w:p>
      <w:pPr>
        <w:tabs>
          <w:tab w:val="left" w:pos="4860"/>
        </w:tabs>
        <w:spacing w:line="560" w:lineRule="exact"/>
        <w:ind w:right="1560" w:firstLine="624" w:firstLineChars="200"/>
        <w:jc w:val="center"/>
        <w:rPr>
          <w:rFonts w:ascii="仿宋" w:hAnsi="仿宋" w:eastAsia="仿宋" w:cs="仿宋"/>
          <w:color w:val="auto"/>
          <w:spacing w:val="6"/>
          <w:sz w:val="30"/>
          <w:szCs w:val="30"/>
          <w:highlight w:val="none"/>
        </w:rPr>
      </w:pPr>
    </w:p>
    <w:p>
      <w:pPr>
        <w:spacing w:line="560" w:lineRule="exact"/>
        <w:rPr>
          <w:rFonts w:ascii="仿宋" w:hAnsi="仿宋" w:eastAsia="仿宋" w:cs="仿宋"/>
          <w:color w:val="auto"/>
          <w:szCs w:val="28"/>
          <w:highlight w:val="none"/>
        </w:rPr>
      </w:pPr>
    </w:p>
    <w:p>
      <w:pPr>
        <w:spacing w:line="560" w:lineRule="exact"/>
        <w:rPr>
          <w:rFonts w:ascii="仿宋" w:hAnsi="仿宋" w:eastAsia="仿宋" w:cs="仿宋"/>
          <w:color w:val="auto"/>
          <w:szCs w:val="28"/>
          <w:highlight w:val="none"/>
        </w:rPr>
      </w:pPr>
    </w:p>
    <w:p>
      <w:pPr>
        <w:spacing w:line="560" w:lineRule="exact"/>
        <w:rPr>
          <w:rFonts w:ascii="仿宋" w:hAnsi="仿宋" w:eastAsia="仿宋" w:cs="仿宋"/>
          <w:color w:val="auto"/>
          <w:szCs w:val="28"/>
          <w:highlight w:val="none"/>
        </w:rPr>
      </w:pPr>
    </w:p>
    <w:p>
      <w:pPr>
        <w:spacing w:line="560" w:lineRule="exact"/>
        <w:rPr>
          <w:rFonts w:ascii="仿宋" w:hAnsi="仿宋" w:eastAsia="仿宋" w:cs="仿宋"/>
          <w:color w:val="auto"/>
          <w:szCs w:val="28"/>
          <w:highlight w:val="none"/>
        </w:rPr>
      </w:pPr>
    </w:p>
    <w:p>
      <w:pPr>
        <w:pStyle w:val="2"/>
        <w:rPr>
          <w:rFonts w:ascii="仿宋" w:hAnsi="仿宋" w:eastAsia="仿宋" w:cs="仿宋"/>
          <w:color w:val="auto"/>
          <w:szCs w:val="28"/>
          <w:highlight w:val="none"/>
        </w:rPr>
      </w:pPr>
    </w:p>
    <w:p>
      <w:pPr>
        <w:pStyle w:val="2"/>
        <w:rPr>
          <w:rFonts w:ascii="仿宋" w:hAnsi="仿宋" w:eastAsia="仿宋" w:cs="仿宋"/>
          <w:color w:val="auto"/>
          <w:szCs w:val="28"/>
          <w:highlight w:val="none"/>
        </w:rPr>
      </w:pPr>
    </w:p>
    <w:p>
      <w:pPr>
        <w:pStyle w:val="2"/>
        <w:rPr>
          <w:rFonts w:ascii="仿宋" w:hAnsi="仿宋" w:eastAsia="仿宋" w:cs="仿宋"/>
          <w:color w:val="auto"/>
          <w:szCs w:val="28"/>
          <w:highlight w:val="none"/>
        </w:rPr>
      </w:pPr>
    </w:p>
    <w:p>
      <w:pPr>
        <w:pStyle w:val="2"/>
        <w:rPr>
          <w:rFonts w:ascii="仿宋" w:hAnsi="仿宋" w:eastAsia="仿宋" w:cs="仿宋"/>
          <w:color w:val="auto"/>
          <w:szCs w:val="28"/>
          <w:highlight w:val="none"/>
        </w:rPr>
      </w:pPr>
    </w:p>
    <w:p>
      <w:pPr>
        <w:spacing w:line="560" w:lineRule="exact"/>
        <w:rPr>
          <w:rFonts w:ascii="仿宋" w:hAnsi="仿宋" w:eastAsia="仿宋" w:cs="仿宋"/>
          <w:color w:val="auto"/>
          <w:szCs w:val="28"/>
          <w:highlight w:val="none"/>
        </w:rPr>
      </w:pPr>
    </w:p>
    <w:p>
      <w:pPr>
        <w:spacing w:line="560" w:lineRule="exact"/>
        <w:rPr>
          <w:rFonts w:ascii="仿宋" w:hAnsi="仿宋" w:eastAsia="仿宋" w:cs="仿宋"/>
          <w:color w:val="auto"/>
          <w:highlight w:val="none"/>
        </w:rPr>
      </w:pPr>
    </w:p>
    <w:p>
      <w:pPr>
        <w:spacing w:line="560" w:lineRule="exact"/>
        <w:jc w:val="left"/>
        <w:rPr>
          <w:rFonts w:ascii="仿宋" w:hAnsi="仿宋" w:eastAsia="仿宋" w:cs="仿宋"/>
          <w:b/>
          <w:color w:val="auto"/>
          <w:sz w:val="22"/>
          <w:highlight w:val="none"/>
        </w:rPr>
      </w:pPr>
      <w:r>
        <w:rPr>
          <w:rFonts w:hint="eastAsia" w:ascii="仿宋" w:hAnsi="仿宋" w:eastAsia="仿宋" w:cs="仿宋"/>
          <w:b/>
          <w:color w:val="auto"/>
          <w:sz w:val="22"/>
          <w:highlight w:val="none"/>
        </w:rPr>
        <w:t>二、质疑函范本</w:t>
      </w:r>
    </w:p>
    <w:p>
      <w:pPr>
        <w:snapToGrid w:val="0"/>
        <w:spacing w:beforeLines="100" w:line="560" w:lineRule="exact"/>
        <w:rPr>
          <w:rFonts w:ascii="仿宋" w:hAnsi="仿宋" w:eastAsia="仿宋" w:cs="仿宋"/>
          <w:color w:val="auto"/>
          <w:highlight w:val="none"/>
        </w:rPr>
      </w:pPr>
      <w:r>
        <w:rPr>
          <w:rFonts w:hint="eastAsia" w:ascii="仿宋" w:hAnsi="仿宋" w:eastAsia="仿宋" w:cs="仿宋"/>
          <w:color w:val="auto"/>
          <w:highlight w:val="none"/>
        </w:rPr>
        <w:t>一、质疑供应商基本信息</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质疑供应商：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地址：                          邮编：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联系人：                      联系电话：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授权代表：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联系电话：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地址：                         邮编：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二、质疑项目基本情况</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质疑项目的名称：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质疑项目的编号：               包号：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采购人名称：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采购文件获取日期：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三、质疑事项具体内容</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质疑事项1：                                         </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事实依据：                                          </w:t>
      </w:r>
    </w:p>
    <w:p>
      <w:pPr>
        <w:snapToGrid w:val="0"/>
        <w:spacing w:line="560" w:lineRule="exact"/>
        <w:rPr>
          <w:rFonts w:ascii="仿宋" w:hAnsi="仿宋" w:eastAsia="仿宋" w:cs="仿宋"/>
          <w:color w:val="auto"/>
          <w:highlight w:val="none"/>
        </w:rPr>
      </w:pP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法律依据：                                          </w:t>
      </w:r>
    </w:p>
    <w:p>
      <w:pPr>
        <w:snapToGrid w:val="0"/>
        <w:spacing w:line="560" w:lineRule="exact"/>
        <w:rPr>
          <w:rFonts w:ascii="仿宋" w:hAnsi="仿宋" w:eastAsia="仿宋" w:cs="仿宋"/>
          <w:color w:val="auto"/>
          <w:highlight w:val="none"/>
        </w:rPr>
      </w:pP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质疑事项2</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四、与质疑事项相关的质疑请求</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请求：                                               </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签字(签章)：                   公章：                      日期：    </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质疑函制作说明：</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1.供应商提出质疑时，应提交质疑函和必要的证明材料。</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3.质疑供应商若对项目的某一分包进行质疑，质疑函中应列明具体分包号。</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4.质疑函的质疑事项应具体、明确，并有必要的事实依据和法律依据。</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5.质疑函的质疑请求应与质疑事项相关。</w:t>
      </w:r>
    </w:p>
    <w:p>
      <w:pPr>
        <w:snapToGrid w:val="0"/>
        <w:spacing w:line="560" w:lineRule="exact"/>
        <w:rPr>
          <w:rFonts w:ascii="仿宋" w:hAnsi="仿宋" w:eastAsia="仿宋" w:cs="仿宋"/>
          <w:color w:val="auto"/>
          <w:highlight w:val="none"/>
        </w:rPr>
      </w:pPr>
      <w:r>
        <w:rPr>
          <w:rFonts w:hint="eastAsia" w:ascii="仿宋" w:hAnsi="仿宋" w:eastAsia="仿宋" w:cs="仿宋"/>
          <w:color w:val="auto"/>
          <w:highlight w:val="none"/>
        </w:rPr>
        <w:t>6.质疑供应商为自然人的，质疑函应由本人签字；质疑供应商为法人或者其他组织的，质疑函应由法定代表人、主要负责人，或者其授权代表签字或者盖章，并加盖公章。</w:t>
      </w:r>
    </w:p>
    <w:p>
      <w:pPr>
        <w:snapToGrid w:val="0"/>
        <w:spacing w:line="560" w:lineRule="exact"/>
        <w:rPr>
          <w:rFonts w:ascii="仿宋" w:hAnsi="仿宋" w:eastAsia="仿宋" w:cs="仿宋"/>
          <w:color w:val="auto"/>
          <w:sz w:val="22"/>
          <w:szCs w:val="22"/>
          <w:highlight w:val="none"/>
          <w:u w:val="dotted"/>
        </w:rPr>
      </w:pPr>
    </w:p>
    <w:p>
      <w:pPr>
        <w:snapToGrid w:val="0"/>
        <w:spacing w:line="560" w:lineRule="exact"/>
        <w:rPr>
          <w:rFonts w:ascii="仿宋" w:hAnsi="仿宋" w:eastAsia="仿宋" w:cs="仿宋"/>
          <w:color w:val="auto"/>
          <w:sz w:val="22"/>
          <w:szCs w:val="22"/>
          <w:highlight w:val="none"/>
          <w:u w:val="dotted"/>
        </w:rPr>
      </w:pPr>
    </w:p>
    <w:p>
      <w:pPr>
        <w:snapToGrid w:val="0"/>
        <w:spacing w:line="560" w:lineRule="exact"/>
        <w:rPr>
          <w:rFonts w:ascii="仿宋" w:hAnsi="仿宋" w:eastAsia="仿宋" w:cs="仿宋"/>
          <w:color w:val="auto"/>
          <w:sz w:val="22"/>
          <w:szCs w:val="22"/>
          <w:highlight w:val="none"/>
          <w:u w:val="dotted"/>
        </w:rPr>
      </w:pPr>
    </w:p>
    <w:p>
      <w:pPr>
        <w:snapToGrid w:val="0"/>
        <w:spacing w:line="560" w:lineRule="exact"/>
        <w:rPr>
          <w:rFonts w:ascii="仿宋" w:hAnsi="仿宋" w:eastAsia="仿宋" w:cs="仿宋"/>
          <w:color w:val="auto"/>
          <w:sz w:val="22"/>
          <w:szCs w:val="22"/>
          <w:highlight w:val="none"/>
          <w:u w:val="dotted"/>
        </w:rPr>
      </w:pPr>
    </w:p>
    <w:p>
      <w:pPr>
        <w:snapToGrid w:val="0"/>
        <w:spacing w:line="560" w:lineRule="exact"/>
        <w:rPr>
          <w:rFonts w:ascii="仿宋" w:hAnsi="仿宋" w:eastAsia="仿宋" w:cs="仿宋"/>
          <w:color w:val="auto"/>
          <w:sz w:val="22"/>
          <w:szCs w:val="22"/>
          <w:highlight w:val="none"/>
          <w:u w:val="dotted"/>
        </w:rPr>
      </w:pPr>
    </w:p>
    <w:p>
      <w:pPr>
        <w:snapToGrid w:val="0"/>
        <w:spacing w:line="560" w:lineRule="exact"/>
        <w:rPr>
          <w:rFonts w:ascii="仿宋" w:hAnsi="仿宋" w:eastAsia="仿宋" w:cs="仿宋"/>
          <w:color w:val="auto"/>
          <w:sz w:val="22"/>
          <w:szCs w:val="22"/>
          <w:highlight w:val="none"/>
          <w:u w:val="dotted"/>
        </w:rPr>
      </w:pPr>
    </w:p>
    <w:p>
      <w:pPr>
        <w:snapToGrid w:val="0"/>
        <w:spacing w:line="560" w:lineRule="exact"/>
        <w:rPr>
          <w:rFonts w:ascii="仿宋" w:hAnsi="仿宋" w:eastAsia="仿宋" w:cs="仿宋"/>
          <w:color w:val="auto"/>
          <w:sz w:val="22"/>
          <w:szCs w:val="22"/>
          <w:highlight w:val="none"/>
          <w:u w:val="dotted"/>
        </w:rPr>
      </w:pPr>
    </w:p>
    <w:p>
      <w:pPr>
        <w:widowControl/>
        <w:spacing w:line="560" w:lineRule="exact"/>
        <w:ind w:firstLine="480" w:firstLineChars="200"/>
        <w:jc w:val="left"/>
        <w:rPr>
          <w:rFonts w:ascii="仿宋" w:hAnsi="仿宋" w:eastAsia="仿宋" w:cs="仿宋"/>
          <w:color w:val="auto"/>
          <w:szCs w:val="28"/>
          <w:highlight w:val="none"/>
        </w:rPr>
      </w:pPr>
    </w:p>
    <w:p>
      <w:pPr>
        <w:widowControl/>
        <w:spacing w:line="560" w:lineRule="exact"/>
        <w:ind w:firstLine="480" w:firstLineChars="200"/>
        <w:jc w:val="left"/>
        <w:rPr>
          <w:rFonts w:ascii="仿宋" w:hAnsi="仿宋" w:eastAsia="仿宋" w:cs="仿宋"/>
          <w:color w:val="auto"/>
          <w:szCs w:val="28"/>
          <w:highlight w:val="none"/>
        </w:rPr>
      </w:pPr>
    </w:p>
    <w:p>
      <w:pPr>
        <w:pStyle w:val="2"/>
        <w:ind w:left="480"/>
        <w:rPr>
          <w:rFonts w:ascii="仿宋" w:hAnsi="仿宋" w:eastAsia="仿宋" w:cs="仿宋"/>
          <w:color w:val="auto"/>
          <w:szCs w:val="28"/>
          <w:highlight w:val="none"/>
        </w:rPr>
      </w:pPr>
    </w:p>
    <w:p>
      <w:pPr>
        <w:pStyle w:val="2"/>
        <w:ind w:left="480"/>
        <w:rPr>
          <w:rFonts w:ascii="仿宋" w:hAnsi="仿宋" w:eastAsia="仿宋" w:cs="仿宋"/>
          <w:color w:val="auto"/>
          <w:szCs w:val="28"/>
          <w:highlight w:val="none"/>
        </w:rPr>
      </w:pPr>
    </w:p>
    <w:p>
      <w:pPr>
        <w:pStyle w:val="2"/>
        <w:ind w:left="480"/>
        <w:rPr>
          <w:rFonts w:ascii="仿宋" w:hAnsi="仿宋" w:eastAsia="仿宋" w:cs="仿宋"/>
          <w:color w:val="auto"/>
          <w:szCs w:val="28"/>
          <w:highlight w:val="none"/>
        </w:rPr>
      </w:pPr>
    </w:p>
    <w:p>
      <w:pPr>
        <w:pStyle w:val="2"/>
        <w:ind w:left="480"/>
        <w:rPr>
          <w:rFonts w:ascii="仿宋" w:hAnsi="仿宋" w:eastAsia="仿宋" w:cs="仿宋"/>
          <w:color w:val="auto"/>
          <w:szCs w:val="28"/>
          <w:highlight w:val="none"/>
        </w:rPr>
      </w:pPr>
    </w:p>
    <w:p>
      <w:pPr>
        <w:pStyle w:val="2"/>
        <w:ind w:left="480"/>
        <w:rPr>
          <w:rFonts w:ascii="仿宋" w:hAnsi="仿宋" w:eastAsia="仿宋" w:cs="仿宋"/>
          <w:color w:val="auto"/>
          <w:szCs w:val="28"/>
          <w:highlight w:val="none"/>
        </w:rPr>
      </w:pPr>
    </w:p>
    <w:p>
      <w:pPr>
        <w:pStyle w:val="2"/>
        <w:ind w:left="480"/>
        <w:rPr>
          <w:rFonts w:ascii="仿宋" w:hAnsi="仿宋" w:eastAsia="仿宋" w:cs="仿宋"/>
          <w:color w:val="auto"/>
          <w:szCs w:val="28"/>
          <w:highlight w:val="none"/>
        </w:rPr>
      </w:pPr>
    </w:p>
    <w:p>
      <w:pPr>
        <w:widowControl/>
        <w:spacing w:line="560" w:lineRule="exact"/>
        <w:jc w:val="left"/>
        <w:rPr>
          <w:rFonts w:ascii="仿宋" w:hAnsi="仿宋" w:eastAsia="仿宋" w:cs="仿宋"/>
          <w:color w:val="auto"/>
          <w:szCs w:val="28"/>
          <w:highlight w:val="none"/>
        </w:rPr>
      </w:pPr>
    </w:p>
    <w:p>
      <w:pPr>
        <w:widowControl/>
        <w:spacing w:line="560" w:lineRule="exact"/>
        <w:ind w:firstLine="480" w:firstLineChars="200"/>
        <w:jc w:val="left"/>
        <w:rPr>
          <w:rFonts w:ascii="仿宋" w:hAnsi="仿宋" w:eastAsia="仿宋" w:cs="仿宋"/>
          <w:color w:val="auto"/>
          <w:szCs w:val="28"/>
          <w:highlight w:val="none"/>
        </w:rPr>
      </w:pPr>
    </w:p>
    <w:p>
      <w:pPr>
        <w:spacing w:line="560" w:lineRule="exact"/>
        <w:jc w:val="left"/>
        <w:rPr>
          <w:rFonts w:ascii="仿宋" w:hAnsi="仿宋" w:eastAsia="仿宋" w:cs="仿宋"/>
          <w:b/>
          <w:color w:val="auto"/>
          <w:sz w:val="22"/>
          <w:highlight w:val="none"/>
        </w:rPr>
      </w:pPr>
      <w:r>
        <w:rPr>
          <w:rFonts w:hint="eastAsia" w:ascii="仿宋" w:hAnsi="仿宋" w:eastAsia="仿宋" w:cs="仿宋"/>
          <w:b/>
          <w:color w:val="auto"/>
          <w:sz w:val="22"/>
          <w:highlight w:val="none"/>
        </w:rPr>
        <w:t>三、投诉书范本</w:t>
      </w:r>
    </w:p>
    <w:p>
      <w:pPr>
        <w:spacing w:line="560" w:lineRule="exact"/>
        <w:rPr>
          <w:rFonts w:ascii="仿宋" w:hAnsi="仿宋" w:eastAsia="仿宋" w:cs="仿宋"/>
          <w:color w:val="auto"/>
          <w:highlight w:val="none"/>
        </w:rPr>
      </w:pP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一、投诉相关主体基本情况</w:t>
      </w:r>
    </w:p>
    <w:p>
      <w:pPr>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投诉人：</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地     址：邮编：</w:t>
      </w:r>
    </w:p>
    <w:p>
      <w:pPr>
        <w:tabs>
          <w:tab w:val="left" w:pos="6510"/>
        </w:tabs>
        <w:spacing w:line="560" w:lineRule="exact"/>
        <w:jc w:val="left"/>
        <w:rPr>
          <w:rFonts w:ascii="仿宋" w:hAnsi="仿宋" w:eastAsia="仿宋" w:cs="仿宋"/>
          <w:color w:val="auto"/>
          <w:highlight w:val="none"/>
        </w:rPr>
      </w:pPr>
      <w:r>
        <w:rPr>
          <w:rFonts w:hint="eastAsia" w:ascii="仿宋" w:hAnsi="仿宋" w:eastAsia="仿宋" w:cs="仿宋"/>
          <w:color w:val="auto"/>
          <w:highlight w:val="none"/>
        </w:rPr>
        <w:t>法定代表人/主要负责人：</w:t>
      </w:r>
    </w:p>
    <w:p>
      <w:pPr>
        <w:tabs>
          <w:tab w:val="left" w:pos="6510"/>
        </w:tabs>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联系电话：</w:t>
      </w:r>
    </w:p>
    <w:p>
      <w:pPr>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授权代表：联系电话</w:t>
      </w:r>
      <w:r>
        <w:rPr>
          <w:rFonts w:hint="eastAsia" w:ascii="仿宋" w:hAnsi="仿宋" w:eastAsia="仿宋" w:cs="仿宋"/>
          <w:color w:val="auto"/>
          <w:highlight w:val="none"/>
          <w:u w:val="dotted"/>
        </w:rPr>
        <w:t xml:space="preserve">：                  </w:t>
      </w:r>
    </w:p>
    <w:p>
      <w:pPr>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地     址：邮编：</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被投诉人1：</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地     址：邮编：</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联系人：联系电话：</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被投诉人2</w:t>
      </w:r>
    </w:p>
    <w:p>
      <w:pPr>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相关供应商：</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地     址：邮编：</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联系人：联系电话：</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二、投诉项目基本情况</w:t>
      </w:r>
    </w:p>
    <w:p>
      <w:pPr>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采购项目名称：</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采购项目编号：包号：</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采购人名称：</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代理机构名称：</w:t>
      </w:r>
    </w:p>
    <w:p>
      <w:pPr>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采购文件公告:</w:t>
      </w:r>
      <w:r>
        <w:rPr>
          <w:rFonts w:hint="eastAsia" w:ascii="仿宋" w:hAnsi="仿宋" w:eastAsia="仿宋" w:cs="仿宋"/>
          <w:color w:val="auto"/>
          <w:highlight w:val="none"/>
          <w:u w:val="dotted"/>
        </w:rPr>
        <w:t xml:space="preserve">是/否 </w:t>
      </w:r>
      <w:r>
        <w:rPr>
          <w:rFonts w:hint="eastAsia" w:ascii="仿宋" w:hAnsi="仿宋" w:eastAsia="仿宋" w:cs="仿宋"/>
          <w:color w:val="auto"/>
          <w:highlight w:val="none"/>
        </w:rPr>
        <w:t>公告期限：</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采购结果公告:</w:t>
      </w:r>
      <w:r>
        <w:rPr>
          <w:rFonts w:hint="eastAsia" w:ascii="仿宋" w:hAnsi="仿宋" w:eastAsia="仿宋" w:cs="仿宋"/>
          <w:color w:val="auto"/>
          <w:highlight w:val="none"/>
          <w:u w:val="dotted"/>
        </w:rPr>
        <w:t xml:space="preserve">是/否 </w:t>
      </w:r>
      <w:r>
        <w:rPr>
          <w:rFonts w:hint="eastAsia" w:ascii="仿宋" w:hAnsi="仿宋" w:eastAsia="仿宋" w:cs="仿宋"/>
          <w:color w:val="auto"/>
          <w:highlight w:val="none"/>
        </w:rPr>
        <w:t>公告期限：</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三、质疑基本情况</w:t>
      </w:r>
    </w:p>
    <w:p>
      <w:pPr>
        <w:spacing w:line="560" w:lineRule="exact"/>
        <w:ind w:firstLine="480" w:firstLineChars="200"/>
        <w:rPr>
          <w:rFonts w:ascii="仿宋" w:hAnsi="仿宋" w:eastAsia="仿宋" w:cs="仿宋"/>
          <w:color w:val="auto"/>
          <w:highlight w:val="none"/>
          <w:u w:val="dotted"/>
        </w:rPr>
      </w:pPr>
      <w:r>
        <w:rPr>
          <w:rFonts w:hint="eastAsia" w:ascii="仿宋" w:hAnsi="仿宋" w:eastAsia="仿宋" w:cs="仿宋"/>
          <w:color w:val="auto"/>
          <w:highlight w:val="none"/>
        </w:rPr>
        <w:t>投诉人于年月日,向提出质疑，质疑事项为：</w:t>
      </w:r>
    </w:p>
    <w:p>
      <w:pPr>
        <w:spacing w:line="560" w:lineRule="exact"/>
        <w:rPr>
          <w:rFonts w:ascii="仿宋" w:hAnsi="仿宋" w:eastAsia="仿宋" w:cs="仿宋"/>
          <w:color w:val="auto"/>
          <w:highlight w:val="none"/>
          <w:u w:val="dotted"/>
        </w:rPr>
      </w:pPr>
    </w:p>
    <w:p>
      <w:pPr>
        <w:spacing w:line="560" w:lineRule="exact"/>
        <w:ind w:firstLine="360" w:firstLineChars="150"/>
        <w:rPr>
          <w:rFonts w:ascii="仿宋" w:hAnsi="仿宋" w:eastAsia="仿宋" w:cs="仿宋"/>
          <w:color w:val="auto"/>
          <w:highlight w:val="none"/>
        </w:rPr>
      </w:pPr>
      <w:r>
        <w:rPr>
          <w:rFonts w:hint="eastAsia" w:ascii="仿宋" w:hAnsi="仿宋" w:eastAsia="仿宋" w:cs="仿宋"/>
          <w:color w:val="auto"/>
          <w:highlight w:val="none"/>
          <w:u w:val="dotted"/>
        </w:rPr>
        <w:t>采购人/代理机构</w:t>
      </w:r>
      <w:r>
        <w:rPr>
          <w:rFonts w:hint="eastAsia" w:ascii="仿宋" w:hAnsi="仿宋" w:eastAsia="仿宋" w:cs="仿宋"/>
          <w:color w:val="auto"/>
          <w:highlight w:val="none"/>
        </w:rPr>
        <w:t>于年月日,就质疑事项作出了答复/没有在法定期限内作出答复。</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四、投诉事项具体内容</w:t>
      </w: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投诉事项 1：</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事实依据：</w:t>
      </w:r>
    </w:p>
    <w:p>
      <w:pPr>
        <w:spacing w:line="560" w:lineRule="exact"/>
        <w:rPr>
          <w:rFonts w:ascii="仿宋" w:hAnsi="仿宋" w:eastAsia="仿宋" w:cs="仿宋"/>
          <w:color w:val="auto"/>
          <w:highlight w:val="none"/>
          <w:u w:val="dotted"/>
        </w:rPr>
      </w:pPr>
    </w:p>
    <w:p>
      <w:pPr>
        <w:spacing w:line="560" w:lineRule="exact"/>
        <w:rPr>
          <w:rFonts w:ascii="仿宋" w:hAnsi="仿宋" w:eastAsia="仿宋" w:cs="仿宋"/>
          <w:color w:val="auto"/>
          <w:highlight w:val="none"/>
          <w:u w:val="single"/>
        </w:rPr>
      </w:pPr>
      <w:r>
        <w:rPr>
          <w:rFonts w:hint="eastAsia" w:ascii="仿宋" w:hAnsi="仿宋" w:eastAsia="仿宋" w:cs="仿宋"/>
          <w:color w:val="auto"/>
          <w:highlight w:val="none"/>
        </w:rPr>
        <w:t>法律依据：</w:t>
      </w:r>
    </w:p>
    <w:p>
      <w:pPr>
        <w:spacing w:line="560" w:lineRule="exact"/>
        <w:rPr>
          <w:rFonts w:ascii="仿宋" w:hAnsi="仿宋" w:eastAsia="仿宋" w:cs="仿宋"/>
          <w:color w:val="auto"/>
          <w:highlight w:val="none"/>
          <w:u w:val="dotted"/>
        </w:rPr>
      </w:pP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投诉事项2</w:t>
      </w:r>
    </w:p>
    <w:p>
      <w:pPr>
        <w:spacing w:line="560" w:lineRule="exact"/>
        <w:rPr>
          <w:rFonts w:ascii="仿宋" w:hAnsi="仿宋" w:eastAsia="仿宋" w:cs="仿宋"/>
          <w:color w:val="auto"/>
          <w:highlight w:val="none"/>
          <w:u w:val="dotted"/>
        </w:rPr>
      </w:pPr>
      <w:r>
        <w:rPr>
          <w:rFonts w:hint="eastAsia" w:ascii="仿宋" w:hAnsi="仿宋" w:eastAsia="仿宋" w:cs="仿宋"/>
          <w:color w:val="auto"/>
          <w:highlight w:val="none"/>
        </w:rPr>
        <w:t>……</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五、与投诉事项相关的投诉请求</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请求：</w:t>
      </w:r>
    </w:p>
    <w:p>
      <w:pPr>
        <w:spacing w:line="560" w:lineRule="exact"/>
        <w:rPr>
          <w:rFonts w:ascii="仿宋" w:hAnsi="仿宋" w:eastAsia="仿宋" w:cs="仿宋"/>
          <w:color w:val="auto"/>
          <w:highlight w:val="none"/>
          <w:u w:val="single"/>
        </w:rPr>
      </w:pP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签字(签章)：                   公章：                      </w:t>
      </w:r>
    </w:p>
    <w:p>
      <w:pPr>
        <w:spacing w:line="560" w:lineRule="exact"/>
        <w:rPr>
          <w:rFonts w:ascii="仿宋" w:hAnsi="仿宋" w:eastAsia="仿宋" w:cs="仿宋"/>
          <w:color w:val="auto"/>
          <w:highlight w:val="none"/>
        </w:rPr>
      </w:pPr>
      <w:r>
        <w:rPr>
          <w:rFonts w:hint="eastAsia" w:ascii="仿宋" w:hAnsi="仿宋" w:eastAsia="仿宋" w:cs="仿宋"/>
          <w:color w:val="auto"/>
          <w:highlight w:val="none"/>
        </w:rPr>
        <w:t xml:space="preserve">日期：    </w:t>
      </w:r>
    </w:p>
    <w:p>
      <w:pPr>
        <w:spacing w:line="560" w:lineRule="exact"/>
        <w:rPr>
          <w:rFonts w:ascii="仿宋" w:hAnsi="仿宋" w:eastAsia="仿宋" w:cs="仿宋"/>
          <w:b/>
          <w:color w:val="auto"/>
          <w:highlight w:val="none"/>
        </w:rPr>
      </w:pPr>
    </w:p>
    <w:p>
      <w:pPr>
        <w:pStyle w:val="2"/>
        <w:ind w:left="480"/>
        <w:rPr>
          <w:rFonts w:ascii="仿宋" w:hAnsi="仿宋" w:eastAsia="仿宋" w:cs="仿宋"/>
          <w:b/>
          <w:color w:val="auto"/>
          <w:highlight w:val="none"/>
        </w:rPr>
      </w:pPr>
    </w:p>
    <w:p>
      <w:pPr>
        <w:pStyle w:val="2"/>
        <w:ind w:left="480"/>
        <w:rPr>
          <w:rFonts w:ascii="仿宋" w:hAnsi="仿宋" w:eastAsia="仿宋" w:cs="仿宋"/>
          <w:b/>
          <w:color w:val="auto"/>
          <w:highlight w:val="none"/>
        </w:rPr>
      </w:pPr>
    </w:p>
    <w:p>
      <w:pPr>
        <w:spacing w:line="560" w:lineRule="exact"/>
        <w:rPr>
          <w:rFonts w:ascii="仿宋" w:hAnsi="仿宋" w:eastAsia="仿宋" w:cs="仿宋"/>
          <w:b/>
          <w:color w:val="auto"/>
          <w:highlight w:val="none"/>
        </w:rPr>
      </w:pPr>
    </w:p>
    <w:p>
      <w:pPr>
        <w:spacing w:line="560" w:lineRule="exact"/>
        <w:rPr>
          <w:rFonts w:ascii="仿宋" w:hAnsi="仿宋" w:eastAsia="仿宋" w:cs="仿宋"/>
          <w:b/>
          <w:color w:val="auto"/>
          <w:sz w:val="32"/>
          <w:szCs w:val="32"/>
          <w:highlight w:val="none"/>
        </w:rPr>
      </w:pPr>
    </w:p>
    <w:p>
      <w:pPr>
        <w:spacing w:line="560" w:lineRule="exact"/>
        <w:rPr>
          <w:rFonts w:ascii="仿宋" w:hAnsi="仿宋" w:eastAsia="仿宋" w:cs="仿宋"/>
          <w:b/>
          <w:color w:val="auto"/>
          <w:sz w:val="32"/>
          <w:szCs w:val="32"/>
          <w:highlight w:val="none"/>
        </w:rPr>
      </w:pPr>
    </w:p>
    <w:p>
      <w:pPr>
        <w:pStyle w:val="2"/>
        <w:ind w:left="480"/>
        <w:rPr>
          <w:color w:val="auto"/>
          <w:highlight w:val="none"/>
        </w:rPr>
      </w:pPr>
    </w:p>
    <w:p>
      <w:pPr>
        <w:spacing w:line="560" w:lineRule="exact"/>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投诉书制作说明：</w:t>
      </w:r>
    </w:p>
    <w:p>
      <w:pPr>
        <w:widowControl/>
        <w:spacing w:line="560" w:lineRule="exac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1.投诉人提起投诉时，应当提交投诉书和必要的证明材料，并按照被投诉人和与投诉事项有关的供应商数量提供投诉书副本。</w:t>
      </w:r>
    </w:p>
    <w:p>
      <w:pPr>
        <w:widowControl/>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3.投诉人若对项目的某一分包进行投诉，投诉书应列明具体分包号。</w:t>
      </w:r>
    </w:p>
    <w:p>
      <w:pPr>
        <w:widowControl/>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4.投诉书应简要列明质疑事项，质疑函、质疑答复等作为附件材料提供。</w:t>
      </w:r>
    </w:p>
    <w:p>
      <w:pPr>
        <w:widowControl/>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5.投诉书的投诉事项应具体、明确，并有必要的事实依据和法律依据。</w:t>
      </w:r>
    </w:p>
    <w:p>
      <w:pPr>
        <w:widowControl/>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6.投诉书的投诉请求应与投诉事项相关。</w:t>
      </w:r>
    </w:p>
    <w:p>
      <w:pPr>
        <w:widowControl/>
        <w:spacing w:line="560" w:lineRule="exact"/>
        <w:ind w:firstLine="440" w:firstLineChars="200"/>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7.投诉人为自然人的，投诉书应当由本人签字；投诉人为法人或者其他组织的，投诉书应当由法定代表人、主要负责人，或者其授权代表签字或者盖章，并加盖公章。</w:t>
      </w:r>
    </w:p>
    <w:p>
      <w:pPr>
        <w:pStyle w:val="46"/>
        <w:rPr>
          <w:rFonts w:ascii="仿宋" w:hAnsi="仿宋" w:eastAsia="仿宋" w:cs="仿宋"/>
          <w:color w:val="auto"/>
          <w:highlight w:val="none"/>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9180"/>
        <w:tab w:val="clear" w:pos="8306"/>
      </w:tabs>
      <w:ind w:right="-54"/>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9180"/>
        <w:tab w:val="clear" w:pos="8306"/>
      </w:tabs>
      <w:ind w:right="-54"/>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PN9jnBAgAA1gUAAA4AAABkcnMvZTJvRG9jLnhtbK1UzW7UMBC+I/EO lu9pfppus6tmq+2mQUgVrVQQZ6/jbCIc27K9PwVxhTfgxIU7z9XnYOxsdtuCEAJycMae8fx8M/7O zrcdR2umTStFjuOjCCMmqKxasczxm9dlkGFkLBEV4VKwHN8xg8+nz5+dbdSEJbKRvGIagRNhJhuV 48ZaNQlDQxvWEXMkFROgrKXuiIWtXoaVJhvw3vEwiaJRuJG6UlpSZgycFr0ST73/umbUXte1YRbx HENu1q/arwu3htMzMllqopqW7tIgf5FFR1oBQfeuCmIJWun2J1ddS7U0srZHVHahrOuWMl8DVBNH T6q5bYhivhYAx6g9TOb/uaWv1jcatVWOE4wE6aBF918+33/9fv/tE0ocPBtlJmB1q8DObi/kFto8 nBs4dFVva925P9SDQA9A3+3BZVuLqLuUJVkWgYqCbtiA//BwXWljXzDZISfkWEP3PKhkfWVsbzqY uGhCli3nvoNcoE2OR8cnkb+w14BzLpwtZAE+dlLfmQ/jaHyZXWZpkCajyyCNiiKYlfM0GJXx6Ulx XMznRfzR+YvTSdNWFRMu3jAlcfpnXdjNa9/f/ZwYydvKuXMpGb1czLlGawJTWvrPIQzJPzALH6fh 1VDVk5LiJI0uknFQjrLTIC3Tk2B8GmVBFI8vxqMoHadF+bikq1awfy/pEfoPkiYT17B9bQtO6Lvf lubSOZQGCAyNC90c9vPmJLtdbAEiJy5kdQezqWX/uI2iZQtBr4ixN0TDa4aZA4ay17DUXMKcyJ2E USP1+1+dO3toL2gx2gA75FgAfWHEXwp4fI5IBkEPwmIQxKqbS2hkDMynqBfhgrZ8EGstu7dAWzMX A1REUIiUYzuIc9szFNAeZbOZN1op3S6b/gJQhyL2Stwq6sL4EVKzlYX34J/JARWA0m2APDyoO6Jz 7PRw760OdDz9A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CoFAABbQ29udGVudF9UeXBlc10ueG1sUEsBAhQACgAAAAAAh07iQAAAAAAAAAAAAAAA AAYAAAAAAAAAAAAQAAAADAQAAF9yZWxzL1BLAQIUABQAAAAIAIdO4kCKFGY80QAAAJQBAAALAAAA AAAAAAEAIAAAADAEAABfcmVscy8ucmVsc1BLAQIUAAoAAAAAAIdO4kAAAAAAAAAAAAAAAAAEAAAA AAAAAAAAEAAAAAAAAABkcnMvUEsBAhQAFAAAAAgAh07iQLNJWO7QAAAABQEAAA8AAAAAAAAAAQAg AAAAIgAAAGRycy9kb3ducmV2LnhtbFBLAQIUABQAAAAIAIdO4kDzzfY5wQIAANYFAAAOAAAAAAAA AAEAIAAAAB8BAABkcnMvZTJvRG9jLnhtbFBLBQYAAAAABgAGAFkBAABSBgAAAAA= ">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7nxk/CAgAA1gUAAA4AAABkcnMvZTJvRG9jLnhtbK1UzY7TMBC+I/EO lu/ZJG22m1abrrrNBiFV7EoL4uw6ThPh2Jbt/iyIK7wBJy7cea59DsZO0+4uCCEgB2fsGc/PN+Pv /GLXcrRh2jRSZDg+iTBigsqyEasMv3ldBClGxhJREi4Fy/AdM/hi+vzZ+VZN2EDWkpdMI3AizGSr MlxbqyZhaGjNWmJOpGIClJXULbGw1auw1GQL3lseDqJoFG6lLpWWlBkDp3mnxFPvv6oYtddVZZhF PMOQm/Wr9uvSreH0nExWmqi6ofs0yF9k0ZJGQNCDq5xYgta6+clV21AtjazsCZVtKKuqoczXANXE 0ZNqbmuimK8FwDHqAJP5f27pq82NRk2Z4SFGgrTQovsvn++/fr//9gkNHTxbZSZgdavAzu4u5Q7a 3J8bOHRV7yrduj/Ug0APQN8dwGU7i6i7lA7SNAIVBV2/Af/h8brSxr5gskVOyLCG7nlQyWZhbGfa m7hoQhYN576DXKBthkfD08hfOGjAORfOFrIAH3up68yHcTS+Sq/SJEgGo6sgifI8mBXzJBgV8dlp Pszn8zz+6PzFyaRuypIJF6+fkjj5sy7s57Xr72FOjORN6dy5lIxeLedcow2BKS385xCG5B+YhY/T 8Gqo6klJ8SCJLgfjoBilZ0FSJKfB+CxKgygeX45HUTJO8uJxSYtGsH8v6RH6D5ImE9ewQ21LTui7 35bm0jmWBgj0jQvdHHbz5iS7W+4AIicuZXkHs6ll97iNokUDQRfE2Bui4TXDzAFD2WtYKi5hTuRe wqiW+v2vzp09tBe0GG2BHTIsgL4w4i8FPD5HJL2ge2HZC2LdziU0MgbmU9SLcEFb3ouVlu1boK2Z iwEqIihEyrDtxbntGApoj7LZzButlW5WdXcBqEMRuxC3irowfoTUbG3hPfhnckQFoHQbIA8P6p7o HDs93HurIx1PfwB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ArBQAAW0NvbnRlbnRfVHlwZXNdLnhtbFBLAQIUAAoAAAAAAIdO4kAAAAAAAAAAAAAA AAAGAAAAAAAAAAAAEAAAAA0EAABfcmVscy9QSwECFAAUAAAACACHTuJAihRmPNEAAACUAQAACwAA AAAAAAABACAAAAAxBAAAX3JlbHMvLnJlbHNQSwECFAAKAAAAAACHTuJAAAAAAAAAAAAAAAAABAAA AAAAAAAAABAAAAAAAAAAZHJzL1BLAQIUABQAAAAIAIdO4kCzSVju0AAAAAUBAAAPAAAAAAAAAAEA IAAAACIAAABkcnMvZG93bnJldi54bWxQSwECFAAUAAAACACHTuJA/ufGT8ICAADWBQAADgAAAAAA AAABACAAAAAfAQAAZHJzL2Uyb0RvYy54bWxQSwUGAAAAAAYABgBZAQAAUwYAAAAA ">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w3J9bBAgAA1gUAAA4AAABkcnMvZTJvRG9jLnhtbK1UzY7TMBC+I/EO lu/ZJN1sN602XXWbDUKq2JUK4uw6ThPh2Jbt/iyIK7wBJy7cea59DsZO0+4uCCEgB2fsGc/PN+Pv 4nLXcrRh2jRSZDg+iTBigsqyEasMv3ldBClGxhJREi4Fy/AdM/hy8vzZxVaN2UDWkpdMI3AizHir Mlxbq8ZhaGjNWmJOpGIClJXULbGw1auw1GQL3lseDqJoGG6lLpWWlBkDp3mnxBPvv6oYtTdVZZhF PMOQm/Wr9uvSreHkgoxXmqi6ofs0yF9k0ZJGQNCDq5xYgta6+clV21AtjazsCZVtKKuqoczXANXE 0ZNqFjVRzNcC4Bh1gMn8P7f01eZWo6bMcIKRIC206P7L5/uv3++/fUKJg2erzBisFgrs7O5K7qDN /bmBQ1f1rtKt+0M9CPQA9N0BXLaziLpL6SBNI1BR0PUb8B8erytt7AsmW+SEDGvongeVbObGdqa9 iYsmZNFw7jvIBdpmeHh6FvkLBw0458LZQhbgYy91nfkwikbX6XWaBMlgeB0kUZ4H02KWBMMiPj/L T/PZLI8/On9xMq6bsmTCxeunJE7+rAv7ee36e5gTI3lTOncuJaNXyxnXaENgSgv/OYQh+Qdm4eM0 vBqqelJSPEiiq8EoKIbpeZAUyVkwOo/SIIpHV6NhlIySvHhc0rwR7N9LeoT+g6TJ2DXsUNuSE/ru t6W5dI6lAQJ940I3h928OcnuljuAyIlLWd7BbGrZPW6jaNFA0Dkx9pZoeM0wc8BQ9gaWikuYE7mX MKqlfv+rc2cP7QUtRltghwwLoC+M+EsBj88RSS/oXlj2gli3MwmNjIH5FPUiXNCW92KlZfsWaGvq YoCKCAqRMmx7cWY7hgLao2w69UZrpZtV3V0A6lDEzsVCURfGj5Cari28B/9MjqgAlG4D5OFB3ROd Y6eHe291pOPJD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CoFAABbQ29udGVudF9UeXBlc10ueG1sUEsBAhQACgAAAAAAh07iQAAAAAAAAAAAAAAA AAYAAAAAAAAAAAAQAAAADAQAAF9yZWxzL1BLAQIUABQAAAAIAIdO4kCKFGY80QAAAJQBAAALAAAA AAAAAAEAIAAAADAEAABfcmVscy8ucmVsc1BLAQIUAAoAAAAAAIdO4kAAAAAAAAAAAAAAAAAEAAAA AAAAAAAAEAAAAAAAAABkcnMvUEsBAhQAFAAAAAgAh07iQLNJWO7QAAAABQEAAA8AAAAAAAAAAQAg AAAAIgAAAGRycy9kb3ducmV2LnhtbFBLAQIUABQAAAAIAIdO4kCcNyfWwQIAANYFAAAOAAAAAAAA AAEAIAAAAB8BAABkcnMvZTJvRG9jLnhtbFBLBQYAAAAABgAGAFkBAABSBgAAAAA= ">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460C1"/>
    <w:multiLevelType w:val="singleLevel"/>
    <w:tmpl w:val="9FF460C1"/>
    <w:lvl w:ilvl="0" w:tentative="0">
      <w:start w:val="1"/>
      <w:numFmt w:val="decimal"/>
      <w:lvlText w:val="%1."/>
      <w:lvlJc w:val="left"/>
      <w:pPr>
        <w:tabs>
          <w:tab w:val="left" w:pos="312"/>
        </w:tabs>
      </w:pPr>
    </w:lvl>
  </w:abstractNum>
  <w:abstractNum w:abstractNumId="1">
    <w:nsid w:val="ACB88310"/>
    <w:multiLevelType w:val="singleLevel"/>
    <w:tmpl w:val="ACB88310"/>
    <w:lvl w:ilvl="0" w:tentative="0">
      <w:start w:val="1"/>
      <w:numFmt w:val="decimal"/>
      <w:pStyle w:val="7"/>
      <w:lvlText w:val="%1."/>
      <w:lvlJc w:val="left"/>
      <w:pPr>
        <w:tabs>
          <w:tab w:val="left" w:pos="360"/>
        </w:tabs>
        <w:ind w:left="360" w:hanging="360"/>
      </w:pPr>
    </w:lvl>
  </w:abstractNum>
  <w:abstractNum w:abstractNumId="2">
    <w:nsid w:val="BBACF66F"/>
    <w:multiLevelType w:val="singleLevel"/>
    <w:tmpl w:val="BBACF66F"/>
    <w:lvl w:ilvl="0" w:tentative="0">
      <w:start w:val="2"/>
      <w:numFmt w:val="decimal"/>
      <w:suff w:val="nothing"/>
      <w:lvlText w:val="%1、"/>
      <w:lvlJc w:val="left"/>
    </w:lvl>
  </w:abstractNum>
  <w:abstractNum w:abstractNumId="3">
    <w:nsid w:val="BFC433C1"/>
    <w:multiLevelType w:val="singleLevel"/>
    <w:tmpl w:val="BFC433C1"/>
    <w:lvl w:ilvl="0" w:tentative="0">
      <w:start w:val="1"/>
      <w:numFmt w:val="decimal"/>
      <w:suff w:val="nothing"/>
      <w:lvlText w:val="%1、"/>
      <w:lvlJc w:val="left"/>
    </w:lvl>
  </w:abstractNum>
  <w:abstractNum w:abstractNumId="4">
    <w:nsid w:val="C286A7D3"/>
    <w:multiLevelType w:val="singleLevel"/>
    <w:tmpl w:val="C286A7D3"/>
    <w:lvl w:ilvl="0" w:tentative="0">
      <w:start w:val="1"/>
      <w:numFmt w:val="decimal"/>
      <w:suff w:val="nothing"/>
      <w:lvlText w:val="%1、"/>
      <w:lvlJc w:val="left"/>
    </w:lvl>
  </w:abstractNum>
  <w:abstractNum w:abstractNumId="5">
    <w:nsid w:val="CD97F65A"/>
    <w:multiLevelType w:val="singleLevel"/>
    <w:tmpl w:val="CD97F65A"/>
    <w:lvl w:ilvl="0" w:tentative="0">
      <w:start w:val="5"/>
      <w:numFmt w:val="chineseCounting"/>
      <w:suff w:val="space"/>
      <w:lvlText w:val="第%1章"/>
      <w:lvlJc w:val="left"/>
      <w:rPr>
        <w:rFonts w:hint="eastAsia"/>
      </w:rPr>
    </w:lvl>
  </w:abstractNum>
  <w:abstractNum w:abstractNumId="6">
    <w:nsid w:val="07E7F640"/>
    <w:multiLevelType w:val="singleLevel"/>
    <w:tmpl w:val="07E7F640"/>
    <w:lvl w:ilvl="0" w:tentative="0">
      <w:start w:val="1"/>
      <w:numFmt w:val="decimal"/>
      <w:suff w:val="nothing"/>
      <w:lvlText w:val="%1、"/>
      <w:lvlJc w:val="left"/>
    </w:lvl>
  </w:abstractNum>
  <w:abstractNum w:abstractNumId="7">
    <w:nsid w:val="27E24E7A"/>
    <w:multiLevelType w:val="multilevel"/>
    <w:tmpl w:val="27E24E7A"/>
    <w:lvl w:ilvl="0" w:tentative="0">
      <w:start w:val="1"/>
      <w:numFmt w:val="japaneseCounting"/>
      <w:lvlText w:val="%1、"/>
      <w:lvlJc w:val="left"/>
      <w:pPr>
        <w:ind w:left="600" w:hanging="600"/>
      </w:pPr>
      <w:rPr>
        <w:rFonts w:hint="default"/>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E87392"/>
    <w:multiLevelType w:val="singleLevel"/>
    <w:tmpl w:val="59E87392"/>
    <w:lvl w:ilvl="0" w:tentative="0">
      <w:start w:val="1"/>
      <w:numFmt w:val="decimal"/>
      <w:lvlText w:val="%1."/>
      <w:lvlJc w:val="left"/>
      <w:pPr>
        <w:tabs>
          <w:tab w:val="left" w:pos="312"/>
        </w:tabs>
      </w:pPr>
    </w:lvl>
  </w:abstractNum>
  <w:abstractNum w:abstractNumId="9">
    <w:nsid w:val="7CDC5E58"/>
    <w:multiLevelType w:val="multilevel"/>
    <w:tmpl w:val="7CDC5E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F99ED2C"/>
    <w:multiLevelType w:val="singleLevel"/>
    <w:tmpl w:val="7F99ED2C"/>
    <w:lvl w:ilvl="0" w:tentative="0">
      <w:start w:val="1"/>
      <w:numFmt w:val="decimal"/>
      <w:suff w:val="nothing"/>
      <w:lvlText w:val="%1、"/>
      <w:lvlJc w:val="left"/>
    </w:lvl>
  </w:abstractNum>
  <w:num w:numId="1">
    <w:abstractNumId w:val="1"/>
  </w:num>
  <w:num w:numId="2">
    <w:abstractNumId w:val="7"/>
  </w:num>
  <w:num w:numId="3">
    <w:abstractNumId w:val="3"/>
  </w:num>
  <w:num w:numId="4">
    <w:abstractNumId w:val="10"/>
  </w:num>
  <w:num w:numId="5">
    <w:abstractNumId w:val="9"/>
  </w:num>
  <w:num w:numId="6">
    <w:abstractNumId w:val="0"/>
  </w:num>
  <w:num w:numId="7">
    <w:abstractNumId w:val="6"/>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CE9"/>
    <w:rsid w:val="00053D72"/>
    <w:rsid w:val="00061043"/>
    <w:rsid w:val="000A1897"/>
    <w:rsid w:val="000A33AA"/>
    <w:rsid w:val="000C17E8"/>
    <w:rsid w:val="000F09BA"/>
    <w:rsid w:val="000F3BA4"/>
    <w:rsid w:val="00140084"/>
    <w:rsid w:val="00145805"/>
    <w:rsid w:val="00155312"/>
    <w:rsid w:val="00172A27"/>
    <w:rsid w:val="00190182"/>
    <w:rsid w:val="0019236F"/>
    <w:rsid w:val="00193198"/>
    <w:rsid w:val="001A13B9"/>
    <w:rsid w:val="00213308"/>
    <w:rsid w:val="002276BD"/>
    <w:rsid w:val="0027608E"/>
    <w:rsid w:val="002A2516"/>
    <w:rsid w:val="002C7605"/>
    <w:rsid w:val="0030690C"/>
    <w:rsid w:val="003262F2"/>
    <w:rsid w:val="00340E97"/>
    <w:rsid w:val="00344F57"/>
    <w:rsid w:val="003B742B"/>
    <w:rsid w:val="003C02EB"/>
    <w:rsid w:val="003E2C78"/>
    <w:rsid w:val="004C5046"/>
    <w:rsid w:val="00511DEC"/>
    <w:rsid w:val="0055032F"/>
    <w:rsid w:val="00557865"/>
    <w:rsid w:val="005748F7"/>
    <w:rsid w:val="00584788"/>
    <w:rsid w:val="00590B28"/>
    <w:rsid w:val="00591E33"/>
    <w:rsid w:val="00593CBD"/>
    <w:rsid w:val="005E51C3"/>
    <w:rsid w:val="00623344"/>
    <w:rsid w:val="00631D6C"/>
    <w:rsid w:val="00650DD8"/>
    <w:rsid w:val="00663723"/>
    <w:rsid w:val="00664F28"/>
    <w:rsid w:val="006A0466"/>
    <w:rsid w:val="006B7405"/>
    <w:rsid w:val="006D7BC3"/>
    <w:rsid w:val="006E64C7"/>
    <w:rsid w:val="007003D2"/>
    <w:rsid w:val="00724B72"/>
    <w:rsid w:val="0074627B"/>
    <w:rsid w:val="00761157"/>
    <w:rsid w:val="00780301"/>
    <w:rsid w:val="007B0B1B"/>
    <w:rsid w:val="007C73CB"/>
    <w:rsid w:val="007D149F"/>
    <w:rsid w:val="00816A1F"/>
    <w:rsid w:val="0085369E"/>
    <w:rsid w:val="0087153F"/>
    <w:rsid w:val="008761DE"/>
    <w:rsid w:val="008B0B7F"/>
    <w:rsid w:val="008C4BD8"/>
    <w:rsid w:val="008E579A"/>
    <w:rsid w:val="0090693B"/>
    <w:rsid w:val="00926511"/>
    <w:rsid w:val="009876C9"/>
    <w:rsid w:val="009A741A"/>
    <w:rsid w:val="009B3F24"/>
    <w:rsid w:val="009F5D16"/>
    <w:rsid w:val="009F68BF"/>
    <w:rsid w:val="00A05901"/>
    <w:rsid w:val="00A2392F"/>
    <w:rsid w:val="00A55D92"/>
    <w:rsid w:val="00A66BE3"/>
    <w:rsid w:val="00A70857"/>
    <w:rsid w:val="00AC0159"/>
    <w:rsid w:val="00B02880"/>
    <w:rsid w:val="00B07D80"/>
    <w:rsid w:val="00B25369"/>
    <w:rsid w:val="00B27955"/>
    <w:rsid w:val="00B557ED"/>
    <w:rsid w:val="00BC53A3"/>
    <w:rsid w:val="00BF4441"/>
    <w:rsid w:val="00C3028B"/>
    <w:rsid w:val="00C4403C"/>
    <w:rsid w:val="00C5539F"/>
    <w:rsid w:val="00C72CDF"/>
    <w:rsid w:val="00C75541"/>
    <w:rsid w:val="00CF2BA9"/>
    <w:rsid w:val="00CF7D38"/>
    <w:rsid w:val="00D05849"/>
    <w:rsid w:val="00D62B52"/>
    <w:rsid w:val="00DA419C"/>
    <w:rsid w:val="00E020CE"/>
    <w:rsid w:val="00E063AA"/>
    <w:rsid w:val="00E20FFE"/>
    <w:rsid w:val="00E2102D"/>
    <w:rsid w:val="00E542AD"/>
    <w:rsid w:val="00E56FA9"/>
    <w:rsid w:val="00E65A21"/>
    <w:rsid w:val="00E729E8"/>
    <w:rsid w:val="00E95823"/>
    <w:rsid w:val="00EA5E4C"/>
    <w:rsid w:val="00EB2D3C"/>
    <w:rsid w:val="00EC592D"/>
    <w:rsid w:val="00EE1A2B"/>
    <w:rsid w:val="00F16269"/>
    <w:rsid w:val="00F94A40"/>
    <w:rsid w:val="00FD5B16"/>
    <w:rsid w:val="00FE31BA"/>
    <w:rsid w:val="029A54B1"/>
    <w:rsid w:val="02B732EB"/>
    <w:rsid w:val="03456BAD"/>
    <w:rsid w:val="03757DE9"/>
    <w:rsid w:val="03A42762"/>
    <w:rsid w:val="03BE0AC1"/>
    <w:rsid w:val="040E19B3"/>
    <w:rsid w:val="046A5566"/>
    <w:rsid w:val="04B55C1B"/>
    <w:rsid w:val="051517DF"/>
    <w:rsid w:val="05C0155F"/>
    <w:rsid w:val="061F2C99"/>
    <w:rsid w:val="068174A2"/>
    <w:rsid w:val="06950A95"/>
    <w:rsid w:val="06A4239F"/>
    <w:rsid w:val="06E73ED5"/>
    <w:rsid w:val="07007680"/>
    <w:rsid w:val="07A32DF5"/>
    <w:rsid w:val="07F63B11"/>
    <w:rsid w:val="09AE1E9D"/>
    <w:rsid w:val="09DD05F3"/>
    <w:rsid w:val="09EF1106"/>
    <w:rsid w:val="0A7079FE"/>
    <w:rsid w:val="0B0C59B6"/>
    <w:rsid w:val="0B2906A7"/>
    <w:rsid w:val="0B5230AC"/>
    <w:rsid w:val="0BC371D9"/>
    <w:rsid w:val="0CA8075F"/>
    <w:rsid w:val="0D7F2F8D"/>
    <w:rsid w:val="0DB2634C"/>
    <w:rsid w:val="0DBA63D4"/>
    <w:rsid w:val="0DBD6D3D"/>
    <w:rsid w:val="0DC03C7C"/>
    <w:rsid w:val="0E33644A"/>
    <w:rsid w:val="0E4617B3"/>
    <w:rsid w:val="0E4F7353"/>
    <w:rsid w:val="0E6536B5"/>
    <w:rsid w:val="0F147EAE"/>
    <w:rsid w:val="107D5869"/>
    <w:rsid w:val="10EE37BD"/>
    <w:rsid w:val="10F7591E"/>
    <w:rsid w:val="11243F79"/>
    <w:rsid w:val="1135339A"/>
    <w:rsid w:val="11666FDC"/>
    <w:rsid w:val="120F3777"/>
    <w:rsid w:val="126F33C4"/>
    <w:rsid w:val="14682278"/>
    <w:rsid w:val="14E70A20"/>
    <w:rsid w:val="14FD19A9"/>
    <w:rsid w:val="15432350"/>
    <w:rsid w:val="15963191"/>
    <w:rsid w:val="159A4288"/>
    <w:rsid w:val="15FD25B8"/>
    <w:rsid w:val="16000C1D"/>
    <w:rsid w:val="16814756"/>
    <w:rsid w:val="169F0608"/>
    <w:rsid w:val="16AD180C"/>
    <w:rsid w:val="17DD745B"/>
    <w:rsid w:val="198D0374"/>
    <w:rsid w:val="1A2311EA"/>
    <w:rsid w:val="1B1D1C84"/>
    <w:rsid w:val="1B6D6C72"/>
    <w:rsid w:val="1C2477D3"/>
    <w:rsid w:val="1C9E55C1"/>
    <w:rsid w:val="1CA04755"/>
    <w:rsid w:val="1CBD2254"/>
    <w:rsid w:val="1CC2498F"/>
    <w:rsid w:val="1CEB00CF"/>
    <w:rsid w:val="1CF53423"/>
    <w:rsid w:val="1D1C6CA8"/>
    <w:rsid w:val="1DEE6F4B"/>
    <w:rsid w:val="1E4B72C5"/>
    <w:rsid w:val="1F073DE3"/>
    <w:rsid w:val="1F6E2B88"/>
    <w:rsid w:val="20977937"/>
    <w:rsid w:val="209B56DA"/>
    <w:rsid w:val="210C784F"/>
    <w:rsid w:val="212C5D9B"/>
    <w:rsid w:val="21FC1A8C"/>
    <w:rsid w:val="220F7DAA"/>
    <w:rsid w:val="226A1D21"/>
    <w:rsid w:val="22702766"/>
    <w:rsid w:val="22860006"/>
    <w:rsid w:val="228B56A0"/>
    <w:rsid w:val="2340478F"/>
    <w:rsid w:val="235A7C7E"/>
    <w:rsid w:val="2385020E"/>
    <w:rsid w:val="238E664E"/>
    <w:rsid w:val="23A92B97"/>
    <w:rsid w:val="23AF0BC5"/>
    <w:rsid w:val="23D04EAD"/>
    <w:rsid w:val="243D651F"/>
    <w:rsid w:val="253F17ED"/>
    <w:rsid w:val="258402C5"/>
    <w:rsid w:val="25A1534E"/>
    <w:rsid w:val="25A30506"/>
    <w:rsid w:val="25ED2E69"/>
    <w:rsid w:val="26584937"/>
    <w:rsid w:val="26B73EBF"/>
    <w:rsid w:val="26D26ADC"/>
    <w:rsid w:val="26DF5ECE"/>
    <w:rsid w:val="27A13EB4"/>
    <w:rsid w:val="27B45425"/>
    <w:rsid w:val="27FC3A98"/>
    <w:rsid w:val="2855305A"/>
    <w:rsid w:val="287D1205"/>
    <w:rsid w:val="28AF4426"/>
    <w:rsid w:val="28CB680F"/>
    <w:rsid w:val="28D051FF"/>
    <w:rsid w:val="28EF787B"/>
    <w:rsid w:val="295924D7"/>
    <w:rsid w:val="297A07C6"/>
    <w:rsid w:val="29932662"/>
    <w:rsid w:val="29D73ADE"/>
    <w:rsid w:val="29E0685D"/>
    <w:rsid w:val="2A290B4F"/>
    <w:rsid w:val="2A4B4B60"/>
    <w:rsid w:val="2AD82195"/>
    <w:rsid w:val="2AF744CF"/>
    <w:rsid w:val="2B683391"/>
    <w:rsid w:val="2B7617EE"/>
    <w:rsid w:val="2B896243"/>
    <w:rsid w:val="2C1849B1"/>
    <w:rsid w:val="2CB978AB"/>
    <w:rsid w:val="2CE92017"/>
    <w:rsid w:val="2CEF01A6"/>
    <w:rsid w:val="2D7D310C"/>
    <w:rsid w:val="2DBD53C4"/>
    <w:rsid w:val="2E3B575F"/>
    <w:rsid w:val="2EC4282E"/>
    <w:rsid w:val="2EF46D35"/>
    <w:rsid w:val="2F4D5E58"/>
    <w:rsid w:val="2FA339F3"/>
    <w:rsid w:val="301A058D"/>
    <w:rsid w:val="312A5A19"/>
    <w:rsid w:val="319179F1"/>
    <w:rsid w:val="31DF3175"/>
    <w:rsid w:val="326C6A5E"/>
    <w:rsid w:val="328B3E8B"/>
    <w:rsid w:val="32C84EC0"/>
    <w:rsid w:val="330A3BB6"/>
    <w:rsid w:val="33347ABA"/>
    <w:rsid w:val="333D62B2"/>
    <w:rsid w:val="33790950"/>
    <w:rsid w:val="33F37373"/>
    <w:rsid w:val="346726D9"/>
    <w:rsid w:val="34CA59C1"/>
    <w:rsid w:val="36D74709"/>
    <w:rsid w:val="37472B91"/>
    <w:rsid w:val="376857B0"/>
    <w:rsid w:val="38850960"/>
    <w:rsid w:val="388D2651"/>
    <w:rsid w:val="38FF6DB2"/>
    <w:rsid w:val="39EF7920"/>
    <w:rsid w:val="3A0D1A55"/>
    <w:rsid w:val="3A3146BC"/>
    <w:rsid w:val="3AD86AEC"/>
    <w:rsid w:val="3B3946F7"/>
    <w:rsid w:val="3B3F7A4D"/>
    <w:rsid w:val="3B9C0929"/>
    <w:rsid w:val="3C436F20"/>
    <w:rsid w:val="3C4508E4"/>
    <w:rsid w:val="3C5D661F"/>
    <w:rsid w:val="3CB85A85"/>
    <w:rsid w:val="3D3F1D2D"/>
    <w:rsid w:val="3D9E3F2C"/>
    <w:rsid w:val="3DA7278E"/>
    <w:rsid w:val="3DF73DBD"/>
    <w:rsid w:val="3E6A3953"/>
    <w:rsid w:val="400132D4"/>
    <w:rsid w:val="403F6901"/>
    <w:rsid w:val="406B70D4"/>
    <w:rsid w:val="413735D0"/>
    <w:rsid w:val="41AB4EBD"/>
    <w:rsid w:val="41C019B4"/>
    <w:rsid w:val="41C56A89"/>
    <w:rsid w:val="42325F68"/>
    <w:rsid w:val="42F573AE"/>
    <w:rsid w:val="430260F6"/>
    <w:rsid w:val="43C65266"/>
    <w:rsid w:val="43E13DD9"/>
    <w:rsid w:val="450D3722"/>
    <w:rsid w:val="4525159B"/>
    <w:rsid w:val="455370E8"/>
    <w:rsid w:val="457B5346"/>
    <w:rsid w:val="46580298"/>
    <w:rsid w:val="46715559"/>
    <w:rsid w:val="46987540"/>
    <w:rsid w:val="46B95AA5"/>
    <w:rsid w:val="47C71009"/>
    <w:rsid w:val="480923A8"/>
    <w:rsid w:val="481177FD"/>
    <w:rsid w:val="4A050BD8"/>
    <w:rsid w:val="4A333C0D"/>
    <w:rsid w:val="4A743EBF"/>
    <w:rsid w:val="4A8D2A11"/>
    <w:rsid w:val="4AAA50E0"/>
    <w:rsid w:val="4BC655DB"/>
    <w:rsid w:val="4BEF2CB1"/>
    <w:rsid w:val="4BF73441"/>
    <w:rsid w:val="4CC21A70"/>
    <w:rsid w:val="4CF64FF1"/>
    <w:rsid w:val="4D3739C4"/>
    <w:rsid w:val="4DE409B1"/>
    <w:rsid w:val="4DFE7AC0"/>
    <w:rsid w:val="4E3C4F14"/>
    <w:rsid w:val="4E3E2350"/>
    <w:rsid w:val="4E8553E1"/>
    <w:rsid w:val="4F1543DE"/>
    <w:rsid w:val="4F2373D6"/>
    <w:rsid w:val="4F612C8A"/>
    <w:rsid w:val="4FCF430E"/>
    <w:rsid w:val="50756F88"/>
    <w:rsid w:val="509331EF"/>
    <w:rsid w:val="50C0226B"/>
    <w:rsid w:val="50C73EAC"/>
    <w:rsid w:val="50EA186E"/>
    <w:rsid w:val="50EB7432"/>
    <w:rsid w:val="50F900BC"/>
    <w:rsid w:val="51E4107D"/>
    <w:rsid w:val="520E2770"/>
    <w:rsid w:val="52A054EA"/>
    <w:rsid w:val="52D46CC5"/>
    <w:rsid w:val="5498285B"/>
    <w:rsid w:val="54C069DD"/>
    <w:rsid w:val="555C1ED1"/>
    <w:rsid w:val="557A02DA"/>
    <w:rsid w:val="56046CEF"/>
    <w:rsid w:val="578E107C"/>
    <w:rsid w:val="57AA5A22"/>
    <w:rsid w:val="57ED4078"/>
    <w:rsid w:val="5825132F"/>
    <w:rsid w:val="58326C4C"/>
    <w:rsid w:val="58B26E62"/>
    <w:rsid w:val="5A2825EE"/>
    <w:rsid w:val="5A633F95"/>
    <w:rsid w:val="5AF32794"/>
    <w:rsid w:val="5D390E87"/>
    <w:rsid w:val="5D4D3726"/>
    <w:rsid w:val="5DDB16BB"/>
    <w:rsid w:val="5DE226E7"/>
    <w:rsid w:val="5F411A11"/>
    <w:rsid w:val="5F850BA5"/>
    <w:rsid w:val="5FE77DBC"/>
    <w:rsid w:val="602C7507"/>
    <w:rsid w:val="607231E1"/>
    <w:rsid w:val="60A51686"/>
    <w:rsid w:val="60C60E11"/>
    <w:rsid w:val="610B267D"/>
    <w:rsid w:val="61D16D11"/>
    <w:rsid w:val="622D45BA"/>
    <w:rsid w:val="62846BBE"/>
    <w:rsid w:val="63006469"/>
    <w:rsid w:val="630C7DB2"/>
    <w:rsid w:val="635F60A3"/>
    <w:rsid w:val="6506162B"/>
    <w:rsid w:val="65191F2B"/>
    <w:rsid w:val="65AE47E6"/>
    <w:rsid w:val="662B4C28"/>
    <w:rsid w:val="66CB50D0"/>
    <w:rsid w:val="67A14C57"/>
    <w:rsid w:val="67D34D1A"/>
    <w:rsid w:val="67E75B8E"/>
    <w:rsid w:val="68B342A6"/>
    <w:rsid w:val="68CE0E58"/>
    <w:rsid w:val="68EB4D66"/>
    <w:rsid w:val="693332EF"/>
    <w:rsid w:val="699E093C"/>
    <w:rsid w:val="69AB7AEA"/>
    <w:rsid w:val="69AE14BD"/>
    <w:rsid w:val="69D51D04"/>
    <w:rsid w:val="6B2F596E"/>
    <w:rsid w:val="6B386002"/>
    <w:rsid w:val="6B441CDD"/>
    <w:rsid w:val="6BB74AD1"/>
    <w:rsid w:val="6BF9032A"/>
    <w:rsid w:val="6C256BB4"/>
    <w:rsid w:val="6C4A7B01"/>
    <w:rsid w:val="6C7C5218"/>
    <w:rsid w:val="6D806B99"/>
    <w:rsid w:val="6DA75954"/>
    <w:rsid w:val="6DD37814"/>
    <w:rsid w:val="6E0011BB"/>
    <w:rsid w:val="6F57383C"/>
    <w:rsid w:val="6F587630"/>
    <w:rsid w:val="6F5C64F9"/>
    <w:rsid w:val="6F6B7CF4"/>
    <w:rsid w:val="6F894C77"/>
    <w:rsid w:val="6FD173E1"/>
    <w:rsid w:val="700A16FC"/>
    <w:rsid w:val="705F03AB"/>
    <w:rsid w:val="70B21561"/>
    <w:rsid w:val="71DF2DBB"/>
    <w:rsid w:val="725D5EA8"/>
    <w:rsid w:val="72695462"/>
    <w:rsid w:val="72D22B50"/>
    <w:rsid w:val="734019B4"/>
    <w:rsid w:val="73743379"/>
    <w:rsid w:val="73B62AC6"/>
    <w:rsid w:val="73BA4144"/>
    <w:rsid w:val="74303917"/>
    <w:rsid w:val="743072B7"/>
    <w:rsid w:val="74A9424B"/>
    <w:rsid w:val="74CD1FC4"/>
    <w:rsid w:val="74E42726"/>
    <w:rsid w:val="75433DEE"/>
    <w:rsid w:val="756724A1"/>
    <w:rsid w:val="75D278BD"/>
    <w:rsid w:val="76AD63AB"/>
    <w:rsid w:val="77073BE3"/>
    <w:rsid w:val="77157B5F"/>
    <w:rsid w:val="778870C3"/>
    <w:rsid w:val="77AC39A6"/>
    <w:rsid w:val="77FB6090"/>
    <w:rsid w:val="78A56279"/>
    <w:rsid w:val="792E3828"/>
    <w:rsid w:val="798E70C7"/>
    <w:rsid w:val="79BB32ED"/>
    <w:rsid w:val="79D135F0"/>
    <w:rsid w:val="7A1B0D7B"/>
    <w:rsid w:val="7AC2568E"/>
    <w:rsid w:val="7B356DD7"/>
    <w:rsid w:val="7B504A02"/>
    <w:rsid w:val="7B913679"/>
    <w:rsid w:val="7C2D3C1A"/>
    <w:rsid w:val="7C4F186E"/>
    <w:rsid w:val="7C9339AA"/>
    <w:rsid w:val="7D4177FC"/>
    <w:rsid w:val="7D920B4D"/>
    <w:rsid w:val="7E1F2740"/>
    <w:rsid w:val="7E786CDB"/>
    <w:rsid w:val="7EEE4B82"/>
    <w:rsid w:val="7F152F6C"/>
    <w:rsid w:val="7F156ED5"/>
    <w:rsid w:val="7FAE0539"/>
    <w:rsid w:val="7FDB47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Calibri" w:hAnsi="Calibri" w:eastAsia="宋体" w:cs="Times New Roman"/>
      <w:sz w:val="24"/>
      <w:lang w:val="en-US" w:eastAsia="zh-CN" w:bidi="ar-SA"/>
    </w:rPr>
  </w:style>
  <w:style w:type="paragraph" w:styleId="3">
    <w:name w:val="heading 1"/>
    <w:basedOn w:val="1"/>
    <w:next w:val="1"/>
    <w:link w:val="67"/>
    <w:qFormat/>
    <w:uiPriority w:val="0"/>
    <w:pPr>
      <w:pageBreakBefore/>
      <w:tabs>
        <w:tab w:val="left" w:pos="360"/>
      </w:tabs>
      <w:spacing w:before="480" w:after="240"/>
      <w:jc w:val="center"/>
      <w:outlineLvl w:val="0"/>
    </w:pPr>
    <w:rPr>
      <w:rFonts w:eastAsia="黑体"/>
      <w:snapToGrid w:val="0"/>
      <w:sz w:val="36"/>
    </w:rPr>
  </w:style>
  <w:style w:type="paragraph" w:styleId="4">
    <w:name w:val="heading 2"/>
    <w:basedOn w:val="1"/>
    <w:next w:val="1"/>
    <w:link w:val="6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8"/>
    <w:qFormat/>
    <w:uiPriority w:val="0"/>
    <w:pPr>
      <w:keepLines/>
      <w:widowControl/>
      <w:tabs>
        <w:tab w:val="left" w:pos="709"/>
      </w:tabs>
      <w:spacing w:before="60"/>
      <w:ind w:left="709" w:hanging="709"/>
      <w:jc w:val="left"/>
      <w:outlineLvl w:val="2"/>
    </w:pPr>
    <w:rPr>
      <w:rFonts w:eastAsia="黑体"/>
      <w:b/>
    </w:rPr>
  </w:style>
  <w:style w:type="paragraph" w:styleId="6">
    <w:name w:val="heading 4"/>
    <w:basedOn w:val="1"/>
    <w:next w:val="1"/>
    <w:link w:val="56"/>
    <w:qFormat/>
    <w:uiPriority w:val="0"/>
    <w:pPr>
      <w:keepNext/>
      <w:keepLines/>
      <w:spacing w:before="280" w:after="290" w:line="376" w:lineRule="auto"/>
      <w:outlineLvl w:val="3"/>
    </w:pPr>
    <w:rPr>
      <w:rFonts w:ascii="Arial" w:hAnsi="Arial" w:eastAsia="黑体"/>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64"/>
    <w:unhideWhenUsed/>
    <w:qFormat/>
    <w:uiPriority w:val="0"/>
    <w:pPr>
      <w:spacing w:after="120"/>
      <w:ind w:left="420" w:leftChars="200"/>
    </w:pPr>
  </w:style>
  <w:style w:type="paragraph" w:styleId="7">
    <w:name w:val="List Number"/>
    <w:basedOn w:val="1"/>
    <w:unhideWhenUsed/>
    <w:qFormat/>
    <w:uiPriority w:val="99"/>
    <w:pPr>
      <w:numPr>
        <w:ilvl w:val="0"/>
        <w:numId w:val="1"/>
      </w:numPr>
    </w:pPr>
  </w:style>
  <w:style w:type="paragraph" w:styleId="8">
    <w:name w:val="Normal Indent"/>
    <w:basedOn w:val="1"/>
    <w:link w:val="83"/>
    <w:qFormat/>
    <w:uiPriority w:val="99"/>
    <w:pPr>
      <w:ind w:firstLine="488"/>
    </w:pPr>
    <w:rPr>
      <w:rFonts w:asciiTheme="minorHAnsi" w:hAnsiTheme="minorHAnsi" w:cstheme="minorBidi"/>
      <w:kern w:val="2"/>
      <w:szCs w:val="22"/>
    </w:rPr>
  </w:style>
  <w:style w:type="paragraph" w:styleId="9">
    <w:name w:val="caption"/>
    <w:basedOn w:val="1"/>
    <w:next w:val="1"/>
    <w:qFormat/>
    <w:uiPriority w:val="0"/>
    <w:pPr>
      <w:spacing w:before="152" w:after="160"/>
    </w:pPr>
    <w:rPr>
      <w:rFonts w:ascii="Arial" w:hAnsi="Arial" w:eastAsia="黑体" w:cs="Arial"/>
      <w:sz w:val="20"/>
    </w:rPr>
  </w:style>
  <w:style w:type="paragraph" w:styleId="10">
    <w:name w:val="Document Map"/>
    <w:basedOn w:val="1"/>
    <w:link w:val="86"/>
    <w:qFormat/>
    <w:uiPriority w:val="0"/>
    <w:pPr>
      <w:shd w:val="clear" w:color="auto" w:fill="000080"/>
    </w:pPr>
  </w:style>
  <w:style w:type="paragraph" w:styleId="11">
    <w:name w:val="annotation text"/>
    <w:basedOn w:val="1"/>
    <w:link w:val="94"/>
    <w:qFormat/>
    <w:uiPriority w:val="0"/>
    <w:pPr>
      <w:jc w:val="left"/>
    </w:pPr>
  </w:style>
  <w:style w:type="paragraph" w:styleId="12">
    <w:name w:val="Body Text"/>
    <w:basedOn w:val="1"/>
    <w:link w:val="45"/>
    <w:qFormat/>
    <w:uiPriority w:val="0"/>
    <w:pPr>
      <w:spacing w:after="120"/>
    </w:pPr>
  </w:style>
  <w:style w:type="paragraph" w:styleId="13">
    <w:name w:val="Plain Text"/>
    <w:basedOn w:val="1"/>
    <w:link w:val="49"/>
    <w:qFormat/>
    <w:uiPriority w:val="0"/>
    <w:pPr>
      <w:autoSpaceDE/>
      <w:autoSpaceDN/>
      <w:adjustRightInd/>
      <w:textAlignment w:val="auto"/>
    </w:pPr>
    <w:rPr>
      <w:rFonts w:ascii="宋体" w:hAnsi="Courier New" w:cstheme="minorBidi"/>
      <w:kern w:val="2"/>
      <w:sz w:val="21"/>
      <w:szCs w:val="22"/>
    </w:rPr>
  </w:style>
  <w:style w:type="paragraph" w:styleId="14">
    <w:name w:val="Date"/>
    <w:basedOn w:val="1"/>
    <w:next w:val="1"/>
    <w:link w:val="57"/>
    <w:qFormat/>
    <w:uiPriority w:val="0"/>
    <w:pPr>
      <w:autoSpaceDE/>
      <w:autoSpaceDN/>
      <w:adjustRightInd/>
      <w:textAlignment w:val="auto"/>
    </w:pPr>
    <w:rPr>
      <w:kern w:val="2"/>
    </w:rPr>
  </w:style>
  <w:style w:type="paragraph" w:styleId="15">
    <w:name w:val="Body Text Indent 2"/>
    <w:basedOn w:val="1"/>
    <w:link w:val="60"/>
    <w:unhideWhenUsed/>
    <w:qFormat/>
    <w:uiPriority w:val="0"/>
    <w:pPr>
      <w:spacing w:after="120" w:line="480" w:lineRule="auto"/>
      <w:ind w:left="420" w:leftChars="200"/>
    </w:pPr>
  </w:style>
  <w:style w:type="paragraph" w:styleId="16">
    <w:name w:val="Balloon Text"/>
    <w:basedOn w:val="1"/>
    <w:link w:val="95"/>
    <w:qFormat/>
    <w:uiPriority w:val="0"/>
    <w:rPr>
      <w:sz w:val="18"/>
      <w:szCs w:val="18"/>
    </w:rPr>
  </w:style>
  <w:style w:type="paragraph" w:styleId="17">
    <w:name w:val="footer"/>
    <w:basedOn w:val="1"/>
    <w:link w:val="54"/>
    <w:unhideWhenUsed/>
    <w:qFormat/>
    <w:uiPriority w:val="0"/>
    <w:pPr>
      <w:tabs>
        <w:tab w:val="center" w:pos="4153"/>
        <w:tab w:val="right" w:pos="8306"/>
      </w:tabs>
      <w:snapToGrid w:val="0"/>
      <w:jc w:val="left"/>
    </w:pPr>
    <w:rPr>
      <w:sz w:val="18"/>
      <w:szCs w:val="18"/>
    </w:rPr>
  </w:style>
  <w:style w:type="paragraph" w:styleId="18">
    <w:name w:val="header"/>
    <w:basedOn w:val="1"/>
    <w:link w:val="53"/>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link w:val="77"/>
    <w:unhideWhenUsed/>
    <w:qFormat/>
    <w:uiPriority w:val="0"/>
    <w:rPr>
      <w:rFonts w:asciiTheme="minorHAnsi" w:hAnsiTheme="minorHAnsi" w:eastAsiaTheme="minorEastAsia" w:cstheme="minorBidi"/>
      <w:kern w:val="2"/>
      <w:sz w:val="28"/>
      <w:szCs w:val="22"/>
    </w:rPr>
  </w:style>
  <w:style w:type="paragraph" w:styleId="20">
    <w:name w:val="Body Text Indent 3"/>
    <w:basedOn w:val="1"/>
    <w:qFormat/>
    <w:uiPriority w:val="0"/>
    <w:pPr>
      <w:spacing w:after="120"/>
      <w:ind w:left="420" w:leftChars="200"/>
    </w:pPr>
    <w:rPr>
      <w:sz w:val="16"/>
      <w:szCs w:val="16"/>
    </w:rPr>
  </w:style>
  <w:style w:type="paragraph" w:styleId="21">
    <w:name w:val="Body Text 2"/>
    <w:basedOn w:val="1"/>
    <w:link w:val="104"/>
    <w:qFormat/>
    <w:uiPriority w:val="0"/>
    <w:pPr>
      <w:autoSpaceDE/>
      <w:autoSpaceDN/>
      <w:adjustRightInd/>
      <w:textAlignment w:val="auto"/>
    </w:pPr>
    <w:rPr>
      <w:rFonts w:ascii="楷体_GB2312" w:eastAsia="黑体"/>
      <w:b/>
      <w:kern w:val="2"/>
      <w:sz w:val="52"/>
      <w:szCs w:val="52"/>
    </w:rPr>
  </w:style>
  <w:style w:type="paragraph" w:styleId="22">
    <w:name w:val="HTML Preformatted"/>
    <w:basedOn w:val="1"/>
    <w:qFormat/>
    <w:uiPriority w:val="0"/>
    <w:rPr>
      <w:rFonts w:ascii="Courier New" w:hAnsi="Courier New"/>
      <w:sz w:val="20"/>
    </w:rPr>
  </w:style>
  <w:style w:type="paragraph" w:styleId="23">
    <w:name w:val="Normal (Web)"/>
    <w:basedOn w:val="1"/>
    <w:qFormat/>
    <w:uiPriority w:val="99"/>
    <w:pPr>
      <w:widowControl/>
      <w:autoSpaceDE/>
      <w:autoSpaceDN/>
      <w:adjustRightInd/>
      <w:spacing w:before="100" w:beforeAutospacing="1" w:after="100" w:afterAutospacing="1"/>
      <w:jc w:val="left"/>
      <w:textAlignment w:val="auto"/>
    </w:pPr>
    <w:rPr>
      <w:rFonts w:ascii="宋体" w:hAnsi="宋体"/>
      <w:szCs w:val="24"/>
    </w:rPr>
  </w:style>
  <w:style w:type="paragraph" w:styleId="24">
    <w:name w:val="Title"/>
    <w:basedOn w:val="1"/>
    <w:link w:val="58"/>
    <w:qFormat/>
    <w:uiPriority w:val="0"/>
    <w:pPr>
      <w:spacing w:before="240" w:after="60"/>
      <w:jc w:val="center"/>
      <w:outlineLvl w:val="0"/>
    </w:pPr>
    <w:rPr>
      <w:b/>
      <w:sz w:val="32"/>
    </w:rPr>
  </w:style>
  <w:style w:type="paragraph" w:styleId="25">
    <w:name w:val="annotation subject"/>
    <w:basedOn w:val="11"/>
    <w:next w:val="11"/>
    <w:link w:val="100"/>
    <w:qFormat/>
    <w:uiPriority w:val="0"/>
    <w:rPr>
      <w:b/>
      <w:bCs/>
    </w:rPr>
  </w:style>
  <w:style w:type="paragraph" w:styleId="26">
    <w:name w:val="Body Text First Indent"/>
    <w:basedOn w:val="12"/>
    <w:link w:val="47"/>
    <w:unhideWhenUsed/>
    <w:qFormat/>
    <w:uiPriority w:val="99"/>
    <w:pPr>
      <w:ind w:firstLine="420" w:firstLineChars="100"/>
    </w:pPr>
  </w:style>
  <w:style w:type="table" w:styleId="28">
    <w:name w:val="Table Grid"/>
    <w:basedOn w:val="27"/>
    <w:unhideWhenUsed/>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FollowedHyperlink"/>
    <w:qFormat/>
    <w:uiPriority w:val="0"/>
    <w:rPr>
      <w:color w:val="333333"/>
      <w:u w:val="none"/>
    </w:rPr>
  </w:style>
  <w:style w:type="character" w:styleId="33">
    <w:name w:val="Emphasis"/>
    <w:qFormat/>
    <w:uiPriority w:val="0"/>
  </w:style>
  <w:style w:type="character" w:styleId="34">
    <w:name w:val="HTML Definition"/>
    <w:qFormat/>
    <w:uiPriority w:val="0"/>
  </w:style>
  <w:style w:type="character" w:styleId="35">
    <w:name w:val="HTML Typewriter"/>
    <w:qFormat/>
    <w:uiPriority w:val="0"/>
    <w:rPr>
      <w:rFonts w:hint="default" w:ascii="monospace" w:hAnsi="monospace" w:eastAsia="monospace" w:cs="monospace"/>
      <w:sz w:val="20"/>
    </w:rPr>
  </w:style>
  <w:style w:type="character" w:styleId="36">
    <w:name w:val="HTML Acronym"/>
    <w:basedOn w:val="29"/>
    <w:qFormat/>
    <w:uiPriority w:val="0"/>
  </w:style>
  <w:style w:type="character" w:styleId="37">
    <w:name w:val="HTML Variable"/>
    <w:qFormat/>
    <w:uiPriority w:val="0"/>
  </w:style>
  <w:style w:type="character" w:styleId="38">
    <w:name w:val="Hyperlink"/>
    <w:qFormat/>
    <w:uiPriority w:val="0"/>
    <w:rPr>
      <w:color w:val="333333"/>
      <w:u w:val="none"/>
    </w:rPr>
  </w:style>
  <w:style w:type="character" w:styleId="39">
    <w:name w:val="HTML Code"/>
    <w:qFormat/>
    <w:uiPriority w:val="0"/>
    <w:rPr>
      <w:rFonts w:hint="default" w:ascii="monospace" w:hAnsi="monospace" w:eastAsia="monospace" w:cs="monospace"/>
      <w:sz w:val="20"/>
    </w:rPr>
  </w:style>
  <w:style w:type="character" w:styleId="40">
    <w:name w:val="annotation reference"/>
    <w:qFormat/>
    <w:uiPriority w:val="0"/>
    <w:rPr>
      <w:sz w:val="21"/>
      <w:szCs w:val="21"/>
    </w:rPr>
  </w:style>
  <w:style w:type="character" w:styleId="41">
    <w:name w:val="HTML Cite"/>
    <w:qFormat/>
    <w:uiPriority w:val="0"/>
  </w:style>
  <w:style w:type="character" w:styleId="42">
    <w:name w:val="HTML Keyboard"/>
    <w:qFormat/>
    <w:uiPriority w:val="0"/>
    <w:rPr>
      <w:rFonts w:ascii="monospace" w:hAnsi="monospace" w:eastAsia="monospace" w:cs="monospace"/>
      <w:sz w:val="20"/>
    </w:rPr>
  </w:style>
  <w:style w:type="character" w:styleId="43">
    <w:name w:val="HTML Sample"/>
    <w:qFormat/>
    <w:uiPriority w:val="0"/>
    <w:rPr>
      <w:rFonts w:hint="default" w:ascii="monospace" w:hAnsi="monospace" w:eastAsia="monospace" w:cs="monospace"/>
    </w:rPr>
  </w:style>
  <w:style w:type="paragraph" w:customStyle="1" w:styleId="44">
    <w:name w:val="段"/>
    <w:next w:val="1"/>
    <w:qFormat/>
    <w:uiPriority w:val="0"/>
    <w:pPr>
      <w:autoSpaceDE w:val="0"/>
      <w:autoSpaceDN w:val="0"/>
      <w:adjustRightInd w:val="0"/>
      <w:snapToGrid w:val="0"/>
      <w:spacing w:line="360" w:lineRule="auto"/>
      <w:ind w:firstLine="200" w:firstLineChars="200"/>
      <w:jc w:val="both"/>
    </w:pPr>
    <w:rPr>
      <w:rFonts w:ascii="宋体" w:hAnsi="Times New Roman" w:cs="Times New Roman" w:eastAsiaTheme="minorEastAsia"/>
      <w:sz w:val="24"/>
      <w:szCs w:val="22"/>
      <w:lang w:val="en-US" w:eastAsia="zh-CN" w:bidi="ar-SA"/>
    </w:rPr>
  </w:style>
  <w:style w:type="character" w:customStyle="1" w:styleId="45">
    <w:name w:val="正文文本 Char"/>
    <w:basedOn w:val="29"/>
    <w:link w:val="12"/>
    <w:qFormat/>
    <w:uiPriority w:val="0"/>
    <w:rPr>
      <w:rFonts w:ascii="Calibri" w:hAnsi="Calibri" w:eastAsia="宋体" w:cs="Times New Roman"/>
      <w:kern w:val="0"/>
      <w:sz w:val="24"/>
      <w:szCs w:val="20"/>
    </w:rPr>
  </w:style>
  <w:style w:type="paragraph" w:customStyle="1" w:styleId="46">
    <w:name w:val="[Normal]"/>
    <w:qFormat/>
    <w:uiPriority w:val="0"/>
    <w:rPr>
      <w:rFonts w:ascii="宋体" w:hAnsi="宋体" w:eastAsia="宋体" w:cs="Times New Roman"/>
      <w:sz w:val="24"/>
      <w:lang w:val="en-US" w:eastAsia="en-US" w:bidi="ar-SA"/>
    </w:rPr>
  </w:style>
  <w:style w:type="character" w:customStyle="1" w:styleId="47">
    <w:name w:val="正文首行缩进 Char"/>
    <w:basedOn w:val="45"/>
    <w:link w:val="26"/>
    <w:semiHidden/>
    <w:qFormat/>
    <w:uiPriority w:val="99"/>
    <w:rPr>
      <w:rFonts w:ascii="Calibri" w:hAnsi="Calibri" w:eastAsia="宋体" w:cs="Times New Roman"/>
      <w:kern w:val="0"/>
      <w:sz w:val="24"/>
      <w:szCs w:val="20"/>
    </w:rPr>
  </w:style>
  <w:style w:type="character" w:customStyle="1" w:styleId="48">
    <w:name w:val="bookmark-item"/>
    <w:basedOn w:val="29"/>
    <w:qFormat/>
    <w:uiPriority w:val="0"/>
  </w:style>
  <w:style w:type="character" w:customStyle="1" w:styleId="49">
    <w:name w:val="纯文本 Char2"/>
    <w:link w:val="13"/>
    <w:qFormat/>
    <w:uiPriority w:val="0"/>
    <w:rPr>
      <w:rFonts w:ascii="宋体" w:hAnsi="Courier New" w:eastAsia="宋体"/>
    </w:rPr>
  </w:style>
  <w:style w:type="character" w:customStyle="1" w:styleId="50">
    <w:name w:val="纯文本 字符"/>
    <w:basedOn w:val="29"/>
    <w:semiHidden/>
    <w:qFormat/>
    <w:uiPriority w:val="99"/>
    <w:rPr>
      <w:rFonts w:hAnsi="Courier New" w:cs="Courier New" w:asciiTheme="minorEastAsia"/>
      <w:kern w:val="0"/>
      <w:sz w:val="24"/>
      <w:szCs w:val="20"/>
    </w:rPr>
  </w:style>
  <w:style w:type="paragraph" w:customStyle="1" w:styleId="51">
    <w:name w:val="2"/>
    <w:basedOn w:val="12"/>
    <w:next w:val="26"/>
    <w:qFormat/>
    <w:uiPriority w:val="0"/>
    <w:pPr>
      <w:ind w:firstLine="420" w:firstLineChars="100"/>
    </w:pPr>
  </w:style>
  <w:style w:type="paragraph" w:customStyle="1" w:styleId="52">
    <w:name w:val="列表段落1"/>
    <w:basedOn w:val="1"/>
    <w:qFormat/>
    <w:uiPriority w:val="0"/>
    <w:pPr>
      <w:ind w:firstLine="420" w:firstLineChars="200"/>
    </w:pPr>
  </w:style>
  <w:style w:type="character" w:customStyle="1" w:styleId="53">
    <w:name w:val="页眉 Char"/>
    <w:basedOn w:val="29"/>
    <w:link w:val="18"/>
    <w:qFormat/>
    <w:uiPriority w:val="99"/>
    <w:rPr>
      <w:rFonts w:ascii="Calibri" w:hAnsi="Calibri" w:eastAsia="宋体" w:cs="Times New Roman"/>
      <w:kern w:val="0"/>
      <w:sz w:val="18"/>
      <w:szCs w:val="18"/>
    </w:rPr>
  </w:style>
  <w:style w:type="character" w:customStyle="1" w:styleId="54">
    <w:name w:val="页脚 Char1"/>
    <w:basedOn w:val="29"/>
    <w:link w:val="17"/>
    <w:qFormat/>
    <w:uiPriority w:val="99"/>
    <w:rPr>
      <w:rFonts w:ascii="Calibri" w:hAnsi="Calibri" w:eastAsia="宋体" w:cs="Times New Roman"/>
      <w:kern w:val="0"/>
      <w:sz w:val="18"/>
      <w:szCs w:val="18"/>
    </w:rPr>
  </w:style>
  <w:style w:type="character" w:customStyle="1" w:styleId="55">
    <w:name w:val="标题 4 字符"/>
    <w:basedOn w:val="29"/>
    <w:semiHidden/>
    <w:qFormat/>
    <w:uiPriority w:val="9"/>
    <w:rPr>
      <w:rFonts w:asciiTheme="majorHAnsi" w:hAnsiTheme="majorHAnsi" w:eastAsiaTheme="majorEastAsia" w:cstheme="majorBidi"/>
      <w:b/>
      <w:bCs/>
      <w:kern w:val="0"/>
      <w:sz w:val="28"/>
      <w:szCs w:val="28"/>
    </w:rPr>
  </w:style>
  <w:style w:type="character" w:customStyle="1" w:styleId="56">
    <w:name w:val="标题 4 Char1"/>
    <w:link w:val="6"/>
    <w:qFormat/>
    <w:uiPriority w:val="0"/>
    <w:rPr>
      <w:rFonts w:ascii="Arial" w:hAnsi="Arial" w:eastAsia="黑体" w:cs="Times New Roman"/>
      <w:b/>
      <w:bCs/>
      <w:kern w:val="0"/>
      <w:sz w:val="28"/>
      <w:szCs w:val="28"/>
    </w:rPr>
  </w:style>
  <w:style w:type="character" w:customStyle="1" w:styleId="57">
    <w:name w:val="日期 Char"/>
    <w:basedOn w:val="29"/>
    <w:link w:val="14"/>
    <w:qFormat/>
    <w:uiPriority w:val="0"/>
    <w:rPr>
      <w:rFonts w:ascii="Calibri" w:hAnsi="Calibri" w:eastAsia="宋体" w:cs="Times New Roman"/>
      <w:sz w:val="24"/>
      <w:szCs w:val="20"/>
    </w:rPr>
  </w:style>
  <w:style w:type="character" w:customStyle="1" w:styleId="58">
    <w:name w:val="标题 Char"/>
    <w:basedOn w:val="29"/>
    <w:link w:val="24"/>
    <w:qFormat/>
    <w:uiPriority w:val="0"/>
    <w:rPr>
      <w:rFonts w:ascii="Calibri" w:hAnsi="Calibri" w:eastAsia="宋体" w:cs="Times New Roman"/>
      <w:b/>
      <w:kern w:val="0"/>
      <w:sz w:val="32"/>
      <w:szCs w:val="20"/>
    </w:rPr>
  </w:style>
  <w:style w:type="paragraph" w:customStyle="1" w:styleId="59">
    <w:name w:val="正文文本 21"/>
    <w:basedOn w:val="1"/>
    <w:qFormat/>
    <w:uiPriority w:val="0"/>
    <w:pPr>
      <w:autoSpaceDE/>
      <w:autoSpaceDN/>
      <w:spacing w:line="300" w:lineRule="auto"/>
      <w:jc w:val="center"/>
    </w:pPr>
    <w:rPr>
      <w:rFonts w:ascii="宋体" w:hAnsi="宋体"/>
      <w:kern w:val="2"/>
    </w:rPr>
  </w:style>
  <w:style w:type="character" w:customStyle="1" w:styleId="60">
    <w:name w:val="正文文本缩进 2 Char1"/>
    <w:basedOn w:val="29"/>
    <w:link w:val="15"/>
    <w:semiHidden/>
    <w:qFormat/>
    <w:uiPriority w:val="99"/>
    <w:rPr>
      <w:rFonts w:ascii="Calibri" w:hAnsi="Calibri" w:eastAsia="宋体" w:cs="Times New Roman"/>
      <w:kern w:val="0"/>
      <w:sz w:val="24"/>
      <w:szCs w:val="20"/>
    </w:rPr>
  </w:style>
  <w:style w:type="character" w:customStyle="1" w:styleId="61">
    <w:name w:val="纯文本 Char"/>
    <w:qFormat/>
    <w:uiPriority w:val="0"/>
    <w:rPr>
      <w:rFonts w:ascii="宋体" w:hAnsi="Courier New" w:eastAsia="宋体"/>
      <w:kern w:val="2"/>
      <w:sz w:val="21"/>
      <w:lang w:val="en-US" w:eastAsia="zh-CN" w:bidi="ar-SA"/>
    </w:rPr>
  </w:style>
  <w:style w:type="paragraph" w:customStyle="1" w:styleId="62">
    <w:name w:val="正文段"/>
    <w:basedOn w:val="1"/>
    <w:qFormat/>
    <w:uiPriority w:val="0"/>
    <w:pPr>
      <w:widowControl/>
      <w:autoSpaceDE/>
      <w:autoSpaceDN/>
      <w:adjustRightInd/>
      <w:snapToGrid w:val="0"/>
      <w:spacing w:afterLines="50"/>
      <w:ind w:firstLine="200" w:firstLineChars="200"/>
      <w:textAlignment w:val="auto"/>
    </w:pPr>
  </w:style>
  <w:style w:type="character" w:customStyle="1" w:styleId="63">
    <w:name w:val="标题 2 Char"/>
    <w:basedOn w:val="29"/>
    <w:link w:val="4"/>
    <w:semiHidden/>
    <w:qFormat/>
    <w:uiPriority w:val="9"/>
    <w:rPr>
      <w:rFonts w:asciiTheme="majorHAnsi" w:hAnsiTheme="majorHAnsi" w:eastAsiaTheme="majorEastAsia" w:cstheme="majorBidi"/>
      <w:b/>
      <w:bCs/>
      <w:kern w:val="0"/>
      <w:sz w:val="32"/>
      <w:szCs w:val="32"/>
    </w:rPr>
  </w:style>
  <w:style w:type="character" w:customStyle="1" w:styleId="64">
    <w:name w:val="正文文本缩进 Char1"/>
    <w:basedOn w:val="29"/>
    <w:link w:val="2"/>
    <w:semiHidden/>
    <w:qFormat/>
    <w:uiPriority w:val="99"/>
    <w:rPr>
      <w:rFonts w:ascii="Calibri" w:hAnsi="Calibri" w:eastAsia="宋体" w:cs="Times New Roman"/>
      <w:kern w:val="0"/>
      <w:sz w:val="24"/>
      <w:szCs w:val="20"/>
    </w:rPr>
  </w:style>
  <w:style w:type="paragraph" w:customStyle="1" w:styleId="65">
    <w:name w:val="reader-word-layer"/>
    <w:basedOn w:val="1"/>
    <w:qFormat/>
    <w:uiPriority w:val="0"/>
    <w:pPr>
      <w:widowControl/>
      <w:autoSpaceDE/>
      <w:autoSpaceDN/>
      <w:adjustRightInd/>
      <w:spacing w:before="100" w:beforeAutospacing="1" w:after="100" w:afterAutospacing="1"/>
      <w:jc w:val="left"/>
      <w:textAlignment w:val="auto"/>
    </w:pPr>
    <w:rPr>
      <w:rFonts w:ascii="宋体" w:hAnsi="宋体" w:cs="宋体"/>
      <w:szCs w:val="24"/>
    </w:rPr>
  </w:style>
  <w:style w:type="paragraph" w:customStyle="1" w:styleId="66">
    <w:name w:val="列表段落2"/>
    <w:basedOn w:val="1"/>
    <w:qFormat/>
    <w:uiPriority w:val="34"/>
    <w:pPr>
      <w:ind w:firstLine="420" w:firstLineChars="200"/>
    </w:pPr>
  </w:style>
  <w:style w:type="character" w:customStyle="1" w:styleId="67">
    <w:name w:val="标题 1 Char"/>
    <w:basedOn w:val="29"/>
    <w:link w:val="3"/>
    <w:qFormat/>
    <w:uiPriority w:val="0"/>
    <w:rPr>
      <w:rFonts w:ascii="Calibri" w:hAnsi="Calibri" w:eastAsia="黑体" w:cs="Times New Roman"/>
      <w:snapToGrid w:val="0"/>
      <w:kern w:val="0"/>
      <w:sz w:val="36"/>
      <w:szCs w:val="20"/>
    </w:rPr>
  </w:style>
  <w:style w:type="character" w:customStyle="1" w:styleId="68">
    <w:name w:val="标题 3 Char"/>
    <w:basedOn w:val="29"/>
    <w:link w:val="5"/>
    <w:qFormat/>
    <w:uiPriority w:val="0"/>
    <w:rPr>
      <w:rFonts w:ascii="Calibri" w:hAnsi="Calibri" w:eastAsia="黑体" w:cs="Times New Roman"/>
      <w:b/>
      <w:kern w:val="0"/>
      <w:sz w:val="24"/>
      <w:szCs w:val="20"/>
    </w:rPr>
  </w:style>
  <w:style w:type="character" w:customStyle="1" w:styleId="69">
    <w:name w:val="正文文本缩进 2 Char"/>
    <w:qFormat/>
    <w:uiPriority w:val="0"/>
    <w:rPr>
      <w:rFonts w:eastAsia="宋体"/>
      <w:kern w:val="2"/>
      <w:sz w:val="21"/>
      <w:lang w:val="en-US" w:eastAsia="zh-CN" w:bidi="ar-SA"/>
    </w:rPr>
  </w:style>
  <w:style w:type="character" w:customStyle="1" w:styleId="70">
    <w:name w:val="标题 1 Char1"/>
    <w:qFormat/>
    <w:uiPriority w:val="0"/>
    <w:rPr>
      <w:rFonts w:ascii="Times New Roman" w:hAnsi="Times New Roman" w:eastAsia="宋体" w:cs="Times New Roman"/>
      <w:b/>
      <w:kern w:val="44"/>
      <w:sz w:val="44"/>
      <w:szCs w:val="24"/>
    </w:rPr>
  </w:style>
  <w:style w:type="character" w:customStyle="1" w:styleId="71">
    <w:name w:val="报告正文 Char"/>
    <w:link w:val="72"/>
    <w:qFormat/>
    <w:uiPriority w:val="0"/>
    <w:rPr>
      <w:rFonts w:ascii="Times New Roman" w:hAnsi="Times New Roman"/>
      <w:sz w:val="24"/>
    </w:rPr>
  </w:style>
  <w:style w:type="paragraph" w:customStyle="1" w:styleId="72">
    <w:name w:val="报告正文"/>
    <w:link w:val="71"/>
    <w:qFormat/>
    <w:uiPriority w:val="0"/>
    <w:pPr>
      <w:spacing w:line="540" w:lineRule="exact"/>
      <w:ind w:firstLine="200" w:firstLineChars="200"/>
      <w:jc w:val="both"/>
    </w:pPr>
    <w:rPr>
      <w:rFonts w:ascii="Times New Roman" w:hAnsi="Times New Roman" w:eastAsiaTheme="minorEastAsia" w:cstheme="minorBidi"/>
      <w:kern w:val="2"/>
      <w:sz w:val="24"/>
      <w:szCs w:val="22"/>
      <w:lang w:val="en-US" w:eastAsia="zh-CN" w:bidi="ar-SA"/>
    </w:rPr>
  </w:style>
  <w:style w:type="character" w:customStyle="1" w:styleId="73">
    <w:name w:val="页脚 Char"/>
    <w:qFormat/>
    <w:uiPriority w:val="0"/>
    <w:rPr>
      <w:sz w:val="18"/>
      <w:szCs w:val="18"/>
    </w:rPr>
  </w:style>
  <w:style w:type="character" w:customStyle="1" w:styleId="74">
    <w:name w:val="正文缩进 Char Char"/>
    <w:qFormat/>
    <w:uiPriority w:val="0"/>
    <w:rPr>
      <w:rFonts w:eastAsia="宋体"/>
      <w:kern w:val="2"/>
      <w:sz w:val="21"/>
      <w:lang w:val="en-US" w:eastAsia="zh-CN"/>
    </w:rPr>
  </w:style>
  <w:style w:type="character" w:customStyle="1" w:styleId="75">
    <w:name w:val="maywed421"/>
    <w:qFormat/>
    <w:uiPriority w:val="0"/>
    <w:rPr>
      <w:color w:val="366FB6"/>
      <w:u w:val="none"/>
    </w:rPr>
  </w:style>
  <w:style w:type="character" w:customStyle="1" w:styleId="76">
    <w:name w:val="正文文本缩进 Char"/>
    <w:qFormat/>
    <w:uiPriority w:val="0"/>
    <w:rPr>
      <w:sz w:val="24"/>
    </w:rPr>
  </w:style>
  <w:style w:type="character" w:customStyle="1" w:styleId="77">
    <w:name w:val="目录 1 Char"/>
    <w:link w:val="19"/>
    <w:qFormat/>
    <w:uiPriority w:val="0"/>
    <w:rPr>
      <w:sz w:val="28"/>
    </w:rPr>
  </w:style>
  <w:style w:type="character" w:customStyle="1" w:styleId="78">
    <w:name w:val="15"/>
    <w:qFormat/>
    <w:uiPriority w:val="0"/>
    <w:rPr>
      <w:rFonts w:hint="default" w:ascii="Times New Roman" w:hAnsi="Times New Roman" w:eastAsia="宋体" w:cs="Times New Roman"/>
      <w:b/>
      <w:bCs/>
      <w:spacing w:val="-2"/>
      <w:sz w:val="24"/>
      <w:szCs w:val="24"/>
    </w:rPr>
  </w:style>
  <w:style w:type="character" w:customStyle="1" w:styleId="79">
    <w:name w:val="纯文本 Char1"/>
    <w:qFormat/>
    <w:uiPriority w:val="0"/>
    <w:rPr>
      <w:rFonts w:ascii="宋体" w:hAnsi="Courier New" w:eastAsia="宋体"/>
      <w:kern w:val="2"/>
      <w:sz w:val="21"/>
      <w:lang w:val="en-US" w:eastAsia="zh-CN" w:bidi="ar-SA"/>
    </w:rPr>
  </w:style>
  <w:style w:type="character" w:customStyle="1" w:styleId="80">
    <w:name w:val="首行缩进两字 Char"/>
    <w:qFormat/>
    <w:uiPriority w:val="0"/>
    <w:rPr>
      <w:rFonts w:eastAsia="宋体"/>
      <w:kern w:val="2"/>
      <w:sz w:val="21"/>
      <w:szCs w:val="24"/>
      <w:lang w:val="en-US" w:eastAsia="zh-CN" w:bidi="ar-SA"/>
    </w:rPr>
  </w:style>
  <w:style w:type="character" w:customStyle="1" w:styleId="81">
    <w:name w:val="标题 4 Char"/>
    <w:qFormat/>
    <w:uiPriority w:val="0"/>
    <w:rPr>
      <w:rFonts w:ascii="Arial" w:hAnsi="Arial" w:eastAsia="黑体"/>
      <w:b/>
      <w:bCs/>
      <w:sz w:val="28"/>
      <w:szCs w:val="28"/>
      <w:lang w:val="en-US" w:eastAsia="zh-CN" w:bidi="ar-SA"/>
    </w:rPr>
  </w:style>
  <w:style w:type="character" w:customStyle="1" w:styleId="82">
    <w:name w:val="style9"/>
    <w:basedOn w:val="29"/>
    <w:qFormat/>
    <w:uiPriority w:val="0"/>
  </w:style>
  <w:style w:type="character" w:customStyle="1" w:styleId="83">
    <w:name w:val="正文缩进 Char"/>
    <w:link w:val="8"/>
    <w:qFormat/>
    <w:uiPriority w:val="0"/>
    <w:rPr>
      <w:rFonts w:eastAsia="宋体"/>
      <w:sz w:val="24"/>
    </w:rPr>
  </w:style>
  <w:style w:type="character" w:customStyle="1" w:styleId="84">
    <w:name w:val="标题 1 Char Char"/>
    <w:qFormat/>
    <w:uiPriority w:val="0"/>
    <w:rPr>
      <w:rFonts w:eastAsia="宋体"/>
      <w:b/>
      <w:spacing w:val="-2"/>
      <w:sz w:val="24"/>
      <w:lang w:val="en-US" w:eastAsia="zh-CN"/>
    </w:rPr>
  </w:style>
  <w:style w:type="paragraph" w:customStyle="1" w:styleId="85">
    <w:name w:val="Char Char Char Char Char Char Char Char Char1 Char Char Char Char Char Char Char Char Char Char Char Char Char"/>
    <w:basedOn w:val="3"/>
    <w:qFormat/>
    <w:uiPriority w:val="0"/>
    <w:pPr>
      <w:keepNext/>
      <w:keepLines/>
      <w:pageBreakBefore w:val="0"/>
      <w:tabs>
        <w:tab w:val="clear" w:pos="360"/>
      </w:tabs>
      <w:autoSpaceDE/>
      <w:autoSpaceDN/>
      <w:adjustRightInd/>
      <w:snapToGrid w:val="0"/>
      <w:spacing w:before="240" w:line="348" w:lineRule="auto"/>
      <w:jc w:val="both"/>
      <w:textAlignment w:val="auto"/>
    </w:pPr>
    <w:rPr>
      <w:rFonts w:ascii="Tahoma" w:hAnsi="Tahoma" w:eastAsia="宋体"/>
      <w:b/>
      <w:snapToGrid/>
      <w:kern w:val="2"/>
      <w:sz w:val="24"/>
    </w:rPr>
  </w:style>
  <w:style w:type="character" w:customStyle="1" w:styleId="86">
    <w:name w:val="文档结构图 Char"/>
    <w:basedOn w:val="29"/>
    <w:link w:val="10"/>
    <w:qFormat/>
    <w:uiPriority w:val="0"/>
    <w:rPr>
      <w:rFonts w:ascii="Calibri" w:hAnsi="Calibri" w:eastAsia="宋体" w:cs="Times New Roman"/>
      <w:kern w:val="0"/>
      <w:sz w:val="24"/>
      <w:szCs w:val="20"/>
      <w:shd w:val="clear" w:color="auto" w:fill="000080"/>
    </w:rPr>
  </w:style>
  <w:style w:type="paragraph" w:customStyle="1" w:styleId="87">
    <w:name w:val="保留正文"/>
    <w:basedOn w:val="1"/>
    <w:qFormat/>
    <w:uiPriority w:val="0"/>
    <w:pPr>
      <w:keepNext/>
      <w:autoSpaceDE/>
      <w:autoSpaceDN/>
      <w:spacing w:after="160" w:line="480" w:lineRule="auto"/>
    </w:pPr>
    <w:rPr>
      <w:rFonts w:ascii="宋体"/>
    </w:rPr>
  </w:style>
  <w:style w:type="paragraph" w:customStyle="1" w:styleId="88">
    <w:name w:val="Char1 Char Char Char Char Char Char"/>
    <w:basedOn w:val="1"/>
    <w:qFormat/>
    <w:uiPriority w:val="0"/>
    <w:pPr>
      <w:autoSpaceDE/>
      <w:autoSpaceDN/>
      <w:adjustRightInd/>
      <w:textAlignment w:val="auto"/>
    </w:pPr>
    <w:rPr>
      <w:kern w:val="2"/>
      <w:sz w:val="21"/>
      <w:szCs w:val="24"/>
    </w:rPr>
  </w:style>
  <w:style w:type="paragraph" w:customStyle="1" w:styleId="89">
    <w:name w:val="Char Char Char1 Char Char Char1 Char Char Char Char Char Char1 Char Char Char1 Char"/>
    <w:basedOn w:val="1"/>
    <w:qFormat/>
    <w:uiPriority w:val="0"/>
    <w:pPr>
      <w:autoSpaceDE/>
      <w:autoSpaceDN/>
      <w:adjustRightInd/>
      <w:textAlignment w:val="auto"/>
    </w:pPr>
    <w:rPr>
      <w:kern w:val="2"/>
      <w:sz w:val="21"/>
      <w:szCs w:val="24"/>
    </w:rPr>
  </w:style>
  <w:style w:type="paragraph" w:customStyle="1" w:styleId="90">
    <w:name w:val="列出段落2"/>
    <w:basedOn w:val="1"/>
    <w:qFormat/>
    <w:uiPriority w:val="34"/>
    <w:pPr>
      <w:ind w:firstLine="420" w:firstLineChars="200"/>
    </w:pPr>
  </w:style>
  <w:style w:type="paragraph" w:customStyle="1" w:styleId="91">
    <w:name w:val="Char"/>
    <w:basedOn w:val="1"/>
    <w:qFormat/>
    <w:uiPriority w:val="0"/>
    <w:pPr>
      <w:widowControl/>
      <w:autoSpaceDE/>
      <w:autoSpaceDN/>
      <w:adjustRightInd/>
      <w:spacing w:after="160" w:line="240" w:lineRule="exact"/>
      <w:jc w:val="left"/>
      <w:textAlignment w:val="auto"/>
    </w:pPr>
    <w:rPr>
      <w:rFonts w:ascii="Verdana" w:hAnsi="Verdana"/>
      <w:sz w:val="20"/>
      <w:lang w:eastAsia="en-US"/>
    </w:rPr>
  </w:style>
  <w:style w:type="paragraph" w:customStyle="1" w:styleId="92">
    <w:name w:val="1"/>
    <w:basedOn w:val="1"/>
    <w:next w:val="1"/>
    <w:qFormat/>
    <w:uiPriority w:val="0"/>
    <w:rPr>
      <w:sz w:val="28"/>
    </w:rPr>
  </w:style>
  <w:style w:type="paragraph" w:customStyle="1" w:styleId="93">
    <w:name w:val="单位"/>
    <w:basedOn w:val="1"/>
    <w:qFormat/>
    <w:uiPriority w:val="0"/>
    <w:pPr>
      <w:autoSpaceDE/>
      <w:autoSpaceDN/>
      <w:jc w:val="center"/>
    </w:pPr>
    <w:rPr>
      <w:rFonts w:ascii="宋体"/>
      <w:b/>
      <w:sz w:val="32"/>
    </w:rPr>
  </w:style>
  <w:style w:type="character" w:customStyle="1" w:styleId="94">
    <w:name w:val="批注文字 Char"/>
    <w:basedOn w:val="29"/>
    <w:link w:val="11"/>
    <w:qFormat/>
    <w:uiPriority w:val="0"/>
    <w:rPr>
      <w:rFonts w:ascii="Calibri" w:hAnsi="Calibri" w:eastAsia="宋体" w:cs="Times New Roman"/>
      <w:kern w:val="0"/>
      <w:sz w:val="24"/>
      <w:szCs w:val="20"/>
    </w:rPr>
  </w:style>
  <w:style w:type="character" w:customStyle="1" w:styleId="95">
    <w:name w:val="批注框文本 Char"/>
    <w:basedOn w:val="29"/>
    <w:link w:val="16"/>
    <w:qFormat/>
    <w:uiPriority w:val="0"/>
    <w:rPr>
      <w:rFonts w:ascii="Calibri" w:hAnsi="Calibri" w:eastAsia="宋体" w:cs="Times New Roman"/>
      <w:kern w:val="0"/>
      <w:sz w:val="18"/>
      <w:szCs w:val="18"/>
    </w:rPr>
  </w:style>
  <w:style w:type="paragraph" w:customStyle="1" w:styleId="96">
    <w:name w:val="样式1"/>
    <w:basedOn w:val="8"/>
    <w:qFormat/>
    <w:uiPriority w:val="0"/>
    <w:pPr>
      <w:autoSpaceDE/>
      <w:autoSpaceDN/>
      <w:ind w:firstLine="510"/>
    </w:pPr>
    <w:rPr>
      <w:rFonts w:ascii="宋体"/>
    </w:rPr>
  </w:style>
  <w:style w:type="paragraph" w:customStyle="1" w:styleId="97">
    <w:name w:val="列出段落1"/>
    <w:basedOn w:val="1"/>
    <w:qFormat/>
    <w:uiPriority w:val="34"/>
    <w:pPr>
      <w:ind w:firstLine="420" w:firstLineChars="200"/>
    </w:pPr>
  </w:style>
  <w:style w:type="paragraph" w:customStyle="1" w:styleId="98">
    <w:name w:val="Char Char Char Char"/>
    <w:basedOn w:val="1"/>
    <w:qFormat/>
    <w:uiPriority w:val="0"/>
    <w:pPr>
      <w:autoSpaceDE/>
      <w:autoSpaceDN/>
      <w:adjustRightInd/>
      <w:spacing w:line="480" w:lineRule="exact"/>
      <w:textAlignment w:val="auto"/>
    </w:pPr>
    <w:rPr>
      <w:kern w:val="2"/>
      <w:sz w:val="21"/>
      <w:szCs w:val="24"/>
    </w:rPr>
  </w:style>
  <w:style w:type="paragraph" w:customStyle="1" w:styleId="99">
    <w:name w:val="列表段落3"/>
    <w:basedOn w:val="1"/>
    <w:qFormat/>
    <w:uiPriority w:val="34"/>
    <w:pPr>
      <w:ind w:firstLine="420" w:firstLineChars="200"/>
    </w:pPr>
  </w:style>
  <w:style w:type="character" w:customStyle="1" w:styleId="100">
    <w:name w:val="批注主题 Char"/>
    <w:basedOn w:val="94"/>
    <w:link w:val="25"/>
    <w:qFormat/>
    <w:uiPriority w:val="0"/>
    <w:rPr>
      <w:rFonts w:ascii="Calibri" w:hAnsi="Calibri" w:eastAsia="宋体" w:cs="Times New Roman"/>
      <w:b/>
      <w:bCs/>
      <w:kern w:val="0"/>
      <w:sz w:val="24"/>
      <w:szCs w:val="20"/>
    </w:rPr>
  </w:style>
  <w:style w:type="paragraph" w:customStyle="1" w:styleId="101">
    <w:name w:val="Char1"/>
    <w:basedOn w:val="1"/>
    <w:qFormat/>
    <w:uiPriority w:val="0"/>
    <w:pPr>
      <w:tabs>
        <w:tab w:val="left" w:pos="1200"/>
      </w:tabs>
      <w:autoSpaceDE/>
      <w:autoSpaceDN/>
      <w:adjustRightInd/>
      <w:ind w:left="1200" w:hanging="360"/>
      <w:textAlignment w:val="auto"/>
    </w:pPr>
    <w:rPr>
      <w:kern w:val="2"/>
      <w:szCs w:val="24"/>
    </w:rPr>
  </w:style>
  <w:style w:type="paragraph" w:customStyle="1" w:styleId="102">
    <w:name w:val="Proposals body"/>
    <w:basedOn w:val="1"/>
    <w:next w:val="1"/>
    <w:qFormat/>
    <w:uiPriority w:val="0"/>
    <w:pPr>
      <w:widowControl/>
      <w:autoSpaceDE/>
      <w:autoSpaceDN/>
      <w:adjustRightInd/>
      <w:spacing w:line="360" w:lineRule="auto"/>
      <w:jc w:val="left"/>
      <w:textAlignment w:val="auto"/>
    </w:pPr>
    <w:rPr>
      <w:rFonts w:ascii="宋体"/>
      <w:snapToGrid w:val="0"/>
      <w:color w:val="000000"/>
    </w:rPr>
  </w:style>
  <w:style w:type="paragraph" w:customStyle="1" w:styleId="103">
    <w:name w:val="p0"/>
    <w:basedOn w:val="1"/>
    <w:qFormat/>
    <w:uiPriority w:val="0"/>
    <w:pPr>
      <w:widowControl/>
      <w:autoSpaceDE/>
      <w:autoSpaceDN/>
      <w:adjustRightInd/>
      <w:jc w:val="left"/>
      <w:textAlignment w:val="auto"/>
    </w:pPr>
    <w:rPr>
      <w:rFonts w:ascii="Arial" w:hAnsi="Arial" w:cs="Arial"/>
      <w:color w:val="000000"/>
      <w:szCs w:val="24"/>
    </w:rPr>
  </w:style>
  <w:style w:type="character" w:customStyle="1" w:styleId="104">
    <w:name w:val="正文文本 2 Char"/>
    <w:basedOn w:val="29"/>
    <w:link w:val="21"/>
    <w:qFormat/>
    <w:uiPriority w:val="0"/>
    <w:rPr>
      <w:rFonts w:ascii="楷体_GB2312" w:hAnsi="Calibri" w:eastAsia="黑体" w:cs="Times New Roman"/>
      <w:b/>
      <w:sz w:val="52"/>
      <w:szCs w:val="52"/>
    </w:rPr>
  </w:style>
  <w:style w:type="paragraph" w:customStyle="1" w:styleId="105">
    <w:name w:val="目录"/>
    <w:basedOn w:val="19"/>
    <w:qFormat/>
    <w:uiPriority w:val="0"/>
    <w:pPr>
      <w:tabs>
        <w:tab w:val="right" w:leader="dot" w:pos="7937"/>
      </w:tabs>
      <w:autoSpaceDE/>
      <w:autoSpaceDN/>
      <w:spacing w:before="120" w:after="120" w:line="360" w:lineRule="auto"/>
      <w:jc w:val="center"/>
    </w:pPr>
    <w:rPr>
      <w:rFonts w:ascii="宋体" w:hAnsi="Calibri" w:eastAsia="黑体" w:cs="Times New Roman"/>
      <w:b/>
      <w:caps/>
      <w:kern w:val="0"/>
      <w:sz w:val="30"/>
      <w:szCs w:val="20"/>
    </w:rPr>
  </w:style>
  <w:style w:type="paragraph" w:customStyle="1" w:styleId="106">
    <w:name w:val="Char Char Char Char Char Char Char Char Char"/>
    <w:basedOn w:val="1"/>
    <w:qFormat/>
    <w:uiPriority w:val="0"/>
    <w:pPr>
      <w:widowControl/>
      <w:autoSpaceDE/>
      <w:autoSpaceDN/>
      <w:adjustRightInd/>
      <w:spacing w:after="160" w:line="240" w:lineRule="exact"/>
      <w:jc w:val="left"/>
      <w:textAlignment w:val="auto"/>
    </w:pPr>
    <w:rPr>
      <w:rFonts w:ascii="Verdana" w:hAnsi="Verdana" w:eastAsia="仿宋_GB2312"/>
      <w:lang w:eastAsia="en-US"/>
    </w:rPr>
  </w:style>
  <w:style w:type="paragraph" w:customStyle="1" w:styleId="107">
    <w:name w:val="Char Char Char2 Char"/>
    <w:basedOn w:val="1"/>
    <w:qFormat/>
    <w:uiPriority w:val="0"/>
    <w:pPr>
      <w:tabs>
        <w:tab w:val="left" w:pos="1290"/>
      </w:tabs>
      <w:autoSpaceDE/>
      <w:autoSpaceDN/>
      <w:adjustRightInd/>
      <w:ind w:left="1290" w:hanging="855"/>
      <w:textAlignment w:val="auto"/>
    </w:pPr>
    <w:rPr>
      <w:kern w:val="2"/>
      <w:sz w:val="21"/>
      <w:szCs w:val="24"/>
    </w:rPr>
  </w:style>
  <w:style w:type="paragraph" w:customStyle="1" w:styleId="108">
    <w:name w:val="密级编号"/>
    <w:basedOn w:val="1"/>
    <w:qFormat/>
    <w:uiPriority w:val="0"/>
    <w:pPr>
      <w:autoSpaceDE/>
      <w:autoSpaceDN/>
      <w:jc w:val="center"/>
    </w:pPr>
    <w:rPr>
      <w:rFonts w:ascii="仿宋_GB2312" w:eastAsia="仿宋_GB2312"/>
    </w:rPr>
  </w:style>
  <w:style w:type="paragraph" w:customStyle="1" w:styleId="109">
    <w:name w:val="正文文本 22"/>
    <w:basedOn w:val="1"/>
    <w:qFormat/>
    <w:uiPriority w:val="0"/>
    <w:pPr>
      <w:autoSpaceDE/>
      <w:autoSpaceDN/>
      <w:spacing w:line="300" w:lineRule="auto"/>
      <w:jc w:val="center"/>
    </w:pPr>
    <w:rPr>
      <w:rFonts w:ascii="宋体" w:hAnsi="宋体"/>
      <w:kern w:val="2"/>
    </w:rPr>
  </w:style>
  <w:style w:type="paragraph" w:customStyle="1" w:styleId="110">
    <w:name w:val="Char Char Char Char Char Char Char"/>
    <w:basedOn w:val="1"/>
    <w:qFormat/>
    <w:uiPriority w:val="0"/>
    <w:pPr>
      <w:autoSpaceDE/>
      <w:autoSpaceDN/>
      <w:adjustRightInd/>
      <w:spacing w:line="360" w:lineRule="auto"/>
      <w:ind w:firstLine="200" w:firstLineChars="200"/>
      <w:textAlignment w:val="auto"/>
    </w:pPr>
    <w:rPr>
      <w:kern w:val="2"/>
      <w:sz w:val="21"/>
    </w:rPr>
  </w:style>
  <w:style w:type="paragraph" w:customStyle="1" w:styleId="111">
    <w:name w:val="xl24"/>
    <w:basedOn w:val="1"/>
    <w:qFormat/>
    <w:uiPriority w:val="0"/>
    <w:pPr>
      <w:widowControl/>
      <w:autoSpaceDE/>
      <w:autoSpaceDN/>
      <w:adjustRightInd/>
      <w:spacing w:before="100" w:beforeAutospacing="1" w:after="100" w:afterAutospacing="1"/>
      <w:jc w:val="center"/>
      <w:textAlignment w:val="auto"/>
    </w:pPr>
    <w:rPr>
      <w:rFonts w:ascii="宋体" w:hAnsi="宋体"/>
      <w:szCs w:val="24"/>
    </w:rPr>
  </w:style>
  <w:style w:type="paragraph" w:customStyle="1" w:styleId="112">
    <w:name w:val="列出段落3"/>
    <w:basedOn w:val="1"/>
    <w:qFormat/>
    <w:uiPriority w:val="34"/>
    <w:pPr>
      <w:ind w:firstLine="420" w:firstLineChars="200"/>
    </w:pPr>
  </w:style>
  <w:style w:type="character" w:customStyle="1" w:styleId="113">
    <w:name w:val="页眉 Char2"/>
    <w:qFormat/>
    <w:uiPriority w:val="0"/>
    <w:rPr>
      <w:rFonts w:ascii="宋体" w:hAnsi="宋体" w:eastAsia="宋体"/>
      <w:bCs/>
      <w:snapToGrid w:val="0"/>
      <w:kern w:val="2"/>
      <w:sz w:val="21"/>
      <w:szCs w:val="21"/>
      <w:lang w:val="en-US" w:eastAsia="zh-CN" w:bidi="ar-SA"/>
    </w:rPr>
  </w:style>
  <w:style w:type="paragraph" w:customStyle="1" w:styleId="114">
    <w:name w:val="WPSOffice手动目录 1"/>
    <w:qFormat/>
    <w:uiPriority w:val="0"/>
    <w:rPr>
      <w:rFonts w:ascii="Times New Roman" w:hAnsi="Times New Roman" w:eastAsia="宋体" w:cs="Times New Roman"/>
      <w:lang w:val="en-US" w:eastAsia="zh-CN" w:bidi="ar-SA"/>
    </w:rPr>
  </w:style>
  <w:style w:type="paragraph" w:customStyle="1" w:styleId="115">
    <w:name w:val="_Style 1"/>
    <w:qFormat/>
    <w:uiPriority w:val="0"/>
    <w:rPr>
      <w:rFonts w:ascii="Calibri" w:hAnsi="Calibri" w:eastAsia="宋体" w:cs="Times New Roman"/>
      <w:kern w:val="2"/>
      <w:sz w:val="28"/>
      <w:szCs w:val="22"/>
      <w:lang w:val="en-US" w:eastAsia="zh-CN" w:bidi="ar-SA"/>
    </w:rPr>
  </w:style>
  <w:style w:type="paragraph" w:customStyle="1" w:styleId="1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7">
    <w:name w:val="样式 宋体 小四 行距: 1.5 倍行距 首行缩进:  2 字符"/>
    <w:basedOn w:val="1"/>
    <w:qFormat/>
    <w:uiPriority w:val="0"/>
    <w:pPr>
      <w:spacing w:line="360" w:lineRule="auto"/>
      <w:ind w:firstLine="200" w:firstLineChars="200"/>
    </w:pPr>
    <w:rPr>
      <w:rFonts w:ascii="宋体" w:hAnsi="宋体" w:cs="宋体"/>
    </w:rPr>
  </w:style>
  <w:style w:type="character" w:customStyle="1" w:styleId="118">
    <w:name w:val="Unresolved Mention"/>
    <w:basedOn w:val="29"/>
    <w:unhideWhenUsed/>
    <w:qFormat/>
    <w:uiPriority w:val="99"/>
    <w:rPr>
      <w:color w:val="605E5C"/>
      <w:shd w:val="clear" w:color="auto" w:fill="E1DFDD"/>
    </w:rPr>
  </w:style>
  <w:style w:type="paragraph" w:customStyle="1" w:styleId="119">
    <w:name w:val="列出段落12"/>
    <w:basedOn w:val="1"/>
    <w:qFormat/>
    <w:uiPriority w:val="0"/>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customXml/item2.xml" Type="http://schemas.openxmlformats.org/officeDocument/2006/relationships/customXml"/><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B739E-DED7-514B-A370-B07FC1EB3E7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77</Pages>
  <Words>5784</Words>
  <Characters>32974</Characters>
  <Lines>274</Lines>
  <Paragraphs>77</Paragraphs>
  <TotalTime>7</TotalTime>
  <ScaleCrop>false</ScaleCrop>
  <LinksUpToDate>false</LinksUpToDate>
  <CharactersWithSpaces>38681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2020-03-11T05:44:00Z</dcterms:created>
  <dc:creator>Shanshan</dc:creator>
  <cp:lastModifiedBy>wps</cp:lastModifiedBy>
  <cp:lastPrinted>2020-06-09T06:46:43Z</cp:lastPrinted>
  <dcterms:modified xsi:type="dcterms:W3CDTF">2020-06-09T07:03:57Z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