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6"/>
        <w:spacing w:line="360" w:lineRule="auto"/>
        <w:ind w:firstLine="0" w:firstLineChars="0"/>
        <w:jc w:val="center"/>
        <w:rPr>
          <w:rFonts w:hint="eastAsia" w:ascii="宋体" w:hAnsi="宋体" w:eastAsia="宋体" w:cs="宋体"/>
          <w:b/>
          <w:bCs/>
          <w:sz w:val="32"/>
          <w:szCs w:val="32"/>
        </w:rPr>
      </w:pPr>
      <w:bookmarkStart w:id="53" w:name="_GoBack"/>
      <w:bookmarkEnd w:id="53"/>
      <w:bookmarkStart w:id="0" w:name="_Toc68508543"/>
      <w:bookmarkStart w:id="1" w:name="_Toc68508542"/>
    </w:p>
    <w:p>
      <w:pPr>
        <w:pStyle w:val="26"/>
        <w:spacing w:line="360" w:lineRule="auto"/>
        <w:ind w:firstLine="0" w:firstLineChars="0"/>
        <w:jc w:val="center"/>
        <w:rPr>
          <w:rFonts w:hint="eastAsia" w:ascii="宋体" w:hAnsi="宋体" w:eastAsia="宋体" w:cs="宋体"/>
          <w:b/>
          <w:bCs/>
          <w:sz w:val="48"/>
          <w:szCs w:val="48"/>
          <w:highlight w:val="none"/>
        </w:rPr>
      </w:pPr>
    </w:p>
    <w:p>
      <w:pPr>
        <w:pStyle w:val="26"/>
        <w:spacing w:line="360" w:lineRule="auto"/>
        <w:ind w:firstLine="0" w:firstLineChars="0"/>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平安风险预警预测防控应用项目</w:t>
      </w:r>
    </w:p>
    <w:p>
      <w:pPr>
        <w:pStyle w:val="26"/>
        <w:spacing w:line="360" w:lineRule="auto"/>
        <w:ind w:firstLine="0" w:firstLineChars="0"/>
        <w:jc w:val="center"/>
        <w:rPr>
          <w:rFonts w:hint="eastAsia" w:ascii="宋体" w:hAnsi="宋体" w:eastAsia="宋体" w:cs="宋体"/>
          <w:bCs/>
          <w:snapToGrid w:val="0"/>
          <w:sz w:val="28"/>
          <w:szCs w:val="28"/>
          <w:highlight w:val="none"/>
        </w:rPr>
      </w:pPr>
      <w:r>
        <w:rPr>
          <w:rFonts w:hint="eastAsia" w:ascii="宋体" w:hAnsi="宋体" w:eastAsia="宋体" w:cs="宋体"/>
          <w:bCs/>
          <w:snapToGrid w:val="0"/>
          <w:sz w:val="28"/>
          <w:szCs w:val="28"/>
          <w:highlight w:val="none"/>
        </w:rPr>
        <w:t>（财政审批编号：临[2022]</w:t>
      </w:r>
      <w:r>
        <w:rPr>
          <w:rFonts w:hint="eastAsia" w:ascii="宋体" w:hAnsi="宋体" w:eastAsia="宋体" w:cs="宋体"/>
          <w:bCs/>
          <w:snapToGrid w:val="0"/>
          <w:sz w:val="28"/>
          <w:szCs w:val="28"/>
          <w:highlight w:val="none"/>
          <w:lang w:val="en-US" w:eastAsia="zh-CN"/>
        </w:rPr>
        <w:t>2</w:t>
      </w:r>
      <w:r>
        <w:rPr>
          <w:rFonts w:hint="eastAsia" w:ascii="宋体" w:hAnsi="宋体" w:eastAsia="宋体" w:cs="宋体"/>
          <w:bCs/>
          <w:snapToGrid w:val="0"/>
          <w:sz w:val="28"/>
          <w:szCs w:val="28"/>
          <w:highlight w:val="none"/>
          <w:lang w:val="en-US" w:eastAsia="zh-CN"/>
        </w:rPr>
        <w:t>3962</w:t>
      </w:r>
      <w:r>
        <w:rPr>
          <w:rFonts w:hint="eastAsia" w:ascii="宋体" w:hAnsi="宋体" w:eastAsia="宋体" w:cs="宋体"/>
          <w:bCs/>
          <w:snapToGrid w:val="0"/>
          <w:sz w:val="28"/>
          <w:szCs w:val="28"/>
          <w:highlight w:val="none"/>
        </w:rPr>
        <w:t>号 ）</w:t>
      </w:r>
    </w:p>
    <w:p>
      <w:pPr>
        <w:pStyle w:val="26"/>
        <w:ind w:firstLine="240"/>
        <w:rPr>
          <w:rFonts w:hint="eastAsia" w:ascii="宋体" w:hAnsi="宋体" w:eastAsia="宋体" w:cs="宋体"/>
          <w:highlight w:val="none"/>
        </w:rPr>
      </w:pPr>
    </w:p>
    <w:p>
      <w:pPr>
        <w:pStyle w:val="26"/>
        <w:ind w:firstLine="240"/>
        <w:rPr>
          <w:rFonts w:hint="eastAsia" w:ascii="宋体" w:hAnsi="宋体" w:eastAsia="宋体" w:cs="宋体"/>
          <w:highlight w:val="none"/>
        </w:rPr>
      </w:pPr>
    </w:p>
    <w:p>
      <w:pPr>
        <w:pStyle w:val="26"/>
        <w:ind w:firstLine="240"/>
        <w:rPr>
          <w:rFonts w:hint="eastAsia" w:ascii="宋体" w:hAnsi="宋体" w:eastAsia="宋体" w:cs="宋体"/>
          <w:highlight w:val="none"/>
        </w:rPr>
      </w:pPr>
    </w:p>
    <w:p>
      <w:pPr>
        <w:rPr>
          <w:rFonts w:hint="eastAsia" w:ascii="宋体" w:hAnsi="宋体" w:cs="宋体"/>
          <w:highlight w:val="none"/>
        </w:rPr>
      </w:pPr>
    </w:p>
    <w:p>
      <w:pPr>
        <w:pStyle w:val="25"/>
        <w:rPr>
          <w:rFonts w:hint="eastAsia"/>
          <w:highlight w:val="none"/>
        </w:rPr>
      </w:pPr>
    </w:p>
    <w:p>
      <w:pPr>
        <w:adjustRightInd w:val="0"/>
        <w:snapToGrid w:val="0"/>
        <w:spacing w:line="1000" w:lineRule="exact"/>
        <w:jc w:val="center"/>
        <w:rPr>
          <w:rFonts w:hint="eastAsia" w:ascii="宋体" w:hAnsi="宋体" w:cs="宋体"/>
          <w:b/>
          <w:bCs/>
          <w:snapToGrid w:val="0"/>
          <w:sz w:val="52"/>
          <w:szCs w:val="52"/>
          <w:highlight w:val="none"/>
        </w:rPr>
      </w:pPr>
      <w:r>
        <w:rPr>
          <w:rFonts w:hint="eastAsia" w:ascii="宋体" w:hAnsi="宋体" w:cs="宋体"/>
          <w:b/>
          <w:bCs/>
          <w:snapToGrid w:val="0"/>
          <w:sz w:val="52"/>
          <w:szCs w:val="52"/>
          <w:highlight w:val="none"/>
        </w:rPr>
        <w:t>采 购 文 件</w:t>
      </w:r>
    </w:p>
    <w:p>
      <w:pPr>
        <w:adjustRightInd w:val="0"/>
        <w:snapToGrid w:val="0"/>
        <w:spacing w:line="700" w:lineRule="exact"/>
        <w:jc w:val="center"/>
        <w:rPr>
          <w:rFonts w:hint="eastAsia" w:ascii="宋体" w:hAnsi="宋体" w:cs="宋体"/>
          <w:bCs/>
          <w:snapToGrid w:val="0"/>
          <w:sz w:val="30"/>
          <w:szCs w:val="30"/>
          <w:highlight w:val="none"/>
        </w:rPr>
      </w:pPr>
      <w:r>
        <w:rPr>
          <w:rFonts w:hint="eastAsia" w:ascii="宋体" w:hAnsi="宋体" w:cs="宋体"/>
          <w:bCs/>
          <w:snapToGrid w:val="0"/>
          <w:sz w:val="36"/>
          <w:szCs w:val="36"/>
          <w:highlight w:val="none"/>
        </w:rPr>
        <w:t xml:space="preserve">（全流程电子）    </w:t>
      </w:r>
      <w:r>
        <w:rPr>
          <w:rFonts w:hint="eastAsia" w:ascii="宋体" w:hAnsi="宋体" w:cs="宋体"/>
          <w:bCs/>
          <w:snapToGrid w:val="0"/>
          <w:sz w:val="30"/>
          <w:szCs w:val="30"/>
          <w:highlight w:val="none"/>
        </w:rPr>
        <w:t xml:space="preserve"> </w:t>
      </w:r>
    </w:p>
    <w:p>
      <w:pPr>
        <w:pStyle w:val="175"/>
        <w:rPr>
          <w:rFonts w:hint="eastAsia" w:ascii="宋体" w:hAnsi="宋体" w:cs="宋体"/>
          <w:highlight w:val="none"/>
        </w:rPr>
      </w:pPr>
    </w:p>
    <w:p>
      <w:pPr>
        <w:adjustRightInd w:val="0"/>
        <w:snapToGrid w:val="0"/>
        <w:spacing w:line="700" w:lineRule="exact"/>
        <w:jc w:val="center"/>
        <w:rPr>
          <w:rFonts w:hint="eastAsia" w:ascii="宋体" w:hAnsi="宋体" w:cs="宋体"/>
          <w:bCs/>
          <w:snapToGrid w:val="0"/>
          <w:sz w:val="30"/>
          <w:szCs w:val="30"/>
          <w:highlight w:val="none"/>
        </w:rPr>
      </w:pPr>
      <w:r>
        <w:rPr>
          <w:rFonts w:hint="eastAsia" w:ascii="宋体" w:hAnsi="宋体" w:cs="宋体"/>
          <w:bCs/>
          <w:snapToGrid w:val="0"/>
          <w:sz w:val="30"/>
          <w:szCs w:val="30"/>
          <w:highlight w:val="none"/>
        </w:rPr>
        <w:t xml:space="preserve">   </w:t>
      </w:r>
    </w:p>
    <w:p>
      <w:pPr>
        <w:adjustRightInd w:val="0"/>
        <w:snapToGrid w:val="0"/>
        <w:spacing w:line="480" w:lineRule="auto"/>
        <w:rPr>
          <w:rFonts w:hint="eastAsia" w:ascii="宋体" w:hAnsi="宋体" w:cs="宋体"/>
          <w:bCs/>
          <w:snapToGrid w:val="0"/>
          <w:sz w:val="30"/>
          <w:szCs w:val="30"/>
          <w:highlight w:val="none"/>
        </w:rPr>
      </w:pPr>
    </w:p>
    <w:p>
      <w:pPr>
        <w:adjustRightInd w:val="0"/>
        <w:snapToGrid w:val="0"/>
        <w:spacing w:line="480" w:lineRule="auto"/>
        <w:rPr>
          <w:rFonts w:ascii="宋体" w:hAnsi="宋体" w:cs="宋体"/>
          <w:bCs/>
          <w:snapToGrid w:val="0"/>
          <w:sz w:val="30"/>
          <w:szCs w:val="30"/>
          <w:highlight w:val="none"/>
        </w:rPr>
      </w:pPr>
      <w:r>
        <w:rPr>
          <w:rFonts w:hint="eastAsia" w:ascii="宋体" w:hAnsi="宋体" w:cs="宋体"/>
          <w:bCs/>
          <w:snapToGrid w:val="0"/>
          <w:sz w:val="30"/>
          <w:szCs w:val="30"/>
          <w:highlight w:val="none"/>
        </w:rPr>
        <w:t>项目编号：</w:t>
      </w:r>
      <w:r>
        <w:rPr>
          <w:rFonts w:hint="eastAsia" w:ascii="宋体" w:hAnsi="宋体" w:cs="宋体"/>
          <w:bCs/>
          <w:snapToGrid w:val="0"/>
          <w:sz w:val="30"/>
          <w:szCs w:val="30"/>
          <w:highlight w:val="none"/>
          <w:u w:val="single"/>
        </w:rPr>
        <w:t>XXCG(2022)-</w:t>
      </w:r>
      <w:r>
        <w:rPr>
          <w:rFonts w:hint="eastAsia" w:ascii="宋体" w:hAnsi="宋体" w:cs="宋体"/>
          <w:bCs/>
          <w:snapToGrid w:val="0"/>
          <w:sz w:val="30"/>
          <w:szCs w:val="30"/>
          <w:highlight w:val="none"/>
          <w:u w:val="single"/>
          <w:lang w:val="en-US" w:eastAsia="zh-CN"/>
        </w:rPr>
        <w:t>058</w:t>
      </w:r>
      <w:r>
        <w:rPr>
          <w:rFonts w:hint="eastAsia" w:ascii="宋体" w:hAnsi="宋体" w:cs="宋体"/>
          <w:bCs/>
          <w:snapToGrid w:val="0"/>
          <w:sz w:val="30"/>
          <w:szCs w:val="30"/>
          <w:highlight w:val="none"/>
          <w:u w:val="single"/>
        </w:rPr>
        <w:t xml:space="preserve">  </w:t>
      </w:r>
    </w:p>
    <w:p>
      <w:pPr>
        <w:adjustRightInd w:val="0"/>
        <w:snapToGrid w:val="0"/>
        <w:spacing w:line="480" w:lineRule="auto"/>
        <w:ind w:left="1500" w:hanging="1500" w:hangingChars="500"/>
        <w:rPr>
          <w:rFonts w:hint="eastAsia" w:ascii="宋体" w:hAnsi="宋体" w:cs="宋体"/>
          <w:bCs/>
          <w:snapToGrid w:val="0"/>
          <w:sz w:val="30"/>
          <w:szCs w:val="30"/>
          <w:highlight w:val="none"/>
          <w:u w:val="single"/>
        </w:rPr>
      </w:pPr>
      <w:r>
        <w:rPr>
          <w:rFonts w:hint="eastAsia" w:ascii="宋体" w:hAnsi="宋体" w:cs="宋体"/>
          <w:bCs/>
          <w:snapToGrid w:val="0"/>
          <w:sz w:val="30"/>
          <w:szCs w:val="30"/>
          <w:highlight w:val="none"/>
        </w:rPr>
        <w:t>项目名称：</w:t>
      </w:r>
      <w:r>
        <w:rPr>
          <w:rFonts w:hint="eastAsia" w:ascii="宋体" w:hAnsi="宋体" w:cs="宋体"/>
          <w:bCs/>
          <w:snapToGrid w:val="0"/>
          <w:spacing w:val="-6"/>
          <w:sz w:val="30"/>
          <w:szCs w:val="30"/>
          <w:highlight w:val="none"/>
          <w:u w:val="single"/>
        </w:rPr>
        <w:t>平安风险预警预测防控应用项目</w:t>
      </w:r>
    </w:p>
    <w:p>
      <w:pPr>
        <w:adjustRightInd w:val="0"/>
        <w:snapToGrid w:val="0"/>
        <w:spacing w:line="480" w:lineRule="auto"/>
        <w:jc w:val="left"/>
        <w:rPr>
          <w:rFonts w:hint="eastAsia" w:ascii="宋体" w:hAnsi="宋体" w:cs="宋体"/>
          <w:bCs/>
          <w:snapToGrid w:val="0"/>
          <w:sz w:val="30"/>
          <w:szCs w:val="30"/>
          <w:highlight w:val="none"/>
          <w:u w:val="single"/>
        </w:rPr>
      </w:pPr>
      <w:r>
        <w:rPr>
          <w:rFonts w:hint="eastAsia" w:ascii="宋体" w:hAnsi="宋体" w:cs="宋体"/>
          <w:bCs/>
          <w:snapToGrid w:val="0"/>
          <w:spacing w:val="60"/>
          <w:sz w:val="30"/>
          <w:szCs w:val="30"/>
          <w:highlight w:val="none"/>
        </w:rPr>
        <w:t>采购人</w:t>
      </w:r>
      <w:r>
        <w:rPr>
          <w:rFonts w:hint="eastAsia" w:ascii="宋体" w:hAnsi="宋体" w:cs="宋体"/>
          <w:bCs/>
          <w:snapToGrid w:val="0"/>
          <w:sz w:val="30"/>
          <w:szCs w:val="30"/>
          <w:highlight w:val="none"/>
        </w:rPr>
        <w:t>：</w:t>
      </w:r>
      <w:r>
        <w:rPr>
          <w:rFonts w:hint="eastAsia" w:ascii="宋体" w:hAnsi="宋体" w:cs="宋体"/>
          <w:bCs/>
          <w:snapToGrid w:val="0"/>
          <w:sz w:val="30"/>
          <w:szCs w:val="30"/>
          <w:highlight w:val="none"/>
          <w:u w:val="single"/>
        </w:rPr>
        <w:t xml:space="preserve">中共湖州市委政法委员会    </w:t>
      </w:r>
      <w:r>
        <w:rPr>
          <w:rFonts w:hint="eastAsia" w:ascii="宋体" w:hAnsi="宋体" w:cs="宋体"/>
          <w:bCs/>
          <w:snapToGrid w:val="0"/>
          <w:sz w:val="30"/>
          <w:szCs w:val="30"/>
          <w:highlight w:val="none"/>
          <w:u w:val="single"/>
          <w:lang w:val="en-US" w:eastAsia="zh-CN"/>
        </w:rPr>
        <w:t xml:space="preserve">    </w:t>
      </w:r>
      <w:r>
        <w:rPr>
          <w:rFonts w:hint="eastAsia" w:ascii="宋体" w:hAnsi="宋体" w:cs="宋体"/>
          <w:bCs/>
          <w:snapToGrid w:val="0"/>
          <w:sz w:val="30"/>
          <w:szCs w:val="30"/>
          <w:highlight w:val="none"/>
          <w:u w:val="single"/>
        </w:rPr>
        <w:t>（盖章）</w:t>
      </w:r>
    </w:p>
    <w:p>
      <w:pPr>
        <w:adjustRightInd w:val="0"/>
        <w:snapToGrid w:val="0"/>
        <w:spacing w:line="480" w:lineRule="auto"/>
        <w:ind w:right="281" w:rightChars="134"/>
        <w:rPr>
          <w:rFonts w:hint="eastAsia" w:ascii="宋体" w:hAnsi="宋体" w:eastAsia="宋体" w:cs="宋体"/>
          <w:bCs/>
          <w:snapToGrid w:val="0"/>
          <w:sz w:val="30"/>
          <w:szCs w:val="30"/>
          <w:highlight w:val="none"/>
          <w:lang w:val="en-US" w:eastAsia="zh-CN"/>
        </w:rPr>
      </w:pPr>
      <w:r>
        <w:rPr>
          <w:rFonts w:hint="eastAsia" w:ascii="宋体" w:hAnsi="宋体" w:cs="宋体"/>
          <w:bCs/>
          <w:snapToGrid w:val="0"/>
          <w:sz w:val="30"/>
          <w:szCs w:val="30"/>
          <w:highlight w:val="none"/>
        </w:rPr>
        <w:t>采购代理机构：</w:t>
      </w:r>
      <w:r>
        <w:rPr>
          <w:rFonts w:hint="eastAsia" w:ascii="宋体" w:hAnsi="宋体" w:cs="宋体"/>
          <w:bCs/>
          <w:snapToGrid w:val="0"/>
          <w:sz w:val="30"/>
          <w:szCs w:val="30"/>
          <w:highlight w:val="none"/>
          <w:u w:val="single"/>
        </w:rPr>
        <w:t>湖州星兴工程咨询有限公司  （盖章）</w:t>
      </w:r>
    </w:p>
    <w:p>
      <w:pPr>
        <w:adjustRightInd w:val="0"/>
        <w:snapToGrid w:val="0"/>
        <w:spacing w:line="1000" w:lineRule="exact"/>
        <w:jc w:val="center"/>
        <w:rPr>
          <w:rFonts w:hint="eastAsia" w:ascii="宋体" w:hAnsi="宋体" w:cs="宋体"/>
          <w:b/>
          <w:bCs/>
          <w:sz w:val="30"/>
          <w:szCs w:val="30"/>
          <w:highlight w:val="none"/>
        </w:rPr>
      </w:pPr>
      <w:r>
        <w:rPr>
          <w:rFonts w:hint="eastAsia" w:ascii="宋体" w:hAnsi="宋体" w:cs="宋体"/>
          <w:b/>
          <w:bCs/>
          <w:sz w:val="30"/>
          <w:szCs w:val="30"/>
          <w:highlight w:val="none"/>
        </w:rPr>
        <w:t>日期：</w:t>
      </w:r>
      <w:r>
        <w:rPr>
          <w:rFonts w:hint="eastAsia" w:ascii="宋体" w:hAnsi="宋体" w:cs="宋体"/>
          <w:b/>
          <w:bCs/>
          <w:sz w:val="30"/>
          <w:szCs w:val="30"/>
          <w:highlight w:val="none"/>
          <w:u w:val="single"/>
        </w:rPr>
        <w:t xml:space="preserve"> 2022</w:t>
      </w:r>
      <w:r>
        <w:rPr>
          <w:rFonts w:hint="eastAsia" w:ascii="宋体" w:hAnsi="宋体" w:cs="宋体"/>
          <w:b/>
          <w:bCs/>
          <w:sz w:val="30"/>
          <w:szCs w:val="30"/>
          <w:highlight w:val="none"/>
        </w:rPr>
        <w:t>年</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u w:val="single"/>
          <w:lang w:val="en-US" w:eastAsia="zh-CN"/>
        </w:rPr>
        <w:t>10</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rPr>
        <w:t>月</w:t>
      </w:r>
    </w:p>
    <w:p>
      <w:pPr>
        <w:pStyle w:val="25"/>
        <w:rPr>
          <w:rFonts w:hint="eastAsia" w:ascii="宋体" w:cs="宋体"/>
          <w:b/>
          <w:bCs/>
          <w:sz w:val="30"/>
          <w:szCs w:val="30"/>
        </w:rPr>
      </w:pPr>
    </w:p>
    <w:p>
      <w:pPr>
        <w:pStyle w:val="26"/>
        <w:ind w:firstLine="240"/>
      </w:pPr>
    </w:p>
    <w:p>
      <w:pPr>
        <w:snapToGrid w:val="0"/>
        <w:spacing w:before="120" w:after="120" w:line="360" w:lineRule="auto"/>
        <w:jc w:val="center"/>
        <w:rPr>
          <w:rFonts w:ascii="宋体"/>
          <w:sz w:val="44"/>
        </w:rPr>
      </w:pPr>
    </w:p>
    <w:p>
      <w:pPr>
        <w:snapToGrid w:val="0"/>
        <w:spacing w:before="120" w:after="120" w:line="360" w:lineRule="auto"/>
        <w:jc w:val="center"/>
        <w:rPr>
          <w:rFonts w:ascii="宋体"/>
          <w:sz w:val="44"/>
        </w:rPr>
      </w:pPr>
      <w:r>
        <w:rPr>
          <w:rFonts w:ascii="宋体"/>
          <w:sz w:val="44"/>
        </w:rPr>
        <w:t>目    录</w:t>
      </w:r>
    </w:p>
    <w:p>
      <w:pPr>
        <w:numPr>
          <w:ilvl w:val="0"/>
          <w:numId w:val="3"/>
        </w:numPr>
        <w:tabs>
          <w:tab w:val="left" w:pos="1440"/>
        </w:tabs>
        <w:snapToGrid w:val="0"/>
        <w:spacing w:before="120" w:line="360" w:lineRule="auto"/>
        <w:ind w:left="1440"/>
        <w:rPr>
          <w:rFonts w:ascii="宋体"/>
          <w:sz w:val="30"/>
        </w:rPr>
      </w:pPr>
      <w:r>
        <w:rPr>
          <w:rFonts w:hint="eastAsia" w:ascii="宋体"/>
          <w:sz w:val="30"/>
        </w:rPr>
        <w:t>公开招标采购公告  ……………………………………2</w:t>
      </w:r>
    </w:p>
    <w:p>
      <w:pPr>
        <w:numPr>
          <w:ilvl w:val="0"/>
          <w:numId w:val="3"/>
        </w:numPr>
        <w:tabs>
          <w:tab w:val="left" w:pos="1440"/>
        </w:tabs>
        <w:snapToGrid w:val="0"/>
        <w:spacing w:before="120" w:line="360" w:lineRule="auto"/>
        <w:ind w:left="1440"/>
        <w:rPr>
          <w:rFonts w:ascii="宋体"/>
          <w:sz w:val="30"/>
        </w:rPr>
      </w:pPr>
      <w:r>
        <w:rPr>
          <w:rFonts w:hint="eastAsia" w:ascii="宋体"/>
          <w:sz w:val="30"/>
        </w:rPr>
        <w:t>采购需求  ………………………………………………7</w:t>
      </w:r>
    </w:p>
    <w:p>
      <w:pPr>
        <w:numPr>
          <w:ilvl w:val="0"/>
          <w:numId w:val="3"/>
        </w:numPr>
        <w:tabs>
          <w:tab w:val="left" w:pos="1440"/>
        </w:tabs>
        <w:snapToGrid w:val="0"/>
        <w:spacing w:before="120" w:line="360" w:lineRule="auto"/>
        <w:ind w:left="1440"/>
        <w:rPr>
          <w:rFonts w:ascii="宋体"/>
          <w:sz w:val="30"/>
        </w:rPr>
      </w:pPr>
      <w:r>
        <w:rPr>
          <w:rFonts w:hint="eastAsia" w:ascii="宋体"/>
          <w:sz w:val="30"/>
        </w:rPr>
        <w:t>投标供应商须知  …………………………………… 11</w:t>
      </w:r>
    </w:p>
    <w:p>
      <w:pPr>
        <w:snapToGrid w:val="0"/>
        <w:spacing w:before="120" w:line="360" w:lineRule="auto"/>
        <w:ind w:firstLine="900"/>
        <w:rPr>
          <w:rFonts w:hint="eastAsia" w:ascii="宋体"/>
          <w:sz w:val="30"/>
        </w:rPr>
      </w:pPr>
      <w:r>
        <w:rPr>
          <w:rFonts w:hint="eastAsia" w:ascii="宋体"/>
          <w:sz w:val="30"/>
        </w:rPr>
        <w:t>前附表  …………………………………………………… 11</w:t>
      </w:r>
    </w:p>
    <w:p>
      <w:pPr>
        <w:snapToGrid w:val="0"/>
        <w:spacing w:before="120" w:line="360" w:lineRule="auto"/>
        <w:ind w:firstLine="900"/>
        <w:rPr>
          <w:rFonts w:ascii="宋体"/>
          <w:sz w:val="30"/>
        </w:rPr>
      </w:pPr>
      <w:r>
        <w:rPr>
          <w:rFonts w:hint="eastAsia" w:ascii="宋体"/>
          <w:sz w:val="30"/>
        </w:rPr>
        <w:t>一、总则   …………………………………………………13</w:t>
      </w:r>
    </w:p>
    <w:p>
      <w:pPr>
        <w:tabs>
          <w:tab w:val="left" w:pos="7513"/>
          <w:tab w:val="left" w:pos="7655"/>
        </w:tabs>
        <w:snapToGrid w:val="0"/>
        <w:spacing w:before="120" w:line="360" w:lineRule="auto"/>
        <w:ind w:firstLine="900" w:firstLineChars="300"/>
        <w:rPr>
          <w:rFonts w:ascii="宋体"/>
          <w:sz w:val="30"/>
        </w:rPr>
      </w:pPr>
      <w:r>
        <w:rPr>
          <w:rFonts w:hint="eastAsia" w:ascii="宋体"/>
          <w:sz w:val="30"/>
        </w:rPr>
        <w:t>二、采购文件   ……………………………………………15</w:t>
      </w:r>
    </w:p>
    <w:p>
      <w:pPr>
        <w:snapToGrid w:val="0"/>
        <w:spacing w:before="120" w:line="360" w:lineRule="auto"/>
        <w:ind w:firstLine="900"/>
        <w:rPr>
          <w:rFonts w:ascii="宋体"/>
          <w:sz w:val="30"/>
        </w:rPr>
      </w:pPr>
      <w:r>
        <w:rPr>
          <w:rFonts w:hint="eastAsia" w:ascii="宋体"/>
          <w:sz w:val="30"/>
        </w:rPr>
        <w:t>三、投标文件的编制   ……………………………………16</w:t>
      </w:r>
    </w:p>
    <w:p>
      <w:pPr>
        <w:snapToGrid w:val="0"/>
        <w:spacing w:before="120" w:line="360" w:lineRule="auto"/>
        <w:ind w:firstLine="900"/>
        <w:rPr>
          <w:rFonts w:ascii="宋体"/>
          <w:sz w:val="30"/>
        </w:rPr>
      </w:pPr>
      <w:r>
        <w:rPr>
          <w:rFonts w:hint="eastAsia" w:ascii="宋体"/>
          <w:sz w:val="30"/>
        </w:rPr>
        <w:t>四、开标   …………………………………………………23</w:t>
      </w:r>
    </w:p>
    <w:p>
      <w:pPr>
        <w:snapToGrid w:val="0"/>
        <w:spacing w:before="120" w:line="360" w:lineRule="auto"/>
        <w:ind w:firstLine="900"/>
        <w:rPr>
          <w:rFonts w:ascii="宋体"/>
          <w:sz w:val="30"/>
        </w:rPr>
      </w:pPr>
      <w:r>
        <w:rPr>
          <w:rFonts w:hint="eastAsia" w:ascii="宋体"/>
          <w:sz w:val="30"/>
        </w:rPr>
        <w:t>五、评标   …………………………………………………24</w:t>
      </w:r>
    </w:p>
    <w:p>
      <w:pPr>
        <w:snapToGrid w:val="0"/>
        <w:spacing w:before="120" w:line="360" w:lineRule="auto"/>
        <w:ind w:firstLine="900"/>
        <w:rPr>
          <w:rFonts w:ascii="宋体"/>
          <w:sz w:val="30"/>
        </w:rPr>
      </w:pPr>
      <w:r>
        <w:rPr>
          <w:rFonts w:hint="eastAsia" w:ascii="宋体"/>
          <w:sz w:val="30"/>
        </w:rPr>
        <w:t>六、定标   …………………………………………………26</w:t>
      </w:r>
    </w:p>
    <w:p>
      <w:pPr>
        <w:snapToGrid w:val="0"/>
        <w:spacing w:before="120" w:line="360" w:lineRule="auto"/>
        <w:ind w:firstLine="900"/>
        <w:rPr>
          <w:rFonts w:ascii="宋体"/>
          <w:sz w:val="30"/>
        </w:rPr>
      </w:pPr>
      <w:r>
        <w:rPr>
          <w:rFonts w:hint="eastAsia" w:ascii="宋体"/>
          <w:sz w:val="30"/>
        </w:rPr>
        <w:t>七、合同授予  …………………………………………… 27</w:t>
      </w:r>
    </w:p>
    <w:p>
      <w:pPr>
        <w:numPr>
          <w:ilvl w:val="0"/>
          <w:numId w:val="3"/>
        </w:numPr>
        <w:tabs>
          <w:tab w:val="left" w:pos="1440"/>
        </w:tabs>
        <w:snapToGrid w:val="0"/>
        <w:spacing w:before="120" w:line="360" w:lineRule="auto"/>
        <w:ind w:left="1440"/>
        <w:rPr>
          <w:rFonts w:ascii="宋体"/>
          <w:sz w:val="30"/>
        </w:rPr>
      </w:pPr>
      <w:r>
        <w:rPr>
          <w:rFonts w:hint="eastAsia" w:ascii="宋体"/>
          <w:sz w:val="30"/>
        </w:rPr>
        <w:t>评标办法及评分标准  ……………………………… 28</w:t>
      </w:r>
    </w:p>
    <w:p>
      <w:pPr>
        <w:numPr>
          <w:ilvl w:val="0"/>
          <w:numId w:val="3"/>
        </w:numPr>
        <w:tabs>
          <w:tab w:val="left" w:pos="1440"/>
        </w:tabs>
        <w:snapToGrid w:val="0"/>
        <w:spacing w:before="120" w:line="360" w:lineRule="auto"/>
        <w:ind w:left="1440"/>
        <w:rPr>
          <w:rFonts w:ascii="宋体"/>
          <w:sz w:val="30"/>
        </w:rPr>
      </w:pPr>
      <w:r>
        <w:rPr>
          <w:rFonts w:hint="eastAsia" w:ascii="宋体"/>
          <w:sz w:val="30"/>
        </w:rPr>
        <w:t>合同主要条款  ……………………………………… 32</w:t>
      </w:r>
    </w:p>
    <w:p>
      <w:pPr>
        <w:numPr>
          <w:ilvl w:val="0"/>
          <w:numId w:val="3"/>
        </w:numPr>
        <w:tabs>
          <w:tab w:val="left" w:pos="1440"/>
        </w:tabs>
        <w:snapToGrid w:val="0"/>
        <w:spacing w:before="120" w:line="360" w:lineRule="auto"/>
        <w:ind w:left="1440"/>
        <w:rPr>
          <w:rFonts w:ascii="宋体"/>
          <w:sz w:val="30"/>
        </w:rPr>
      </w:pPr>
      <w:r>
        <w:rPr>
          <w:rFonts w:hint="eastAsia" w:ascii="宋体"/>
          <w:sz w:val="30"/>
        </w:rPr>
        <w:t>投标文件格式  ……………………………………… 36</w:t>
      </w:r>
    </w:p>
    <w:p>
      <w:pPr>
        <w:pStyle w:val="2"/>
        <w:spacing w:before="0" w:after="0" w:line="240" w:lineRule="auto"/>
        <w:jc w:val="center"/>
        <w:rPr>
          <w:rFonts w:hint="eastAsia" w:ascii="宋体" w:hAnsi="宋体"/>
          <w:sz w:val="36"/>
          <w:szCs w:val="36"/>
        </w:rPr>
      </w:pPr>
      <w:bookmarkStart w:id="2" w:name="_Toc245801481"/>
    </w:p>
    <w:p>
      <w:pPr>
        <w:rPr>
          <w:rFonts w:hint="eastAsia"/>
        </w:rPr>
      </w:pPr>
    </w:p>
    <w:p>
      <w:pPr>
        <w:rPr>
          <w:rFonts w:hint="eastAsia"/>
        </w:rPr>
      </w:pPr>
    </w:p>
    <w:p>
      <w:pPr>
        <w:pStyle w:val="25"/>
        <w:rPr>
          <w:rFonts w:hint="eastAsia"/>
        </w:rPr>
      </w:pPr>
    </w:p>
    <w:p>
      <w:pPr>
        <w:pStyle w:val="26"/>
        <w:ind w:firstLine="240"/>
        <w:rPr>
          <w:rFonts w:hint="eastAsia"/>
        </w:rPr>
      </w:pPr>
    </w:p>
    <w:p>
      <w:pPr>
        <w:rPr>
          <w:rFonts w:hint="eastAsia"/>
        </w:rPr>
      </w:pPr>
    </w:p>
    <w:p>
      <w:pPr>
        <w:rPr>
          <w:rFonts w:hint="eastAsia"/>
        </w:rPr>
      </w:pPr>
    </w:p>
    <w:p>
      <w:pPr>
        <w:rPr>
          <w:rFonts w:hint="eastAsia"/>
        </w:rPr>
      </w:pPr>
    </w:p>
    <w:p>
      <w:pPr>
        <w:pStyle w:val="2"/>
        <w:spacing w:before="0" w:after="0" w:line="360" w:lineRule="auto"/>
        <w:jc w:val="center"/>
        <w:rPr>
          <w:rFonts w:hint="eastAsia" w:ascii="宋体" w:hAnsi="宋体" w:cs="宋体"/>
          <w:sz w:val="28"/>
          <w:szCs w:val="28"/>
        </w:rPr>
      </w:pPr>
      <w:r>
        <w:rPr>
          <w:rFonts w:hint="eastAsia" w:ascii="宋体" w:hAnsi="宋体" w:cs="宋体"/>
          <w:sz w:val="28"/>
          <w:szCs w:val="28"/>
        </w:rPr>
        <w:t xml:space="preserve">第一章  </w:t>
      </w:r>
      <w:bookmarkEnd w:id="0"/>
      <w:bookmarkEnd w:id="1"/>
      <w:bookmarkEnd w:id="2"/>
      <w:r>
        <w:rPr>
          <w:rFonts w:hint="eastAsia" w:ascii="宋体" w:hAnsi="宋体" w:cs="宋体"/>
          <w:sz w:val="28"/>
          <w:szCs w:val="28"/>
        </w:rPr>
        <w:t>公开招标采购公告</w:t>
      </w:r>
    </w:p>
    <w:p>
      <w:pPr>
        <w:pStyle w:val="177"/>
        <w:spacing w:after="120" w:line="360" w:lineRule="auto"/>
        <w:ind w:firstLine="480"/>
        <w:rPr>
          <w:rFonts w:hint="eastAsia" w:ascii="宋体" w:hAnsi="宋体" w:cs="宋体"/>
          <w:szCs w:val="24"/>
        </w:rPr>
      </w:pPr>
      <w:bookmarkStart w:id="3" w:name="_Toc245801485"/>
      <w:r>
        <w:rPr>
          <w:rFonts w:hint="eastAsia" w:ascii="宋体" w:hAnsi="宋体" w:cs="宋体"/>
          <w:szCs w:val="24"/>
        </w:rPr>
        <w:t>根据《中华人民共和国政府采购法》、《政府采购货物和服务采购投标管理办法》等规定，经湖州市财政局批</w:t>
      </w:r>
      <w:r>
        <w:rPr>
          <w:rFonts w:hint="eastAsia" w:ascii="宋体" w:hAnsi="宋体" w:cs="宋体"/>
          <w:szCs w:val="24"/>
          <w:highlight w:val="none"/>
        </w:rPr>
        <w:t>准（临[2022]</w:t>
      </w:r>
      <w:r>
        <w:rPr>
          <w:rFonts w:hint="eastAsia" w:ascii="宋体" w:hAnsi="宋体" w:cs="宋体"/>
          <w:szCs w:val="24"/>
          <w:highlight w:val="none"/>
          <w:lang w:val="en-US" w:eastAsia="zh-CN"/>
        </w:rPr>
        <w:t>23962</w:t>
      </w:r>
      <w:r>
        <w:rPr>
          <w:rFonts w:hint="eastAsia" w:ascii="宋体" w:hAnsi="宋体" w:cs="宋体"/>
          <w:szCs w:val="24"/>
          <w:highlight w:val="none"/>
        </w:rPr>
        <w:t>号</w:t>
      </w:r>
      <w:r>
        <w:rPr>
          <w:rFonts w:hint="eastAsia" w:ascii="宋体" w:hAnsi="宋体" w:cs="宋体"/>
          <w:szCs w:val="24"/>
        </w:rPr>
        <w:t>)，</w:t>
      </w:r>
      <w:r>
        <w:rPr>
          <w:rFonts w:hint="eastAsia" w:ascii="宋体" w:hAnsi="宋体" w:cs="宋体"/>
          <w:szCs w:val="24"/>
          <w:u w:val="single"/>
        </w:rPr>
        <w:t>湖州星兴工程咨询有限公司</w:t>
      </w:r>
      <w:r>
        <w:rPr>
          <w:rFonts w:hint="eastAsia" w:ascii="宋体" w:hAnsi="宋体" w:cs="宋体"/>
          <w:szCs w:val="24"/>
        </w:rPr>
        <w:t>受</w:t>
      </w:r>
      <w:r>
        <w:rPr>
          <w:rFonts w:hint="eastAsia" w:ascii="宋体" w:hAnsi="宋体" w:cs="宋体"/>
          <w:szCs w:val="24"/>
          <w:u w:val="single"/>
        </w:rPr>
        <w:t>中共湖州市委政法委员会</w:t>
      </w:r>
      <w:r>
        <w:rPr>
          <w:rFonts w:hint="eastAsia" w:ascii="宋体" w:hAnsi="宋体" w:cs="宋体"/>
          <w:szCs w:val="24"/>
        </w:rPr>
        <w:t>委托，现就</w:t>
      </w:r>
      <w:r>
        <w:rPr>
          <w:rFonts w:hint="eastAsia" w:ascii="宋体" w:hAnsi="宋体" w:cs="宋体"/>
          <w:szCs w:val="24"/>
          <w:u w:val="single"/>
        </w:rPr>
        <w:t>平安风险预警预测防控应用项目</w:t>
      </w:r>
      <w:r>
        <w:rPr>
          <w:rFonts w:hint="eastAsia" w:ascii="宋体" w:hAnsi="宋体" w:cs="宋体"/>
          <w:szCs w:val="24"/>
        </w:rPr>
        <w:t>进行公开招标。欢迎国内符合资格要求的供应商前来参加投标。</w:t>
      </w:r>
    </w:p>
    <w:p>
      <w:pPr>
        <w:pStyle w:val="177"/>
        <w:spacing w:after="120" w:line="360" w:lineRule="auto"/>
        <w:ind w:firstLine="480"/>
        <w:rPr>
          <w:rFonts w:hint="default" w:ascii="宋体" w:hAnsi="宋体" w:eastAsia="宋体" w:cs="宋体"/>
          <w:szCs w:val="24"/>
          <w:lang w:val="en-US" w:eastAsia="zh-CN"/>
        </w:rPr>
      </w:pPr>
      <w:r>
        <w:rPr>
          <w:rFonts w:hint="eastAsia" w:ascii="宋体" w:hAnsi="宋体" w:cs="宋体"/>
          <w:szCs w:val="24"/>
        </w:rPr>
        <w:t>一、</w:t>
      </w:r>
      <w:r>
        <w:rPr>
          <w:rFonts w:hint="eastAsia" w:ascii="宋体" w:hAnsi="宋体" w:cs="宋体"/>
          <w:b/>
          <w:bCs/>
          <w:szCs w:val="24"/>
        </w:rPr>
        <w:t>项目编号</w:t>
      </w:r>
      <w:r>
        <w:rPr>
          <w:rFonts w:hint="eastAsia" w:ascii="宋体" w:hAnsi="宋体" w:cs="宋体"/>
          <w:b/>
          <w:szCs w:val="24"/>
        </w:rPr>
        <w:t>：</w:t>
      </w:r>
      <w:r>
        <w:rPr>
          <w:rFonts w:hint="eastAsia" w:ascii="宋体" w:hAnsi="宋体" w:cs="宋体"/>
          <w:bCs/>
          <w:szCs w:val="24"/>
        </w:rPr>
        <w:t>XXCG(2022)-</w:t>
      </w:r>
      <w:r>
        <w:rPr>
          <w:rFonts w:hint="eastAsia" w:ascii="宋体" w:hAnsi="宋体" w:cs="宋体"/>
          <w:bCs/>
          <w:szCs w:val="24"/>
          <w:lang w:val="en-US" w:eastAsia="zh-CN"/>
        </w:rPr>
        <w:t>058</w:t>
      </w:r>
    </w:p>
    <w:p>
      <w:pPr>
        <w:pStyle w:val="177"/>
        <w:spacing w:after="120" w:line="360" w:lineRule="auto"/>
        <w:ind w:firstLine="480"/>
        <w:rPr>
          <w:rFonts w:hint="eastAsia" w:ascii="宋体" w:hAnsi="宋体" w:cs="宋体"/>
          <w:szCs w:val="24"/>
        </w:rPr>
      </w:pPr>
      <w:r>
        <w:rPr>
          <w:rFonts w:hint="eastAsia" w:ascii="宋体" w:hAnsi="宋体" w:cs="宋体"/>
          <w:szCs w:val="24"/>
        </w:rPr>
        <w:t>二、</w:t>
      </w:r>
      <w:r>
        <w:rPr>
          <w:rFonts w:hint="eastAsia" w:ascii="宋体" w:hAnsi="宋体" w:cs="宋体"/>
          <w:b/>
          <w:szCs w:val="24"/>
        </w:rPr>
        <w:t>采购组织类型：</w:t>
      </w:r>
      <w:r>
        <w:rPr>
          <w:rFonts w:hint="eastAsia" w:ascii="宋体" w:hAnsi="宋体" w:cs="宋体"/>
          <w:szCs w:val="24"/>
        </w:rPr>
        <w:t>分散采购-委托中介</w:t>
      </w:r>
    </w:p>
    <w:p>
      <w:pPr>
        <w:pStyle w:val="177"/>
        <w:spacing w:after="120" w:line="360" w:lineRule="auto"/>
        <w:ind w:firstLine="482"/>
        <w:rPr>
          <w:rFonts w:hint="eastAsia" w:ascii="宋体" w:hAnsi="宋体" w:cs="宋体"/>
          <w:szCs w:val="24"/>
        </w:rPr>
      </w:pPr>
      <w:r>
        <w:rPr>
          <w:rFonts w:hint="eastAsia" w:ascii="宋体" w:hAnsi="宋体" w:cs="宋体"/>
          <w:b/>
          <w:szCs w:val="24"/>
        </w:rPr>
        <w:t>三、采购方式：</w:t>
      </w:r>
      <w:r>
        <w:rPr>
          <w:rFonts w:hint="eastAsia" w:ascii="宋体" w:hAnsi="宋体" w:cs="宋体"/>
          <w:szCs w:val="24"/>
        </w:rPr>
        <w:t>公开招标</w:t>
      </w:r>
    </w:p>
    <w:p>
      <w:pPr>
        <w:snapToGrid w:val="0"/>
        <w:spacing w:line="360" w:lineRule="auto"/>
        <w:ind w:firstLine="482" w:firstLineChars="200"/>
        <w:rPr>
          <w:rFonts w:hint="eastAsia" w:ascii="宋体" w:hAnsi="宋体" w:cs="宋体"/>
          <w:b/>
          <w:bCs/>
          <w:sz w:val="24"/>
        </w:rPr>
      </w:pPr>
      <w:r>
        <w:rPr>
          <w:rFonts w:hint="eastAsia" w:ascii="宋体" w:hAnsi="宋体" w:cs="宋体"/>
          <w:b/>
          <w:sz w:val="24"/>
        </w:rPr>
        <w:t>四、</w:t>
      </w:r>
      <w:r>
        <w:rPr>
          <w:rFonts w:hint="eastAsia" w:ascii="宋体" w:hAnsi="宋体" w:cs="宋体"/>
          <w:b/>
          <w:bCs/>
          <w:sz w:val="24"/>
        </w:rPr>
        <w:t>采购内容及数量：</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420"/>
        <w:gridCol w:w="765"/>
        <w:gridCol w:w="757"/>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4" w:type="pct"/>
            <w:noWrap w:val="0"/>
            <w:vAlign w:val="center"/>
          </w:tcPr>
          <w:p>
            <w:pPr>
              <w:pStyle w:val="3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cs="宋体"/>
                <w:sz w:val="24"/>
                <w:szCs w:val="24"/>
              </w:rPr>
            </w:pPr>
            <w:bookmarkStart w:id="4" w:name="_Toc29529"/>
            <w:r>
              <w:rPr>
                <w:rFonts w:hint="eastAsia" w:hAnsi="宋体" w:cs="宋体"/>
                <w:sz w:val="24"/>
                <w:szCs w:val="24"/>
              </w:rPr>
              <w:t>序号</w:t>
            </w:r>
          </w:p>
        </w:tc>
        <w:tc>
          <w:tcPr>
            <w:tcW w:w="784" w:type="pct"/>
            <w:noWrap w:val="0"/>
            <w:vAlign w:val="center"/>
          </w:tcPr>
          <w:p>
            <w:pPr>
              <w:pStyle w:val="3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cs="宋体"/>
                <w:sz w:val="24"/>
                <w:szCs w:val="24"/>
              </w:rPr>
            </w:pPr>
            <w:r>
              <w:rPr>
                <w:rFonts w:hint="eastAsia" w:hAnsi="宋体" w:cs="宋体"/>
                <w:sz w:val="24"/>
                <w:szCs w:val="24"/>
              </w:rPr>
              <w:t>采购内容</w:t>
            </w:r>
          </w:p>
        </w:tc>
        <w:tc>
          <w:tcPr>
            <w:tcW w:w="422" w:type="pct"/>
            <w:noWrap w:val="0"/>
            <w:vAlign w:val="center"/>
          </w:tcPr>
          <w:p>
            <w:pPr>
              <w:pStyle w:val="3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cs="宋体"/>
                <w:sz w:val="24"/>
                <w:szCs w:val="24"/>
              </w:rPr>
            </w:pPr>
            <w:r>
              <w:rPr>
                <w:rFonts w:hint="eastAsia" w:hAnsi="宋体" w:cs="宋体"/>
                <w:sz w:val="24"/>
                <w:szCs w:val="24"/>
              </w:rPr>
              <w:t>技术要求</w:t>
            </w:r>
          </w:p>
        </w:tc>
        <w:tc>
          <w:tcPr>
            <w:tcW w:w="418" w:type="pct"/>
            <w:noWrap w:val="0"/>
            <w:vAlign w:val="center"/>
          </w:tcPr>
          <w:p>
            <w:pPr>
              <w:pStyle w:val="3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cs="宋体"/>
                <w:sz w:val="24"/>
                <w:szCs w:val="24"/>
              </w:rPr>
            </w:pPr>
            <w:r>
              <w:rPr>
                <w:rFonts w:hint="eastAsia" w:hAnsi="宋体" w:cs="宋体"/>
                <w:sz w:val="24"/>
                <w:szCs w:val="24"/>
              </w:rPr>
              <w:t>预算金额</w:t>
            </w:r>
          </w:p>
        </w:tc>
        <w:tc>
          <w:tcPr>
            <w:tcW w:w="3080" w:type="pct"/>
            <w:noWrap w:val="0"/>
            <w:vAlign w:val="center"/>
          </w:tcPr>
          <w:p>
            <w:pPr>
              <w:pStyle w:val="3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eastAsia="宋体" w:cs="宋体"/>
                <w:sz w:val="24"/>
                <w:szCs w:val="24"/>
                <w:lang w:eastAsia="zh-CN"/>
              </w:rPr>
            </w:pPr>
            <w:r>
              <w:rPr>
                <w:rFonts w:hint="eastAsia" w:hAnsi="宋体" w:cs="宋体"/>
                <w:sz w:val="24"/>
                <w:szCs w:val="24"/>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294" w:type="pct"/>
            <w:noWrap w:val="0"/>
            <w:vAlign w:val="center"/>
          </w:tcPr>
          <w:p>
            <w:pPr>
              <w:pStyle w:val="34"/>
              <w:spacing w:line="360" w:lineRule="auto"/>
              <w:jc w:val="center"/>
              <w:rPr>
                <w:rFonts w:hint="eastAsia" w:hAnsi="宋体" w:cs="宋体"/>
                <w:sz w:val="24"/>
                <w:szCs w:val="24"/>
              </w:rPr>
            </w:pPr>
            <w:r>
              <w:rPr>
                <w:rFonts w:hint="eastAsia" w:hAnsi="宋体" w:cs="宋体"/>
                <w:sz w:val="24"/>
                <w:szCs w:val="24"/>
              </w:rPr>
              <w:t>1</w:t>
            </w:r>
          </w:p>
        </w:tc>
        <w:tc>
          <w:tcPr>
            <w:tcW w:w="784" w:type="pct"/>
            <w:noWrap w:val="0"/>
            <w:vAlign w:val="center"/>
          </w:tcPr>
          <w:p>
            <w:pPr>
              <w:pStyle w:val="34"/>
              <w:spacing w:line="360" w:lineRule="auto"/>
              <w:jc w:val="center"/>
              <w:rPr>
                <w:rFonts w:hint="eastAsia" w:hAnsi="宋体" w:cs="宋体"/>
                <w:sz w:val="24"/>
                <w:szCs w:val="24"/>
              </w:rPr>
            </w:pPr>
            <w:r>
              <w:rPr>
                <w:rFonts w:hint="eastAsia" w:hAnsi="宋体" w:cs="宋体"/>
                <w:sz w:val="24"/>
                <w:szCs w:val="24"/>
              </w:rPr>
              <w:t>平安风险预警预测防控应用项目</w:t>
            </w:r>
          </w:p>
        </w:tc>
        <w:tc>
          <w:tcPr>
            <w:tcW w:w="422" w:type="pct"/>
            <w:noWrap w:val="0"/>
            <w:vAlign w:val="center"/>
          </w:tcPr>
          <w:p>
            <w:pPr>
              <w:pStyle w:val="34"/>
              <w:spacing w:line="360" w:lineRule="auto"/>
              <w:jc w:val="center"/>
              <w:rPr>
                <w:rFonts w:hint="eastAsia" w:hAnsi="宋体" w:cs="宋体"/>
                <w:sz w:val="24"/>
                <w:szCs w:val="24"/>
              </w:rPr>
            </w:pPr>
            <w:r>
              <w:rPr>
                <w:rFonts w:hint="eastAsia" w:hAnsi="宋体" w:cs="宋体"/>
                <w:sz w:val="24"/>
                <w:szCs w:val="24"/>
              </w:rPr>
              <w:t>详见招标文件</w:t>
            </w:r>
          </w:p>
        </w:tc>
        <w:tc>
          <w:tcPr>
            <w:tcW w:w="418" w:type="pct"/>
            <w:noWrap w:val="0"/>
            <w:vAlign w:val="center"/>
          </w:tcPr>
          <w:p>
            <w:pPr>
              <w:pStyle w:val="34"/>
              <w:spacing w:line="360" w:lineRule="auto"/>
              <w:jc w:val="center"/>
              <w:rPr>
                <w:rFonts w:hint="eastAsia" w:hAnsi="宋体" w:cs="宋体"/>
                <w:sz w:val="24"/>
                <w:szCs w:val="24"/>
              </w:rPr>
            </w:pPr>
            <w:r>
              <w:rPr>
                <w:rFonts w:hint="eastAsia" w:hAnsi="宋体" w:cs="宋体"/>
                <w:sz w:val="24"/>
                <w:szCs w:val="24"/>
              </w:rPr>
              <w:t>1400万元</w:t>
            </w:r>
          </w:p>
        </w:tc>
        <w:tc>
          <w:tcPr>
            <w:tcW w:w="3080" w:type="pct"/>
            <w:noWrap w:val="0"/>
            <w:vAlign w:val="center"/>
          </w:tcPr>
          <w:p>
            <w:pPr>
              <w:pStyle w:val="34"/>
              <w:spacing w:line="360" w:lineRule="auto"/>
              <w:jc w:val="left"/>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350</w:t>
            </w:r>
            <w:r>
              <w:rPr>
                <w:rFonts w:hint="eastAsia" w:hAnsi="宋体" w:cs="宋体"/>
                <w:sz w:val="24"/>
                <w:szCs w:val="24"/>
              </w:rPr>
              <w:t>万元（其中中共湖州市委政法委员会 340万元</w:t>
            </w:r>
            <w:r>
              <w:rPr>
                <w:rFonts w:hint="eastAsia" w:hAnsi="宋体" w:cs="宋体"/>
                <w:sz w:val="24"/>
                <w:szCs w:val="24"/>
                <w:lang w:eastAsia="zh-CN"/>
              </w:rPr>
              <w:t>、</w:t>
            </w:r>
            <w:r>
              <w:rPr>
                <w:rFonts w:hint="eastAsia" w:hAnsi="宋体" w:cs="宋体"/>
                <w:sz w:val="24"/>
                <w:szCs w:val="24"/>
              </w:rPr>
              <w:t>中共安吉县委政法委员会175万元</w:t>
            </w:r>
            <w:r>
              <w:rPr>
                <w:rFonts w:hint="eastAsia" w:hAnsi="宋体" w:cs="宋体"/>
                <w:sz w:val="24"/>
                <w:szCs w:val="24"/>
                <w:lang w:eastAsia="zh-CN"/>
              </w:rPr>
              <w:t>、</w:t>
            </w:r>
            <w:r>
              <w:rPr>
                <w:rFonts w:hint="eastAsia" w:hAnsi="宋体" w:cs="宋体"/>
                <w:sz w:val="24"/>
                <w:szCs w:val="24"/>
              </w:rPr>
              <w:t>中共德清县委政法委员会175万元</w:t>
            </w:r>
            <w:r>
              <w:rPr>
                <w:rFonts w:hint="eastAsia" w:hAnsi="宋体" w:cs="宋体"/>
                <w:sz w:val="24"/>
                <w:szCs w:val="24"/>
                <w:lang w:eastAsia="zh-CN"/>
              </w:rPr>
              <w:t>、</w:t>
            </w:r>
            <w:r>
              <w:rPr>
                <w:rFonts w:hint="eastAsia" w:hAnsi="宋体" w:cs="宋体"/>
                <w:sz w:val="24"/>
                <w:szCs w:val="24"/>
              </w:rPr>
              <w:t>中共吴兴区委政法委员会 175万元</w:t>
            </w:r>
            <w:r>
              <w:rPr>
                <w:rFonts w:hint="eastAsia" w:hAnsi="宋体" w:cs="宋体"/>
                <w:sz w:val="24"/>
                <w:szCs w:val="24"/>
                <w:lang w:eastAsia="zh-CN"/>
              </w:rPr>
              <w:t>、</w:t>
            </w:r>
            <w:r>
              <w:rPr>
                <w:rFonts w:hint="eastAsia" w:hAnsi="宋体" w:cs="宋体"/>
                <w:sz w:val="24"/>
                <w:szCs w:val="24"/>
              </w:rPr>
              <w:t>中共湖州市南浔区委政法委员会 175万元</w:t>
            </w:r>
            <w:r>
              <w:rPr>
                <w:rFonts w:hint="eastAsia" w:hAnsi="宋体" w:cs="宋体"/>
                <w:sz w:val="24"/>
                <w:szCs w:val="24"/>
                <w:lang w:eastAsia="zh-CN"/>
              </w:rPr>
              <w:t>、</w:t>
            </w:r>
            <w:r>
              <w:rPr>
                <w:rFonts w:hint="eastAsia" w:hAnsi="宋体" w:cs="宋体"/>
                <w:sz w:val="24"/>
                <w:szCs w:val="24"/>
              </w:rPr>
              <w:t xml:space="preserve">中共长兴县委政法委员会175万元 </w:t>
            </w:r>
            <w:r>
              <w:rPr>
                <w:rFonts w:hint="eastAsia" w:hAnsi="宋体" w:cs="宋体"/>
                <w:sz w:val="24"/>
                <w:szCs w:val="24"/>
                <w:lang w:eastAsia="zh-CN"/>
              </w:rPr>
              <w:t>、</w:t>
            </w:r>
            <w:r>
              <w:rPr>
                <w:rFonts w:hint="eastAsia" w:hAnsi="宋体" w:cs="宋体"/>
                <w:sz w:val="24"/>
                <w:szCs w:val="24"/>
              </w:rPr>
              <w:t>湖州南太湖新区管理委员会政法委员会135万元。）</w:t>
            </w:r>
          </w:p>
        </w:tc>
      </w:tr>
      <w:bookmarkEnd w:id="4"/>
    </w:tbl>
    <w:p>
      <w:pPr>
        <w:snapToGrid w:val="0"/>
        <w:spacing w:line="360" w:lineRule="auto"/>
        <w:ind w:firstLine="482" w:firstLineChars="200"/>
        <w:jc w:val="left"/>
        <w:rPr>
          <w:rFonts w:hint="eastAsia" w:ascii="宋体" w:hAnsi="宋体" w:cs="宋体"/>
          <w:b/>
          <w:bCs/>
          <w:sz w:val="24"/>
        </w:rPr>
      </w:pPr>
      <w:r>
        <w:rPr>
          <w:rFonts w:hint="eastAsia" w:ascii="宋体" w:hAnsi="宋体" w:cs="宋体"/>
          <w:b/>
          <w:sz w:val="24"/>
        </w:rPr>
        <w:t>五</w:t>
      </w:r>
      <w:r>
        <w:rPr>
          <w:rFonts w:hint="eastAsia" w:ascii="宋体" w:hAnsi="宋体" w:cs="宋体"/>
          <w:sz w:val="24"/>
        </w:rPr>
        <w:t>、</w:t>
      </w:r>
      <w:r>
        <w:rPr>
          <w:rFonts w:hint="eastAsia" w:ascii="宋体" w:hAnsi="宋体" w:cs="宋体"/>
          <w:b/>
          <w:bCs/>
          <w:sz w:val="24"/>
        </w:rPr>
        <w:t>合格投标供应商的资格要求：</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Style w:val="29"/>
        <w:spacing w:line="360" w:lineRule="auto"/>
        <w:rPr>
          <w:rFonts w:hint="eastAsia"/>
        </w:rPr>
      </w:pPr>
      <w:r>
        <w:rPr>
          <w:rFonts w:hint="eastAsia" w:ascii="宋体" w:hAnsi="宋体" w:cs="宋体"/>
          <w:b/>
          <w:bCs/>
        </w:rPr>
        <w:t>2、本项目是否专门面向中小企业采购：否</w:t>
      </w:r>
    </w:p>
    <w:p>
      <w:pPr>
        <w:snapToGrid w:val="0"/>
        <w:spacing w:line="360" w:lineRule="auto"/>
        <w:ind w:firstLine="482" w:firstLineChars="200"/>
        <w:rPr>
          <w:rFonts w:hint="eastAsia" w:ascii="宋体" w:hAnsi="宋体" w:cs="宋体"/>
          <w:kern w:val="0"/>
          <w:sz w:val="24"/>
        </w:rPr>
      </w:pPr>
      <w:r>
        <w:rPr>
          <w:rFonts w:hint="eastAsia" w:ascii="宋体" w:hAnsi="宋体" w:cs="宋体"/>
          <w:b/>
          <w:bCs/>
          <w:sz w:val="24"/>
        </w:rPr>
        <w:t>六、报名及采购文件的获取</w:t>
      </w:r>
      <w:r>
        <w:rPr>
          <w:rFonts w:hint="eastAsia" w:ascii="宋体" w:hAnsi="宋体" w:cs="宋体"/>
          <w:sz w:val="24"/>
        </w:rPr>
        <w:t>：</w:t>
      </w:r>
    </w:p>
    <w:p>
      <w:pPr>
        <w:snapToGrid w:val="0"/>
        <w:spacing w:line="360" w:lineRule="auto"/>
        <w:ind w:firstLine="480" w:firstLineChars="200"/>
        <w:rPr>
          <w:rFonts w:hint="eastAsia" w:ascii="宋体" w:hAnsi="宋体" w:cs="宋体"/>
          <w:kern w:val="0"/>
          <w:sz w:val="24"/>
        </w:rPr>
      </w:pPr>
      <w:r>
        <w:rPr>
          <w:rFonts w:hint="eastAsia" w:ascii="宋体" w:hAnsi="宋体" w:cs="宋体"/>
          <w:sz w:val="24"/>
        </w:rPr>
        <w:t>1、获取文件时间：2022年</w:t>
      </w:r>
      <w:r>
        <w:rPr>
          <w:rFonts w:hint="eastAsia" w:ascii="宋体" w:hAnsi="宋体" w:cs="宋体"/>
          <w:sz w:val="24"/>
          <w:lang w:val="en-US" w:eastAsia="zh-CN"/>
        </w:rPr>
        <w:t>10</w:t>
      </w:r>
      <w:r>
        <w:rPr>
          <w:rFonts w:hint="eastAsia" w:ascii="宋体" w:hAnsi="宋体" w:cs="宋体"/>
          <w:sz w:val="24"/>
          <w:highlight w:val="cyan"/>
        </w:rPr>
        <w:t>月</w:t>
      </w:r>
      <w:r>
        <w:rPr>
          <w:rFonts w:hint="eastAsia" w:ascii="宋体" w:hAnsi="宋体" w:cs="宋体"/>
          <w:sz w:val="24"/>
          <w:highlight w:val="cyan"/>
          <w:lang w:val="en-US" w:eastAsia="zh-CN"/>
        </w:rPr>
        <w:t>8</w:t>
      </w:r>
      <w:r>
        <w:rPr>
          <w:rFonts w:hint="eastAsia" w:ascii="宋体" w:hAnsi="宋体" w:cs="宋体"/>
          <w:sz w:val="24"/>
          <w:highlight w:val="cyan"/>
        </w:rPr>
        <w:t>日至</w:t>
      </w:r>
      <w:r>
        <w:rPr>
          <w:rFonts w:hint="eastAsia" w:ascii="宋体" w:hAnsi="宋体" w:cs="宋体"/>
          <w:sz w:val="24"/>
        </w:rPr>
        <w:t>投标</w:t>
      </w:r>
      <w:r>
        <w:rPr>
          <w:rFonts w:hint="eastAsia"/>
          <w:sz w:val="24"/>
        </w:rPr>
        <w:t>截止时间</w:t>
      </w:r>
      <w:r>
        <w:rPr>
          <w:rFonts w:hint="eastAsia" w:ascii="宋体" w:hAnsi="宋体" w:cs="宋体"/>
          <w:sz w:val="24"/>
        </w:rPr>
        <w:t>（潜在供应商获取采购文件前应当在电子交易平台上注册账号并登录，截止时间后不再接受潜在供应商报名及获取采购文件）</w:t>
      </w:r>
    </w:p>
    <w:p>
      <w:pPr>
        <w:snapToGrid w:val="0"/>
        <w:spacing w:line="360" w:lineRule="auto"/>
        <w:ind w:firstLine="480" w:firstLineChars="200"/>
        <w:rPr>
          <w:rFonts w:hint="eastAsia" w:ascii="宋体" w:hAnsi="宋体" w:cs="宋体"/>
          <w:b/>
          <w:bCs/>
          <w:kern w:val="0"/>
          <w:sz w:val="24"/>
        </w:rPr>
      </w:pPr>
      <w:r>
        <w:rPr>
          <w:rFonts w:hint="eastAsia" w:ascii="宋体" w:hAnsi="宋体" w:cs="宋体"/>
          <w:sz w:val="24"/>
        </w:rPr>
        <w:t>2、本项目采购文件实行网上获取，</w:t>
      </w:r>
      <w:r>
        <w:rPr>
          <w:rFonts w:hint="eastAsia" w:ascii="宋体" w:hAnsi="宋体" w:cs="宋体"/>
          <w:b/>
          <w:bCs/>
          <w:kern w:val="0"/>
          <w:sz w:val="24"/>
        </w:rPr>
        <w:t>不收取工本费。</w:t>
      </w:r>
    </w:p>
    <w:p>
      <w:pPr>
        <w:snapToGrid w:val="0"/>
        <w:spacing w:line="360" w:lineRule="auto"/>
        <w:ind w:firstLine="480" w:firstLineChars="200"/>
        <w:rPr>
          <w:rFonts w:hint="eastAsia" w:ascii="宋体" w:hAnsi="宋体" w:cs="宋体"/>
          <w:sz w:val="24"/>
        </w:rPr>
      </w:pPr>
      <w:r>
        <w:rPr>
          <w:rFonts w:hint="eastAsia" w:ascii="宋体" w:hAnsi="宋体" w:cs="宋体"/>
          <w:sz w:val="24"/>
        </w:rPr>
        <w:t>3、本项目实行网上报名，不接受投标供应商现场报名，投标供应商登录浙江政府采购网(http://zfcg.czt.zj.gov.cn/)进入政采云系统“项目采购”模块“获取采购文件”菜单，进行网上获取采购文件。（“政采云”注册账号、密码登录系统后获取采购文件）。</w:t>
      </w:r>
    </w:p>
    <w:p>
      <w:pPr>
        <w:snapToGrid w:val="0"/>
        <w:spacing w:before="60" w:after="60" w:line="360" w:lineRule="auto"/>
        <w:ind w:right="60"/>
        <w:rPr>
          <w:rFonts w:hint="eastAsia" w:ascii="宋体" w:hAnsi="宋体" w:cs="宋体"/>
          <w:sz w:val="24"/>
        </w:rPr>
      </w:pPr>
      <w:r>
        <w:rPr>
          <w:rFonts w:hint="eastAsia" w:ascii="宋体" w:hAnsi="宋体" w:cs="宋体"/>
          <w:sz w:val="24"/>
        </w:rPr>
        <w:t xml:space="preserve">    4、未注册供应商可登录浙江政府采购网(http://zfcg.czt.zj.gov.cn/)查看公告下附件或在湖州市公共资源交易信息网（http://ggzy.huzhou.gov.cn/hzfront/)“政府采购”--“分散采购”版块公告附件下载。招标公告附件内的采购文件仅供阅览使用，供应商只有在“政府采购云平台”完成获取采购文件申请并下载了采购文件后才视作依法获取采购文件（供应商获取采购文件时间以供应商完成获取采购文件申请后下载采购文件的时间为准）。请供应商按上述要求获取采购文件，如未在“政采云”系统内完成相关流程，引起的投标无效责任自负。</w:t>
      </w:r>
    </w:p>
    <w:p>
      <w:pPr>
        <w:snapToGrid w:val="0"/>
        <w:spacing w:line="360" w:lineRule="auto"/>
        <w:ind w:firstLine="480" w:firstLineChars="200"/>
        <w:rPr>
          <w:rFonts w:hint="eastAsia" w:ascii="宋体" w:hAnsi="宋体" w:cs="宋体"/>
          <w:sz w:val="24"/>
        </w:rPr>
      </w:pPr>
      <w:r>
        <w:rPr>
          <w:rFonts w:hint="eastAsia" w:ascii="宋体" w:hAnsi="宋体" w:cs="宋体"/>
          <w:sz w:val="24"/>
        </w:rPr>
        <w:t>5、免费注册网址：浙江政府采购网（供应商注册页面）：https:// middle.zcygov.cn/ settle-front/#/registry“政采云”, 如遇平台技术问题咨询电话：400-881-7190。</w:t>
      </w:r>
    </w:p>
    <w:p>
      <w:pPr>
        <w:snapToGrid w:val="0"/>
        <w:spacing w:line="360" w:lineRule="auto"/>
        <w:ind w:firstLine="480" w:firstLineChars="200"/>
        <w:rPr>
          <w:rFonts w:hint="eastAsia" w:ascii="宋体" w:hAnsi="宋体" w:cs="宋体"/>
          <w:sz w:val="24"/>
        </w:rPr>
      </w:pPr>
      <w:r>
        <w:rPr>
          <w:rFonts w:hint="eastAsia" w:ascii="宋体" w:hAnsi="宋体" w:cs="宋体"/>
          <w:sz w:val="24"/>
        </w:rPr>
        <w:t>已经注册成功的供应商无需重复注册。</w:t>
      </w:r>
    </w:p>
    <w:p>
      <w:pPr>
        <w:snapToGrid w:val="0"/>
        <w:spacing w:before="60" w:after="60" w:line="360" w:lineRule="auto"/>
        <w:ind w:right="60" w:firstLine="482" w:firstLineChars="200"/>
        <w:rPr>
          <w:rFonts w:hint="eastAsia" w:ascii="宋体" w:hAnsi="宋体" w:cs="宋体"/>
          <w:b/>
          <w:bCs/>
          <w:sz w:val="24"/>
        </w:rPr>
      </w:pPr>
      <w:bookmarkStart w:id="5" w:name="_Toc7807"/>
      <w:r>
        <w:rPr>
          <w:rFonts w:hint="eastAsia" w:ascii="宋体" w:hAnsi="宋体" w:cs="宋体"/>
          <w:b/>
          <w:bCs/>
          <w:sz w:val="24"/>
        </w:rPr>
        <w:t>七、</w:t>
      </w:r>
      <w:bookmarkStart w:id="6" w:name="_Toc140"/>
      <w:bookmarkStart w:id="7" w:name="_Toc3484"/>
      <w:r>
        <w:rPr>
          <w:rFonts w:hint="eastAsia" w:ascii="宋体" w:hAnsi="宋体" w:cs="宋体"/>
          <w:b/>
          <w:bCs/>
          <w:sz w:val="24"/>
        </w:rPr>
        <w:t>投标截止时间和投标文件递交地点：</w:t>
      </w:r>
      <w:bookmarkEnd w:id="5"/>
      <w:bookmarkEnd w:id="6"/>
      <w:bookmarkEnd w:id="7"/>
    </w:p>
    <w:p>
      <w:pPr>
        <w:snapToGrid w:val="0"/>
        <w:spacing w:before="60" w:after="60" w:line="360" w:lineRule="auto"/>
        <w:ind w:right="60" w:firstLine="482" w:firstLineChars="200"/>
        <w:rPr>
          <w:rFonts w:hint="eastAsia" w:ascii="宋体" w:hAnsi="宋体" w:cs="宋体"/>
          <w:b/>
          <w:bCs/>
          <w:sz w:val="24"/>
        </w:rPr>
      </w:pPr>
      <w:r>
        <w:rPr>
          <w:rFonts w:hint="eastAsia" w:ascii="宋体" w:hAnsi="宋体" w:cs="宋体"/>
          <w:b/>
          <w:bCs/>
          <w:sz w:val="24"/>
        </w:rPr>
        <w:t>1、投标截止时间：20</w:t>
      </w:r>
      <w:r>
        <w:rPr>
          <w:rFonts w:hint="eastAsia" w:ascii="宋体" w:hAnsi="宋体" w:cs="宋体"/>
          <w:b/>
          <w:bCs/>
          <w:sz w:val="24"/>
          <w:highlight w:val="cyan"/>
        </w:rPr>
        <w:t>22年</w:t>
      </w:r>
      <w:r>
        <w:rPr>
          <w:rFonts w:hint="eastAsia" w:ascii="宋体" w:hAnsi="宋体" w:cs="宋体"/>
          <w:b/>
          <w:bCs/>
          <w:sz w:val="24"/>
          <w:highlight w:val="cyan"/>
          <w:lang w:val="en-US" w:eastAsia="zh-CN"/>
        </w:rPr>
        <w:t>10</w:t>
      </w:r>
      <w:r>
        <w:rPr>
          <w:rFonts w:hint="eastAsia" w:ascii="宋体" w:hAnsi="宋体" w:cs="宋体"/>
          <w:b/>
          <w:bCs/>
          <w:sz w:val="24"/>
          <w:highlight w:val="cyan"/>
        </w:rPr>
        <w:t>月</w:t>
      </w:r>
      <w:r>
        <w:rPr>
          <w:rFonts w:hint="eastAsia" w:ascii="宋体" w:hAnsi="宋体" w:cs="宋体"/>
          <w:b/>
          <w:bCs/>
          <w:sz w:val="24"/>
          <w:highlight w:val="cyan"/>
          <w:lang w:val="en-US" w:eastAsia="zh-CN"/>
        </w:rPr>
        <w:t>28</w:t>
      </w:r>
      <w:r>
        <w:rPr>
          <w:rFonts w:hint="eastAsia" w:ascii="宋体" w:hAnsi="宋体" w:cs="宋体"/>
          <w:b/>
          <w:bCs/>
          <w:sz w:val="24"/>
          <w:highlight w:val="cyan"/>
        </w:rPr>
        <w:t xml:space="preserve">日 9 时 00 </w:t>
      </w:r>
      <w:r>
        <w:rPr>
          <w:rFonts w:hint="eastAsia" w:ascii="宋体" w:hAnsi="宋体" w:cs="宋体"/>
          <w:b/>
          <w:bCs/>
          <w:sz w:val="24"/>
        </w:rPr>
        <w:t>分整。</w:t>
      </w:r>
    </w:p>
    <w:p>
      <w:pPr>
        <w:snapToGrid w:val="0"/>
        <w:spacing w:before="60" w:after="60" w:line="360" w:lineRule="auto"/>
        <w:ind w:right="60" w:firstLine="482" w:firstLineChars="200"/>
        <w:rPr>
          <w:rFonts w:hint="eastAsia" w:ascii="宋体" w:hAnsi="宋体" w:cs="宋体"/>
          <w:b/>
          <w:bCs/>
          <w:sz w:val="24"/>
        </w:rPr>
      </w:pPr>
      <w:bookmarkStart w:id="8" w:name="_Toc9522"/>
      <w:r>
        <w:rPr>
          <w:rFonts w:hint="eastAsia" w:ascii="宋体" w:hAnsi="宋体" w:cs="宋体"/>
          <w:b/>
          <w:bCs/>
          <w:sz w:val="24"/>
        </w:rPr>
        <w:t>2、投标文件递交地点：本项目通过“政府采购云平台（www.zcygov.cn）”实行在线投标响应（电子投标）。</w:t>
      </w:r>
      <w:bookmarkEnd w:id="8"/>
      <w:r>
        <w:rPr>
          <w:rFonts w:hint="eastAsia" w:ascii="宋体" w:hAnsi="宋体" w:cs="宋体"/>
          <w:b/>
          <w:bCs/>
          <w:sz w:val="24"/>
        </w:rPr>
        <w:t xml:space="preserve"> </w:t>
      </w:r>
    </w:p>
    <w:p>
      <w:pPr>
        <w:snapToGrid w:val="0"/>
        <w:spacing w:before="60" w:after="60" w:line="360" w:lineRule="auto"/>
        <w:ind w:right="60" w:firstLine="482" w:firstLineChars="200"/>
        <w:rPr>
          <w:rFonts w:hint="eastAsia" w:ascii="宋体" w:hAnsi="宋体" w:cs="宋体"/>
          <w:b/>
          <w:bCs/>
          <w:sz w:val="24"/>
        </w:rPr>
      </w:pPr>
      <w:r>
        <w:rPr>
          <w:rFonts w:hint="eastAsia" w:ascii="宋体" w:hAnsi="宋体" w:cs="宋体"/>
          <w:b/>
          <w:bCs/>
          <w:sz w:val="24"/>
        </w:rPr>
        <w:t>3、投标供应商应当在投标截止时间前，将生成的文件格式“.jmbs”的“电子加密投标文件”上传递交至“政府采购云平台”实行在线投标响应。投标截止时间以后上传递交的投标文件将被“政府采购云平台”拒收。</w:t>
      </w:r>
    </w:p>
    <w:p>
      <w:pPr>
        <w:snapToGrid w:val="0"/>
        <w:spacing w:before="60" w:after="60" w:line="360" w:lineRule="auto"/>
        <w:ind w:right="60" w:firstLine="482" w:firstLineChars="200"/>
        <w:rPr>
          <w:rFonts w:hint="eastAsia" w:ascii="宋体" w:hAnsi="宋体" w:cs="宋体"/>
          <w:b/>
          <w:bCs/>
          <w:sz w:val="24"/>
        </w:rPr>
      </w:pPr>
      <w:bookmarkStart w:id="9" w:name="_Toc1896"/>
      <w:bookmarkStart w:id="10" w:name="_Toc25948"/>
      <w:bookmarkStart w:id="11" w:name="_Toc9815"/>
      <w:r>
        <w:rPr>
          <w:rFonts w:hint="eastAsia" w:ascii="宋体" w:hAnsi="宋体" w:cs="宋体"/>
          <w:b/>
          <w:bCs/>
          <w:sz w:val="24"/>
        </w:rPr>
        <w:t>八、开标时间及地点：</w:t>
      </w:r>
      <w:bookmarkEnd w:id="9"/>
      <w:bookmarkEnd w:id="10"/>
      <w:bookmarkEnd w:id="11"/>
    </w:p>
    <w:p>
      <w:pPr>
        <w:snapToGrid w:val="0"/>
        <w:spacing w:before="60" w:after="60" w:line="360" w:lineRule="auto"/>
        <w:ind w:right="60" w:firstLine="482" w:firstLineChars="200"/>
        <w:rPr>
          <w:rFonts w:hint="eastAsia" w:ascii="宋体" w:hAnsi="宋体" w:cs="宋体"/>
          <w:b/>
          <w:bCs/>
          <w:sz w:val="24"/>
        </w:rPr>
      </w:pPr>
      <w:r>
        <w:rPr>
          <w:rFonts w:hint="eastAsia" w:ascii="宋体" w:hAnsi="宋体" w:cs="宋体"/>
          <w:b/>
          <w:bCs/>
          <w:sz w:val="24"/>
        </w:rPr>
        <w:t>开标时间：2022</w:t>
      </w:r>
      <w:r>
        <w:rPr>
          <w:rFonts w:hint="eastAsia" w:ascii="宋体" w:hAnsi="宋体" w:cs="宋体"/>
          <w:b/>
          <w:bCs/>
          <w:sz w:val="24"/>
          <w:highlight w:val="cyan"/>
        </w:rPr>
        <w:t>年</w:t>
      </w:r>
      <w:r>
        <w:rPr>
          <w:rFonts w:hint="eastAsia" w:ascii="宋体" w:hAnsi="宋体" w:cs="宋体"/>
          <w:b/>
          <w:bCs/>
          <w:sz w:val="24"/>
          <w:highlight w:val="cyan"/>
          <w:lang w:val="en-US" w:eastAsia="zh-CN"/>
        </w:rPr>
        <w:t>10</w:t>
      </w:r>
      <w:r>
        <w:rPr>
          <w:rFonts w:hint="eastAsia" w:ascii="宋体" w:hAnsi="宋体" w:cs="宋体"/>
          <w:b/>
          <w:bCs/>
          <w:sz w:val="24"/>
          <w:highlight w:val="cyan"/>
        </w:rPr>
        <w:t>月</w:t>
      </w:r>
      <w:r>
        <w:rPr>
          <w:rFonts w:hint="eastAsia" w:ascii="宋体" w:hAnsi="宋体" w:cs="宋体"/>
          <w:b/>
          <w:bCs/>
          <w:sz w:val="24"/>
          <w:highlight w:val="cyan"/>
          <w:lang w:val="en-US" w:eastAsia="zh-CN"/>
        </w:rPr>
        <w:t>28</w:t>
      </w:r>
      <w:r>
        <w:rPr>
          <w:rFonts w:hint="eastAsia" w:ascii="宋体" w:hAnsi="宋体" w:cs="宋体"/>
          <w:b/>
          <w:bCs/>
          <w:sz w:val="24"/>
          <w:highlight w:val="cyan"/>
        </w:rPr>
        <w:t>日</w:t>
      </w:r>
      <w:r>
        <w:rPr>
          <w:rFonts w:hint="eastAsia" w:ascii="宋体" w:hAnsi="宋体" w:cs="宋体"/>
          <w:b/>
          <w:bCs/>
          <w:sz w:val="24"/>
          <w:highlight w:val="cyan"/>
          <w:lang w:val="en-US" w:eastAsia="zh-CN"/>
        </w:rPr>
        <w:t>9</w:t>
      </w:r>
      <w:r>
        <w:rPr>
          <w:rFonts w:hint="eastAsia" w:ascii="宋体" w:hAnsi="宋体" w:cs="宋体"/>
          <w:b/>
          <w:bCs/>
          <w:sz w:val="24"/>
          <w:highlight w:val="cyan"/>
        </w:rPr>
        <w:t xml:space="preserve">时 </w:t>
      </w:r>
      <w:r>
        <w:rPr>
          <w:rFonts w:hint="eastAsia" w:ascii="宋体" w:hAnsi="宋体" w:cs="宋体"/>
          <w:b/>
          <w:bCs/>
          <w:sz w:val="24"/>
          <w:highlight w:val="cyan"/>
          <w:lang w:val="en-US" w:eastAsia="zh-CN"/>
        </w:rPr>
        <w:t>00</w:t>
      </w:r>
      <w:r>
        <w:rPr>
          <w:rFonts w:hint="eastAsia" w:ascii="宋体" w:hAnsi="宋体" w:cs="宋体"/>
          <w:b/>
          <w:bCs/>
          <w:sz w:val="24"/>
          <w:highlight w:val="cyan"/>
        </w:rPr>
        <w:t>分整</w:t>
      </w:r>
      <w:r>
        <w:rPr>
          <w:rFonts w:hint="eastAsia" w:ascii="宋体" w:hAnsi="宋体" w:cs="宋体"/>
          <w:b/>
          <w:bCs/>
          <w:sz w:val="24"/>
        </w:rPr>
        <w:t>。</w:t>
      </w:r>
    </w:p>
    <w:p>
      <w:pPr>
        <w:snapToGrid w:val="0"/>
        <w:spacing w:before="60" w:after="60" w:line="360" w:lineRule="auto"/>
        <w:ind w:right="60" w:firstLine="482" w:firstLineChars="200"/>
        <w:rPr>
          <w:rFonts w:hint="eastAsia" w:ascii="宋体" w:hAnsi="宋体" w:cs="宋体"/>
          <w:b/>
          <w:bCs/>
          <w:sz w:val="24"/>
        </w:rPr>
      </w:pPr>
      <w:bookmarkStart w:id="12" w:name="_Toc10651"/>
      <w:r>
        <w:rPr>
          <w:rFonts w:hint="eastAsia" w:ascii="宋体" w:hAnsi="宋体" w:cs="宋体"/>
          <w:b/>
          <w:bCs/>
          <w:sz w:val="24"/>
        </w:rPr>
        <w:t>开标地点：本项目采用不见面开标方式，采购代理机构在湖州市公共资源交易中心</w:t>
      </w:r>
      <w:r>
        <w:rPr>
          <w:rFonts w:hint="eastAsia" w:ascii="宋体" w:hAnsi="宋体" w:cs="宋体"/>
          <w:b/>
          <w:bCs/>
          <w:sz w:val="24"/>
          <w:highlight w:val="cyan"/>
        </w:rPr>
        <w:t xml:space="preserve"> 2 号楼二楼261</w:t>
      </w:r>
      <w:r>
        <w:rPr>
          <w:rFonts w:hint="eastAsia" w:ascii="宋体" w:hAnsi="宋体" w:cs="宋体"/>
          <w:b/>
          <w:bCs/>
          <w:sz w:val="24"/>
          <w:highlight w:val="cyan"/>
          <w:lang w:val="en-US" w:eastAsia="zh-CN"/>
        </w:rPr>
        <w:t>-1</w:t>
      </w:r>
      <w:r>
        <w:rPr>
          <w:rFonts w:hint="eastAsia" w:ascii="宋体" w:hAnsi="宋体" w:cs="宋体"/>
          <w:b/>
          <w:bCs/>
          <w:sz w:val="24"/>
          <w:highlight w:val="cyan"/>
        </w:rPr>
        <w:t>开标室</w:t>
      </w:r>
      <w:r>
        <w:rPr>
          <w:rFonts w:hint="eastAsia" w:ascii="宋体" w:hAnsi="宋体" w:cs="宋体"/>
          <w:b/>
          <w:bCs/>
          <w:sz w:val="24"/>
        </w:rPr>
        <w:t>（湖州市仁皇山片区金盖山路 66 号）对本项目进行开标。投标供应商应在投标截止时间前委派投标代表（法定代表人或授权委托人）登入“政府采购云平台（www.zcygov.cn）”在线参与开标，并CA锁在线解密投标文件等完成相关工作，建议投标供应商可以派授权代表出席开标会议，现场参与开标、解密（授权代表应当是投标供应商的在职正式职工，并携带法定代表人授权委托书及身份证等有效证明出席） 。</w:t>
      </w:r>
      <w:bookmarkEnd w:id="12"/>
    </w:p>
    <w:p>
      <w:pPr>
        <w:pStyle w:val="38"/>
        <w:adjustRightInd w:val="0"/>
        <w:snapToGrid w:val="0"/>
        <w:spacing w:line="360" w:lineRule="auto"/>
        <w:ind w:left="0" w:leftChars="0" w:firstLine="482" w:firstLineChars="200"/>
        <w:outlineLvl w:val="1"/>
        <w:rPr>
          <w:rFonts w:hint="eastAsia" w:ascii="宋体" w:hAnsi="宋体" w:cs="宋体"/>
          <w:b/>
          <w:sz w:val="24"/>
        </w:rPr>
      </w:pPr>
      <w:bookmarkStart w:id="13" w:name="_Toc30822"/>
      <w:r>
        <w:rPr>
          <w:rFonts w:hint="eastAsia" w:ascii="宋体" w:hAnsi="宋体" w:cs="宋体"/>
          <w:b/>
          <w:sz w:val="24"/>
        </w:rPr>
        <w:t>九、投标保证金：无</w:t>
      </w:r>
      <w:bookmarkEnd w:id="13"/>
    </w:p>
    <w:p>
      <w:pPr>
        <w:pStyle w:val="38"/>
        <w:adjustRightInd w:val="0"/>
        <w:snapToGrid w:val="0"/>
        <w:spacing w:line="360" w:lineRule="auto"/>
        <w:outlineLvl w:val="1"/>
        <w:rPr>
          <w:rFonts w:hint="eastAsia" w:ascii="宋体" w:hAnsi="宋体" w:cs="宋体"/>
          <w:b/>
          <w:sz w:val="24"/>
        </w:rPr>
      </w:pPr>
      <w:bookmarkStart w:id="14" w:name="_Toc31794"/>
      <w:r>
        <w:rPr>
          <w:rFonts w:hint="eastAsia" w:ascii="宋体" w:hAnsi="宋体" w:cs="宋体"/>
          <w:b/>
          <w:sz w:val="24"/>
        </w:rPr>
        <w:t>十、在线投标响应（电子投标）说明</w:t>
      </w:r>
      <w:bookmarkEnd w:id="14"/>
      <w:r>
        <w:rPr>
          <w:rFonts w:hint="eastAsia" w:ascii="宋体" w:hAnsi="宋体" w:cs="宋体"/>
          <w:b/>
          <w:sz w:val="24"/>
        </w:rPr>
        <w:t>：</w:t>
      </w:r>
    </w:p>
    <w:p>
      <w:pPr>
        <w:snapToGrid w:val="0"/>
        <w:spacing w:line="360" w:lineRule="auto"/>
        <w:ind w:firstLine="480" w:firstLineChars="200"/>
        <w:rPr>
          <w:rFonts w:hint="eastAsia" w:ascii="宋体" w:hAnsi="宋体" w:cs="宋体"/>
          <w:sz w:val="24"/>
        </w:rPr>
      </w:pPr>
      <w:bookmarkStart w:id="15" w:name="_Toc4490"/>
      <w:bookmarkStart w:id="16" w:name="_Toc32145"/>
      <w:r>
        <w:rPr>
          <w:rFonts w:hint="eastAsia" w:ascii="宋体" w:hAnsi="宋体" w:cs="宋体"/>
          <w:sz w:val="24"/>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r>
        <w:rPr>
          <w:rFonts w:hint="eastAsia" w:ascii="宋体" w:hAnsi="宋体" w:cs="宋体"/>
          <w:sz w:val="24"/>
        </w:rPr>
        <w:fldChar w:fldCharType="begin"/>
      </w:r>
      <w:r>
        <w:rPr>
          <w:rFonts w:hint="eastAsia" w:ascii="宋体" w:hAnsi="宋体" w:cs="宋体"/>
          <w:sz w:val="24"/>
        </w:rPr>
        <w:instrText xml:space="preserve"> HYPERLINK "https://help.zcygov.cn/web/site_2/2018/12-28/2573.html" </w:instrText>
      </w:r>
      <w:r>
        <w:rPr>
          <w:rFonts w:hint="eastAsia" w:ascii="宋体" w:hAnsi="宋体" w:cs="宋体"/>
          <w:sz w:val="24"/>
        </w:rPr>
        <w:fldChar w:fldCharType="separate"/>
      </w:r>
      <w:r>
        <w:rPr>
          <w:rFonts w:hint="eastAsia" w:ascii="宋体" w:hAnsi="宋体" w:cs="宋体"/>
          <w:sz w:val="24"/>
        </w:rPr>
        <w:t>https://help.zcygov.cn/web/site_2/2018/12-28/2573.html</w:t>
      </w:r>
      <w:r>
        <w:rPr>
          <w:rFonts w:hint="eastAsia" w:ascii="宋体" w:hAnsi="宋体" w:cs="宋体"/>
          <w:sz w:val="24"/>
        </w:rPr>
        <w:fldChar w:fldCharType="end"/>
      </w:r>
      <w:r>
        <w:rPr>
          <w:rFonts w:hint="eastAsia" w:ascii="宋体" w:hAnsi="宋体" w:cs="宋体"/>
          <w:sz w:val="24"/>
        </w:rPr>
        <w:t>）。</w:t>
      </w:r>
    </w:p>
    <w:p>
      <w:pPr>
        <w:spacing w:line="360" w:lineRule="auto"/>
        <w:ind w:firstLine="480"/>
        <w:outlineLvl w:val="0"/>
        <w:rPr>
          <w:rFonts w:hint="eastAsia" w:ascii="宋体" w:hAnsi="宋体" w:cs="宋体"/>
          <w:sz w:val="24"/>
        </w:rPr>
      </w:pPr>
      <w:bookmarkStart w:id="17" w:name="_Toc29299"/>
      <w:bookmarkStart w:id="18" w:name="_Toc22941"/>
      <w:bookmarkStart w:id="19" w:name="_Toc10604"/>
      <w:r>
        <w:rPr>
          <w:rFonts w:hint="eastAsia" w:ascii="宋体" w:hAnsi="宋体" w:cs="宋体"/>
          <w:sz w:val="24"/>
        </w:rPr>
        <w:t>2、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r>
        <w:rPr>
          <w:rFonts w:hint="eastAsia" w:ascii="宋体" w:hAnsi="宋体" w:cs="宋体"/>
          <w:sz w:val="24"/>
        </w:rPr>
        <w:fldChar w:fldCharType="begin"/>
      </w:r>
      <w:r>
        <w:rPr>
          <w:rFonts w:hint="eastAsia" w:ascii="宋体" w:hAnsi="宋体" w:cs="宋体"/>
          <w:sz w:val="24"/>
        </w:rPr>
        <w:instrText xml:space="preserve"> HYPERLINK "http://zfcg.czt.zj.gov.cn/bidClientTemplate/2019-05-27/12945.html" \o "CA驱动和申领流程" </w:instrText>
      </w:r>
      <w:r>
        <w:rPr>
          <w:rFonts w:hint="eastAsia" w:ascii="宋体" w:hAnsi="宋体" w:cs="宋体"/>
          <w:sz w:val="24"/>
        </w:rP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w:t>
      </w:r>
      <w:bookmarkEnd w:id="17"/>
      <w:bookmarkEnd w:id="18"/>
      <w:bookmarkEnd w:id="19"/>
    </w:p>
    <w:p>
      <w:pPr>
        <w:spacing w:line="360" w:lineRule="auto"/>
        <w:ind w:firstLine="470" w:firstLineChars="196"/>
        <w:outlineLvl w:val="0"/>
        <w:rPr>
          <w:rFonts w:hint="eastAsia" w:ascii="宋体" w:hAnsi="宋体" w:cs="宋体"/>
          <w:kern w:val="0"/>
          <w:sz w:val="24"/>
        </w:rPr>
      </w:pPr>
      <w:bookmarkStart w:id="20" w:name="_Toc9636"/>
      <w:bookmarkStart w:id="21" w:name="_Toc21557"/>
      <w:bookmarkStart w:id="22" w:name="_Toc29999"/>
      <w:r>
        <w:rPr>
          <w:rFonts w:hint="eastAsia" w:ascii="宋体" w:hAnsi="宋体" w:cs="宋体"/>
          <w:kern w:val="0"/>
          <w:sz w:val="24"/>
        </w:rPr>
        <w:t>3、投标文件递交方式：</w:t>
      </w:r>
      <w:bookmarkEnd w:id="20"/>
      <w:bookmarkEnd w:id="21"/>
      <w:bookmarkEnd w:id="22"/>
    </w:p>
    <w:p>
      <w:pPr>
        <w:spacing w:line="360" w:lineRule="auto"/>
        <w:ind w:firstLine="470" w:firstLineChars="196"/>
        <w:outlineLvl w:val="0"/>
        <w:rPr>
          <w:rFonts w:hint="eastAsia" w:ascii="宋体" w:hAnsi="宋体" w:cs="宋体"/>
          <w:kern w:val="0"/>
          <w:sz w:val="24"/>
        </w:rPr>
      </w:pPr>
      <w:bookmarkStart w:id="23" w:name="_Toc17680"/>
      <w:bookmarkStart w:id="24" w:name="_Toc10296"/>
      <w:bookmarkStart w:id="25" w:name="_Toc6349"/>
      <w:r>
        <w:rPr>
          <w:rFonts w:hint="eastAsia" w:ascii="宋体" w:hAnsi="宋体" w:cs="宋体"/>
          <w:kern w:val="0"/>
          <w:sz w:val="24"/>
        </w:rPr>
        <w:t>（1）按政采云平台项目采购-电子交易操作指南及本招标文件要求制作、加密并递交。投标供应商应于</w:t>
      </w:r>
      <w:r>
        <w:rPr>
          <w:rFonts w:hint="eastAsia" w:ascii="宋体" w:hAnsi="宋体" w:cs="宋体"/>
          <w:kern w:val="0"/>
          <w:sz w:val="24"/>
          <w:highlight w:val="cyan"/>
        </w:rPr>
        <w:t xml:space="preserve"> 2022年</w:t>
      </w:r>
      <w:r>
        <w:rPr>
          <w:rFonts w:hint="eastAsia" w:ascii="宋体" w:hAnsi="宋体" w:cs="宋体"/>
          <w:kern w:val="0"/>
          <w:sz w:val="24"/>
          <w:highlight w:val="cyan"/>
          <w:lang w:val="en-US" w:eastAsia="zh-CN"/>
        </w:rPr>
        <w:t>10</w:t>
      </w:r>
      <w:r>
        <w:rPr>
          <w:rFonts w:hint="eastAsia" w:ascii="宋体" w:hAnsi="宋体" w:cs="宋体"/>
          <w:kern w:val="0"/>
          <w:sz w:val="24"/>
          <w:highlight w:val="cyan"/>
        </w:rPr>
        <w:t>月</w:t>
      </w:r>
      <w:r>
        <w:rPr>
          <w:rFonts w:hint="eastAsia" w:ascii="宋体" w:hAnsi="宋体" w:cs="宋体"/>
          <w:kern w:val="0"/>
          <w:sz w:val="24"/>
          <w:highlight w:val="cyan"/>
          <w:lang w:val="en-US" w:eastAsia="zh-CN"/>
        </w:rPr>
        <w:t>28</w:t>
      </w:r>
      <w:r>
        <w:rPr>
          <w:rFonts w:hint="eastAsia" w:ascii="宋体" w:hAnsi="宋体" w:cs="宋体"/>
          <w:kern w:val="0"/>
          <w:sz w:val="24"/>
          <w:highlight w:val="cyan"/>
        </w:rPr>
        <w:t>日</w:t>
      </w:r>
      <w:r>
        <w:rPr>
          <w:rFonts w:hint="eastAsia" w:ascii="宋体" w:hAnsi="宋体" w:cs="宋体"/>
          <w:kern w:val="0"/>
          <w:sz w:val="24"/>
        </w:rPr>
        <w:t>上午9:00时前将生成的“电子加密投标文件”上传递交至“政府采购云平台”。开标截止时间以后上传递交的投标文件将被“政府采购云平台”拒收。</w:t>
      </w:r>
      <w:bookmarkEnd w:id="23"/>
      <w:bookmarkEnd w:id="24"/>
      <w:bookmarkEnd w:id="25"/>
    </w:p>
    <w:p>
      <w:pPr>
        <w:widowControl/>
        <w:spacing w:line="360" w:lineRule="auto"/>
        <w:ind w:left="44" w:leftChars="21" w:right="60" w:firstLine="480" w:firstLineChars="200"/>
        <w:jc w:val="left"/>
        <w:rPr>
          <w:rFonts w:hint="eastAsia" w:ascii="宋体" w:hAnsi="宋体" w:cs="宋体"/>
          <w:kern w:val="0"/>
          <w:sz w:val="24"/>
        </w:rPr>
      </w:pPr>
      <w:bookmarkStart w:id="26" w:name="_Toc20595"/>
      <w:bookmarkStart w:id="27" w:name="_Toc17677"/>
      <w:bookmarkStart w:id="28" w:name="_Toc3250"/>
      <w:r>
        <w:rPr>
          <w:rFonts w:hint="eastAsia" w:ascii="宋体" w:hAnsi="宋体" w:cs="宋体"/>
          <w:kern w:val="0"/>
          <w:sz w:val="24"/>
        </w:rPr>
        <w:t>（2）投标供应商在“政府采购云平台”完成“电子加密投标文件”的上传递交后，还可以（邮寄形式或开标现场递交形式）在开标截止时间之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w:t>
      </w:r>
    </w:p>
    <w:p>
      <w:pPr>
        <w:widowControl/>
        <w:tabs>
          <w:tab w:val="left" w:pos="418"/>
        </w:tabs>
        <w:spacing w:line="360" w:lineRule="auto"/>
        <w:ind w:left="44" w:leftChars="21" w:right="60" w:firstLine="480" w:firstLineChars="200"/>
        <w:jc w:val="left"/>
        <w:rPr>
          <w:rFonts w:hint="eastAsia" w:ascii="宋体" w:hAnsi="宋体" w:cs="宋体"/>
          <w:kern w:val="0"/>
          <w:sz w:val="24"/>
        </w:rPr>
      </w:pPr>
      <w:r>
        <w:rPr>
          <w:rFonts w:hint="eastAsia" w:ascii="宋体" w:hAnsi="宋体" w:cs="宋体"/>
          <w:kern w:val="0"/>
          <w:sz w:val="24"/>
        </w:rPr>
        <w:t>2.1以邮寄形式递交的投标供应商应确保在开标截止时间之前送达（以收件人实际签收时间为准，收件人签收后将予以确认）。</w:t>
      </w:r>
      <w:bookmarkEnd w:id="26"/>
      <w:bookmarkEnd w:id="27"/>
      <w:bookmarkEnd w:id="28"/>
      <w:r>
        <w:rPr>
          <w:rFonts w:hint="eastAsia" w:ascii="宋体" w:hAnsi="宋体" w:cs="宋体"/>
          <w:kern w:val="0"/>
          <w:sz w:val="24"/>
        </w:rPr>
        <w:t>递交地址：湖州星兴工程咨询有限公司 （浙江省湖州市吴兴区八里店镇星光商务广场11幢A座702室），联系人：汪美玲，电话：15990187642。逾期送达不予受理。</w:t>
      </w:r>
    </w:p>
    <w:p>
      <w:pPr>
        <w:widowControl/>
        <w:tabs>
          <w:tab w:val="left" w:pos="418"/>
        </w:tabs>
        <w:spacing w:line="360" w:lineRule="auto"/>
        <w:ind w:firstLine="480" w:firstLineChars="200"/>
        <w:rPr>
          <w:rFonts w:hint="eastAsia" w:ascii="宋体" w:hAnsi="宋体" w:cs="宋体"/>
          <w:kern w:val="0"/>
          <w:sz w:val="24"/>
        </w:rPr>
      </w:pPr>
      <w:r>
        <w:rPr>
          <w:rFonts w:hint="eastAsia" w:ascii="宋体" w:hAnsi="宋体" w:cs="宋体"/>
          <w:kern w:val="0"/>
          <w:sz w:val="24"/>
        </w:rPr>
        <w:t>2.2若供应商派授权代表出席开标会议（授权代表必须携带身份证、法人授权委托书或法人身份证明文书等有效证明文件以及最近三个月任意一个月个人社保缴纳证明文件。）数据电子备份投标文件（U盘）应在投标截止时间之前送达，超过投标截止时间之前送达的，按未提供处理。</w:t>
      </w:r>
    </w:p>
    <w:p>
      <w:pPr>
        <w:spacing w:line="360" w:lineRule="auto"/>
        <w:ind w:firstLine="480" w:firstLineChars="200"/>
        <w:outlineLvl w:val="0"/>
        <w:rPr>
          <w:rFonts w:hint="eastAsia" w:ascii="宋体" w:hAnsi="宋体" w:cs="宋体"/>
          <w:b/>
          <w:bCs/>
          <w:kern w:val="0"/>
          <w:sz w:val="24"/>
        </w:rPr>
      </w:pPr>
      <w:bookmarkStart w:id="29" w:name="_Toc20123"/>
      <w:bookmarkStart w:id="30" w:name="_Toc23564"/>
      <w:bookmarkStart w:id="31" w:name="_Toc31352"/>
      <w:r>
        <w:rPr>
          <w:rFonts w:hint="eastAsia" w:ascii="宋体" w:hAnsi="宋体" w:cs="宋体"/>
          <w:kern w:val="0"/>
          <w:sz w:val="24"/>
        </w:rPr>
        <w:t>（3）CA 锁解密时间为开标当</w:t>
      </w:r>
      <w:r>
        <w:rPr>
          <w:rFonts w:hint="eastAsia" w:ascii="宋体" w:hAnsi="宋体" w:cs="宋体"/>
          <w:kern w:val="0"/>
          <w:sz w:val="24"/>
          <w:highlight w:val="cyan"/>
        </w:rPr>
        <w:t>日 9:00 至 9:30。</w:t>
      </w:r>
      <w:r>
        <w:rPr>
          <w:rFonts w:hint="eastAsia" w:ascii="宋体" w:hAnsi="宋体" w:cs="宋体"/>
          <w:kern w:val="0"/>
          <w:sz w:val="24"/>
        </w:rPr>
        <w:t>通过“政府采购云平台”上传递交的“电子加密投标文件”无法按时解密，投标供应商按时递交了“备份投标文件”的，以“备份投标文件”为依据，否则视为投标文件撤回。通过“政府采购云平台”上传递交的“电子加密投标文件”已按时解密的，“备份投标文件”自动失效。</w:t>
      </w:r>
      <w:r>
        <w:rPr>
          <w:rFonts w:hint="eastAsia" w:ascii="宋体" w:hAnsi="宋体" w:cs="宋体"/>
          <w:b/>
          <w:kern w:val="0"/>
          <w:sz w:val="24"/>
        </w:rPr>
        <w:t>供应商仅提交“备份投标文件”的，投标无效。</w:t>
      </w:r>
      <w:bookmarkEnd w:id="29"/>
      <w:bookmarkEnd w:id="30"/>
      <w:bookmarkEnd w:id="31"/>
    </w:p>
    <w:p>
      <w:pPr>
        <w:snapToGrid w:val="0"/>
        <w:spacing w:line="360" w:lineRule="auto"/>
        <w:ind w:firstLine="472" w:firstLineChars="196"/>
        <w:rPr>
          <w:rFonts w:hint="eastAsia" w:ascii="宋体" w:hAnsi="宋体" w:cs="宋体"/>
          <w:b/>
          <w:sz w:val="24"/>
        </w:rPr>
      </w:pPr>
      <w:r>
        <w:rPr>
          <w:rFonts w:hint="eastAsia" w:ascii="宋体" w:hAnsi="宋体" w:cs="宋体"/>
          <w:b/>
          <w:sz w:val="24"/>
        </w:rPr>
        <w:t>十一、发布招标公告的媒体为：</w:t>
      </w:r>
    </w:p>
    <w:p>
      <w:pPr>
        <w:widowControl/>
        <w:tabs>
          <w:tab w:val="left" w:pos="418"/>
        </w:tabs>
        <w:spacing w:line="360" w:lineRule="auto"/>
        <w:ind w:firstLine="480" w:firstLineChars="200"/>
        <w:rPr>
          <w:rFonts w:hint="eastAsia" w:ascii="宋体" w:hAnsi="宋体" w:cs="宋体"/>
          <w:kern w:val="0"/>
          <w:sz w:val="24"/>
        </w:rPr>
      </w:pPr>
      <w:r>
        <w:rPr>
          <w:rFonts w:hint="eastAsia" w:ascii="宋体" w:hAnsi="宋体" w:cs="宋体"/>
          <w:kern w:val="0"/>
          <w:sz w:val="24"/>
        </w:rPr>
        <w:t>浙江政府采购网 （https://zfcg.czt.zj.gov.cn/）；</w:t>
      </w:r>
    </w:p>
    <w:p>
      <w:pPr>
        <w:pStyle w:val="38"/>
        <w:adjustRightInd w:val="0"/>
        <w:snapToGrid w:val="0"/>
        <w:spacing w:line="360" w:lineRule="auto"/>
        <w:outlineLvl w:val="1"/>
        <w:rPr>
          <w:rFonts w:hint="eastAsia" w:ascii="宋体" w:hAnsi="宋体" w:cs="宋体"/>
          <w:kern w:val="0"/>
          <w:sz w:val="24"/>
        </w:rPr>
      </w:pPr>
      <w:bookmarkStart w:id="32" w:name="_Toc20946"/>
      <w:r>
        <w:rPr>
          <w:rFonts w:hint="eastAsia" w:ascii="宋体" w:hAnsi="宋体" w:cs="宋体"/>
          <w:kern w:val="0"/>
          <w:sz w:val="24"/>
        </w:rPr>
        <w:t>湖州市公共资源交易信息网（http://ggzy.huzhou.gov.cn/hzfront//hzfront/）；</w:t>
      </w:r>
      <w:bookmarkEnd w:id="32"/>
    </w:p>
    <w:p>
      <w:pPr>
        <w:pStyle w:val="38"/>
        <w:adjustRightInd w:val="0"/>
        <w:snapToGrid w:val="0"/>
        <w:spacing w:line="360" w:lineRule="auto"/>
        <w:outlineLvl w:val="1"/>
        <w:rPr>
          <w:rFonts w:hint="eastAsia" w:ascii="宋体" w:hAnsi="宋体" w:cs="宋体"/>
          <w:b/>
          <w:sz w:val="24"/>
        </w:rPr>
      </w:pPr>
      <w:bookmarkStart w:id="33" w:name="_Toc29494"/>
      <w:r>
        <w:rPr>
          <w:rFonts w:hint="eastAsia" w:ascii="宋体" w:hAnsi="宋体" w:cs="宋体"/>
          <w:b/>
          <w:sz w:val="24"/>
        </w:rPr>
        <w:t>十</w:t>
      </w:r>
      <w:bookmarkEnd w:id="15"/>
      <w:bookmarkEnd w:id="16"/>
      <w:r>
        <w:rPr>
          <w:rFonts w:hint="eastAsia" w:ascii="宋体" w:hAnsi="宋体" w:cs="宋体"/>
          <w:b/>
          <w:sz w:val="24"/>
        </w:rPr>
        <w:t>二、其他事项：</w:t>
      </w:r>
      <w:bookmarkEnd w:id="33"/>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sz w:val="24"/>
        </w:rPr>
        <w:t>、</w:t>
      </w:r>
      <w:r>
        <w:rPr>
          <w:rFonts w:hint="eastAsia" w:ascii="宋体" w:hAnsi="宋体" w:cs="宋体"/>
          <w:kern w:val="0"/>
          <w:sz w:val="24"/>
        </w:rPr>
        <w:t>本项目为电子招投标项目，实行网上招投标，应按照本采购文件及政采云平台的要求编制、加密并要求投标供应商通过政采云系统在线投标响应，投标截止时间前须完成电子投标文件的上传。</w:t>
      </w:r>
      <w:r>
        <w:rPr>
          <w:rFonts w:hint="eastAsia" w:ascii="宋体" w:hAnsi="宋体" w:cs="宋体"/>
          <w:b/>
          <w:kern w:val="0"/>
          <w:sz w:val="24"/>
        </w:rPr>
        <w:t>投标供应商在使用系统进行投标的过程中遇到涉及平台使用的任何问题，可致电政采云平台技术支持热线咨询，联系方式：400-881-7190。</w:t>
      </w:r>
    </w:p>
    <w:p>
      <w:pPr>
        <w:snapToGrid w:val="0"/>
        <w:spacing w:line="360" w:lineRule="auto"/>
        <w:ind w:firstLine="480" w:firstLineChars="200"/>
        <w:rPr>
          <w:rFonts w:hint="eastAsia" w:ascii="宋体" w:hAnsi="宋体" w:cs="宋体"/>
          <w:sz w:val="24"/>
        </w:rPr>
      </w:pPr>
      <w:r>
        <w:rPr>
          <w:rFonts w:hint="eastAsia" w:ascii="宋体" w:hAnsi="宋体" w:cs="宋体"/>
          <w:kern w:val="0"/>
          <w:sz w:val="24"/>
        </w:rPr>
        <w:t>2、投标供应商对招标文件有异议的，供应商须在法定质疑期内一次性提出针对同一采购程序环节的质疑。应当以书面（含传真）形式向采购代理机构一次性提出，采购人将在规定的时间内统一进行澄清和修改，并书面（含传真）通知所有认购招标文件的投标供应商。投标供应商未按规定要求提出的，则视同认可招标文件，但法律法规及规范性文件有明确规定的除外。</w:t>
      </w:r>
    </w:p>
    <w:p>
      <w:pPr>
        <w:snapToGrid w:val="0"/>
        <w:spacing w:line="360" w:lineRule="auto"/>
        <w:ind w:firstLine="480" w:firstLineChars="200"/>
        <w:rPr>
          <w:rFonts w:hint="eastAsia" w:ascii="宋体" w:hAnsi="宋体" w:cs="宋体"/>
          <w:sz w:val="24"/>
        </w:rPr>
      </w:pPr>
      <w:r>
        <w:rPr>
          <w:rFonts w:hint="eastAsia" w:ascii="宋体" w:hAnsi="宋体" w:cs="宋体"/>
          <w:kern w:val="0"/>
          <w:sz w:val="24"/>
        </w:rPr>
        <w:t>3、投标供应商如认为开标过程和成交结果使自身的合法权益受到损害的，应于自预成交结果公告之日起七个工作日内以书面形式向采购机构提出质疑，逾期不予受理。投标供应商对采购代理机构的质疑答复不满意或者采购代理机构未在规定时间内作出答复的，可以在答复期满后十五个工作日内向同级政府采购监督管理部门投诉。</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4、参与政府采购项目的注册投标供应商，需登录浙江政府采购云平台(http://www.zcygov.cn)进行网上报名；尚未注册的投标供应商应当先在浙江政府采购云平台上申请注册，注册终审通过后再进行网上报名。</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6、本项目是否专门面向中小企业采购：否</w:t>
      </w:r>
    </w:p>
    <w:p>
      <w:pPr>
        <w:snapToGrid w:val="0"/>
        <w:spacing w:line="360" w:lineRule="auto"/>
        <w:ind w:firstLine="480" w:firstLineChars="200"/>
        <w:rPr>
          <w:rFonts w:hint="eastAsia" w:ascii="宋体" w:hAnsi="宋体" w:cs="宋体"/>
          <w:b/>
          <w:bCs/>
          <w:kern w:val="0"/>
          <w:sz w:val="24"/>
        </w:rPr>
      </w:pPr>
      <w:r>
        <w:rPr>
          <w:rFonts w:hint="eastAsia" w:ascii="宋体" w:hAnsi="宋体" w:cs="宋体"/>
          <w:kern w:val="0"/>
          <w:sz w:val="24"/>
        </w:rPr>
        <w:t>7、本项目采购标的对应的中小企业划分标准所属行业为</w:t>
      </w:r>
      <w:r>
        <w:rPr>
          <w:rFonts w:hint="eastAsia" w:ascii="宋体" w:hAnsi="宋体" w:cs="宋体"/>
          <w:b/>
          <w:bCs/>
          <w:kern w:val="0"/>
          <w:sz w:val="24"/>
        </w:rPr>
        <w:t>信息软件和信息技术服务业。</w:t>
      </w:r>
    </w:p>
    <w:p>
      <w:pPr>
        <w:snapToGrid w:val="0"/>
        <w:spacing w:line="360" w:lineRule="auto"/>
        <w:ind w:firstLine="482" w:firstLineChars="200"/>
        <w:rPr>
          <w:rFonts w:hint="eastAsia" w:ascii="宋体" w:hAnsi="宋体" w:cs="宋体"/>
          <w:b/>
          <w:sz w:val="24"/>
        </w:rPr>
      </w:pPr>
      <w:r>
        <w:rPr>
          <w:rFonts w:hint="eastAsia" w:ascii="宋体" w:hAnsi="宋体" w:cs="宋体"/>
          <w:b/>
          <w:sz w:val="24"/>
        </w:rPr>
        <w:t>十三、告知事项</w:t>
      </w:r>
    </w:p>
    <w:p>
      <w:pPr>
        <w:snapToGrid w:val="0"/>
        <w:spacing w:line="360" w:lineRule="auto"/>
        <w:ind w:firstLine="480" w:firstLineChars="200"/>
        <w:rPr>
          <w:rFonts w:hint="eastAsia" w:ascii="宋体" w:hAnsi="宋体" w:cs="宋体"/>
          <w:sz w:val="24"/>
        </w:rPr>
      </w:pPr>
      <w:r>
        <w:rPr>
          <w:rFonts w:hint="eastAsia" w:ascii="宋体" w:hAnsi="宋体" w:cs="宋体"/>
          <w:sz w:val="24"/>
        </w:rPr>
        <w:t>1、投标供应商如需到场，必须指派无疫情接触史、身体健康且符合防控要求、佩戴口罩的人员参与开标现场活动，请严格把关。且只能指派 1 人参加现场开标活动；</w:t>
      </w:r>
    </w:p>
    <w:p>
      <w:pPr>
        <w:snapToGrid w:val="0"/>
        <w:spacing w:line="360" w:lineRule="auto"/>
        <w:ind w:firstLine="480" w:firstLineChars="200"/>
        <w:rPr>
          <w:rFonts w:hint="eastAsia" w:ascii="宋体" w:hAnsi="宋体" w:cs="宋体"/>
          <w:sz w:val="24"/>
        </w:rPr>
      </w:pPr>
      <w:r>
        <w:rPr>
          <w:rFonts w:hint="eastAsia" w:ascii="宋体" w:hAnsi="宋体" w:cs="宋体"/>
          <w:sz w:val="24"/>
        </w:rPr>
        <w:t>2、参加开标的人员，请自觉做好个人防护工作，必须全程佩戴口罩（自备），听从交易中心工作人员引导，必须提供“一证一码一表”，即：身份证、“湖州健康码”（个人支付宝或浙里办 APP 中申领），开评标人员健康信息登记表（格式详见附件）。主动配合做好体温测量等各项疫情防控措施。投标供应商若为省外的，投标供应商代表在持有“湖州健康码”。</w:t>
      </w:r>
    </w:p>
    <w:p>
      <w:pPr>
        <w:snapToGrid w:val="0"/>
        <w:spacing w:line="360" w:lineRule="auto"/>
        <w:ind w:firstLine="480" w:firstLineChars="200"/>
        <w:rPr>
          <w:rFonts w:hint="eastAsia" w:ascii="宋体" w:hAnsi="宋体" w:cs="宋体"/>
          <w:sz w:val="24"/>
        </w:rPr>
      </w:pPr>
      <w:r>
        <w:rPr>
          <w:rFonts w:hint="eastAsia" w:ascii="宋体" w:hAnsi="宋体" w:cs="宋体"/>
          <w:sz w:val="24"/>
        </w:rPr>
        <w:t>3、“湖州健康码”显示为绿色可进入交易中心，“湖州健康码”显示为黄色、红色或者现场测量体温高于 37.2℃且不符合防控管理要求的人员，一律谢绝进入交易中心参加开标活动；</w:t>
      </w:r>
    </w:p>
    <w:p>
      <w:pPr>
        <w:snapToGrid w:val="0"/>
        <w:spacing w:line="360" w:lineRule="auto"/>
        <w:ind w:firstLine="480" w:firstLineChars="200"/>
        <w:rPr>
          <w:rFonts w:hint="eastAsia" w:ascii="宋体" w:hAnsi="宋体" w:cs="宋体"/>
          <w:sz w:val="24"/>
        </w:rPr>
      </w:pPr>
      <w:r>
        <w:rPr>
          <w:rFonts w:hint="eastAsia" w:ascii="宋体" w:hAnsi="宋体" w:cs="宋体"/>
          <w:sz w:val="24"/>
        </w:rPr>
        <w:t>4、各投标供应商如确需到场，请充分考虑因路程、卡口防疫检查等因素（注：不得违反国家、浙江省、湖州市、吴兴区等相关规定）。特殊时期，为避免各因素带来不便导致时间效率问题，各投标供应商如确需到场，请提前30分钟。</w:t>
      </w:r>
    </w:p>
    <w:p>
      <w:pPr>
        <w:snapToGrid w:val="0"/>
        <w:spacing w:line="360" w:lineRule="auto"/>
        <w:ind w:firstLine="480" w:firstLineChars="200"/>
        <w:rPr>
          <w:rFonts w:hint="eastAsia" w:ascii="宋体" w:hAnsi="宋体" w:cs="宋体"/>
          <w:sz w:val="24"/>
        </w:rPr>
      </w:pPr>
      <w:r>
        <w:rPr>
          <w:rFonts w:hint="eastAsia" w:ascii="宋体" w:hAnsi="宋体" w:cs="宋体"/>
          <w:sz w:val="24"/>
        </w:rPr>
        <w:t>5、所有需进入湖州市公共资源交易中心的相关人员应自觉遵守国家以及省、市、区有关疫情防控的其他规定。</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十四、业务咨询</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采购人：中共湖州市委政法委员会  </w:t>
      </w:r>
    </w:p>
    <w:p>
      <w:pPr>
        <w:snapToGrid w:val="0"/>
        <w:spacing w:line="360" w:lineRule="auto"/>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lang w:eastAsia="zh-CN"/>
        </w:rPr>
        <w:t>张炜</w:t>
      </w:r>
      <w:r>
        <w:rPr>
          <w:rFonts w:hint="eastAsia" w:ascii="宋体" w:hAnsi="宋体" w:cs="宋体"/>
          <w:sz w:val="24"/>
        </w:rPr>
        <w:t xml:space="preserve">                 联系电话：</w:t>
      </w:r>
      <w:r>
        <w:rPr>
          <w:rFonts w:hint="eastAsia" w:ascii="宋体" w:hAnsi="宋体"/>
          <w:color w:val="000000"/>
          <w:sz w:val="24"/>
        </w:rPr>
        <w:t xml:space="preserve"> </w:t>
      </w:r>
      <w:r>
        <w:rPr>
          <w:rFonts w:hint="eastAsia" w:ascii="宋体" w:hAnsi="宋体" w:cs="Arial"/>
          <w:bCs/>
          <w:sz w:val="24"/>
        </w:rPr>
        <w:t>0572-3390865</w:t>
      </w:r>
    </w:p>
    <w:p>
      <w:pPr>
        <w:snapToGrid w:val="0"/>
        <w:spacing w:line="360" w:lineRule="auto"/>
        <w:ind w:firstLine="480" w:firstLineChars="200"/>
        <w:rPr>
          <w:rFonts w:ascii="宋体" w:hAnsi="宋体" w:cs="宋体"/>
          <w:sz w:val="24"/>
        </w:rPr>
      </w:pPr>
      <w:r>
        <w:rPr>
          <w:rFonts w:hint="eastAsia" w:ascii="宋体" w:hAnsi="宋体" w:cs="宋体"/>
          <w:sz w:val="24"/>
        </w:rPr>
        <w:t>地址: 浙江省湖州市金盖山路66号</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代理机构：湖州星兴工程咨询有限公司 </w:t>
      </w:r>
    </w:p>
    <w:p>
      <w:pPr>
        <w:snapToGrid w:val="0"/>
        <w:spacing w:line="360" w:lineRule="auto"/>
        <w:ind w:firstLine="480" w:firstLineChars="200"/>
        <w:rPr>
          <w:rFonts w:ascii="宋体" w:hAnsi="宋体" w:cs="宋体"/>
          <w:sz w:val="24"/>
        </w:rPr>
      </w:pPr>
      <w:r>
        <w:rPr>
          <w:rFonts w:hint="eastAsia" w:ascii="宋体" w:hAnsi="宋体" w:cs="宋体"/>
          <w:sz w:val="24"/>
        </w:rPr>
        <w:t>联系人：汪美玲            联系电话：0572-2121029</w:t>
      </w:r>
    </w:p>
    <w:p>
      <w:pPr>
        <w:snapToGrid w:val="0"/>
        <w:spacing w:line="360" w:lineRule="auto"/>
        <w:ind w:firstLine="480" w:firstLineChars="200"/>
        <w:rPr>
          <w:rFonts w:ascii="宋体" w:hAnsi="宋体" w:cs="宋体"/>
          <w:sz w:val="24"/>
        </w:rPr>
      </w:pPr>
      <w:r>
        <w:rPr>
          <w:rFonts w:hint="eastAsia" w:ascii="宋体" w:hAnsi="宋体" w:cs="宋体"/>
          <w:sz w:val="24"/>
        </w:rPr>
        <w:t>质疑函接收人：沈芳        联系电话：0572-2023019</w:t>
      </w:r>
    </w:p>
    <w:p>
      <w:pPr>
        <w:snapToGrid w:val="0"/>
        <w:spacing w:line="360" w:lineRule="auto"/>
        <w:ind w:firstLine="480" w:firstLineChars="200"/>
        <w:rPr>
          <w:rFonts w:hint="eastAsia" w:ascii="宋体" w:hAnsi="宋体" w:cs="宋体"/>
          <w:sz w:val="24"/>
        </w:rPr>
      </w:pPr>
      <w:r>
        <w:rPr>
          <w:rFonts w:hint="eastAsia" w:ascii="宋体" w:hAnsi="宋体" w:cs="宋体"/>
          <w:sz w:val="24"/>
        </w:rPr>
        <w:t>地址：浙江省湖州市吴兴区八里店镇星光商务广场11幢A座702室</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政府采购行政监管及投诉受理部门：湖州市财政局政府采购监管处        </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联系人：李女士                联系电话：0572-2150086</w:t>
      </w:r>
    </w:p>
    <w:p>
      <w:pPr>
        <w:pStyle w:val="260"/>
        <w:spacing w:line="360" w:lineRule="auto"/>
        <w:rPr>
          <w:rFonts w:ascii="宋体" w:hAnsi="宋体" w:cs="宋体"/>
          <w:sz w:val="24"/>
          <w:lang w:val="en-US"/>
        </w:rPr>
      </w:pPr>
      <w:r>
        <w:rPr>
          <w:rFonts w:hint="eastAsia" w:ascii="宋体" w:hAnsi="宋体" w:cs="宋体"/>
          <w:kern w:val="0"/>
          <w:sz w:val="24"/>
        </w:rPr>
        <w:t xml:space="preserve">地址：湖州市龙王山路518号 </w:t>
      </w:r>
    </w:p>
    <w:p>
      <w:pPr>
        <w:pStyle w:val="25"/>
        <w:rPr>
          <w:rFonts w:hint="eastAsia" w:ascii="宋体" w:eastAsia="宋体" w:cs="宋体"/>
        </w:rPr>
      </w:pPr>
    </w:p>
    <w:p>
      <w:pPr>
        <w:pStyle w:val="26"/>
        <w:ind w:firstLine="240"/>
        <w:rPr>
          <w:rFonts w:hint="eastAsia" w:ascii="宋体" w:hAnsi="宋体" w:eastAsia="宋体" w:cs="宋体"/>
        </w:rPr>
      </w:pPr>
    </w:p>
    <w:p>
      <w:pPr>
        <w:rPr>
          <w:rFonts w:hint="eastAsia" w:ascii="宋体" w:hAnsi="宋体" w:cs="宋体"/>
          <w:sz w:val="24"/>
        </w:rPr>
      </w:pPr>
    </w:p>
    <w:p>
      <w:pPr>
        <w:pStyle w:val="25"/>
        <w:rPr>
          <w:rFonts w:hint="eastAsia" w:ascii="宋体" w:eastAsia="宋体" w:cs="宋体"/>
        </w:rPr>
      </w:pPr>
    </w:p>
    <w:p>
      <w:pPr>
        <w:pStyle w:val="26"/>
        <w:ind w:firstLine="240"/>
        <w:rPr>
          <w:rFonts w:hint="eastAsia" w:ascii="宋体" w:hAnsi="宋体" w:eastAsia="宋体" w:cs="宋体"/>
        </w:rPr>
      </w:pPr>
    </w:p>
    <w:p>
      <w:pPr>
        <w:rPr>
          <w:rFonts w:hint="eastAsia" w:ascii="宋体" w:hAnsi="宋体" w:cs="宋体"/>
          <w:sz w:val="24"/>
        </w:rPr>
      </w:pPr>
    </w:p>
    <w:p>
      <w:pPr>
        <w:pStyle w:val="25"/>
        <w:rPr>
          <w:rFonts w:hint="eastAsia" w:ascii="宋体" w:eastAsia="宋体" w:cs="宋体"/>
        </w:rPr>
      </w:pPr>
    </w:p>
    <w:p>
      <w:pPr>
        <w:pStyle w:val="26"/>
        <w:ind w:firstLine="240"/>
        <w:rPr>
          <w:rFonts w:hint="eastAsia" w:ascii="宋体" w:hAnsi="宋体" w:eastAsia="宋体" w:cs="宋体"/>
        </w:rPr>
      </w:pPr>
    </w:p>
    <w:p>
      <w:pPr>
        <w:rPr>
          <w:rFonts w:hint="eastAsia" w:ascii="宋体" w:hAnsi="宋体" w:cs="宋体"/>
          <w:sz w:val="24"/>
        </w:rPr>
      </w:pPr>
    </w:p>
    <w:p>
      <w:pPr>
        <w:pStyle w:val="25"/>
        <w:rPr>
          <w:rFonts w:hint="eastAsia" w:ascii="宋体" w:eastAsia="宋体" w:cs="宋体"/>
        </w:rPr>
      </w:pPr>
    </w:p>
    <w:p>
      <w:pPr>
        <w:pStyle w:val="26"/>
        <w:ind w:firstLine="240"/>
        <w:rPr>
          <w:rFonts w:hint="eastAsia" w:ascii="宋体" w:hAnsi="宋体" w:eastAsia="宋体" w:cs="宋体"/>
        </w:rPr>
      </w:pPr>
    </w:p>
    <w:p>
      <w:pPr>
        <w:rPr>
          <w:rFonts w:hint="eastAsia" w:ascii="宋体" w:hAnsi="宋体" w:cs="宋体"/>
          <w:sz w:val="24"/>
        </w:rPr>
      </w:pPr>
    </w:p>
    <w:p>
      <w:pPr>
        <w:pStyle w:val="25"/>
        <w:rPr>
          <w:rFonts w:hint="eastAsia" w:ascii="宋体" w:eastAsia="宋体" w:cs="宋体"/>
        </w:rPr>
      </w:pPr>
    </w:p>
    <w:p>
      <w:pPr>
        <w:pStyle w:val="26"/>
        <w:ind w:firstLine="240"/>
        <w:rPr>
          <w:rFonts w:hint="eastAsia" w:ascii="宋体" w:hAnsi="宋体" w:eastAsia="宋体" w:cs="宋体"/>
        </w:rPr>
      </w:pPr>
    </w:p>
    <w:p>
      <w:pPr>
        <w:rPr>
          <w:rFonts w:hint="eastAsia" w:ascii="宋体" w:hAnsi="宋体" w:cs="宋体"/>
        </w:rPr>
      </w:pPr>
    </w:p>
    <w:p>
      <w:pPr>
        <w:pStyle w:val="29"/>
        <w:rPr>
          <w:rFonts w:hint="eastAsia"/>
        </w:rPr>
      </w:pPr>
    </w:p>
    <w:p>
      <w:pPr>
        <w:rPr>
          <w:rFonts w:hint="eastAsia" w:ascii="宋体" w:hAnsi="宋体" w:cs="宋体"/>
          <w:sz w:val="24"/>
        </w:rPr>
      </w:pPr>
    </w:p>
    <w:p>
      <w:pPr>
        <w:pStyle w:val="25"/>
        <w:rPr>
          <w:rFonts w:hint="eastAsia" w:ascii="宋体" w:eastAsia="宋体" w:cs="宋体"/>
        </w:rPr>
      </w:pPr>
    </w:p>
    <w:p>
      <w:pPr>
        <w:pStyle w:val="26"/>
        <w:ind w:firstLine="240"/>
        <w:rPr>
          <w:rFonts w:hint="eastAsia" w:ascii="宋体" w:hAnsi="宋体" w:eastAsia="宋体" w:cs="宋体"/>
        </w:rPr>
      </w:pPr>
    </w:p>
    <w:p>
      <w:pPr>
        <w:rPr>
          <w:rFonts w:hint="eastAsia" w:ascii="宋体" w:hAnsi="宋体" w:cs="宋体"/>
          <w:sz w:val="24"/>
        </w:rPr>
      </w:pPr>
    </w:p>
    <w:p>
      <w:pPr>
        <w:pStyle w:val="25"/>
        <w:rPr>
          <w:rFonts w:hint="eastAsia" w:ascii="宋体" w:eastAsia="宋体" w:cs="宋体"/>
        </w:rPr>
      </w:pPr>
    </w:p>
    <w:p>
      <w:pPr>
        <w:pStyle w:val="26"/>
        <w:ind w:firstLine="240"/>
        <w:rPr>
          <w:rFonts w:hint="eastAsia" w:ascii="宋体" w:hAnsi="宋体" w:eastAsia="宋体" w:cs="宋体"/>
        </w:rPr>
      </w:pPr>
    </w:p>
    <w:p>
      <w:pPr>
        <w:rPr>
          <w:rFonts w:hint="eastAsia" w:ascii="宋体" w:hAnsi="宋体" w:cs="宋体"/>
          <w:sz w:val="24"/>
        </w:rPr>
      </w:pPr>
    </w:p>
    <w:p>
      <w:pPr>
        <w:pStyle w:val="25"/>
        <w:rPr>
          <w:rFonts w:hint="eastAsia" w:ascii="宋体" w:eastAsia="宋体" w:cs="宋体"/>
        </w:rPr>
      </w:pPr>
    </w:p>
    <w:p>
      <w:pPr>
        <w:pStyle w:val="26"/>
        <w:ind w:firstLine="240"/>
        <w:rPr>
          <w:rFonts w:hint="eastAsia" w:ascii="宋体" w:hAnsi="宋体" w:eastAsia="宋体" w:cs="宋体"/>
        </w:rPr>
      </w:pPr>
    </w:p>
    <w:p>
      <w:pPr>
        <w:rPr>
          <w:rFonts w:hint="eastAsia" w:ascii="宋体" w:hAnsi="宋体" w:cs="宋体"/>
          <w:sz w:val="24"/>
        </w:rPr>
      </w:pPr>
    </w:p>
    <w:p>
      <w:pPr>
        <w:pStyle w:val="25"/>
        <w:rPr>
          <w:rFonts w:hint="eastAsia" w:ascii="宋体" w:eastAsia="宋体" w:cs="宋体"/>
        </w:rPr>
      </w:pPr>
    </w:p>
    <w:p>
      <w:pPr>
        <w:pStyle w:val="26"/>
        <w:ind w:firstLine="240"/>
        <w:rPr>
          <w:rFonts w:hint="eastAsia"/>
        </w:rPr>
      </w:pPr>
    </w:p>
    <w:p>
      <w:pPr>
        <w:rPr>
          <w:rFonts w:hint="eastAsia"/>
        </w:rPr>
      </w:pPr>
    </w:p>
    <w:p>
      <w:pPr>
        <w:pStyle w:val="25"/>
        <w:rPr>
          <w:rFonts w:hint="eastAsia"/>
        </w:rPr>
      </w:pPr>
    </w:p>
    <w:p>
      <w:pPr>
        <w:pStyle w:val="26"/>
        <w:ind w:firstLine="240"/>
        <w:rPr>
          <w:rFonts w:hint="eastAsia"/>
        </w:rPr>
      </w:pPr>
    </w:p>
    <w:p>
      <w:pPr>
        <w:rPr>
          <w:rFonts w:hint="eastAsia"/>
        </w:rPr>
      </w:pPr>
    </w:p>
    <w:p>
      <w:pPr>
        <w:pStyle w:val="26"/>
        <w:ind w:firstLine="240"/>
        <w:rPr>
          <w:rFonts w:hint="eastAsia"/>
        </w:rPr>
      </w:pPr>
    </w:p>
    <w:p>
      <w:pPr>
        <w:pStyle w:val="15"/>
        <w:numPr>
          <w:ilvl w:val="0"/>
          <w:numId w:val="4"/>
        </w:numPr>
        <w:snapToGrid w:val="0"/>
        <w:spacing w:line="360" w:lineRule="auto"/>
        <w:ind w:firstLine="0"/>
        <w:jc w:val="center"/>
        <w:rPr>
          <w:rFonts w:hint="eastAsia" w:hAnsi="宋体" w:cs="宋体"/>
          <w:b/>
          <w:bCs/>
          <w:kern w:val="44"/>
          <w:sz w:val="28"/>
          <w:szCs w:val="28"/>
        </w:rPr>
      </w:pPr>
      <w:r>
        <w:rPr>
          <w:rFonts w:hint="eastAsia" w:hAnsi="宋体" w:cs="宋体"/>
          <w:b/>
          <w:bCs/>
          <w:kern w:val="44"/>
          <w:sz w:val="28"/>
          <w:szCs w:val="28"/>
        </w:rPr>
        <w:t xml:space="preserve"> 采购需求</w:t>
      </w:r>
    </w:p>
    <w:p>
      <w:pPr>
        <w:spacing w:line="360" w:lineRule="auto"/>
        <w:ind w:firstLine="482" w:firstLineChars="200"/>
        <w:rPr>
          <w:rFonts w:hint="default" w:ascii="宋体" w:hAnsi="宋体" w:eastAsia="宋体" w:cs="宋体"/>
          <w:b/>
          <w:sz w:val="24"/>
          <w:lang w:val="en-US" w:eastAsia="zh-CN"/>
        </w:rPr>
      </w:pPr>
      <w:bookmarkStart w:id="34" w:name="_Toc47354467"/>
      <w:r>
        <w:rPr>
          <w:rFonts w:hint="eastAsia" w:ascii="宋体" w:hAnsi="宋体" w:cs="宋体"/>
          <w:b/>
          <w:sz w:val="24"/>
        </w:rPr>
        <w:t>项目编号：</w:t>
      </w:r>
      <w:r>
        <w:rPr>
          <w:rFonts w:hint="eastAsia" w:ascii="宋体" w:hAnsi="宋体" w:eastAsia="宋体" w:cs="宋体"/>
          <w:sz w:val="24"/>
        </w:rPr>
        <w:t>XXCG(2022)-</w:t>
      </w:r>
      <w:r>
        <w:rPr>
          <w:rFonts w:hint="eastAsia" w:ascii="宋体" w:hAnsi="宋体" w:eastAsia="宋体" w:cs="宋体"/>
          <w:sz w:val="24"/>
          <w:lang w:val="en-US" w:eastAsia="zh-CN"/>
        </w:rPr>
        <w:t>058</w:t>
      </w:r>
    </w:p>
    <w:p>
      <w:pPr>
        <w:spacing w:line="360" w:lineRule="auto"/>
        <w:ind w:firstLine="482" w:firstLineChars="200"/>
        <w:rPr>
          <w:rFonts w:hint="eastAsia" w:ascii="宋体" w:hAnsi="宋体" w:cs="宋体"/>
          <w:sz w:val="24"/>
        </w:rPr>
      </w:pPr>
      <w:r>
        <w:rPr>
          <w:rFonts w:hint="eastAsia" w:ascii="宋体" w:hAnsi="宋体" w:cs="宋体"/>
          <w:b/>
          <w:sz w:val="24"/>
        </w:rPr>
        <w:t>项目名称：</w:t>
      </w:r>
      <w:r>
        <w:rPr>
          <w:rFonts w:hint="eastAsia" w:ascii="宋体" w:hAnsi="宋体" w:cs="宋体"/>
          <w:sz w:val="24"/>
        </w:rPr>
        <w:t>平安风险预警预测防控应用项目</w:t>
      </w:r>
    </w:p>
    <w:p>
      <w:pPr>
        <w:spacing w:line="360" w:lineRule="auto"/>
        <w:ind w:firstLine="482" w:firstLineChars="200"/>
        <w:rPr>
          <w:rFonts w:hint="eastAsia" w:ascii="宋体" w:hAnsi="宋体" w:cs="宋体"/>
          <w:b/>
          <w:sz w:val="24"/>
        </w:rPr>
      </w:pPr>
      <w:r>
        <w:rPr>
          <w:rFonts w:hint="eastAsia" w:ascii="宋体" w:hAnsi="宋体" w:cs="宋体"/>
          <w:b/>
          <w:sz w:val="24"/>
        </w:rPr>
        <w:t>采购人名称：</w:t>
      </w:r>
      <w:r>
        <w:rPr>
          <w:rFonts w:hint="eastAsia" w:ascii="宋体" w:hAnsi="宋体" w:cs="宋体"/>
          <w:kern w:val="0"/>
          <w:sz w:val="24"/>
        </w:rPr>
        <w:t xml:space="preserve">中共湖州市委政法委员会 </w:t>
      </w:r>
      <w:r>
        <w:rPr>
          <w:rFonts w:hint="eastAsia" w:ascii="宋体" w:hAnsi="宋体" w:cs="宋体"/>
          <w:b/>
          <w:snapToGrid w:val="0"/>
          <w:sz w:val="24"/>
        </w:rPr>
        <w:t xml:space="preserve"> </w:t>
      </w:r>
    </w:p>
    <w:p>
      <w:pPr>
        <w:spacing w:line="360" w:lineRule="auto"/>
        <w:ind w:firstLine="482" w:firstLineChars="200"/>
        <w:rPr>
          <w:rFonts w:ascii="宋体" w:hAnsi="宋体" w:cs="宋体"/>
          <w:b/>
          <w:sz w:val="24"/>
        </w:rPr>
      </w:pPr>
      <w:r>
        <w:rPr>
          <w:rFonts w:hint="eastAsia" w:ascii="宋体" w:hAnsi="宋体" w:cs="宋体"/>
          <w:b/>
          <w:sz w:val="24"/>
        </w:rPr>
        <w:t>本项目由中共湖州市委政法委员会负责统一招标</w:t>
      </w:r>
      <w:r>
        <w:rPr>
          <w:rFonts w:hint="eastAsia" w:ascii="宋体" w:hAnsi="宋体" w:cs="宋体"/>
          <w:b/>
          <w:sz w:val="24"/>
          <w:highlight w:val="none"/>
        </w:rPr>
        <w:t xml:space="preserve">，中标后由中标供应商分别跟中共湖州市委政法委员会 </w:t>
      </w:r>
      <w:r>
        <w:rPr>
          <w:rFonts w:hint="eastAsia" w:ascii="宋体" w:hAnsi="宋体" w:cs="宋体"/>
          <w:b/>
          <w:sz w:val="24"/>
          <w:highlight w:val="none"/>
          <w:lang w:eastAsia="zh-CN"/>
        </w:rPr>
        <w:t>、</w:t>
      </w:r>
      <w:r>
        <w:rPr>
          <w:rFonts w:hint="eastAsia" w:ascii="宋体" w:hAnsi="宋体" w:cs="宋体"/>
          <w:b/>
          <w:sz w:val="24"/>
          <w:highlight w:val="none"/>
        </w:rPr>
        <w:t>中共安吉县委政法委员会</w:t>
      </w:r>
      <w:r>
        <w:rPr>
          <w:rFonts w:hint="eastAsia" w:ascii="宋体" w:hAnsi="宋体" w:cs="宋体"/>
          <w:b/>
          <w:sz w:val="24"/>
          <w:highlight w:val="none"/>
          <w:lang w:eastAsia="zh-CN"/>
        </w:rPr>
        <w:t>、</w:t>
      </w:r>
      <w:r>
        <w:rPr>
          <w:rFonts w:hint="eastAsia" w:ascii="宋体" w:hAnsi="宋体" w:cs="宋体"/>
          <w:b/>
          <w:sz w:val="24"/>
          <w:highlight w:val="none"/>
        </w:rPr>
        <w:t>中共德清县委政法委员会</w:t>
      </w:r>
      <w:r>
        <w:rPr>
          <w:rFonts w:hint="eastAsia" w:ascii="宋体" w:hAnsi="宋体" w:cs="宋体"/>
          <w:b/>
          <w:sz w:val="24"/>
          <w:highlight w:val="none"/>
          <w:lang w:eastAsia="zh-CN"/>
        </w:rPr>
        <w:t>、</w:t>
      </w:r>
      <w:r>
        <w:rPr>
          <w:rFonts w:hint="eastAsia" w:ascii="宋体" w:hAnsi="宋体" w:cs="宋体"/>
          <w:b/>
          <w:sz w:val="24"/>
          <w:highlight w:val="none"/>
        </w:rPr>
        <w:t>中共吴兴区委政法委员会</w:t>
      </w:r>
      <w:r>
        <w:rPr>
          <w:rFonts w:hint="eastAsia" w:ascii="宋体" w:hAnsi="宋体" w:cs="宋体"/>
          <w:b/>
          <w:sz w:val="24"/>
          <w:highlight w:val="none"/>
          <w:lang w:eastAsia="zh-CN"/>
        </w:rPr>
        <w:t>、</w:t>
      </w:r>
      <w:r>
        <w:rPr>
          <w:rFonts w:hint="eastAsia" w:ascii="宋体" w:hAnsi="宋体" w:cs="宋体"/>
          <w:b/>
          <w:sz w:val="24"/>
          <w:highlight w:val="none"/>
        </w:rPr>
        <w:t>中共湖州市南浔区委政法委员会</w:t>
      </w:r>
      <w:r>
        <w:rPr>
          <w:rFonts w:hint="eastAsia" w:ascii="宋体" w:hAnsi="宋体" w:cs="宋体"/>
          <w:b/>
          <w:sz w:val="24"/>
          <w:highlight w:val="none"/>
          <w:lang w:eastAsia="zh-CN"/>
        </w:rPr>
        <w:t>、</w:t>
      </w:r>
      <w:r>
        <w:rPr>
          <w:rFonts w:hint="eastAsia" w:ascii="宋体" w:hAnsi="宋体" w:cs="宋体"/>
          <w:b/>
          <w:sz w:val="24"/>
          <w:highlight w:val="none"/>
        </w:rPr>
        <w:t>中共长兴县委政法委员会</w:t>
      </w:r>
      <w:r>
        <w:rPr>
          <w:rFonts w:hint="eastAsia" w:ascii="宋体" w:hAnsi="宋体" w:cs="宋体"/>
          <w:b/>
          <w:sz w:val="24"/>
          <w:highlight w:val="none"/>
          <w:lang w:eastAsia="zh-CN"/>
        </w:rPr>
        <w:t>、</w:t>
      </w:r>
      <w:r>
        <w:rPr>
          <w:rFonts w:hint="eastAsia" w:ascii="宋体" w:hAnsi="宋体" w:cs="宋体"/>
          <w:b/>
          <w:sz w:val="24"/>
          <w:highlight w:val="none"/>
        </w:rPr>
        <w:t>湖州南太湖新区管理委员会政法委员会签订合同。</w:t>
      </w:r>
      <w:bookmarkEnd w:id="34"/>
    </w:p>
    <w:p>
      <w:pPr>
        <w:pStyle w:val="2"/>
        <w:pageBreakBefore w:val="0"/>
        <w:widowControl w:val="0"/>
        <w:kinsoku/>
        <w:wordWrap/>
        <w:overflowPunct/>
        <w:topLinePunct w:val="0"/>
        <w:autoSpaceDE/>
        <w:autoSpaceDN/>
        <w:bidi w:val="0"/>
        <w:snapToGrid/>
        <w:spacing w:line="400" w:lineRule="exact"/>
        <w:textAlignment w:val="auto"/>
        <w:rPr>
          <w:rFonts w:ascii="宋体" w:hAnsi="宋体" w:cs="宋体"/>
          <w:b w:val="0"/>
          <w:bCs w:val="0"/>
          <w:sz w:val="24"/>
          <w:szCs w:val="24"/>
        </w:rPr>
      </w:pPr>
      <w:bookmarkStart w:id="35" w:name="_Toc48050107"/>
      <w:r>
        <w:rPr>
          <w:rFonts w:hint="eastAsia" w:ascii="宋体" w:hAnsi="宋体" w:cs="宋体"/>
          <w:sz w:val="24"/>
          <w:szCs w:val="24"/>
        </w:rPr>
        <w:t>一、建设目标</w:t>
      </w:r>
    </w:p>
    <w:p>
      <w:pPr>
        <w:pStyle w:val="15"/>
        <w:pageBreakBefore w:val="0"/>
        <w:widowControl w:val="0"/>
        <w:kinsoku/>
        <w:wordWrap/>
        <w:overflowPunct/>
        <w:topLinePunct w:val="0"/>
        <w:autoSpaceDE/>
        <w:autoSpaceDN/>
        <w:bidi w:val="0"/>
        <w:adjustRightInd w:val="0"/>
        <w:snapToGrid/>
        <w:spacing w:line="400" w:lineRule="exact"/>
        <w:ind w:left="0" w:leftChars="0" w:firstLine="464" w:firstLineChars="200"/>
        <w:textAlignment w:val="auto"/>
        <w:rPr>
          <w:rFonts w:hAnsi="宋体" w:cs="宋体"/>
          <w:spacing w:val="-4"/>
          <w:kern w:val="21"/>
          <w:sz w:val="24"/>
          <w:szCs w:val="24"/>
        </w:rPr>
      </w:pPr>
      <w:r>
        <w:rPr>
          <w:rFonts w:hint="eastAsia" w:hAnsi="宋体" w:cs="宋体"/>
          <w:spacing w:val="-4"/>
          <w:kern w:val="21"/>
          <w:sz w:val="24"/>
          <w:szCs w:val="24"/>
        </w:rPr>
        <w:t>瞄准平安中国使命任务需要，立足平安风险预警预测防控应用工作实际，以“汇数据、深融合、强共享、防风险、促闭环、搭平台、广应用”为总体建设目标，利用大数据、云计算、GIS等新技术，基于硬件基础设施和软件支撑平台等基础支撑环境，综合集优建设完善风险闭环管控的大平安机制、矛盾纠纷排查见底应用、基层治理智能考核评价等应用系统。</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采用信息化手段对平安风险中涉及的人员、事件、单位、区域、领域等精细化管理，实现市域范围内跨层级跨条线各类风险因素底数明了，有效提升风险汇总分析效能。结合大数据与算法模型实现平安风险综合研判分析，支撑各级科学制定任务，完善“监测—预警—处置—反馈”一体化全流程机制体制闭环，全面提升信息化条件下数据决策、精准预测、及时防控、高效协同的风险预警防范水平。</w:t>
      </w:r>
    </w:p>
    <w:p>
      <w:pPr>
        <w:pStyle w:val="3"/>
        <w:keepNext w:val="0"/>
        <w:numPr>
          <w:ilvl w:val="1"/>
          <w:numId w:val="5"/>
        </w:numPr>
        <w:adjustRightInd/>
        <w:rPr>
          <w:rFonts w:ascii="宋体" w:eastAsia="宋体" w:cs="宋体"/>
          <w:b w:val="0"/>
          <w:bCs/>
          <w:sz w:val="24"/>
          <w:szCs w:val="24"/>
        </w:rPr>
      </w:pPr>
      <w:r>
        <w:rPr>
          <w:rFonts w:hint="eastAsia" w:ascii="宋体" w:eastAsia="宋体" w:cs="宋体"/>
          <w:bCs/>
          <w:sz w:val="24"/>
          <w:szCs w:val="24"/>
        </w:rPr>
        <w:t>完善风险闭环管控的大平安机制</w:t>
      </w:r>
    </w:p>
    <w:p>
      <w:pPr>
        <w:pStyle w:val="268"/>
        <w:rPr>
          <w:rFonts w:ascii="宋体" w:hAnsi="宋体"/>
          <w:sz w:val="24"/>
          <w:szCs w:val="24"/>
        </w:rPr>
      </w:pPr>
      <w:r>
        <w:rPr>
          <w:rFonts w:hint="eastAsia" w:ascii="宋体" w:hAnsi="宋体"/>
          <w:sz w:val="24"/>
          <w:szCs w:val="24"/>
        </w:rPr>
        <w:t>完善“监测—预警—处置—反馈”风险闭管控机制，打造现代化、数字化、高效化、精准化的风险防控系，健全“党委领导、政府负责、民主协商、社会协同、公众参与、法治保障、科技支撑”的社会治理体系。通过风险闭环管控的大平安机制的运行，使得影响社会安全稳定的各类事件持续下降，群众安全感、满意度继续保持全省前列，使之成为建设“重要窗口”争创社会主义现代化先行省的标志性成果，为开创平安中国新局面树标杆。</w:t>
      </w:r>
    </w:p>
    <w:p>
      <w:pPr>
        <w:pStyle w:val="3"/>
        <w:keepNext w:val="0"/>
        <w:numPr>
          <w:ilvl w:val="1"/>
          <w:numId w:val="5"/>
        </w:numPr>
        <w:adjustRightInd/>
        <w:rPr>
          <w:rFonts w:ascii="宋体" w:eastAsia="宋体" w:cs="宋体"/>
          <w:b w:val="0"/>
          <w:bCs/>
          <w:sz w:val="24"/>
          <w:szCs w:val="24"/>
        </w:rPr>
      </w:pPr>
      <w:r>
        <w:rPr>
          <w:rFonts w:hint="eastAsia" w:ascii="宋体" w:eastAsia="宋体" w:cs="宋体"/>
          <w:bCs/>
          <w:sz w:val="24"/>
          <w:szCs w:val="24"/>
        </w:rPr>
        <w:t>构建社会矛盾纠纷排查见底、调处化解体系</w:t>
      </w:r>
    </w:p>
    <w:p>
      <w:pPr>
        <w:spacing w:line="360" w:lineRule="auto"/>
        <w:ind w:firstLine="480" w:firstLineChars="200"/>
        <w:jc w:val="left"/>
        <w:rPr>
          <w:rFonts w:ascii="宋体" w:hAnsi="宋体" w:cs="宋体"/>
          <w:sz w:val="24"/>
        </w:rPr>
      </w:pPr>
      <w:r>
        <w:rPr>
          <w:rFonts w:hint="eastAsia" w:ascii="宋体" w:hAnsi="宋体" w:cs="宋体"/>
          <w:sz w:val="24"/>
        </w:rPr>
        <w:t>坚持和发展新时代“枫桥经验”，基于基层治理“141”总体框架，充分整合各部门资源，打造矛盾纠纷排查见底功能，实现基层矛盾纠纷的专业调处化解。纵向对接“省矛调协同应用系统”，横向打通相关业务部门系统，实现矛盾纠纷调处化解的上下贯通、左右联动。</w:t>
      </w:r>
    </w:p>
    <w:p>
      <w:pPr>
        <w:pStyle w:val="3"/>
        <w:keepNext w:val="0"/>
        <w:numPr>
          <w:ilvl w:val="1"/>
          <w:numId w:val="5"/>
        </w:numPr>
        <w:adjustRightInd/>
        <w:rPr>
          <w:rFonts w:ascii="宋体" w:eastAsia="宋体" w:cs="宋体"/>
          <w:b w:val="0"/>
          <w:bCs/>
          <w:sz w:val="24"/>
          <w:szCs w:val="24"/>
        </w:rPr>
      </w:pPr>
      <w:r>
        <w:rPr>
          <w:rFonts w:hint="eastAsia" w:ascii="宋体" w:eastAsia="宋体" w:cs="宋体"/>
          <w:bCs/>
          <w:sz w:val="24"/>
          <w:szCs w:val="24"/>
        </w:rPr>
        <w:t>以数字化手段实现科学化、精准化管理</w:t>
      </w:r>
    </w:p>
    <w:p>
      <w:pPr>
        <w:pStyle w:val="268"/>
        <w:rPr>
          <w:rFonts w:ascii="宋体" w:hAnsi="宋体"/>
          <w:sz w:val="24"/>
          <w:szCs w:val="24"/>
        </w:rPr>
      </w:pPr>
      <w:r>
        <w:rPr>
          <w:rFonts w:hint="eastAsia" w:ascii="宋体" w:hAnsi="宋体"/>
          <w:sz w:val="24"/>
          <w:szCs w:val="24"/>
        </w:rPr>
        <w:t>通过分析、构建重点人员分析模型，评定重点人员风险，实现因人施策、精准管理；统筹系统各类业务数据，完成智能考核与工作评价，指导各区县、乡镇（街道）及相关业务部门提升治理能力，力争上游。</w:t>
      </w:r>
    </w:p>
    <w:p>
      <w:pPr>
        <w:pStyle w:val="2"/>
        <w:keepNext w:val="0"/>
        <w:keepLines w:val="0"/>
        <w:numPr>
          <w:ilvl w:val="0"/>
          <w:numId w:val="5"/>
        </w:numPr>
        <w:spacing w:before="0" w:after="0" w:line="360" w:lineRule="auto"/>
        <w:rPr>
          <w:rFonts w:ascii="宋体" w:hAnsi="宋体" w:cs="宋体"/>
          <w:b w:val="0"/>
          <w:bCs w:val="0"/>
          <w:sz w:val="24"/>
          <w:szCs w:val="24"/>
        </w:rPr>
      </w:pPr>
      <w:r>
        <w:rPr>
          <w:rFonts w:hint="eastAsia" w:ascii="宋体" w:hAnsi="宋体" w:cs="宋体"/>
          <w:sz w:val="24"/>
          <w:szCs w:val="24"/>
        </w:rPr>
        <w:t>建设内容</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平安风险预警预测防控应用主要根据全量矛盾纠纷、基层治理四平台、各行业风险数据、咨询投诉举报（12345）数据、网络舆情等数据进行综合研判分析，形成各类重点人员、重点事件、重点单位、重点领域、重点区域的复合型风险预警，实现从风险识别、分析定级、联动处置反馈、考核评估等全流程闭环管控。建设内容主要包括：风险防控一张图、风险防控管理、重点人员异常情况预警2.0、基层治理工作日、周、月报、智能考核和工作评价、矛盾纠纷排查见底应用六个子应用。</w:t>
      </w:r>
    </w:p>
    <w:p>
      <w:pPr>
        <w:pStyle w:val="15"/>
        <w:adjustRightInd w:val="0"/>
        <w:spacing w:line="400" w:lineRule="exact"/>
        <w:ind w:firstLine="466"/>
        <w:rPr>
          <w:rFonts w:hAnsi="宋体" w:cs="宋体"/>
          <w:b/>
          <w:bCs/>
          <w:spacing w:val="-4"/>
          <w:kern w:val="21"/>
          <w:sz w:val="24"/>
          <w:szCs w:val="24"/>
        </w:rPr>
      </w:pPr>
      <w:r>
        <w:rPr>
          <w:rFonts w:hint="eastAsia" w:hAnsi="宋体" w:cs="宋体"/>
          <w:b/>
          <w:bCs/>
          <w:spacing w:val="-4"/>
          <w:kern w:val="21"/>
          <w:sz w:val="24"/>
          <w:szCs w:val="24"/>
        </w:rPr>
        <w:t>平安风险预警预测防控应用需要建设的内容主要包括：</w:t>
      </w:r>
    </w:p>
    <w:p>
      <w:pPr>
        <w:pStyle w:val="3"/>
        <w:keepNext w:val="0"/>
        <w:numPr>
          <w:ilvl w:val="1"/>
          <w:numId w:val="5"/>
        </w:numPr>
        <w:adjustRightInd/>
        <w:rPr>
          <w:rFonts w:ascii="宋体" w:eastAsia="宋体" w:cs="宋体"/>
          <w:b w:val="0"/>
          <w:bCs/>
          <w:sz w:val="24"/>
          <w:szCs w:val="24"/>
        </w:rPr>
      </w:pPr>
      <w:r>
        <w:rPr>
          <w:rFonts w:hint="eastAsia" w:ascii="宋体" w:eastAsia="宋体" w:cs="宋体"/>
          <w:bCs/>
          <w:sz w:val="24"/>
          <w:szCs w:val="24"/>
        </w:rPr>
        <w:t>风险防控一张图</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依托网格地图和标准地址库建设成果，汇聚社会治理基础元素和综合预警数据，梳理出矛盾纠纷、社会治安、行业监管、依法治网、重点预警五大类、33小类数据，形成约200个基础图层，实现单图层分析与多图层叠加分析、热力展现，构建风险防控一张图，实现一屏统览。强化跨行政区划的研判分析和时空预警预测，为指挥调度提供基础支撑，定期将分析报告推送至领导工作台，为领导决策提供辅助数据支撑，提高社会风险防范化解能力。包括风险防控一张图驾驶舱、总体态势、矛盾纠纷、行业监管、社会治安、依法治网、乡镇驾驶舱等。</w:t>
      </w:r>
    </w:p>
    <w:p>
      <w:pPr>
        <w:pStyle w:val="3"/>
        <w:keepNext w:val="0"/>
        <w:numPr>
          <w:ilvl w:val="1"/>
          <w:numId w:val="5"/>
        </w:numPr>
        <w:adjustRightInd/>
        <w:rPr>
          <w:rFonts w:ascii="宋体" w:eastAsia="宋体" w:cs="宋体"/>
          <w:b w:val="0"/>
          <w:bCs/>
          <w:sz w:val="24"/>
          <w:szCs w:val="24"/>
        </w:rPr>
      </w:pPr>
      <w:r>
        <w:rPr>
          <w:rFonts w:hint="eastAsia" w:ascii="宋体" w:eastAsia="宋体" w:cs="宋体"/>
          <w:bCs/>
          <w:sz w:val="24"/>
          <w:szCs w:val="24"/>
        </w:rPr>
        <w:t>风险防控管理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根据浙江省关于完善风险闭环管控大平安体系的总体方案来进行设计，主要是依托矛盾纠纷排查见底应用、重点人员异常情况预警2.0应用、四平台迭代升级的重点场所异常情况2.0应用以及基层四平台的数据，接入各行业风险隐患数据，构建高风险人员库、高风险事件库、高风险场所库、高风险区域库、高风险领域库。建立算法模型，对各类数据进行分析预警，形成矛盾纠纷、行业监管、社会治安、依法治网的复合型风险预警，应用风险防控一张图形成跨区域的综合风险研判。构建“一总五分”管理架构，即一个总体态势，五类重点领域（矛盾纠纷、行业监管、依法治网、社会治安，其中政治安全较为敏感，将不再本应用中建设），形成“监测－预警－处置－反馈－评价”风险闭环管控。包括总体态势、风险防控驾驶舱、风险分析、风险预警闭环、规则库、模型算法、模型计算、移动端等。</w:t>
      </w:r>
    </w:p>
    <w:p>
      <w:pPr>
        <w:pStyle w:val="3"/>
        <w:keepNext w:val="0"/>
        <w:numPr>
          <w:ilvl w:val="1"/>
          <w:numId w:val="5"/>
        </w:numPr>
        <w:adjustRightInd/>
        <w:rPr>
          <w:rFonts w:ascii="宋体" w:eastAsia="宋体" w:cs="宋体"/>
          <w:b w:val="0"/>
          <w:bCs/>
          <w:sz w:val="24"/>
          <w:szCs w:val="24"/>
        </w:rPr>
      </w:pPr>
      <w:r>
        <w:rPr>
          <w:rFonts w:hint="eastAsia" w:ascii="宋体" w:eastAsia="宋体" w:cs="宋体"/>
          <w:bCs/>
          <w:sz w:val="24"/>
          <w:szCs w:val="24"/>
        </w:rPr>
        <w:t>重点人员异常情况预警2.0</w:t>
      </w:r>
    </w:p>
    <w:p>
      <w:pPr>
        <w:pStyle w:val="15"/>
        <w:adjustRightInd w:val="0"/>
        <w:spacing w:line="400" w:lineRule="exact"/>
        <w:ind w:firstLine="464"/>
        <w:rPr>
          <w:rFonts w:hAnsi="宋体" w:cs="宋体"/>
          <w:spacing w:val="-4"/>
          <w:kern w:val="21"/>
          <w:sz w:val="24"/>
          <w:szCs w:val="24"/>
          <w:lang w:val="zh-CN"/>
        </w:rPr>
      </w:pPr>
      <w:r>
        <w:rPr>
          <w:rFonts w:hint="eastAsia" w:hAnsi="宋体" w:cs="宋体"/>
          <w:spacing w:val="-4"/>
          <w:kern w:val="21"/>
          <w:sz w:val="24"/>
          <w:szCs w:val="24"/>
          <w:lang w:val="zh-CN"/>
        </w:rPr>
        <w:t>依托基层四平台重点人员的数据，按照重点人员分级分类管控要求，建立重点人员五级三色模型，通过模型算法计算重点人员管控等级，为风险防控的稳控人员、重点关注人员等重点人的综合分析提供支撑，作为风险防控管理应用矛盾纠纷、社会治安、总体态势等版块的重点人预警分析的来源。包括重点人员预警审核、人员画像、规则库、模型算法、模型计算、预警管理、重点人员统计、重点人员预警报告等。</w:t>
      </w:r>
    </w:p>
    <w:p>
      <w:pPr>
        <w:pStyle w:val="3"/>
        <w:keepNext w:val="0"/>
        <w:numPr>
          <w:ilvl w:val="1"/>
          <w:numId w:val="5"/>
        </w:numPr>
        <w:adjustRightInd/>
        <w:rPr>
          <w:rFonts w:ascii="宋体" w:eastAsia="宋体" w:cs="宋体"/>
          <w:b w:val="0"/>
          <w:bCs/>
          <w:sz w:val="24"/>
          <w:szCs w:val="24"/>
        </w:rPr>
      </w:pPr>
      <w:r>
        <w:rPr>
          <w:rFonts w:hint="eastAsia" w:ascii="宋体" w:eastAsia="宋体" w:cs="宋体"/>
          <w:bCs/>
          <w:sz w:val="24"/>
          <w:szCs w:val="24"/>
        </w:rPr>
        <w:t>基层治理工作日/周/月报</w:t>
      </w:r>
    </w:p>
    <w:p>
      <w:pPr>
        <w:pStyle w:val="15"/>
        <w:adjustRightInd w:val="0"/>
        <w:spacing w:line="400" w:lineRule="exact"/>
        <w:ind w:firstLine="464"/>
        <w:rPr>
          <w:rFonts w:hAnsi="宋体" w:cs="宋体"/>
          <w:sz w:val="24"/>
          <w:szCs w:val="24"/>
        </w:rPr>
      </w:pPr>
      <w:r>
        <w:rPr>
          <w:rFonts w:hint="eastAsia" w:hAnsi="宋体" w:cs="宋体"/>
          <w:spacing w:val="-4"/>
          <w:kern w:val="21"/>
          <w:sz w:val="24"/>
          <w:szCs w:val="24"/>
          <w:lang w:val="zh-CN"/>
        </w:rPr>
        <w:t>为全面掌握全市基层治理工作整体运行情况，建立全市基层治理工作日/周/月报审核管理机制，对现有基层治理四平台中的基础数据、业务运行数据，从时间、地域、领域等不同维度进行统计分析。以四平台数据为基础形成基层治理工作日/周/月报，通过浙政钉定时推送至不同领域的分管领导，建设领导工作台，接收日/周/月报信息，对基层工作人员的工作内容进行查看，全面及时了解全市基层治理工作的整体情况，进一步实现精细化管理。包括人员配置、日/周/月报模板管理、日/周/月报生成、日/周/月报查看、日/周/月报审核、移动端应用等。</w:t>
      </w:r>
    </w:p>
    <w:p>
      <w:pPr>
        <w:pStyle w:val="3"/>
        <w:keepNext w:val="0"/>
        <w:numPr>
          <w:ilvl w:val="1"/>
          <w:numId w:val="5"/>
        </w:numPr>
        <w:adjustRightInd/>
        <w:rPr>
          <w:rFonts w:ascii="宋体" w:eastAsia="宋体" w:cs="宋体"/>
          <w:b w:val="0"/>
          <w:bCs/>
          <w:sz w:val="24"/>
          <w:szCs w:val="24"/>
        </w:rPr>
      </w:pPr>
      <w:r>
        <w:rPr>
          <w:rFonts w:hint="eastAsia" w:ascii="宋体" w:eastAsia="宋体" w:cs="宋体"/>
          <w:bCs/>
          <w:sz w:val="24"/>
          <w:szCs w:val="24"/>
        </w:rPr>
        <w:t>智能考核和工作评价</w:t>
      </w:r>
    </w:p>
    <w:p>
      <w:pPr>
        <w:pStyle w:val="15"/>
        <w:adjustRightInd w:val="0"/>
        <w:spacing w:line="400" w:lineRule="exact"/>
        <w:ind w:firstLine="464"/>
        <w:rPr>
          <w:rFonts w:hAnsi="宋体" w:cs="宋体"/>
          <w:spacing w:val="-4"/>
          <w:kern w:val="21"/>
          <w:sz w:val="24"/>
          <w:szCs w:val="24"/>
          <w:lang w:val="zh-CN"/>
        </w:rPr>
      </w:pPr>
      <w:r>
        <w:rPr>
          <w:rFonts w:hint="eastAsia" w:hAnsi="宋体" w:cs="宋体"/>
          <w:spacing w:val="-4"/>
          <w:kern w:val="21"/>
          <w:sz w:val="24"/>
          <w:szCs w:val="24"/>
          <w:lang w:val="zh-CN"/>
        </w:rPr>
        <w:t>根据绩效考核机制和制度，对基层治理、风险闭环管控等工作进行考核，对网格员、乡镇街道、职能部门实行分级分类管理，重点对考核职能部门机制运行、平安工作、协同工作、治理成效等方面；乡镇街道机制建设、力量配置、机制运行、网格管理、督查督办、事件处置、责任倒查等方面；网格员日常业务处置、任务完成情况等进行量化考核评估，按照月度、季度、年度形成分析报告。构建完善乡镇（街道）平安指数，直观反映湖州市74个乡镇（街道）的社会平安状况，实现社会风险动态研判、及时预警、提前干预。主要包含督察评价、智能抽查、智能提醒、统计报表、平安工作管理、绩效驾驶舱、考核结果评比、移动端应用等功能。</w:t>
      </w:r>
    </w:p>
    <w:p>
      <w:pPr>
        <w:pStyle w:val="3"/>
        <w:keepNext w:val="0"/>
        <w:numPr>
          <w:ilvl w:val="1"/>
          <w:numId w:val="5"/>
        </w:numPr>
        <w:adjustRightInd/>
        <w:rPr>
          <w:rFonts w:ascii="宋体" w:eastAsia="宋体" w:cs="宋体"/>
          <w:b w:val="0"/>
          <w:bCs/>
          <w:sz w:val="24"/>
          <w:szCs w:val="24"/>
        </w:rPr>
      </w:pPr>
      <w:r>
        <w:rPr>
          <w:rFonts w:hint="eastAsia" w:ascii="宋体" w:eastAsia="宋体" w:cs="宋体"/>
          <w:bCs/>
          <w:sz w:val="24"/>
          <w:szCs w:val="24"/>
        </w:rPr>
        <w:t>矛盾纠纷排查见底应用</w:t>
      </w:r>
    </w:p>
    <w:p>
      <w:pPr>
        <w:pStyle w:val="15"/>
        <w:adjustRightInd w:val="0"/>
        <w:spacing w:line="400" w:lineRule="exact"/>
        <w:ind w:firstLine="464"/>
        <w:rPr>
          <w:rFonts w:hAnsi="宋体" w:cs="宋体"/>
          <w:spacing w:val="-4"/>
          <w:kern w:val="21"/>
          <w:sz w:val="24"/>
          <w:szCs w:val="24"/>
          <w:lang w:val="zh-CN"/>
        </w:rPr>
      </w:pPr>
      <w:r>
        <w:rPr>
          <w:rFonts w:hint="eastAsia" w:hAnsi="宋体" w:cs="宋体"/>
          <w:spacing w:val="-4"/>
          <w:kern w:val="21"/>
          <w:sz w:val="24"/>
          <w:szCs w:val="24"/>
          <w:lang w:val="zh-CN"/>
        </w:rPr>
        <w:t xml:space="preserve">矛盾纠纷排查见底应用为风险防控大平安闭环流程提供跨区域、跨层级、跨时空的风险识别，及为风险预警提供数据支撑和分析工具。建设全市各级各类矛盾纠纷的采集、处置、考核评估等闭环管理，基于四平台数据，形成全量矛盾纠纷库，帮助各级领导实时掌握矛盾纠纷情况，为矛盾纠纷风险提供数据支撑。主要包含：矛盾纠纷数据总览、矛盾纠纷统一受理、矛盾纠纷事项分级流转、矛盾纠纷事项办理、矛盾纠纷综合查询、矛盾纠纷统计分析、矛调中心可视化大屏、涉事人员标签库管理、涉法涉诉信访事件管理、矛盾纠纷事项类型管理、矛盾纠纷数据同步、矛盾纠纷知识库、矛盾纠纷全量库、系统管理、配置管理等功能。 </w:t>
      </w:r>
    </w:p>
    <w:p>
      <w:pPr>
        <w:pStyle w:val="2"/>
        <w:keepNext w:val="0"/>
        <w:keepLines w:val="0"/>
        <w:numPr>
          <w:ilvl w:val="0"/>
          <w:numId w:val="5"/>
        </w:numPr>
        <w:spacing w:before="0" w:after="0" w:line="360" w:lineRule="auto"/>
        <w:rPr>
          <w:rFonts w:ascii="宋体" w:hAnsi="宋体" w:cs="宋体"/>
          <w:b w:val="0"/>
          <w:bCs w:val="0"/>
          <w:sz w:val="24"/>
          <w:szCs w:val="24"/>
        </w:rPr>
      </w:pPr>
      <w:r>
        <w:rPr>
          <w:rFonts w:hint="eastAsia" w:ascii="宋体" w:hAnsi="宋体" w:cs="宋体"/>
          <w:sz w:val="24"/>
          <w:szCs w:val="24"/>
        </w:rPr>
        <w:t>建设规模</w:t>
      </w:r>
    </w:p>
    <w:p>
      <w:pPr>
        <w:pStyle w:val="15"/>
        <w:adjustRightInd w:val="0"/>
        <w:ind w:firstLine="464"/>
        <w:rPr>
          <w:rFonts w:hAnsi="宋体" w:cs="宋体"/>
          <w:spacing w:val="-4"/>
          <w:kern w:val="21"/>
          <w:sz w:val="24"/>
          <w:szCs w:val="24"/>
        </w:rPr>
      </w:pPr>
      <w:r>
        <w:rPr>
          <w:rFonts w:hint="eastAsia" w:hAnsi="宋体" w:cs="宋体"/>
          <w:spacing w:val="-4"/>
          <w:kern w:val="21"/>
          <w:sz w:val="24"/>
          <w:szCs w:val="24"/>
        </w:rPr>
        <w:t>平安风险预警预测防控应用建设范围包括湖州市本级及辖下三区三县，实现湖州市各领域各方面风险监测、预警、处置与评价反馈的全流程闭环与数字化赋能，构建市区县一体化整体架构下、全域覆盖的数字化风险预警预测防控应用。</w:t>
      </w:r>
    </w:p>
    <w:p>
      <w:pPr>
        <w:pStyle w:val="2"/>
        <w:keepNext w:val="0"/>
        <w:keepLines w:val="0"/>
        <w:numPr>
          <w:ilvl w:val="0"/>
          <w:numId w:val="5"/>
        </w:numPr>
        <w:spacing w:before="0" w:after="0" w:line="360" w:lineRule="auto"/>
        <w:rPr>
          <w:rFonts w:ascii="宋体" w:hAnsi="宋体" w:cs="宋体"/>
          <w:b w:val="0"/>
          <w:bCs w:val="0"/>
          <w:sz w:val="24"/>
          <w:szCs w:val="24"/>
        </w:rPr>
      </w:pPr>
      <w:r>
        <w:rPr>
          <w:rFonts w:hint="eastAsia" w:ascii="宋体" w:hAnsi="宋体" w:cs="宋体"/>
          <w:sz w:val="24"/>
          <w:szCs w:val="24"/>
        </w:rPr>
        <w:t>技术要求</w:t>
      </w:r>
    </w:p>
    <w:bookmarkEnd w:id="35"/>
    <w:p>
      <w:pPr>
        <w:pStyle w:val="3"/>
        <w:keepNext w:val="0"/>
        <w:numPr>
          <w:ilvl w:val="1"/>
          <w:numId w:val="5"/>
        </w:numPr>
        <w:adjustRightInd/>
        <w:spacing w:before="120" w:beforeLines="50" w:after="120" w:afterLines="50" w:line="240" w:lineRule="auto"/>
        <w:rPr>
          <w:rFonts w:ascii="宋体" w:eastAsia="宋体" w:cs="宋体"/>
          <w:b w:val="0"/>
          <w:bCs/>
          <w:sz w:val="24"/>
          <w:szCs w:val="24"/>
        </w:rPr>
      </w:pPr>
      <w:bookmarkStart w:id="36" w:name="_Toc48050108"/>
      <w:bookmarkStart w:id="37" w:name="_Toc517787192"/>
      <w:r>
        <w:rPr>
          <w:rFonts w:hint="eastAsia" w:ascii="宋体" w:eastAsia="宋体" w:cs="宋体"/>
          <w:bCs/>
          <w:sz w:val="24"/>
          <w:szCs w:val="24"/>
        </w:rPr>
        <w:t>总体要求</w:t>
      </w:r>
      <w:bookmarkEnd w:id="36"/>
      <w:bookmarkEnd w:id="37"/>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按照统筹规划，统一标准、协同分工、分步推进的建设思路推进平安风险预警预测应用建设工作，确保高质量、高标准完成相关工作任务。构建全领域、全环节、全要素数字化风险闭环管控机制，建成全市风险预警预测防控的智慧大脑。</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建设市、区县、镇街三级贯通应用，市级应用承接省级推送的研判预警数据与任务派发，负责全市跨区县、跨领域风险数据的归集、治理、共享和安全管理，侧重全市复合型风险的综合分析研判和数据赋能。提供市级顶层架构设计、统一标准规范、系统集成对接和数据赋能，指导区县级应用建设和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区县级应用承接市级推送的研判预警数据与任务派发，侧重区县级综合分析研判、风险监测并兼顾事件处置，负责本市范围内风险数据归集、治理、共享和安全管理。复用市级分析研判能力，构建本地风险数据仓和个性化算法模型，向上推送区县级风险隐患，建设风险数据监测、分析研判、事件处置与反馈评价等闭环管控流程，并指导所辖镇街应用的建设和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镇街级应用承接市县级推送的研判预警数据与任务派发，侧重风险相关事件的早期预警、事件处置与基层数据采集。建设风险数据感知、预警处置、反馈评价等业务流程，对接县（市、区）级基层治理四平台，提高网格化数据采集和具体风险隐患事件处置能力，实现辖区内风险隐患及时向上推送，形成上接省市县部门、横跨县（市、区）级部门和贯通市、区县、镇、村、网格五级的线上、线下处置（执法）机制，实现风险数据交换与业务协同。</w:t>
      </w:r>
    </w:p>
    <w:p>
      <w:pPr>
        <w:pStyle w:val="3"/>
        <w:keepNext w:val="0"/>
        <w:numPr>
          <w:ilvl w:val="1"/>
          <w:numId w:val="5"/>
        </w:numPr>
        <w:adjustRightInd/>
        <w:spacing w:before="120" w:beforeLines="50" w:after="120" w:afterLines="50" w:line="240" w:lineRule="auto"/>
        <w:rPr>
          <w:rFonts w:ascii="宋体" w:eastAsia="宋体" w:cs="宋体"/>
          <w:b w:val="0"/>
          <w:bCs/>
          <w:sz w:val="24"/>
          <w:szCs w:val="24"/>
        </w:rPr>
      </w:pPr>
      <w:bookmarkStart w:id="38" w:name="_Toc48050109"/>
      <w:r>
        <w:rPr>
          <w:rFonts w:hint="eastAsia" w:ascii="宋体" w:eastAsia="宋体" w:cs="宋体"/>
          <w:bCs/>
          <w:sz w:val="24"/>
          <w:szCs w:val="24"/>
        </w:rPr>
        <w:t>数据汇集要求</w:t>
      </w:r>
      <w:bookmarkEnd w:id="38"/>
    </w:p>
    <w:p>
      <w:pPr>
        <w:pStyle w:val="4"/>
        <w:keepNext w:val="0"/>
        <w:keepLines w:val="0"/>
        <w:numPr>
          <w:ilvl w:val="2"/>
          <w:numId w:val="5"/>
        </w:numPr>
        <w:spacing w:before="0" w:after="0" w:line="360" w:lineRule="auto"/>
        <w:jc w:val="both"/>
        <w:rPr>
          <w:rFonts w:ascii="宋体" w:hAnsi="宋体" w:eastAsia="宋体" w:cs="宋体"/>
          <w:b w:val="0"/>
          <w:bCs/>
          <w:sz w:val="24"/>
          <w:szCs w:val="24"/>
        </w:rPr>
      </w:pPr>
      <w:r>
        <w:rPr>
          <w:rFonts w:hint="eastAsia" w:ascii="宋体" w:hAnsi="宋体" w:eastAsia="宋体" w:cs="宋体"/>
          <w:bCs/>
          <w:sz w:val="24"/>
          <w:szCs w:val="24"/>
        </w:rPr>
        <w:t>IRS资源汇集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依托一体化智能化公共数据平台集成相关部门的系统数据，通过数据归集、数据治理、数据目录、数据建仓、数据共享、数据管理、数据安全等建设风险数据中心，赋能市县级应用和其他风险相关应用，为自身业务和协同部门提供数据支撑服务。构建符合市级全域风险防控需要的数据治理体系。</w:t>
      </w:r>
    </w:p>
    <w:p>
      <w:pPr>
        <w:pStyle w:val="4"/>
        <w:keepNext w:val="0"/>
        <w:keepLines w:val="0"/>
        <w:numPr>
          <w:ilvl w:val="2"/>
          <w:numId w:val="5"/>
        </w:numPr>
        <w:spacing w:before="0" w:after="0" w:line="360" w:lineRule="auto"/>
        <w:jc w:val="both"/>
        <w:rPr>
          <w:rFonts w:ascii="宋体" w:hAnsi="宋体" w:eastAsia="宋体" w:cs="宋体"/>
          <w:b w:val="0"/>
          <w:bCs/>
          <w:sz w:val="24"/>
          <w:szCs w:val="24"/>
        </w:rPr>
      </w:pPr>
      <w:r>
        <w:rPr>
          <w:rFonts w:hint="eastAsia" w:ascii="宋体" w:hAnsi="宋体" w:eastAsia="宋体" w:cs="宋体"/>
          <w:bCs/>
          <w:sz w:val="24"/>
          <w:szCs w:val="24"/>
        </w:rPr>
        <w:t>其他资源汇集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通过其他渠道引接相关部门数据，包括系统接口、数据对接等方式，实现数据归集、数据治理、数据目录、数据建仓、数据共享、数据管理、数据安全等建设风险数据中心，赋能市县级应用和其他风险相关应用。</w:t>
      </w:r>
    </w:p>
    <w:p>
      <w:pPr>
        <w:pStyle w:val="3"/>
        <w:keepNext w:val="0"/>
        <w:numPr>
          <w:ilvl w:val="1"/>
          <w:numId w:val="5"/>
        </w:numPr>
        <w:adjustRightInd/>
        <w:spacing w:before="120" w:beforeLines="50" w:after="120" w:afterLines="50" w:line="240" w:lineRule="auto"/>
        <w:rPr>
          <w:rFonts w:ascii="宋体" w:eastAsia="宋体" w:cs="宋体"/>
          <w:b w:val="0"/>
          <w:bCs/>
          <w:sz w:val="24"/>
          <w:szCs w:val="24"/>
        </w:rPr>
      </w:pPr>
      <w:bookmarkStart w:id="39" w:name="_Toc48050110"/>
      <w:r>
        <w:rPr>
          <w:rFonts w:hint="eastAsia" w:ascii="宋体" w:eastAsia="宋体" w:cs="宋体"/>
          <w:bCs/>
          <w:sz w:val="24"/>
          <w:szCs w:val="24"/>
        </w:rPr>
        <w:t>系统功能要求</w:t>
      </w:r>
      <w:bookmarkEnd w:id="39"/>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平安风险预警预测防控应用研制的系统主要包括风险防控一张图系统、风险防控管理系统、重点人员异常情况预警2.0、基层治理工作日/周/月报、智能考核和工作评价、矛盾纠纷排查见底应用六部分，系统功能和技术指标应如下：</w:t>
      </w:r>
    </w:p>
    <w:p>
      <w:pPr>
        <w:pStyle w:val="4"/>
        <w:keepNext w:val="0"/>
        <w:keepLines w:val="0"/>
        <w:numPr>
          <w:ilvl w:val="2"/>
          <w:numId w:val="5"/>
        </w:numPr>
        <w:spacing w:before="0" w:after="0" w:line="360" w:lineRule="auto"/>
        <w:jc w:val="both"/>
        <w:rPr>
          <w:rFonts w:ascii="宋体" w:hAnsi="宋体" w:eastAsia="宋体" w:cs="宋体"/>
          <w:b w:val="0"/>
          <w:bCs/>
          <w:sz w:val="24"/>
          <w:szCs w:val="24"/>
        </w:rPr>
      </w:pPr>
      <w:r>
        <w:rPr>
          <w:rFonts w:hint="eastAsia" w:ascii="宋体" w:hAnsi="宋体" w:eastAsia="宋体" w:cs="宋体"/>
          <w:bCs/>
          <w:sz w:val="24"/>
          <w:szCs w:val="24"/>
        </w:rPr>
        <w:t>风险防控一张图</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风险防控一张图主要按照“1+2+4”模式，即一个总体态势、两个驾驶舱（风险防控一张图驾驶舱、乡镇驾驶舱）、四类行业领域（矛盾纠纷、行业监管、社会治安、依法治网）进行建设，深度整合全市社会治理的相关数据资源，通过热力图等空间模型算法，开发环比同比交叉比对、任意图层叠加、时间轴趋势变化等多维度的动态展示工具，实现对全市辖区内各类社会风险进行时间、空间、地域等多维度的综合分析研判。</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总体态势</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总体态势能够综合矛盾纠纷、社会治安、行业监管、依法治网等风险预警实现风险一张图展示，能够对单一领域、复合领域的风险进行总体态势分析，能够对异动人员、异动场所、高风险事件、高风险区域、高风险领域展示，统计总体态势趋势，辅助决策。</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异动人员展示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能够展示异动人员，包括重点人员与非重点人员。实现图形展示与详情穿透。</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异动场所展示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能够展示异动场所，包括重点场所与非重点场所。实现图形展示与详情穿透。</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区块预警展示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区块预警展示将发生在每个区块范围内的异常事件、异动人员等进行统计，按照区块进行平均并对异常区块进行设色，形成区块预警图。</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高风险事件展示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能够展示高风险事件。</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高风险区域展示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能够展示高风险区域。</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高风险领域展示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统计辖区范围内矛盾纠纷、社会治安、行业监管、依法治网等事件，分析高风险领域并展示。</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总体态势趋势统计</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能够支持条件选择与数据联动。</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总体态势图层管理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能够实现矛盾纠纷、社会治安、行业监管、依法治网等领域图层的上图展示与叠加分析。</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风险防控一张图驾驶舱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对单一领域、复合领域风险分析功能，提供案件统计、高风险事件、高风险区域展示等，对四类行业领域涉及的数据内容进行整体性数据分析，为全局风险防控奠定基础。包括单一领域风险分析、复合领域风险分析、案件统计展示、高风险事件展示、高风险区域展示、驾驶舱配置。</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单一领域风险分析</w:t>
      </w:r>
    </w:p>
    <w:p>
      <w:pPr>
        <w:pStyle w:val="15"/>
        <w:numPr>
          <w:ilvl w:val="0"/>
          <w:numId w:val="6"/>
        </w:numPr>
        <w:adjustRightInd w:val="0"/>
        <w:spacing w:line="400" w:lineRule="exact"/>
        <w:ind w:left="907" w:hanging="363"/>
        <w:rPr>
          <w:rFonts w:hAnsi="宋体" w:cs="宋体"/>
          <w:spacing w:val="-4"/>
          <w:kern w:val="21"/>
          <w:sz w:val="24"/>
          <w:szCs w:val="24"/>
        </w:rPr>
      </w:pPr>
      <w:r>
        <w:rPr>
          <w:rFonts w:hint="eastAsia" w:hAnsi="宋体" w:cs="宋体"/>
          <w:spacing w:val="-4"/>
          <w:kern w:val="21"/>
          <w:sz w:val="24"/>
          <w:szCs w:val="24"/>
        </w:rPr>
        <w:t>单一领域风险关联分析：展示单一领域风险关联分析；</w:t>
      </w:r>
    </w:p>
    <w:p>
      <w:pPr>
        <w:pStyle w:val="15"/>
        <w:numPr>
          <w:ilvl w:val="0"/>
          <w:numId w:val="6"/>
        </w:numPr>
        <w:adjustRightInd w:val="0"/>
        <w:spacing w:line="400" w:lineRule="exact"/>
        <w:ind w:left="907" w:hanging="363"/>
        <w:rPr>
          <w:rFonts w:hAnsi="宋体" w:cs="宋体"/>
          <w:spacing w:val="-4"/>
          <w:kern w:val="21"/>
          <w:sz w:val="24"/>
          <w:szCs w:val="24"/>
        </w:rPr>
      </w:pPr>
      <w:r>
        <w:rPr>
          <w:rFonts w:hint="eastAsia" w:hAnsi="宋体" w:cs="宋体"/>
          <w:spacing w:val="-4"/>
          <w:kern w:val="21"/>
          <w:sz w:val="24"/>
          <w:szCs w:val="24"/>
        </w:rPr>
        <w:t>单一领域风险列表展示：单一领域风险列表详情展示；</w:t>
      </w:r>
    </w:p>
    <w:p>
      <w:pPr>
        <w:pStyle w:val="15"/>
        <w:numPr>
          <w:ilvl w:val="0"/>
          <w:numId w:val="6"/>
        </w:numPr>
        <w:adjustRightInd w:val="0"/>
        <w:spacing w:line="400" w:lineRule="exact"/>
        <w:ind w:left="907" w:hanging="363"/>
        <w:rPr>
          <w:rFonts w:hAnsi="宋体" w:cs="宋体"/>
          <w:spacing w:val="-4"/>
          <w:kern w:val="21"/>
          <w:sz w:val="24"/>
          <w:szCs w:val="24"/>
        </w:rPr>
      </w:pPr>
      <w:r>
        <w:rPr>
          <w:rFonts w:hint="eastAsia" w:hAnsi="宋体" w:cs="宋体"/>
          <w:spacing w:val="-4"/>
          <w:kern w:val="21"/>
          <w:sz w:val="24"/>
          <w:szCs w:val="24"/>
        </w:rPr>
        <w:t>单一风险详情展示：风险列表可穿透至详情界面，展示风险关联详情；</w:t>
      </w:r>
    </w:p>
    <w:p>
      <w:pPr>
        <w:pStyle w:val="15"/>
        <w:numPr>
          <w:ilvl w:val="0"/>
          <w:numId w:val="6"/>
        </w:numPr>
        <w:adjustRightInd w:val="0"/>
        <w:spacing w:line="400" w:lineRule="exact"/>
        <w:ind w:left="907" w:hanging="363"/>
        <w:rPr>
          <w:rFonts w:hAnsi="宋体" w:cs="宋体"/>
          <w:spacing w:val="-4"/>
          <w:kern w:val="21"/>
          <w:sz w:val="24"/>
          <w:szCs w:val="24"/>
        </w:rPr>
      </w:pPr>
      <w:r>
        <w:rPr>
          <w:rFonts w:hint="eastAsia" w:hAnsi="宋体" w:cs="宋体"/>
          <w:spacing w:val="-4"/>
          <w:kern w:val="21"/>
          <w:sz w:val="24"/>
          <w:szCs w:val="24"/>
        </w:rPr>
        <w:t>涉及人员详情穿透：各类事件涉及人员均可穿透至人员详情。</w:t>
      </w:r>
    </w:p>
    <w:p>
      <w:pPr>
        <w:pStyle w:val="6"/>
        <w:keepNext w:val="0"/>
        <w:keepLines w:val="0"/>
        <w:numPr>
          <w:ilvl w:val="4"/>
          <w:numId w:val="5"/>
        </w:numPr>
        <w:spacing w:before="0" w:after="0" w:line="360" w:lineRule="auto"/>
        <w:rPr>
          <w:rFonts w:ascii="宋体" w:hAnsi="宋体" w:cs="宋体"/>
          <w:sz w:val="24"/>
          <w:szCs w:val="24"/>
        </w:rPr>
      </w:pPr>
      <w:r>
        <w:rPr>
          <w:rFonts w:hint="eastAsia" w:ascii="宋体" w:hAnsi="宋体" w:cs="宋体"/>
          <w:bCs w:val="0"/>
          <w:sz w:val="24"/>
          <w:szCs w:val="24"/>
        </w:rPr>
        <w:t>复合领域风险分析</w:t>
      </w:r>
    </w:p>
    <w:p>
      <w:pPr>
        <w:pStyle w:val="15"/>
        <w:numPr>
          <w:ilvl w:val="0"/>
          <w:numId w:val="7"/>
        </w:numPr>
        <w:adjustRightInd w:val="0"/>
        <w:spacing w:line="400" w:lineRule="exact"/>
        <w:ind w:left="907" w:hanging="363"/>
        <w:rPr>
          <w:rFonts w:hAnsi="宋体" w:cs="宋体"/>
          <w:spacing w:val="-4"/>
          <w:kern w:val="21"/>
          <w:sz w:val="24"/>
          <w:szCs w:val="24"/>
        </w:rPr>
      </w:pPr>
      <w:r>
        <w:rPr>
          <w:rFonts w:hint="eastAsia" w:hAnsi="宋体" w:cs="宋体"/>
          <w:spacing w:val="-4"/>
          <w:kern w:val="21"/>
          <w:sz w:val="24"/>
          <w:szCs w:val="24"/>
        </w:rPr>
        <w:t>复合领域风险关联分析：展示复合领域风险关联分析；</w:t>
      </w:r>
    </w:p>
    <w:p>
      <w:pPr>
        <w:pStyle w:val="15"/>
        <w:numPr>
          <w:ilvl w:val="0"/>
          <w:numId w:val="7"/>
        </w:numPr>
        <w:adjustRightInd w:val="0"/>
        <w:spacing w:line="400" w:lineRule="exact"/>
        <w:ind w:left="907" w:hanging="363"/>
        <w:rPr>
          <w:rFonts w:hAnsi="宋体" w:cs="宋体"/>
          <w:spacing w:val="-4"/>
          <w:kern w:val="21"/>
          <w:sz w:val="24"/>
          <w:szCs w:val="24"/>
        </w:rPr>
      </w:pPr>
      <w:r>
        <w:rPr>
          <w:rFonts w:hint="eastAsia" w:hAnsi="宋体" w:cs="宋体"/>
          <w:spacing w:val="-4"/>
          <w:kern w:val="21"/>
          <w:sz w:val="24"/>
          <w:szCs w:val="24"/>
        </w:rPr>
        <w:t>复合领域风险列表展示：复合领域风险列表详情展示；</w:t>
      </w:r>
    </w:p>
    <w:p>
      <w:pPr>
        <w:pStyle w:val="15"/>
        <w:numPr>
          <w:ilvl w:val="0"/>
          <w:numId w:val="7"/>
        </w:numPr>
        <w:adjustRightInd w:val="0"/>
        <w:spacing w:line="400" w:lineRule="exact"/>
        <w:ind w:left="907" w:hanging="363"/>
        <w:rPr>
          <w:rFonts w:hAnsi="宋体" w:cs="宋体"/>
          <w:spacing w:val="-4"/>
          <w:kern w:val="21"/>
          <w:sz w:val="24"/>
          <w:szCs w:val="24"/>
        </w:rPr>
      </w:pPr>
      <w:r>
        <w:rPr>
          <w:rFonts w:hint="eastAsia" w:hAnsi="宋体" w:cs="宋体"/>
          <w:spacing w:val="-4"/>
          <w:kern w:val="21"/>
          <w:sz w:val="24"/>
          <w:szCs w:val="24"/>
        </w:rPr>
        <w:t>复合风险详情展示：风险列表可穿透至详情界面，以图的形式展示风险关联详情；</w:t>
      </w:r>
    </w:p>
    <w:p>
      <w:pPr>
        <w:pStyle w:val="15"/>
        <w:numPr>
          <w:ilvl w:val="0"/>
          <w:numId w:val="7"/>
        </w:numPr>
        <w:adjustRightInd w:val="0"/>
        <w:spacing w:line="400" w:lineRule="exact"/>
        <w:ind w:left="907" w:hanging="363"/>
        <w:rPr>
          <w:rFonts w:hAnsi="宋体" w:cs="宋体"/>
          <w:spacing w:val="-4"/>
          <w:kern w:val="21"/>
          <w:sz w:val="24"/>
          <w:szCs w:val="24"/>
        </w:rPr>
      </w:pPr>
      <w:r>
        <w:rPr>
          <w:rFonts w:hint="eastAsia" w:hAnsi="宋体" w:cs="宋体"/>
          <w:spacing w:val="-4"/>
          <w:kern w:val="21"/>
          <w:sz w:val="24"/>
          <w:szCs w:val="24"/>
        </w:rPr>
        <w:t>涉及人员详情穿透：各类事件涉及人员均可穿透至人员详情。</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案件统计</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能够统计矛盾纠纷、社会治安、行业监管、依法治网四大领域相关的案件数量并展示风险指数。</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高风险事件展示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能够展示跨领域风险事件。</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高风险区域展示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能够实现高危区域展示、高危区域详情穿透、按月度时间选择展示区域趋势、风险趋势统计等。</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驾驶舱配置</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能够进行辖区配置与时间配置。</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矛盾纠纷一张图</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能够提供矛盾纠纷数据统计、矛盾纠纷事件综合查询、矛盾纠纷空间对比分析、时间变化分析、图层管理等功能，支持矛盾纠纷各类数据资源上图、热力图计算与展示等，对矛盾纠纷进行多维度的统计分析。</w:t>
      </w:r>
    </w:p>
    <w:p>
      <w:pPr>
        <w:pStyle w:val="15"/>
        <w:numPr>
          <w:ilvl w:val="0"/>
          <w:numId w:val="8"/>
        </w:numPr>
        <w:adjustRightInd w:val="0"/>
        <w:spacing w:line="400" w:lineRule="exact"/>
        <w:rPr>
          <w:rFonts w:hAnsi="宋体" w:cs="宋体"/>
          <w:spacing w:val="-4"/>
          <w:kern w:val="21"/>
          <w:sz w:val="24"/>
          <w:szCs w:val="24"/>
        </w:rPr>
      </w:pPr>
      <w:r>
        <w:rPr>
          <w:rFonts w:hint="eastAsia" w:hAnsi="宋体" w:cs="宋体"/>
          <w:spacing w:val="-4"/>
          <w:kern w:val="21"/>
          <w:sz w:val="24"/>
          <w:szCs w:val="24"/>
        </w:rPr>
        <w:t>矛盾纠纷数据统计：按照矛盾纠纷来源、矛盾纠纷类型、矛盾纠纷处理分类展示；</w:t>
      </w:r>
    </w:p>
    <w:p>
      <w:pPr>
        <w:pStyle w:val="15"/>
        <w:numPr>
          <w:ilvl w:val="0"/>
          <w:numId w:val="8"/>
        </w:numPr>
        <w:adjustRightInd w:val="0"/>
        <w:spacing w:line="400" w:lineRule="exact"/>
        <w:rPr>
          <w:rFonts w:hAnsi="宋体" w:cs="宋体"/>
          <w:spacing w:val="-4"/>
          <w:kern w:val="21"/>
          <w:sz w:val="24"/>
          <w:szCs w:val="24"/>
        </w:rPr>
      </w:pPr>
      <w:r>
        <w:rPr>
          <w:rFonts w:hint="eastAsia" w:hAnsi="宋体" w:cs="宋体"/>
          <w:spacing w:val="-4"/>
          <w:kern w:val="21"/>
          <w:sz w:val="24"/>
          <w:szCs w:val="24"/>
        </w:rPr>
        <w:t>矛盾纠纷事件综合查询：提供按辖区查询和画圈查询两种方式进行查询；区域选取、区域计算、自定义区域列表展示、辖区列表展示、对比结果展示、时间选择、导出等功能；</w:t>
      </w:r>
    </w:p>
    <w:p>
      <w:pPr>
        <w:pStyle w:val="15"/>
        <w:numPr>
          <w:ilvl w:val="0"/>
          <w:numId w:val="8"/>
        </w:numPr>
        <w:adjustRightInd w:val="0"/>
        <w:spacing w:line="400" w:lineRule="exact"/>
        <w:rPr>
          <w:rFonts w:hAnsi="宋体" w:cs="宋体"/>
          <w:spacing w:val="-4"/>
          <w:kern w:val="21"/>
          <w:sz w:val="24"/>
          <w:szCs w:val="24"/>
        </w:rPr>
      </w:pPr>
      <w:r>
        <w:rPr>
          <w:rFonts w:hint="eastAsia" w:hAnsi="宋体" w:cs="宋体"/>
          <w:spacing w:val="-4"/>
          <w:kern w:val="21"/>
          <w:sz w:val="24"/>
          <w:szCs w:val="24"/>
        </w:rPr>
        <w:t>矛盾纠纷空间对比分析：支持条件选择和比对分析结果展示；</w:t>
      </w:r>
    </w:p>
    <w:p>
      <w:pPr>
        <w:pStyle w:val="15"/>
        <w:numPr>
          <w:ilvl w:val="0"/>
          <w:numId w:val="8"/>
        </w:numPr>
        <w:adjustRightInd w:val="0"/>
        <w:spacing w:line="400" w:lineRule="exact"/>
        <w:rPr>
          <w:rFonts w:hAnsi="宋体" w:cs="宋体"/>
          <w:spacing w:val="-4"/>
          <w:kern w:val="21"/>
          <w:sz w:val="24"/>
          <w:szCs w:val="24"/>
        </w:rPr>
      </w:pPr>
      <w:r>
        <w:rPr>
          <w:rFonts w:hint="eastAsia" w:hAnsi="宋体" w:cs="宋体"/>
          <w:spacing w:val="-4"/>
          <w:kern w:val="21"/>
          <w:sz w:val="24"/>
          <w:szCs w:val="24"/>
        </w:rPr>
        <w:t>时间变化分析：提供条件选择、数据联动功能；</w:t>
      </w:r>
    </w:p>
    <w:p>
      <w:pPr>
        <w:pStyle w:val="15"/>
        <w:numPr>
          <w:ilvl w:val="0"/>
          <w:numId w:val="8"/>
        </w:numPr>
        <w:adjustRightInd w:val="0"/>
        <w:spacing w:line="400" w:lineRule="exact"/>
        <w:rPr>
          <w:rFonts w:hAnsi="宋体" w:cs="宋体"/>
          <w:spacing w:val="-4"/>
          <w:kern w:val="21"/>
          <w:sz w:val="24"/>
          <w:szCs w:val="24"/>
        </w:rPr>
      </w:pPr>
      <w:r>
        <w:rPr>
          <w:rFonts w:hint="eastAsia" w:hAnsi="宋体" w:cs="宋体"/>
          <w:spacing w:val="-4"/>
          <w:kern w:val="21"/>
          <w:sz w:val="24"/>
          <w:szCs w:val="24"/>
        </w:rPr>
        <w:t>图层管理：能够提供图层生成、点位展示、详情展示、热力图展示。</w:t>
      </w:r>
    </w:p>
    <w:p>
      <w:pPr>
        <w:pStyle w:val="185"/>
        <w:widowControl w:val="0"/>
        <w:numPr>
          <w:ilvl w:val="0"/>
          <w:numId w:val="8"/>
        </w:numPr>
        <w:spacing w:line="400" w:lineRule="exact"/>
        <w:ind w:firstLineChars="0"/>
        <w:jc w:val="both"/>
        <w:rPr>
          <w:rFonts w:ascii="宋体" w:hAnsi="宋体" w:cs="宋体"/>
          <w:spacing w:val="-4"/>
          <w:kern w:val="21"/>
        </w:rPr>
      </w:pPr>
      <w:r>
        <w:rPr>
          <w:rFonts w:hint="eastAsia" w:ascii="宋体" w:hAnsi="宋体" w:cs="宋体"/>
          <w:spacing w:val="-4"/>
          <w:kern w:val="21"/>
        </w:rPr>
        <w:t>热力图生成：统计所选图层事件总数及分布情况，根据事件分布密集程度，进行热力图数据后台计算。</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行业监管一张图</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能够提供行业监管空间对比分析、时间变化分析、重点场所展示、重点人员展示等功能，支持行业监管各类数据资源上图、热力图计算与展示等，对行业监管进行多维度的统计分析。</w:t>
      </w:r>
    </w:p>
    <w:p>
      <w:pPr>
        <w:pStyle w:val="15"/>
        <w:numPr>
          <w:ilvl w:val="0"/>
          <w:numId w:val="9"/>
        </w:numPr>
        <w:adjustRightInd w:val="0"/>
        <w:spacing w:line="400" w:lineRule="exact"/>
        <w:rPr>
          <w:rFonts w:hAnsi="宋体" w:cs="宋体"/>
          <w:spacing w:val="-4"/>
          <w:kern w:val="21"/>
          <w:sz w:val="24"/>
          <w:szCs w:val="24"/>
        </w:rPr>
      </w:pPr>
      <w:r>
        <w:rPr>
          <w:rFonts w:hint="eastAsia" w:hAnsi="宋体" w:cs="宋体"/>
          <w:spacing w:val="-4"/>
          <w:kern w:val="21"/>
          <w:sz w:val="24"/>
          <w:szCs w:val="24"/>
        </w:rPr>
        <w:t>空间对比分析：提供区域选取、区域计算、自定义区域列表展示、辖区列表展示、对比结果展示、时间选择、导出等功能；</w:t>
      </w:r>
    </w:p>
    <w:p>
      <w:pPr>
        <w:pStyle w:val="15"/>
        <w:numPr>
          <w:ilvl w:val="0"/>
          <w:numId w:val="9"/>
        </w:numPr>
        <w:adjustRightInd w:val="0"/>
        <w:spacing w:line="400" w:lineRule="exact"/>
        <w:rPr>
          <w:rFonts w:hAnsi="宋体" w:cs="宋体"/>
          <w:spacing w:val="-4"/>
          <w:kern w:val="21"/>
          <w:sz w:val="24"/>
          <w:szCs w:val="24"/>
        </w:rPr>
      </w:pPr>
      <w:r>
        <w:rPr>
          <w:rFonts w:hint="eastAsia" w:hAnsi="宋体" w:cs="宋体"/>
          <w:spacing w:val="-4"/>
          <w:kern w:val="21"/>
          <w:sz w:val="24"/>
          <w:szCs w:val="24"/>
        </w:rPr>
        <w:t>时间变化分析：能够选择近半年、近一年或是自定义时间段，在地图上动态展示每个时间跨度内的事件变化，显示事件密集程度；</w:t>
      </w:r>
    </w:p>
    <w:p>
      <w:pPr>
        <w:pStyle w:val="15"/>
        <w:numPr>
          <w:ilvl w:val="0"/>
          <w:numId w:val="9"/>
        </w:numPr>
        <w:adjustRightInd w:val="0"/>
        <w:spacing w:line="400" w:lineRule="exact"/>
        <w:rPr>
          <w:rFonts w:hAnsi="宋体" w:cs="宋体"/>
          <w:spacing w:val="-4"/>
          <w:kern w:val="21"/>
          <w:sz w:val="24"/>
          <w:szCs w:val="24"/>
        </w:rPr>
      </w:pPr>
      <w:r>
        <w:rPr>
          <w:rFonts w:hint="eastAsia" w:hAnsi="宋体" w:cs="宋体"/>
          <w:spacing w:val="-4"/>
          <w:kern w:val="21"/>
          <w:sz w:val="24"/>
          <w:szCs w:val="24"/>
        </w:rPr>
        <w:t>重点场所展示：展示区县重点场所异动和非重点场所异动，支持导出功能；</w:t>
      </w:r>
    </w:p>
    <w:p>
      <w:pPr>
        <w:pStyle w:val="15"/>
        <w:numPr>
          <w:ilvl w:val="0"/>
          <w:numId w:val="9"/>
        </w:numPr>
        <w:adjustRightInd w:val="0"/>
        <w:spacing w:line="400" w:lineRule="exact"/>
        <w:rPr>
          <w:rFonts w:hAnsi="宋体" w:cs="宋体"/>
          <w:spacing w:val="-4"/>
          <w:kern w:val="21"/>
          <w:sz w:val="24"/>
          <w:szCs w:val="24"/>
        </w:rPr>
      </w:pPr>
      <w:r>
        <w:rPr>
          <w:rFonts w:hint="eastAsia" w:hAnsi="宋体" w:cs="宋体"/>
          <w:spacing w:val="-4"/>
          <w:kern w:val="21"/>
          <w:sz w:val="24"/>
          <w:szCs w:val="24"/>
        </w:rPr>
        <w:t>重点人员展示：展示区县重点人员异动和非重点人员异动，支持导出功能；</w:t>
      </w:r>
    </w:p>
    <w:p>
      <w:pPr>
        <w:pStyle w:val="15"/>
        <w:numPr>
          <w:ilvl w:val="0"/>
          <w:numId w:val="9"/>
        </w:numPr>
        <w:adjustRightInd w:val="0"/>
        <w:spacing w:line="400" w:lineRule="exact"/>
        <w:rPr>
          <w:rFonts w:hAnsi="宋体" w:cs="宋体"/>
          <w:spacing w:val="-4"/>
          <w:kern w:val="21"/>
          <w:sz w:val="24"/>
          <w:szCs w:val="24"/>
        </w:rPr>
      </w:pPr>
      <w:r>
        <w:rPr>
          <w:rFonts w:hint="eastAsia" w:hAnsi="宋体" w:cs="宋体"/>
          <w:spacing w:val="-4"/>
          <w:kern w:val="21"/>
          <w:sz w:val="24"/>
          <w:szCs w:val="24"/>
        </w:rPr>
        <w:t>图层管理：能够提供图层生成、点位展示、详情展示、热力图展示；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⑥</w:t>
      </w:r>
      <w:r>
        <w:rPr>
          <w:rFonts w:hint="eastAsia" w:hAnsi="宋体" w:cs="宋体"/>
          <w:spacing w:val="-4"/>
          <w:kern w:val="21"/>
          <w:sz w:val="24"/>
          <w:szCs w:val="24"/>
        </w:rPr>
        <w:tab/>
      </w:r>
      <w:r>
        <w:rPr>
          <w:rFonts w:hint="eastAsia" w:hAnsi="宋体" w:cs="宋体"/>
          <w:spacing w:val="-4"/>
          <w:kern w:val="21"/>
          <w:sz w:val="24"/>
          <w:szCs w:val="24"/>
        </w:rPr>
        <w:t>热力图生成：统计所选图层事件总数及分布情况，根据事件分布密集程度，进行热力图数据后台计算。</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社会治安一张图</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能够提供社会治安空间对比分析、时间对比分析等功能，支持社会治安各类数据资源上图、热力图计算与展示等，对社会治安场所及各类社会治安类事件进行多维度统计分析。</w:t>
      </w:r>
    </w:p>
    <w:p>
      <w:pPr>
        <w:pStyle w:val="15"/>
        <w:numPr>
          <w:ilvl w:val="0"/>
          <w:numId w:val="10"/>
        </w:numPr>
        <w:adjustRightInd w:val="0"/>
        <w:spacing w:line="400" w:lineRule="exact"/>
        <w:rPr>
          <w:rFonts w:hAnsi="宋体" w:cs="宋体"/>
          <w:spacing w:val="-4"/>
          <w:kern w:val="21"/>
          <w:sz w:val="24"/>
          <w:szCs w:val="24"/>
        </w:rPr>
      </w:pPr>
      <w:r>
        <w:rPr>
          <w:rFonts w:hint="eastAsia" w:hAnsi="宋体" w:cs="宋体"/>
          <w:spacing w:val="-4"/>
          <w:kern w:val="21"/>
          <w:sz w:val="24"/>
          <w:szCs w:val="24"/>
        </w:rPr>
        <w:t>图层生成：能够提供图层生成、点位展示、详情展示、热力图展示；</w:t>
      </w:r>
    </w:p>
    <w:p>
      <w:pPr>
        <w:pStyle w:val="15"/>
        <w:numPr>
          <w:ilvl w:val="0"/>
          <w:numId w:val="10"/>
        </w:numPr>
        <w:adjustRightInd w:val="0"/>
        <w:spacing w:line="400" w:lineRule="exact"/>
        <w:rPr>
          <w:rFonts w:hAnsi="宋体" w:cs="宋体"/>
          <w:spacing w:val="-4"/>
          <w:kern w:val="21"/>
          <w:sz w:val="24"/>
          <w:szCs w:val="24"/>
        </w:rPr>
      </w:pPr>
      <w:r>
        <w:rPr>
          <w:rFonts w:hint="eastAsia" w:hAnsi="宋体" w:cs="宋体"/>
          <w:spacing w:val="-4"/>
          <w:kern w:val="21"/>
          <w:sz w:val="24"/>
          <w:szCs w:val="24"/>
        </w:rPr>
        <w:t>空间对比分析：提供自定义选取、自定义计算、面查询列表展示、对比结果展示；</w:t>
      </w:r>
    </w:p>
    <w:p>
      <w:pPr>
        <w:pStyle w:val="15"/>
        <w:numPr>
          <w:ilvl w:val="0"/>
          <w:numId w:val="10"/>
        </w:numPr>
        <w:adjustRightInd w:val="0"/>
        <w:spacing w:line="400" w:lineRule="exact"/>
        <w:rPr>
          <w:rFonts w:hAnsi="宋体" w:cs="宋体"/>
          <w:spacing w:val="-4"/>
          <w:kern w:val="21"/>
          <w:sz w:val="24"/>
          <w:szCs w:val="24"/>
        </w:rPr>
      </w:pPr>
      <w:r>
        <w:rPr>
          <w:rFonts w:hint="eastAsia" w:hAnsi="宋体" w:cs="宋体"/>
          <w:spacing w:val="-4"/>
          <w:kern w:val="21"/>
          <w:sz w:val="24"/>
          <w:szCs w:val="24"/>
        </w:rPr>
        <w:t>时间变化分析：能够选择近半年、近一年或是自定义时间段，在地图上动态展示每个时间跨度内的事件变化，显示事件密集程度；</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④</w:t>
      </w:r>
      <w:r>
        <w:rPr>
          <w:rFonts w:hint="eastAsia" w:hAnsi="宋体" w:cs="宋体"/>
          <w:spacing w:val="-4"/>
          <w:kern w:val="21"/>
          <w:sz w:val="24"/>
          <w:szCs w:val="24"/>
        </w:rPr>
        <w:tab/>
      </w:r>
      <w:r>
        <w:rPr>
          <w:rFonts w:hint="eastAsia" w:hAnsi="宋体" w:cs="宋体"/>
          <w:spacing w:val="-4"/>
          <w:kern w:val="21"/>
          <w:sz w:val="24"/>
          <w:szCs w:val="24"/>
        </w:rPr>
        <w:t>热力图生成：统计所选图层事件总数及分布情况，根据事件分布密集程度，进行热力图数据后台计算。</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依法治网一张图</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能够对接网络舆情、网络安全事件数据资源，提供依法治网各类数据资源上图、热力图计算与展示等。</w:t>
      </w:r>
    </w:p>
    <w:p>
      <w:pPr>
        <w:pStyle w:val="15"/>
        <w:numPr>
          <w:ilvl w:val="0"/>
          <w:numId w:val="11"/>
        </w:numPr>
        <w:adjustRightInd w:val="0"/>
        <w:spacing w:line="400" w:lineRule="exact"/>
        <w:rPr>
          <w:rFonts w:hAnsi="宋体" w:cs="宋体"/>
          <w:spacing w:val="-4"/>
          <w:kern w:val="21"/>
          <w:sz w:val="24"/>
          <w:szCs w:val="24"/>
        </w:rPr>
      </w:pPr>
      <w:r>
        <w:rPr>
          <w:rFonts w:hint="eastAsia" w:hAnsi="宋体" w:cs="宋体"/>
          <w:spacing w:val="-4"/>
          <w:kern w:val="21"/>
          <w:sz w:val="24"/>
          <w:szCs w:val="24"/>
        </w:rPr>
        <w:t>图层生成：能够提供图层生成、点位展示、详情展示、热力图展示；</w:t>
      </w:r>
    </w:p>
    <w:p>
      <w:pPr>
        <w:pStyle w:val="15"/>
        <w:numPr>
          <w:ilvl w:val="0"/>
          <w:numId w:val="11"/>
        </w:numPr>
        <w:adjustRightInd w:val="0"/>
        <w:spacing w:line="400" w:lineRule="exact"/>
        <w:rPr>
          <w:rFonts w:hAnsi="宋体" w:cs="宋体"/>
          <w:spacing w:val="-4"/>
          <w:kern w:val="21"/>
          <w:sz w:val="24"/>
          <w:szCs w:val="24"/>
        </w:rPr>
      </w:pPr>
      <w:r>
        <w:rPr>
          <w:rFonts w:hint="eastAsia" w:hAnsi="宋体" w:cs="宋体"/>
          <w:spacing w:val="-4"/>
          <w:kern w:val="21"/>
          <w:sz w:val="24"/>
          <w:szCs w:val="24"/>
        </w:rPr>
        <w:t>热力图生成：统计所选图层事件总数及分布情况，根据事件分布密集程度，进行热力图数据后台计算。</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乡镇驾驶舱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能够提供各类视频预警、用水用气预警、气象预警等信息的综合监测、预警展示、预警处置及可视化指挥功能。</w:t>
      </w:r>
    </w:p>
    <w:p>
      <w:pPr>
        <w:pStyle w:val="15"/>
        <w:numPr>
          <w:ilvl w:val="0"/>
          <w:numId w:val="12"/>
        </w:numPr>
        <w:adjustRightInd w:val="0"/>
        <w:spacing w:line="400" w:lineRule="exact"/>
        <w:rPr>
          <w:rFonts w:hAnsi="宋体" w:cs="宋体"/>
          <w:spacing w:val="-4"/>
          <w:kern w:val="21"/>
          <w:sz w:val="24"/>
          <w:szCs w:val="24"/>
        </w:rPr>
      </w:pPr>
      <w:r>
        <w:rPr>
          <w:rFonts w:hint="eastAsia" w:hAnsi="宋体" w:cs="宋体"/>
          <w:spacing w:val="-4"/>
          <w:kern w:val="21"/>
          <w:sz w:val="24"/>
          <w:szCs w:val="24"/>
        </w:rPr>
        <w:t>预警展示包括对视频预警、用水用气预警、气象预警信息的展示；</w:t>
      </w:r>
    </w:p>
    <w:p>
      <w:pPr>
        <w:pStyle w:val="15"/>
        <w:numPr>
          <w:ilvl w:val="0"/>
          <w:numId w:val="12"/>
        </w:numPr>
        <w:adjustRightInd w:val="0"/>
        <w:spacing w:line="400" w:lineRule="exact"/>
        <w:rPr>
          <w:rFonts w:hAnsi="宋体" w:cs="宋体"/>
          <w:spacing w:val="-4"/>
          <w:kern w:val="21"/>
          <w:sz w:val="24"/>
          <w:szCs w:val="24"/>
        </w:rPr>
      </w:pPr>
      <w:r>
        <w:rPr>
          <w:rFonts w:hint="eastAsia" w:hAnsi="宋体" w:cs="宋体"/>
          <w:spacing w:val="-4"/>
          <w:kern w:val="21"/>
          <w:sz w:val="24"/>
          <w:szCs w:val="24"/>
        </w:rPr>
        <w:t>预警处置包含预警信息转事件操作、预警信息核查后的取消操作等；</w:t>
      </w:r>
    </w:p>
    <w:p>
      <w:pPr>
        <w:pStyle w:val="15"/>
        <w:numPr>
          <w:ilvl w:val="0"/>
          <w:numId w:val="12"/>
        </w:numPr>
        <w:adjustRightInd w:val="0"/>
        <w:spacing w:line="400" w:lineRule="exact"/>
        <w:rPr>
          <w:rFonts w:hAnsi="宋体" w:cs="宋体"/>
          <w:spacing w:val="-4"/>
          <w:kern w:val="21"/>
          <w:sz w:val="24"/>
          <w:szCs w:val="24"/>
        </w:rPr>
      </w:pPr>
      <w:r>
        <w:rPr>
          <w:rFonts w:hint="eastAsia" w:hAnsi="宋体" w:cs="宋体"/>
          <w:spacing w:val="-4"/>
          <w:kern w:val="21"/>
          <w:sz w:val="24"/>
          <w:szCs w:val="24"/>
        </w:rPr>
        <w:t>待办事件包含预警信息转事件后，对已转事件待办列表的查看与受理；</w:t>
      </w:r>
    </w:p>
    <w:p>
      <w:pPr>
        <w:pStyle w:val="15"/>
        <w:numPr>
          <w:ilvl w:val="0"/>
          <w:numId w:val="12"/>
        </w:numPr>
        <w:adjustRightInd w:val="0"/>
        <w:spacing w:line="400" w:lineRule="exact"/>
        <w:rPr>
          <w:rFonts w:hAnsi="宋体" w:cs="宋体"/>
          <w:spacing w:val="-4"/>
          <w:kern w:val="21"/>
          <w:sz w:val="24"/>
          <w:szCs w:val="24"/>
        </w:rPr>
      </w:pPr>
      <w:r>
        <w:rPr>
          <w:rFonts w:hint="eastAsia" w:hAnsi="宋体" w:cs="宋体"/>
          <w:spacing w:val="-4"/>
          <w:kern w:val="21"/>
          <w:sz w:val="24"/>
          <w:szCs w:val="24"/>
        </w:rPr>
        <w:t>群众爆料包含对群众爆料内容的查看与受理；</w:t>
      </w:r>
    </w:p>
    <w:p>
      <w:pPr>
        <w:pStyle w:val="15"/>
        <w:numPr>
          <w:ilvl w:val="0"/>
          <w:numId w:val="12"/>
        </w:numPr>
        <w:adjustRightInd w:val="0"/>
        <w:spacing w:line="400" w:lineRule="exact"/>
        <w:rPr>
          <w:rFonts w:hAnsi="宋体" w:cs="宋体"/>
          <w:spacing w:val="-4"/>
          <w:kern w:val="21"/>
          <w:sz w:val="24"/>
          <w:szCs w:val="24"/>
        </w:rPr>
      </w:pPr>
      <w:r>
        <w:rPr>
          <w:rFonts w:hint="eastAsia" w:hAnsi="宋体" w:cs="宋体"/>
          <w:spacing w:val="-4"/>
          <w:kern w:val="21"/>
          <w:sz w:val="24"/>
          <w:szCs w:val="24"/>
        </w:rPr>
        <w:t>任务列表对接综治系统中的任务管理，包含任务列表的展示及任务详情查看；</w:t>
      </w:r>
    </w:p>
    <w:p>
      <w:pPr>
        <w:pStyle w:val="15"/>
        <w:numPr>
          <w:ilvl w:val="0"/>
          <w:numId w:val="12"/>
        </w:numPr>
        <w:adjustRightInd w:val="0"/>
        <w:spacing w:line="400" w:lineRule="exact"/>
        <w:rPr>
          <w:rFonts w:hAnsi="宋体" w:cs="宋体"/>
          <w:spacing w:val="-4"/>
          <w:kern w:val="21"/>
          <w:sz w:val="24"/>
          <w:szCs w:val="24"/>
        </w:rPr>
      </w:pPr>
      <w:r>
        <w:rPr>
          <w:rFonts w:hint="eastAsia" w:hAnsi="宋体" w:cs="宋体"/>
          <w:spacing w:val="-4"/>
          <w:kern w:val="21"/>
          <w:sz w:val="24"/>
          <w:szCs w:val="24"/>
        </w:rPr>
        <w:t>综合监测包含乡镇基础数据展示、维护与乡镇态势展示；</w:t>
      </w:r>
    </w:p>
    <w:p>
      <w:pPr>
        <w:pStyle w:val="15"/>
        <w:numPr>
          <w:ilvl w:val="0"/>
          <w:numId w:val="13"/>
        </w:numPr>
        <w:adjustRightInd w:val="0"/>
        <w:spacing w:line="400" w:lineRule="exact"/>
        <w:rPr>
          <w:rFonts w:hAnsi="宋体" w:cs="宋体"/>
          <w:spacing w:val="-4"/>
          <w:kern w:val="21"/>
          <w:sz w:val="24"/>
          <w:szCs w:val="24"/>
        </w:rPr>
      </w:pPr>
      <w:r>
        <w:rPr>
          <w:rFonts w:hint="eastAsia" w:hAnsi="宋体" w:cs="宋体"/>
          <w:spacing w:val="-4"/>
          <w:kern w:val="21"/>
          <w:sz w:val="24"/>
          <w:szCs w:val="24"/>
        </w:rPr>
        <w:t>基础数据展示：对乡镇街道的人口、场所等基础数据进行展示；</w:t>
      </w:r>
    </w:p>
    <w:p>
      <w:pPr>
        <w:pStyle w:val="15"/>
        <w:numPr>
          <w:ilvl w:val="0"/>
          <w:numId w:val="13"/>
        </w:numPr>
        <w:adjustRightInd w:val="0"/>
        <w:spacing w:line="400" w:lineRule="exact"/>
        <w:rPr>
          <w:rFonts w:hAnsi="宋体" w:cs="宋体"/>
          <w:spacing w:val="-4"/>
          <w:kern w:val="21"/>
          <w:sz w:val="24"/>
          <w:szCs w:val="24"/>
        </w:rPr>
      </w:pPr>
      <w:r>
        <w:rPr>
          <w:rFonts w:hint="eastAsia" w:hAnsi="宋体" w:cs="宋体"/>
          <w:spacing w:val="-4"/>
          <w:kern w:val="21"/>
          <w:sz w:val="24"/>
          <w:szCs w:val="24"/>
        </w:rPr>
        <w:t>基础数据维护：在系统后台对乡镇驾驶舱内的线下收集统计的指标数据进行修改维护；</w:t>
      </w:r>
    </w:p>
    <w:p>
      <w:pPr>
        <w:pStyle w:val="15"/>
        <w:numPr>
          <w:ilvl w:val="0"/>
          <w:numId w:val="13"/>
        </w:numPr>
        <w:adjustRightInd w:val="0"/>
        <w:spacing w:line="400" w:lineRule="exact"/>
        <w:rPr>
          <w:rFonts w:hAnsi="宋体" w:cs="宋体"/>
          <w:spacing w:val="-4"/>
          <w:kern w:val="21"/>
          <w:sz w:val="24"/>
          <w:szCs w:val="24"/>
        </w:rPr>
      </w:pPr>
      <w:r>
        <w:rPr>
          <w:rFonts w:hint="eastAsia" w:hAnsi="宋体" w:cs="宋体"/>
          <w:spacing w:val="-4"/>
          <w:kern w:val="21"/>
          <w:sz w:val="24"/>
          <w:szCs w:val="24"/>
        </w:rPr>
        <w:t>乡镇态势展示：对接基层治理四平台数据，能够统计乡镇四平台的详细情况，展示乡镇工作情况。</w:t>
      </w:r>
    </w:p>
    <w:p>
      <w:pPr>
        <w:pStyle w:val="15"/>
        <w:numPr>
          <w:ilvl w:val="0"/>
          <w:numId w:val="12"/>
        </w:numPr>
        <w:adjustRightInd w:val="0"/>
        <w:spacing w:line="400" w:lineRule="exact"/>
        <w:rPr>
          <w:rFonts w:hAnsi="宋体" w:cs="宋体"/>
          <w:spacing w:val="-4"/>
          <w:kern w:val="21"/>
          <w:sz w:val="24"/>
          <w:szCs w:val="24"/>
        </w:rPr>
      </w:pPr>
      <w:r>
        <w:rPr>
          <w:rFonts w:hint="eastAsia" w:hAnsi="宋体" w:cs="宋体"/>
          <w:spacing w:val="-4"/>
          <w:kern w:val="21"/>
          <w:sz w:val="24"/>
          <w:szCs w:val="24"/>
        </w:rPr>
        <w:t>可视化指挥包含即时视频通讯、视频监控调用、预案管理。</w:t>
      </w:r>
    </w:p>
    <w:p>
      <w:pPr>
        <w:pStyle w:val="15"/>
        <w:numPr>
          <w:ilvl w:val="0"/>
          <w:numId w:val="14"/>
        </w:numPr>
        <w:adjustRightInd w:val="0"/>
        <w:spacing w:line="400" w:lineRule="exact"/>
        <w:rPr>
          <w:rFonts w:hAnsi="宋体" w:cs="宋体"/>
          <w:spacing w:val="-4"/>
          <w:kern w:val="21"/>
          <w:sz w:val="24"/>
          <w:szCs w:val="24"/>
        </w:rPr>
      </w:pPr>
      <w:r>
        <w:rPr>
          <w:rFonts w:hint="eastAsia" w:hAnsi="宋体" w:cs="宋体"/>
          <w:spacing w:val="-4"/>
          <w:kern w:val="21"/>
          <w:sz w:val="24"/>
          <w:szCs w:val="24"/>
        </w:rPr>
        <w:t>即时视频通讯：包含通讯目录树搜索、在线网格员信息查看；</w:t>
      </w:r>
    </w:p>
    <w:p>
      <w:pPr>
        <w:pStyle w:val="15"/>
        <w:numPr>
          <w:ilvl w:val="0"/>
          <w:numId w:val="14"/>
        </w:numPr>
        <w:adjustRightInd w:val="0"/>
        <w:spacing w:line="400" w:lineRule="exact"/>
        <w:ind w:left="1066" w:hanging="374"/>
        <w:rPr>
          <w:rFonts w:hAnsi="宋体" w:cs="宋体"/>
          <w:spacing w:val="-4"/>
          <w:kern w:val="21"/>
          <w:sz w:val="24"/>
          <w:szCs w:val="24"/>
        </w:rPr>
      </w:pPr>
      <w:r>
        <w:rPr>
          <w:rFonts w:hint="eastAsia" w:hAnsi="宋体" w:cs="宋体"/>
          <w:spacing w:val="-4"/>
          <w:kern w:val="21"/>
          <w:sz w:val="24"/>
          <w:szCs w:val="24"/>
        </w:rPr>
        <w:t>视频监控调用：监控点位查询、视频监控实时查看；</w:t>
      </w:r>
    </w:p>
    <w:p>
      <w:pPr>
        <w:pStyle w:val="15"/>
        <w:numPr>
          <w:ilvl w:val="0"/>
          <w:numId w:val="14"/>
        </w:numPr>
        <w:adjustRightInd w:val="0"/>
        <w:spacing w:line="400" w:lineRule="exact"/>
        <w:ind w:left="1066" w:hanging="374"/>
        <w:rPr>
          <w:rFonts w:hAnsi="宋体" w:cs="宋体"/>
          <w:spacing w:val="-4"/>
          <w:kern w:val="21"/>
          <w:sz w:val="24"/>
          <w:szCs w:val="24"/>
        </w:rPr>
      </w:pPr>
      <w:r>
        <w:rPr>
          <w:rFonts w:hint="eastAsia" w:hAnsi="宋体" w:cs="宋体"/>
          <w:spacing w:val="-4"/>
          <w:kern w:val="21"/>
          <w:sz w:val="24"/>
          <w:szCs w:val="24"/>
        </w:rPr>
        <w:t>预案管理：提供新增预案、编辑预案、查看预案、成员信息自动识别、预案一键通知等。</w:t>
      </w:r>
    </w:p>
    <w:p>
      <w:pPr>
        <w:pStyle w:val="4"/>
        <w:keepNext w:val="0"/>
        <w:keepLines w:val="0"/>
        <w:numPr>
          <w:ilvl w:val="2"/>
          <w:numId w:val="5"/>
        </w:numPr>
        <w:spacing w:before="0" w:after="0" w:line="360" w:lineRule="auto"/>
        <w:jc w:val="both"/>
        <w:rPr>
          <w:rFonts w:ascii="宋体" w:hAnsi="宋体" w:eastAsia="宋体" w:cs="宋体"/>
          <w:b w:val="0"/>
          <w:bCs/>
          <w:sz w:val="24"/>
          <w:szCs w:val="24"/>
        </w:rPr>
      </w:pPr>
      <w:r>
        <w:rPr>
          <w:rFonts w:hint="eastAsia" w:ascii="宋体" w:hAnsi="宋体" w:eastAsia="宋体" w:cs="宋体"/>
          <w:bCs/>
          <w:sz w:val="24"/>
          <w:szCs w:val="24"/>
        </w:rPr>
        <w:t>风险防控管理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风险防控管理建设大屏端、web端、移动端三端应用，通过三端协同模式建设完善“监测－预警－处置－反馈”风险闭环管控机制。建立“一总四分”即一个风险防控总体态势、四类风险领域（矛盾纠纷、社会治安、依法治网、行业监管），及其他一系列支撑应用。</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风险防控总体态势</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风险防控总体态势应包含晾晒台及预警舱两部分。</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晾晒台</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提供平安风险关键指标的晾晒功能，包含平安指数、信访类指标、社会治安类指标等不少于8类关键指标进行晾晒，能够展示全市概况及各区县总体情况。</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能够提供风险预警模块，对晾晒台中的呈现不利方向发展趋势的指标进行预警，能够实现风险预警的展示与检索。</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预警舱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聚合平安风险防控预警预测系统中各类不稳定因素，对影响我市社会平安稳定的突出风险隐患进行预警预测。实现对风险人员、风险事件、风险区域、风险单位、风险领域的预测预测及任务下发功能。提供的功能包括风险五级预警、风险综合画像、任务下发、历史任务查看、风险预警态势图等。</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 xml:space="preserve">①风险五级预警：能够提供风险人员、风险事件、风险区域、风险单位、风险领域五类的风险分级管理。定义各类风险等级划分规则，形成分类分级管控。 </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建立风险预警五色管理机制，实现风险预警的分级管理，按照红、橙、黄、蓝、绿五色划分，分别代表风险等级为一级、二级、三级、四级、五级风险，根据风险研判规则与算法模型研判出人员、事件、单位、区域、领域的五色分级并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②风险综合画像：能够提供风险人员、风险事件、风险区域、风险单位综合画像，全方位展示关联信息。</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a.风险人员画像能够全方位展示人员基本信息、家庭成员信息、关联事件、预警趋势分析、事件预警时间轴、事件预警列表、走访信息、财产信息、失信信息、处罚信息等；</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b.风险事件画像（包含行为风险事件及不稳定事件）能够全方位展示事件描述、敏感词、关联事件、预警趋势分析、事件预警时间轴、事件预警列表、涉及人员详情等；</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c.风险单位画像能够全方位展示单位基本信息、单位关联关系图、关联事件、预警趋势分析、异常事件时间轴、异常事件列表、平安检查详情、平安暗访信息、失信信息、处罚信息等；</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d.风险区域画像能够全方位展示区域基本信息、实有人口情况、场所人口情况、关联事件、事件预警趋势、关联事件时间轴、关联事件列表、重点人员情况、服务人员情况、重点场所情况等；</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③任务下发：能够对生成的预警进行任务下发。</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④历史任务查看：能够对已下发任务的状态跟踪、处置方案查看、反馈结果查看。</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⑤风险预测态势图：能够对四类风险领域（矛盾纠纷、社会治安、依法治网、行业监管）研判出的复合型风险，分析风险区块并上图展示，支持单图层分析、多图层叠加分析、热力图计算、复合领域热力图叠加分析功能。</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风险防控驾驶舱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应包含四类风险领域矛盾纠纷、社会治安、依法治网、行业监管驾驶舱及部分领域的子驾驶舱。</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矛盾纠纷驾驶舱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能够对矛盾纠纷领域的高风险事件、高风险人员、高风险单位、高风险区域、高风险领域的综合预警。</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矛盾纠纷-稳定指导驾驶舱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能够为矛盾纠纷稳定指导提供支撑，关注异动人员、求助人员、风险事件、风险区域等进行分析，形成稳定指导分析预警报告等。</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社会治安驾驶舱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能够对社会治安案件进行统计，对社会治安领域的高风险事件、高风险人员、高风险单位、高风险区域、高风险领域的综合预警。</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依法治网驾驶舱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能够对依法治网领域网络舆情数据、举报数据、网络安全数据等进行综合预警。</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行业监管驾驶舱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对行业监管总况及行业监管下应急管理、市场监管、消防救援、金融安全、生态环境、道路交通等各个部门内发生的事故数据的统筹展示，再根据每个部门数据进行分析，展示事故风险预警、行业风险预警、区域风险预警等预警数据。</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风险分析</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提供风险人员库、风险场所库、风险单位库、风险事件库管理与风险等级研判功能。管理功能包含数据展示、高级检索、详情查看、新增、编辑、导入等。风险等级研判功能计算出的结果进行风险等级划分。</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风险人员库管理与风险等级研判</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风险人员库管理能够提供数据展示、高级检索、详情查看、人员新增、人员编辑、人员导入等功能，可对风险人员的信息进行维护和查询。</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人员风险等级研判能够提供算法模型研判风险人员等级，根据人员涉及的风险事件情况、事件处置情况以及周、月、季、半年、年的异动情况动态判定人员风险等级。</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风险单位库管理与风险等级研判</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风险单位库管理能够提供数据展示、高级检索、详情查看、单位新增、单位编辑、单位导入等功能，可对风险单位信息进行维护和查询。</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单位风险等级研判能够根据重点单位涉及的异动事件、事件任务处置情况以及周、月、季、半年、年的异动情况，分析研判确定每个重点单位的风险等级。</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风险事件库管理与风险等级研判</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风险事件库管理能够提供数据展示、高级检索、详情查看、重点事故新增、风险事件编辑、风险事件导入等功能，可对重点事故的信息进行维护和查询。</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事件风险等级研判根据重点事故涉及的规模、死亡人数等因子，重点单位任务处置情况及周、月、季、半年、年的异动情况，分析研判确定每个事件的风险等级。</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风险区域管理与风险等级研判</w:t>
      </w:r>
    </w:p>
    <w:p>
      <w:pPr>
        <w:pStyle w:val="15"/>
        <w:adjustRightInd w:val="0"/>
        <w:spacing w:line="400" w:lineRule="exact"/>
        <w:ind w:firstLine="464"/>
        <w:rPr>
          <w:rFonts w:hAnsi="宋体" w:cs="宋体"/>
          <w:b/>
          <w:bCs/>
          <w:spacing w:val="-4"/>
          <w:kern w:val="21"/>
          <w:sz w:val="24"/>
          <w:szCs w:val="24"/>
        </w:rPr>
      </w:pPr>
      <w:r>
        <w:rPr>
          <w:rFonts w:hint="eastAsia" w:hAnsi="宋体" w:cs="宋体"/>
          <w:spacing w:val="-4"/>
          <w:kern w:val="21"/>
          <w:sz w:val="24"/>
          <w:szCs w:val="24"/>
        </w:rPr>
        <w:t>风险区域库管理能够提供数据展示、高级检索、详情查看等功能，可对风险区域进行维护和查询。</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风险区域等级研判支持以乡镇、村社为单位进行等级研判，风险乡镇研判能够根据定义的输入因子、权重分配、算法模型等，计算乡镇分数，研判乡镇风险等级。风险村社能够以村社为单位进行敏感词碰撞，根据研判结果分析村社风险。</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风险防控闭环</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提供任务列表、任务下发、任务处置、任务反馈、任务评价、催办功能等全流程闭环操作。实现对风险人员、风险事件、风险区域、风险领域、风险单位的全流程闭环管理。</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任务列表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应包括风险人员、风险事件、风险区域、风险领域、风险单位的任务列表。</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任务下发</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应包含预警任务编制、预警任务下派、任务关联事项选择、任务关联事件列表等、事件详情等。</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任务处置</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应包含任务下发配置与任务交办。</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任务反馈</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应包含任务表单查看、表单编写与报告编制。</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任务评价</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应支持任务评价功能。</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催办功能</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应包含超期任务识别、催办信息编制、催办信息发送等。</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风险预警规则库</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提供风险人员、事件、单位、区域五色管理规则库，定义风险级别研判规则，风险等级升降级规则等。</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提供晾晒台中的指标项规则配置功能，配置一系列风险预警的规则因子，建立风险预警规则库。</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风险预警模型算法</w:t>
      </w:r>
    </w:p>
    <w:p>
      <w:pPr>
        <w:pStyle w:val="15"/>
        <w:adjustRightInd w:val="0"/>
        <w:spacing w:line="400" w:lineRule="exact"/>
        <w:ind w:firstLine="464"/>
        <w:jc w:val="left"/>
        <w:rPr>
          <w:rFonts w:hAnsi="宋体" w:cs="宋体"/>
          <w:spacing w:val="-4"/>
          <w:kern w:val="21"/>
          <w:sz w:val="24"/>
          <w:szCs w:val="24"/>
        </w:rPr>
      </w:pPr>
      <w:r>
        <w:rPr>
          <w:rFonts w:hint="eastAsia" w:hAnsi="宋体" w:cs="宋体"/>
          <w:spacing w:val="-4"/>
          <w:kern w:val="21"/>
          <w:sz w:val="24"/>
          <w:szCs w:val="24"/>
        </w:rPr>
        <w:t>构建不少于10类的模型算法，支撑风险预警预测与研判。包括但不限于风险区域识别模型、风险单位识别模型、风险人员识别模型、风险领域识别模型、风险事件识别模型等。</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风险预警模型计算</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实现对各类重点人员、单位、区域、领域分值计算。包括定时任务管理与定时任务计算等。</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定时任务管理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可管理各类风险模型算法任务，对模型任务计算时间进行配置、执行节点修改以及任务执行情况进行查看。</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定时任务计算</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计算模型任务按规定时间启用后，对各类风险模型任务数据进行计算，生成各类风险模型算法结果。</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风险预警处置移动端</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提供预警查看、预警任务下发、预警任务处置、预警处置报告编制、预警处置结果反馈等功能。</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预警查看</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能够查看预警列表及预警消息详情。</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预警任务下发</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能够实现预警任务编制、预警任务处置人员配置、预警任务关联、预警任务下发等。</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预警任务处置</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①任务处置详情填写、预警任务反馈消息列表、预警任务反馈表单详情、预警任务催办消息列表、待处置预警列表、待处置预警详情、预警任务转发、预警任务审批、预警任务退回、已处置预警任务列表、已处置预警任务详情、预警关联事件列表、预警关联事件详情、任务处置表单填写等。</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②预警处置报告编制</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能够实现线上编写任务处置结果报告，并反馈。</w:t>
      </w:r>
    </w:p>
    <w:p>
      <w:pPr>
        <w:pStyle w:val="15"/>
        <w:numPr>
          <w:ilvl w:val="0"/>
          <w:numId w:val="11"/>
        </w:numPr>
        <w:adjustRightInd w:val="0"/>
        <w:spacing w:line="400" w:lineRule="exact"/>
        <w:rPr>
          <w:rFonts w:hAnsi="宋体" w:cs="宋体"/>
          <w:spacing w:val="-4"/>
          <w:kern w:val="21"/>
          <w:sz w:val="24"/>
          <w:szCs w:val="24"/>
        </w:rPr>
      </w:pPr>
      <w:r>
        <w:rPr>
          <w:rFonts w:hint="eastAsia" w:hAnsi="宋体" w:cs="宋体"/>
          <w:spacing w:val="-4"/>
          <w:kern w:val="21"/>
          <w:sz w:val="24"/>
          <w:szCs w:val="24"/>
        </w:rPr>
        <w:t>预警处置结果反馈</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提供预警处置反馈功能。</w:t>
      </w:r>
    </w:p>
    <w:p>
      <w:pPr>
        <w:pStyle w:val="4"/>
        <w:keepNext w:val="0"/>
        <w:keepLines w:val="0"/>
        <w:numPr>
          <w:ilvl w:val="2"/>
          <w:numId w:val="5"/>
        </w:numPr>
        <w:spacing w:before="0" w:after="0" w:line="360" w:lineRule="auto"/>
        <w:jc w:val="both"/>
        <w:rPr>
          <w:rFonts w:ascii="宋体" w:hAnsi="宋体" w:eastAsia="宋体" w:cs="宋体"/>
          <w:b w:val="0"/>
          <w:bCs/>
          <w:sz w:val="24"/>
          <w:szCs w:val="24"/>
        </w:rPr>
      </w:pPr>
      <w:r>
        <w:rPr>
          <w:rFonts w:hint="eastAsia" w:ascii="宋体" w:hAnsi="宋体" w:eastAsia="宋体" w:cs="宋体"/>
          <w:bCs/>
          <w:sz w:val="24"/>
          <w:szCs w:val="24"/>
        </w:rPr>
        <w:t>重点人员异常情况预警2.0</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基于重点人员分级分类管控规则，结合人员异常走访信息、人员行政处罚信息等信息，提供从区域、时间、类型等维度进行汇总计算分析，制定重点人员预警分析模型。功能包含重点人员预警审核、人员画像、重点人员规则库、各类重点人员模型算法、模型计算、预警管理、重点人员统计、重点人员预警报告等。</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重点人员预警审核</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能够提供人工核实功能，发现系统预测与实际情况有偏差，可进行人工干预，人工审核人员信息详情时，可对人员进行管控等级再次确认，可以该人员管控等级、当前分值进行调整，并进行审核说明的补充。</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该模块主要包括人员异动列表展示、人员异常审核、人员详情信息展示、人工等级审核功能。</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人员画像构建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能够提供人员的基本信息，姓名、身份证等信息，整合行政处罚信息、异常行为、走访数据等信息，直观清晰展示人员整体信息，构建人员画像。</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包括人员画像绘制、人员详情查看、关联信息查看功能。</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规则库构建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能够对各类重点人员数据深度分析，并配置一系列不同重点人员的规则因子，建立重点人员因子库，实现各类因子的综合分析及启停用管理等。</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包括规则分析与因子管理功能。</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算法模型</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对各类重点人员进行数据分析，结合重点人员类型分析、计算因子、事件类型规则分析等各类计算因子，实现对重点人员的风险等级管控及计算。包括刑满释放类人员风险模型、社区矫正类人员风险模型、失信类人员风险模型、重点信访人员风险模型等。</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模型计算</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能够对管理各类风险人员模型算法任务，对模型任务计算时间进行配置、执行节点修改以及任务执行情况进行查看。支持定时任务管理与定时任务计算。</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预警管理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能够对各类重点人员预警进行管理，并设置预警阈值。提供预警阈值设置、预警列表、预警高级检索、预警详情查看功能。</w:t>
      </w:r>
    </w:p>
    <w:p>
      <w:pPr>
        <w:pStyle w:val="5"/>
        <w:keepNext w:val="0"/>
        <w:keepLines w:val="0"/>
        <w:numPr>
          <w:ilvl w:val="3"/>
          <w:numId w:val="5"/>
        </w:numPr>
        <w:spacing w:before="0" w:after="0" w:line="360" w:lineRule="auto"/>
        <w:rPr>
          <w:rFonts w:cs="宋体"/>
          <w:b w:val="0"/>
          <w:bCs w:val="0"/>
          <w:sz w:val="24"/>
          <w:szCs w:val="24"/>
        </w:rPr>
      </w:pPr>
      <w:r>
        <w:rPr>
          <w:rFonts w:hint="eastAsia" w:ascii="宋体" w:hAnsi="宋体" w:cs="宋体"/>
          <w:sz w:val="24"/>
          <w:szCs w:val="24"/>
        </w:rPr>
        <w:t>重点人员统计</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能够从人员区域分布、人员类别等维度对重点人员进行统计，以列表的形式展示重点人员异动情况、非重点人员异动信息。能够查看异常榜单列表，统计异常风险数量。</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重点人员预警报告</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能够支持报告编制、报告查看、报告导出、报告发送等功能。</w:t>
      </w:r>
    </w:p>
    <w:p>
      <w:pPr>
        <w:pStyle w:val="4"/>
        <w:keepNext w:val="0"/>
        <w:keepLines w:val="0"/>
        <w:numPr>
          <w:ilvl w:val="2"/>
          <w:numId w:val="5"/>
        </w:numPr>
        <w:spacing w:before="0" w:after="0" w:line="400" w:lineRule="exact"/>
        <w:jc w:val="both"/>
        <w:rPr>
          <w:rFonts w:ascii="宋体" w:hAnsi="宋体" w:eastAsia="宋体" w:cs="宋体"/>
          <w:b w:val="0"/>
          <w:bCs/>
          <w:sz w:val="24"/>
          <w:szCs w:val="24"/>
        </w:rPr>
      </w:pPr>
      <w:r>
        <w:rPr>
          <w:rFonts w:hint="eastAsia" w:ascii="宋体" w:hAnsi="宋体" w:eastAsia="宋体" w:cs="宋体"/>
          <w:bCs/>
          <w:sz w:val="24"/>
          <w:szCs w:val="24"/>
        </w:rPr>
        <w:t>基层治理工作日/周/月报</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根据已设定的日/周/月报模板自动生成基层治理工作报告，工作报告经在线审核后，通过浙政钉发送到相关领导及工作人员，并将相关报告汇总至领导工作台，以供随时调取查看，形成报告从生成、审核、报送、查阅全流程管理。</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人员配置</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能够提供基层治理日/周/月报使用对象配置维护功能，形成使用对象管理清单，可实现添加、移除、保存等基本操作。</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日/周/月报模板管理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能够提供日/周/月报模板管理，可对系统内预设日/周/月报模板样式进行调整维护，可对单个模板进行可更改、不可更改设定。</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日/周/月报生成</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能够根据配置的模板自动计算各类数据统计结果，生成每日/每周/每月事件数据、重点人员走访数据、重点场所巡查数据、矛盾纠纷上报数据、重点人员预警数据、重点场所预警数据等，并在后台形成统计报表。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支持日报/周报/月报内容编辑，并通过选定日报/周报/月报发送人、审核人、抄送人、日报/周报/月报内容等字段对日报/周报/月报进行提交。</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日/周/月报查看</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能够提供已提交日/周/月报查看功能，显示已发送的日报清单，可点击单个日/周/月报查看详情，具备详情打印功能。</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日/周/月报审核</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能够提供日/周/月报审核功能，形成管理列表，单个日/周/月报可选定审核人员，通过浙政钉接收审核信息，并可进一步对日/周/月报数据关注度较低的数据进行隐藏和对文字信息编辑等操作。</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日/周/月报移动端应用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能够在移动端提供自动生成的日/周/月报的编辑，可对关注度较低的类型数据进行隐藏、补充填报分析内容等操作，并可通过移动端审核、查看日/周/月报。</w:t>
      </w:r>
    </w:p>
    <w:p>
      <w:pPr>
        <w:pStyle w:val="4"/>
        <w:keepNext w:val="0"/>
        <w:keepLines w:val="0"/>
        <w:numPr>
          <w:ilvl w:val="2"/>
          <w:numId w:val="5"/>
        </w:numPr>
        <w:spacing w:before="0" w:after="0" w:line="400" w:lineRule="exact"/>
        <w:jc w:val="both"/>
        <w:rPr>
          <w:rFonts w:ascii="宋体" w:hAnsi="宋体" w:eastAsia="宋体" w:cs="宋体"/>
          <w:b w:val="0"/>
          <w:bCs/>
          <w:sz w:val="24"/>
          <w:szCs w:val="24"/>
        </w:rPr>
      </w:pPr>
      <w:r>
        <w:rPr>
          <w:rFonts w:hint="eastAsia" w:ascii="宋体" w:hAnsi="宋体" w:eastAsia="宋体" w:cs="宋体"/>
          <w:bCs/>
          <w:sz w:val="24"/>
          <w:szCs w:val="24"/>
        </w:rPr>
        <w:t>智能考核和工作评价</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应包含督查评价、智能抽查、统计报表、智能提醒、平安工作管理、绩效驾驶舱、考核结果评比等功能。</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督察评价</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督察评价功能应包含：线上抽查、线下督查、抽查督查类型管理、线下培训记录管理、材料报送、材料报送审核、材料类型管理、网格员优秀案例审核、责任倒查任务管理、加减赋分、纳入网格事项管理、三色督办、督办单闭环处理、协同工作情况测评、年度考核加分、约谈记录、考核评价申诉审核、目标建议等功能。</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线上抽查</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对网格员、镇街矛调中心、镇街综合信息指挥室的日常工作情况进行线上抽查，可将抽查结果录入系统，按照考核规定进行扣分，抽查结果应包含抽查对象、姓名、所属网格、手机号码、扣分来源、抽查类型、预判扣分、问题描述、附件等信息，需提供督查登记内容查询功能，并可对线上抽查结果进行新增、编辑、删除、导出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线下督查</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对网格员、镇街综合信息指挥室、镇街矛调中心的日常工作情况进行线下督查，可将督查结果录入系统，按照考核规定进行扣分，抽查结果应包含抽查对象、姓名、所属网格、手机号码、扣分来源、抽查类型、预判扣分、问题描述、附件等信息，需提供督查登记内容查询功能，并可对线上抽查结果进行新增、编辑、删除、导出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抽查督查类型管理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线上抽查、线下督查类型管理功能，需能对网格员、镇街矛调中心、镇街综合信息指挥室等主体的抽查督查类型维护，能进行查询、新增、编辑、删除等操作，类型管理中需包含抽查（督查）类型名称、状态、录入人、录入时间等信息内容。</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网格测评管理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为镇街指挥室工作人员提供网格测评管理功能，可对线下收集的网格问卷调查结果汇总录入，能进行新增、编辑、删除、导出等操作，可根据调查结果、辖区、姓名、手机号来筛选查询网格测评信息，网络测评管理中需包含姓名、所属网格、手机号码、调查结果、问卷名称、问卷总数、描述等信息内容。</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材料报送与审核</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为镇街指挥室工作人员提供材料报送与审核功能，可将每月分析研判、典型案例、考核通报、督办反馈等类型的材料上传至系统中，经县级指挥中心工作人员审核通过后生效，可根据上报状态、审核状态、材料类型、材料名称来筛选查询材料报送相关信息，能进行新增、编辑、上报等操作。</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新增、编辑、上报的材料中需包含材料名称、材料类型、附件、录入人、录入时间等内容信息。</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审核上报的材料中需包含上报部门、材料类型、材料名称、附件、录入人、录入时间、审核状态、审核意见、审核人、审核时间等内容信息。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材料类型管理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能够提供材料类型管理维护，可根据材料名称来筛选查询材料类型相关信息，材料类型信息中需包含填报时间、类型名称、录入人等内容，能进行新增、编辑、删除等操作。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线下培训记录管理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为镇街指挥室、县级指挥中心工作人员提供线下培训记录管理功能，可将线下培训活动记录录入系统，能根据当前用户管辖的区域将该区域内对应的所有网格员信息带出，并可对各网格员的参训情况进行编辑。</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可根据培训类型、培训科目、培训名称、讲师名称筛选线下培训记录信息，能进行新增、编辑、上报等操作，培训记录信息中需包含培训名称、培训时间、培训讲师姓名、手机号码、培训科目、培训类型、培训地点、培训对象区域、附件等内容。</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培训记录管理人员参训情况中需包含培训名称、培训时间、培训讲师姓名、手机号码、培训科目、培训类型、培训地点、培训对象区域、附件、参训人员姓名、手机号码、所属网格、参训状态等信息，其中参训状态中需包含是否参训、是否有正当理由未参训、输入理由等信息。</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可对培训记录管理中参训人员信息进行导出，需具备批量导出功能，信息中需包含姓名、手机号码、所属网格、是否参训、是否有正当理由未参训、理由等内容。</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网格员优秀案例审核</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能够为镇街指挥室、县级指挥中心工作人员提供网格员优秀案例审核管理功能，能实现案例信息上报、初审、复审，并对审核通过的网格员考核评价进行加分。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可根据上报状态、审核状态、表扬来源层级、表扬类型、姓名、手机号码进行筛选查询网格员优秀案例相关信息。</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网格员优秀案例中需包含姓名、手机号码、所属网格、优秀案例类型、优秀案例来源层级、优秀案例报道名称、优秀案例内容、附件等信息，能进行新增、编辑、删除、上报等操作。</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责任倒查任务管理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为县指挥中心工作人员提供责任倒查任务管理功能，可实现责任倒查任务下发、反馈闭环管理，能进行新增、编辑、导入、导出等操作，可查看责任倒查任务详情，详情中需包含姓名、所属网格、手机号码、类型、是否属实、倒查问题等信息。</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能进行责任倒查下发高级查询，可根据姓名、手机号、辖区、类型、录入时间、录入人、倒查状态、倒查方式、整改类型、倒查时间、倒查人来精确筛选查询责任倒查任务相关信息。</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能进行查询责任倒查详情，责任倒查任务反馈详情中需包含姓名、所属网格、手机号码、类型、是否属实、倒查问题、倒查方式、倒查评估、整改类型等信息。</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加减赋分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能够提供对网格员加减赋分管理，可进行查询、新增、编辑、删除、导入、导出等操作，加减赋分内容中需包含姓名、所属网格、手机号码、来源、加分/减分内容、加分/减分年月、分值、审核领导等信息。</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能由网格员对上月的考核评价结果有异议的进行申诉，经镇街指挥室工作人员审核通过后更改考核结果，并可查看更改记录。</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能根据所属辖区、来源、姓名、手机号来筛选查询相关信息。</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能根据姓名、手机号、辖区、录入时间、来源来精确筛选责任倒查任务相关信息，实现对加减分项的高级查询。</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约谈记录</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网格员约谈记录功能，可根据网格员排名情况进行网格员约谈，并将约谈信息录入系统保存，能进行查询、新增、编辑、删除等操作，约谈信息中需包含姓名、手机号码、所属网格、约谈标题、约谈详情、附件、约谈人、约谈时间。</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三色督办</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三色”督办功能，可根据配置的规则向镇街职能站所工作人员、镇街职能站所领导、县级职能部门工作人员、镇街指挥室工作人员、镇街指挥室领导端推送督办单消息。能根据“三色”督办规则实现分级限权查看。</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督办单闭环处理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督办单闭环处理管理，可进行督办单新增、编辑、下发、反馈、审核等操作，实现督办单全流程闭环。督办单中需包含责任单位、责任人、问题描述、督办意见、完成时限、状态、督办单位、下发时间、附件等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纳入网格事项管理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能够提供纳入网格事项管理，可进行纳入网格事项准入申报、准入审核、撤出申报、撤出审核等操作。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协同工作情况测评</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能够提供协同工作情况测评管理，可进行协同工作情况测评任务下发、反馈。</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年度考核加分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能够提供年度考核加分管理功能，可实现年度考核加分申请、审核，能进行新增、编辑、删除、提交、审核等操作。加分内容中需包含申请部门、加减分内容、附件、分值、审核意见、审核部门等信息。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目标建议</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能够提供目标建议管理功能，可实现县级指挥中心对镇街目标建议、镇街指挥室对网格员目标建议的生成、下发。</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能根据所属网格、统计月份、姓名手机号等信息筛选查询网格员绩效提升目标及建议信息，网格员目标建议内容中需包含提升指标、实际统计值、目标期望值、考核评价提升建议、姓名、所属网格等信息。</w:t>
      </w:r>
    </w:p>
    <w:p>
      <w:pPr>
        <w:pStyle w:val="6"/>
        <w:keepNext w:val="0"/>
        <w:keepLines w:val="0"/>
        <w:numPr>
          <w:ilvl w:val="4"/>
          <w:numId w:val="5"/>
        </w:numPr>
        <w:spacing w:before="0" w:after="0" w:line="360" w:lineRule="auto"/>
        <w:rPr>
          <w:rFonts w:ascii="宋体" w:hAnsi="宋体" w:cs="宋体"/>
          <w:b w:val="0"/>
          <w:bCs w:val="0"/>
          <w:sz w:val="24"/>
          <w:szCs w:val="24"/>
        </w:rPr>
      </w:pPr>
      <w:r>
        <w:rPr>
          <w:rFonts w:hint="eastAsia" w:ascii="宋体" w:hAnsi="宋体" w:cs="宋体"/>
          <w:bCs w:val="0"/>
          <w:sz w:val="24"/>
          <w:szCs w:val="24"/>
        </w:rPr>
        <w:t>考核评价申诉审核</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能够提供考核评价申诉审核功能，能实现对网格员考核得分情况查看、异议申诉、申诉审核、手动修改考核得分等操作，可根据审核状态、姓名、手机号码查询申诉数据。</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智能抽查</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智能抽查功能应包含：抽查业务规则设置、定时任务执行、事件抽查任务推送、事件抽查结果反馈等功能。</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事件抽查业务规则设置</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事件抽查业务规则设置功能，可实现县级指挥中心工作人员对网格员上报事件抽查任务规则的配置，能进行查询、新增、编辑、删除等操作。抽查任务规则内容中需包含任务抽查部门、任务抽查范围、事件类型、事件抽查数量、事件办结时间、任务完成时限、任务名称等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定时任务执行</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能够提供定时任务执行功能，可根据系统设置的事件抽查业务规则定时准备事件抽查数据。</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事件抽查待检查任务</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能够提供事件抽查待检查任务功能，可根据系统设置的事件抽查业务规则及事件抽查数据生成事件抽查任务存储在数据库中。</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事件抽查任务消息通知</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能够提供事件抽查任务消息通知功能，生成事件抽查任务后，系统可根据事件抽查任务规则设置中的任务抽查部门推送事件抽查任务消息提醒其进行事件抽查。</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事件抽查任务管理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事件抽查任务管理功能，可由任务抽查部门通过系统对生成的事件任务进行抽查并录入抽查结果。能进行事件抽查任务单查询、事件抽查任务单检查、事件抽查列表查询、反馈抽查结果、事件抽查删除事件、事件抽查编辑抽查结果、事件抽查导出等操作。</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智能预警</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智能预警功能应包含：预警消息设置、定时任务执行、预警消息推送、预警消息推送记录等功能。</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预警消息设置</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能够提供预警信息设置功能，可对网格员、镇街指挥室工作人员、镇街职能站所工作人员等角色需要提示的考核项、提醒阈值、提醒频率、提醒生效时间段进行配置。能进行查看、新增、编辑、状态更改等操作。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定时任务执行</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能够提供定时任务执行功能，系统可根据设置的提醒规则执行对网格员、镇街指挥室工作人员、镇街职能站所工作人员等角色需要提醒的考核项触发提醒，生成提醒消息。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预警消息推送</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能够提供预警消息推送功能，系统可将网格员、镇街指挥室工作人员、镇街职能站所工作人员等角色需要提醒的考核项触发的提醒消息推送给对应的人员。</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预警消息推送记录</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能够生成预警消息推送记录，县级指挥中心工作人员、镇街指挥室工作人员、镇街指挥室领导可进入预警消息推送记录查看预警消息发送的历史记录。</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统计报表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能够提供统计报表功能，需包固定报表生成和智能报表配置两部分。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固定统计报表需包含抽查督查统计、网格测评情况、材料报送统计、事件抽查情况、平安形势分析统计、创新工作申报统计、网格员考核评价、镇街考核评价报表以及区县考核评价等报表，其中网格员考核评价报表、镇街考核评价报表统计维度分为月度，季度、年度，区县统计维度主要为年度。</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智能报表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能够提供智能报表功能，智能报表能进行快速配置，可进行新增、导入模板操作，应具备数据源配置、智能报表配置、任务生成器等基本功能。</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抽查督查统计报表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抽查督查统计报表功能，实现县、乡两级不同维度按月统计，可进行导出查看，统计表内容中需包含在职人员数量、线上抽查已检查人数、线上抽查未检查人数、线下督查已检查人数、线下督查未检查人数、线上抽查扣分、线下督查扣分、总扣分、人均扣分值情况等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材料报送统计报表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能够提供材料报送统计报表，能按月统计各乡镇（街道）分类型材料报送情况，可根据查询结果导出统计报表，材料报送需按照典型案例、分析研判、考核通报、督办反馈、其他材料等类型进行统计。</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平安形势分析报表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能够提供平安形势分析报表，能按年、月统计各职能部门平安建设的扣分情况，报表中需包含区县名称、职能部门、统计时段、本年度累计分值、本年度最终得分等信息，可进行查询、导出等操作。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创新工作申报统计报表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能够提供创新工作申报统计报表，能按年统计所有县级职能部门创新工作的申报情况，报表中需包含单位名称、申报年份、是否申报、申报得分等信息，可进行查询、导出等操作。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网格考核评价报表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能够提供网格考核评价报表，能根据考核规则按月、季、年统计网格员各考核指标的数据，并按照县级指挥中心设定的规则计算出评分，可进行查询、导出、详情查看（单条数据明细）等操作。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镇街考核评价报表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能够提供街道考核评价报表，能根据考核规则按月、季、年统计镇街各考核指标的数据，并按照县级指挥中心设定的规则计算出评分，可进行查询、导出、详情查看（单条数据明细）等操作。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区县考核评价报表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能够提供区县考核评价报表，能根据考核规则按年统计县级四平台各考核指标的数据，并按照市设定的规则计算出评分，可进行查询、导出、详情查看（单条数据明细）等操作。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低绩效网格员统计报表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能够提供低绩效网格员统计报表，能对月考核连续两次不合格或被县及以上部门连续通报批评两次以上的网格员按季度、年度进行统计，可进行详情查看、导出等操作。</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平安工作管理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平安工作管理功能应包含：平安检查任务交办整改、平安工作任务交办反馈、平安工作测评任务交办反馈、平安建设扣分情况录入、平安建设扣分情况录入、创新工作申报与审核、优秀案例申报与审核、平安约谈等功能。</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平安检查任务交办反馈</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平安检查任务交办反馈功能，能根据县平安办暗访发现的问题生成平安检查任务交办单下发至各县级部门，各县级部门可线上反馈任务情况，可进行新增、编辑、删除、下发、查询、上报（反馈）、详情查看等操作。检查任务内容需包含任务标题、交办部门、交办事项、交办数量、交办时间、完成时限、交办要求、任务下发部门、下发人等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平安工作任务交办反馈</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平安工作任务交办反馈功能，能将县级平安办生成的当月平安指数任务和专项检查任务下发至各县级职能部门，各县级部门可线上反馈整改方案，可进行新增、编辑、删除、下发、查询、上报（反馈）、详情查看等操作。工作任务内容需包含任务标题、交办部门、交办事项、交办原因、交办时间、完成时限、交办要求、任务下发部门、下发人等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平安工作情况测评任务交办反馈</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能够提供平安工作情况测评任务交办反馈功能，能实现平安工作测评任务管理，可进行任务新增、下发、反馈、结果查看等操作。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平安建设情况材料报送审核</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能够提供平安建设情况材料报送审核功能，能实现材料的报送与审核。</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创新工作申报与审核</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创新工作申报与审核功能，能实现创新工作在线申报与审核打分，可进行查询、新增、编辑、删除、上报、审核、详情查看等操作，申报内容中需包含申报单位、项目名称、项目实施特色亮点、针对的短板和问题、申报时间、附件等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优秀案例申报与审核</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能够提供优秀案例申报与审核功能，能实现优秀案例在线申报与审核。</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平安工作约谈</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平安工作约谈功能，县平安办约谈后可将约谈的记录录入系统，能进行记录新增、编辑、删除等操作。约谈记录内容中需包含单位名称、约谈事项、约谈时间、约谈地点、被约谈单位负责人、约谈人、约谈来源、约谈具体事项、联系人、联系电话等信息。</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绩效画像</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绩效画像功能应包含：网格员考核评价驾驶舱、镇街考核评价驾驶舱、区县考核评价驾驶舱。</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网格员考核评价驾驶舱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能够提供网格员考核评价驾驶舱功能，可直观展现网格员日常工作考核情况。</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镇街考核评价驾驶舱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能够提供镇街考核评价驾驶舱功能，可直观展现乡镇街道的具体工作考核情况。</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区县考核评价驾驶舱</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能够提供区县考核评价驾驶舱功能，可直观展现区县的具体工作考核情况。</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考核结果运用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提供对网格员的考核评价用于考核奖金的发放和日常的工作评比，应包含网格员季度绩效奖金报表、季度之星评选、五榜晾晒功能。</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网格员季度绩效奖金报表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网格员季度绩效奖金报表，镇街指挥室工作人员可根据情况配置网格员考核奖金发放规则，系统在网格员绩效考核得分固化后，按各镇街奖金发放规则自动生成网格员绩效奖金报表。需要包含奖金发放规则配置、执行定时任务、奖金发放报表等功能。可进行规则查询、新增、编辑、删除以及奖金报表的查询、编辑、导出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季度之星评选</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能够提供网格员季度之星评选功能，可根据网格员季度绩效考核评价得分进行排名，取各镇街前10名。能进行查询、导出等操作。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五榜晾晒</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能够提供五榜晾晒功能，系统可按月自动统计五榜排名情况，并推送到政法微信公众号。五榜内容为数据采集-晾晒榜、事件质量-好差榜、事件协同-成效榜、考评分数-排行榜、网格典范-点赞榜。</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基层治理移动端应用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网格员可在基层治理移动端查看考核报表、考核结果申诉、申诉查询、考核结果查看、提升建议查看等。</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各村（社区）领导可在基层治理移动端对本村（社区）网格员临时性、阶段性、应急性中心工作的服从指挥调度情况进行打分并纳入网格员考核成绩。</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考核报表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能够提供考核报表内容查询与结果申诉功能，网格员可在基层治理APP上查询本月各项考核内容的具体得分并对考核结果进行申诉。网格员可进行报表查询、详情查看、发起申诉等操作。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申诉查询</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能够提供申诉结果查询功能，网格员可在基层治理APP上查看异议申诉结果。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提升建议</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能够提供提升建议功能，网格员可在基层治理APP上查看镇街指挥室工作人员对该网格员不同考核内容给予的针对性提升目标及建议。</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协同考核</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能够提供协同考核功能，各村（社区）领导可在基层治理APP上对本村（社区）网格员临时性、阶段性、应急性中心工作的服从指挥调度情况进行打分并纳入网格员月考核成绩。</w:t>
      </w:r>
    </w:p>
    <w:p>
      <w:pPr>
        <w:pStyle w:val="4"/>
        <w:keepNext w:val="0"/>
        <w:keepLines w:val="0"/>
        <w:numPr>
          <w:ilvl w:val="2"/>
          <w:numId w:val="5"/>
        </w:numPr>
        <w:spacing w:before="0" w:after="0" w:line="400" w:lineRule="exact"/>
        <w:jc w:val="both"/>
        <w:rPr>
          <w:rFonts w:ascii="宋体" w:hAnsi="宋体" w:eastAsia="宋体" w:cs="宋体"/>
          <w:b w:val="0"/>
          <w:bCs/>
          <w:sz w:val="24"/>
          <w:szCs w:val="24"/>
        </w:rPr>
      </w:pPr>
      <w:r>
        <w:rPr>
          <w:rFonts w:hint="eastAsia" w:ascii="宋体" w:hAnsi="宋体" w:eastAsia="宋体" w:cs="宋体"/>
          <w:bCs/>
          <w:sz w:val="24"/>
          <w:szCs w:val="24"/>
        </w:rPr>
        <w:t>矛盾纠纷排查见底应用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矛盾纠纷数据总览、矛盾纠纷统一受理、矛盾纠纷事项流转、矛盾纠纷办理、矛盾纠纷综合查询、矛盾纠纷统计分析、矛调中心可视化大屏、涉事人员库标签管理、涉访涉诉信访事件管理、矛盾纠纷事项类型管理、矛盾纠纷数据同步、矛盾纠纷知识库、矛盾纠纷全量库、配置管理、系统管理等功能。</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矛盾纠纷数据总览</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能够展示基本受理事项情况、纠纷处理情况、结案纠纷分布情况、区县级（部门）处理事项情况、纠纷事发地统计信息、群众回访情况、登记量排名纠纷统计及部门协同处理量统计等信息。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基本受理信息概况展示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能够展示所选择时间范围的基本受理信息，展示内容需包含总体登记量、总体结案量、总体结案率以及矛盾纠纷、投诉、咨询、法律援助四种类型事项的基本受理信息等。</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纠纷处理概况展示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能够展示纠纷处理概况，能通过多种统计图表的形式展示年度统计信息，展示内容需包含纠纷来源、登记量、结案量、调解成功量、调解成功率等信息，并可查看具体事项信息。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结案纠纷分布概况展示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能够展示事项的纠纷分布概况，展示内容需包含纠纷等级、结案数量等信息。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区级（部门）处理事项概况展示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能够展示区级（部门）纠纷事项处理概况，能通过以图表的形式展示区级（部门）处理事项的纠纷受理量和调解成功率。</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纠纷事发地统计概况展示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能够展示各乡镇街道纠纷事发地统计概况，能通过图表的形式展示各乡镇街道的纠纷受理量和调解成功率。</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群众回访统计概况展示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能够展示群众满意度评价情况，展示内容需包含满意度评价的级别、对应的评价量等信息，同时可查看全年12个月份的评价变化趋势。</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登记量纠纷统计概况展示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能够展示纠纷登记量排名，可根据需要查看具体事项信息。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部门协同处理量统计概况展示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能够展示协同部门及协同解决纠纷量。</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矛盾纠纷统一受理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需提供综窗受理和专窗受理，可针对不同窗口人员受理业务类型进行受理类型入口配置，为乡镇/街道级矛调中心人员配备不足，存在无综窗受理或者单窗口受理多项业务的情况提供方案。包括综窗矛盾纠纷事项录入、专窗矛盾纠纷事项录入、领导接访事项录入。</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综窗矛盾纠纷事项录入</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矛盾纠纷事项综窗录入功能，能进行待受理信息展示、申请人信息录入、申请人信息删除、代理人信息录入、代理人信息删除、委托书上传、委托书删除、诉求详情录入、证据材料上传、证据材料查看、证据材料删除、草稿保存等操作，其中涉及草稿需建设草稿箱，满足草稿的搜索、展示、删除、转专窗等操作需求，待调解矛盾纠纷人员身份信息录入需具备身份证读卡器录入、上传证件照片识别、手动录入等三种方式，系统需与高拍议、身份证读卡器等第三方设备实现对接。</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专窗矛盾纠纷事项录入</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能够根据事项业务类型不同由专业窗口进行录入，主要涉及的业务专窗有法律援助、法律咨询、公安信访、诉讼服务、市场监管、劳动维权、司法调解、信访接待、人民调解等。</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领导接访事项录入</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能够将领导接访事项录入系统，可进行录入、删除、关联事项插入、关联事项删除、查询、编辑、展示、责任人指定等操作。</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矛盾纠纷事项流转</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需提供待分发事项列表展示、待分发事项搜索、待分发事项查看、矛盾纠纷事项分发流转。事项流转需包含区县综窗分发事项到区县专窗、乡镇综窗分发到事项到乡镇专窗、矛盾纠纷事项上报、矛盾纠纷事项下派。</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待分发事项列表展示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能够列表展示待分发矛盾纠纷事项，可按照乡镇上报事项、区县下派事项、四平台派发事项分类展示需分发的矛盾纠纷事项，并可进行分发操作。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待分发事项搜索</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能够支持通过输入申请人、被申请人姓名或者编号搜索待分发矛盾纠纷事项。</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待分发事项查看</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能够详细查看当前事项的纠纷内容、办理进度以及证据文书材料。并进行事项分发操作。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矛盾纠纷事项分发流转</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支持对待分发事项列表中的矛盾纠纷事项进行分发操作，可对接区县矛调中心，实现矛盾纠纷事件综窗分流至专窗、矛盾纠纷事件上报（由村上报镇、由镇上报县）上级矛调中心、矛盾纠纷事件下派（由县下发镇、由镇下发村)下级矛调中心。</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矛盾纠纷办理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矛盾纠纷办理提供待办理事项情况统计、待办理事项列表展示、待办理事项搜索、待办理事项查看及事项办理。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事项办理需包含将事项进行事项修改、短信预约、分配调解员、上报区县综窗、下派镇街综窗、自处理、转窗口、事项办理情况填写、结案、评价回访等。</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待办理事项情况统计</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能够根据今日、本周、本月、上月等4个事项上报时间维度统计事项总数、结案数量，并可通过图表形式来展示未结案和已结案的数量占比情况。</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待办理事项列表展示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能够通过列表展示待办理事项信息，综窗分发、专窗自受理的事项均在事项待办理列表中。</w:t>
      </w:r>
    </w:p>
    <w:p>
      <w:pPr>
        <w:pStyle w:val="6"/>
        <w:keepNext w:val="0"/>
        <w:keepLines w:val="0"/>
        <w:numPr>
          <w:ilvl w:val="4"/>
          <w:numId w:val="5"/>
        </w:numPr>
        <w:spacing w:before="0" w:after="0" w:line="400" w:lineRule="exact"/>
        <w:rPr>
          <w:rFonts w:ascii="宋体" w:hAnsi="宋体" w:cs="宋体"/>
          <w:sz w:val="24"/>
          <w:szCs w:val="24"/>
        </w:rPr>
      </w:pPr>
      <w:r>
        <w:rPr>
          <w:rFonts w:hint="eastAsia" w:ascii="宋体" w:hAnsi="宋体" w:cs="宋体"/>
          <w:bCs w:val="0"/>
          <w:sz w:val="24"/>
          <w:szCs w:val="24"/>
        </w:rPr>
        <w:t>待办理事项搜索</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能够通过受理时间、事项编号、姓名等重要信息对待办理事项进行搜索，受理时间可设置不同时间维度。事项编号和姓名需满足模糊查询要求。</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待办理事项查看</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能够详细查看当前事项的纠纷内容、办理进度以及证据文书材料。并可进行办理操作。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事项办理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办理来自矛盾纠纷事项统一受理后分发至专窗的事项，区/县工作人员可将该事项进行事项修改、短信预约、分配调解员、上报区县综窗、下派镇街综窗、自处理、转窗口等操作。专窗口可对事项进行填写办理信息和结案操作。系统需具备评价回访功能。</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矛盾纠纷综合查询</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矛盾纠纷综合查询包括矛盾纠纷事项列表、矛盾纠纷事项搜索、矛盾纠纷事项详情查看、矛盾纠纷事项删除、已删除事项列表、事项导出。</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矛盾纠纷事项列表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能够通过列表展示矛盾纠纷详情信息。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矛盾纠纷事项搜索</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能实现按矛盾纠纷事项搜索，包含简单检索与高级检索功能。</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矛盾纠纷事项详情查看</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能够进入详情页查看当前事项的详情信息，可按纠纷内容、办理进度以及证据文书材料分别展示，可支持下载展示列表中的证据与文书材料。</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矛盾纠纷事项删除</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能够支持对应用事项进行删除，需具备删除原因填写功能，删除记录自动转入已删除事项列表中。</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已删除事项列表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能够列表展示所有已删除的事项信息。可支持通过受理时间、阶段、调解状态、办结状态组合查询已删除事项。同时支持辖区、发生地点、所属窗口等条件高级搜索已删除事项。</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事项导出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能够支持导出事项搜索结果形成excel表文件。</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矛盾纠纷统计分析</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提供部门协同系统统计、湖州解纷码运行情况统计、矛调中心结案统计、日常工作情况统计、窗口工作统计、事项纠纷类型统计、矛盾纠纷区域统计、考察调研接待统计等综合统计分析功能。</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矛调中心可视化大屏</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基于业务运行数据，在区/县层级可通过可视化功能形成矛调中心大屏，查看区/县矛调中心的日常运行情况，包含日常模式、考察调研模式、可视化大屏配置等。</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日常模式能够实现日常模式对矛调中心接待情况、值班情况、庭室情况等内容的展示；</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考察模式能够实现考察模式的展示，内容需包含矛调中心接待情况、值班情况、考察调研情况等信息。</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可视化大屏配置功能需包含大屏模式设置、人员轮值安排等，可自定义选择在每一场景中展示的页面及设置大屏自动切换的时间间隔，能对轮值人员安排进行新增、删除、编辑、查看等操作。</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涉事人员库标签管理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提供将已受理事项当事人信息管理功能，包含人员库列表展示、人员信息搜索、人员异常标签信息添加、人员异常标签信息删除、异常行为记录查看等。</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涉访涉诉信访事件管理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涉访涉诉信访事项管理功能，针对各类不同途径收集到的涉法涉诉信访案事件信息，由市委政法委通过涉法涉诉信访案事件管理功能进行收件、交办督办、核查反馈、会商协调等流程进行记录并管理，需包含涉法涉诉信访案事件录入、涉法涉诉信访案事件交办、涉法涉诉信访案事件核查反馈、会商协调、通报等功能。</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涉法涉诉信访案事件录入</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涉法涉诉信访案事件录入功能，可对多种渠道收集的涉法涉诉信访案事件信息进行统一收件，可对来访来信来电人员信息录入、案事件具体内容录入。能通过列表展示已录入涉法涉诉案事件信息，可进行新增、编辑、删除、详情查看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涉法涉诉信访案事件交办</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涉法涉诉信访案事件交办功能，市委政法委可对已录入涉法涉诉信访案事件根据案事件类型、涉及的具体部门或区县等信息进行分析交办，由区县政法委、市级政法单位、其他有权单位进行核办，也可牵头选择浙政钉内同步的单位、人员，一键通知建组进行跟踪督办。</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涉法涉诉信访案事件核查反馈</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涉法涉诉信访案事件核查反馈功能，区县政法委或市级单位接收案事件后，对案事件进行核查，可在系统内填写相关核查后的信息进行反馈，反馈单位主要包括区县政法委反馈、市级政法单位反馈、其他有权单位反馈、评查情况反馈。系统中需具备反馈信息录入、核查反馈申请延期、核查反馈申请审批等功能。</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会商协调</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能够提供会商协调管理功能，能对于重大疑难的涉法涉诉案事件，市委政法委可发起会商，可进行会商协调记录新增、查看、修改、删除等操作。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通报</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能够提供监督考核通报功能，市委政法委可对交办对象进行监督考核，能根据模板配置一键生成通报文件，按每月进行通报。</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矛盾纠纷事项类型管理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矛盾纠纷事项类型管理，实现矛盾纠纷事项类型分类统计、矛盾纠纷事项类型查询、矛盾纠纷事项类型新增、矛盾纠纷事项类型停用/启用、矛盾纠纷类型变更审核/发布、与其他系统类型对应关系维护等功能。</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矛盾纠纷事项类型分类统计</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能够提供矛盾纠纷事项类型分类统计，实现按事项类型统计矛盾纠纷事项类型及数量，统计内容需包含矛盾纠纷类型名称、状态（是否启用）、矛盾纠纷描述、登记人、登记日期等信息。</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矛盾纠纷事项类型查询</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能够提供矛盾纠纷事项类型查询功能，可通过输入关键字模糊查询矛盾纠纷事项类型。</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矛盾纠纷事项类型新增</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能够提供矛盾纠纷事项类型新增功能，可新建矛盾纠纷类型，需包含矛盾纠纷名称、矛盾纠纷描述等字段。</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矛盾纠纷事项类型停用/启用</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能够提供矛盾纠纷事项类型停用/启用设置功能，可变更矛盾纠纷事项类型的停用/启用状态。</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矛盾纠纷类型变更审核/发布</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能够提供矛盾纠纷类型变更审核/发布功能，市级管理员可对新增矛盾纠纷类型进行审核发布。</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与其他系统类型对应关系维护</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能够提供与其他系统类型对应关系维护功能，可对矛调平台中矛盾纠纷类型和司法、法院等其他条线纠纷类型的对应关系进行维护。</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矛盾纠纷数据同步</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能够提供矛盾纠纷排查见底应用事项同步至四平台、同步省建矛调系统结案信息至矛盾纠纷排查见底应用、同步解纷码结案信息至矛盾纠纷排查见底应用等功能。</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矛盾纠纷知识库</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能够提供矛盾纠纷知识库事项列表、矛盾纠纷案例清单表、矛盾纠纷案例关键字检索、矛盾纠纷案例热门检索词搜索、矛盾纠纷案例热点统计等功能。</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矛盾纠纷全量库</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归集与矛盾纠纷相关其余系统数据资源，进行数据对接、清洗治理，建设基础库、专题库、矛盾纠纷数据目录、矛盾纠纷数据归集情况、矛盾纠纷全量数据统计分析。</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配置管理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提供省建账号维护、应用图标配置、涉法涉诉信访案事件模板配置、调解协议书模板配置等。</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省建账号维护</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能够列表展示省建矛调系统的账号信息，展示内容需包含专窗类型、账号名称等，可省建矛调系统账号进行查询、新增、编辑、删除、查看等操作。</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应用图标配置</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能够配置应用图标及网页标签图标，可上传本地图片可作为网页应用图标或标签图标。</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涉法涉诉信访案事件模板配置</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涉法涉诉信访案事件模板配置功能，构建涉法涉诉信访案事件模板，对涉法涉诉信访案事件处置的各个流程节点的数据自动汇聚，支持对模板内容进行编辑调整。自定义模板内容中需包含通报对象、超期案件数、申请延期数、案事件办结率。</w:t>
      </w:r>
    </w:p>
    <w:p>
      <w:pPr>
        <w:pStyle w:val="6"/>
        <w:keepNext w:val="0"/>
        <w:keepLines w:val="0"/>
        <w:numPr>
          <w:ilvl w:val="4"/>
          <w:numId w:val="5"/>
        </w:numPr>
        <w:spacing w:before="0" w:after="0" w:line="400" w:lineRule="exact"/>
        <w:rPr>
          <w:rFonts w:ascii="宋体" w:hAnsi="宋体" w:cs="宋体"/>
          <w:b w:val="0"/>
          <w:bCs w:val="0"/>
          <w:sz w:val="24"/>
          <w:szCs w:val="24"/>
        </w:rPr>
      </w:pPr>
      <w:r>
        <w:rPr>
          <w:rFonts w:hint="eastAsia" w:ascii="宋体" w:hAnsi="宋体" w:cs="宋体"/>
          <w:bCs w:val="0"/>
          <w:sz w:val="24"/>
          <w:szCs w:val="24"/>
        </w:rPr>
        <w:t>调解协议书模板配置</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能够提供调解协议书模板配置功能，对矛盾纠纷调处化解各个流程节点的数据自动汇聚，支持对模板内容在线配置。</w:t>
      </w:r>
    </w:p>
    <w:p>
      <w:pPr>
        <w:pStyle w:val="5"/>
        <w:keepNext w:val="0"/>
        <w:keepLines w:val="0"/>
        <w:numPr>
          <w:ilvl w:val="3"/>
          <w:numId w:val="5"/>
        </w:numPr>
        <w:spacing w:before="0" w:after="0" w:line="400" w:lineRule="exact"/>
        <w:rPr>
          <w:rFonts w:cs="宋体"/>
          <w:b w:val="0"/>
          <w:bCs w:val="0"/>
          <w:sz w:val="24"/>
          <w:szCs w:val="24"/>
        </w:rPr>
      </w:pPr>
      <w:r>
        <w:rPr>
          <w:rFonts w:hint="eastAsia" w:ascii="宋体" w:hAnsi="宋体" w:cs="宋体"/>
          <w:sz w:val="24"/>
          <w:szCs w:val="24"/>
        </w:rPr>
        <w:t>系统管理</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提供用户管理、菜单管理、角色权限、角色管理、网格管理、岗位管理等功能。</w:t>
      </w:r>
    </w:p>
    <w:p>
      <w:pPr>
        <w:pStyle w:val="3"/>
        <w:keepNext w:val="0"/>
        <w:numPr>
          <w:ilvl w:val="1"/>
          <w:numId w:val="5"/>
        </w:numPr>
        <w:adjustRightInd/>
        <w:spacing w:before="120" w:beforeLines="50" w:after="120" w:afterLines="50" w:line="400" w:lineRule="exact"/>
        <w:rPr>
          <w:rFonts w:ascii="宋体" w:eastAsia="宋体" w:cs="宋体"/>
          <w:b w:val="0"/>
          <w:bCs/>
          <w:sz w:val="24"/>
          <w:szCs w:val="24"/>
        </w:rPr>
      </w:pPr>
      <w:bookmarkStart w:id="40" w:name="_Toc48050111"/>
      <w:r>
        <w:rPr>
          <w:rFonts w:hint="eastAsia" w:ascii="宋体" w:eastAsia="宋体" w:cs="宋体"/>
          <w:bCs/>
          <w:sz w:val="24"/>
          <w:szCs w:val="24"/>
        </w:rPr>
        <w:t>系统接口要求</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接口要求：</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（1）省数据共享平台；</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（2）浙政钉-用户体系及人员信息；</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数据对接要求：</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（1）浙江省建矛盾纠纷数据；</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（2）110非**矛盾纠纷数据；</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（3）信访网电数据；</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（4）人社欠薪纠纷数据；</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（5）公安每日会商数据；</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（6）舆情数据；</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（7）个人行为处罚数据；</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（8）人社劳动争议数据；</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（9）信访来访来信数据；</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（10）消防事故数据；</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（11）安全生产事故数据；</w:t>
      </w:r>
    </w:p>
    <w:p>
      <w:pPr>
        <w:pStyle w:val="3"/>
        <w:keepNext w:val="0"/>
        <w:numPr>
          <w:ilvl w:val="1"/>
          <w:numId w:val="5"/>
        </w:numPr>
        <w:adjustRightInd/>
        <w:spacing w:before="120" w:beforeLines="50" w:after="120" w:afterLines="50" w:line="400" w:lineRule="exact"/>
        <w:rPr>
          <w:rFonts w:ascii="宋体" w:eastAsia="宋体" w:cs="宋体"/>
          <w:b w:val="0"/>
          <w:bCs/>
          <w:sz w:val="24"/>
          <w:szCs w:val="24"/>
        </w:rPr>
      </w:pPr>
      <w:r>
        <w:rPr>
          <w:rFonts w:hint="eastAsia" w:ascii="宋体" w:eastAsia="宋体" w:cs="宋体"/>
          <w:bCs/>
          <w:sz w:val="24"/>
          <w:szCs w:val="24"/>
        </w:rPr>
        <w:t>主要性能指标要求</w:t>
      </w:r>
      <w:bookmarkEnd w:id="40"/>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 xml:space="preserve">1）满足基于云计算中心部署，数据库满足分布式部署的要求，在云计算环境中，能根据系统访问的用户数灵活扩展； </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 xml:space="preserve">2）系统必须具备平台化的特点，重点业务模块采用独立的、模块化的设计策略，具备二次开发能力，支持各种操作系统和各类数据库系统，便于未来系统扩展以及与其他系统的整合； </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3）支持各类主流浏览器内核并兼容各类主流浏览器及其不同版本；</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4）系统应满足用户的要求，稳定、可靠、实用。人机界面友好，输出、输入方便，图表生成灵活美观，检索、查询简单快捷。根据业务处理类型的不同，把作业划分为交互类业务、查询类业务和统计分析类业务，分别给出响应时间要求的参考值，包括峰值响应时间和平均响应时间；</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①交互类业务</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交互类业务包括与其他系统的数据交互，及平时工作中在系统中 进行的业务处理，如录入，修改或删除一条记录等操作。 针对与其他系统的数据交互，实时性要求较高的数据交换传输速度不高于 1 分钟；针对系统中的业务处理，平均响应时间：2-3（秒）， 峰值响应时间：3-5（秒）；</w:t>
      </w:r>
    </w:p>
    <w:p>
      <w:pPr>
        <w:pStyle w:val="15"/>
        <w:numPr>
          <w:ilvl w:val="0"/>
          <w:numId w:val="15"/>
        </w:numPr>
        <w:adjustRightInd w:val="0"/>
        <w:spacing w:line="400" w:lineRule="exact"/>
        <w:rPr>
          <w:rFonts w:hAnsi="宋体" w:cs="宋体"/>
          <w:spacing w:val="-4"/>
          <w:kern w:val="21"/>
          <w:sz w:val="24"/>
          <w:szCs w:val="24"/>
        </w:rPr>
      </w:pPr>
      <w:r>
        <w:rPr>
          <w:rFonts w:hint="eastAsia" w:hAnsi="宋体" w:cs="宋体"/>
          <w:spacing w:val="-4"/>
          <w:kern w:val="21"/>
          <w:sz w:val="24"/>
          <w:szCs w:val="24"/>
        </w:rPr>
        <w:t>查询类业务</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如信息查询、统计报表生成或决策支持的信息查询等。查询业务由于受到查询的复杂程度、查询的数据量大小等因素的影响，需要根据具体情况而定，在此给出三个参考范围。 简单查询平均响应时间：1-3（秒）； 复杂查询平均响应时间：3-5（秒）； 极限数据查询时间：最大样本量时数据查询时间不超过3分钟；</w:t>
      </w:r>
    </w:p>
    <w:p>
      <w:pPr>
        <w:pStyle w:val="15"/>
        <w:numPr>
          <w:ilvl w:val="0"/>
          <w:numId w:val="15"/>
        </w:numPr>
        <w:adjustRightInd w:val="0"/>
        <w:spacing w:line="400" w:lineRule="exact"/>
        <w:rPr>
          <w:rFonts w:hAnsi="宋体" w:cs="宋体"/>
          <w:spacing w:val="-4"/>
          <w:kern w:val="21"/>
          <w:sz w:val="24"/>
          <w:szCs w:val="24"/>
        </w:rPr>
      </w:pPr>
      <w:r>
        <w:rPr>
          <w:rFonts w:hint="eastAsia" w:hAnsi="宋体" w:cs="宋体"/>
          <w:spacing w:val="-4"/>
          <w:kern w:val="21"/>
          <w:sz w:val="24"/>
          <w:szCs w:val="24"/>
        </w:rPr>
        <w:t>统计分析类业务</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一般统计时间：不超过3秒；一般分析时间：不超过5秒；</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5）系统应保障 7×24小时的连续运行，平均年故障时间：&lt;1 天，平均故障修复时间：&lt;120 分钟；</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6）具有较强的系统安全性和灾难恢复能力；</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7）要具有完备的网络与信息安全保障体系，能对登录用户的身份进行认证，并跟踪用户的操作，进行安全审计；</w:t>
      </w:r>
    </w:p>
    <w:p>
      <w:pPr>
        <w:pStyle w:val="15"/>
        <w:adjustRightInd w:val="0"/>
        <w:spacing w:line="400" w:lineRule="exact"/>
        <w:ind w:firstLine="464"/>
        <w:rPr>
          <w:rFonts w:hAnsi="宋体" w:cs="宋体"/>
          <w:spacing w:val="-4"/>
          <w:kern w:val="21"/>
          <w:sz w:val="24"/>
          <w:szCs w:val="24"/>
        </w:rPr>
      </w:pPr>
      <w:r>
        <w:rPr>
          <w:rFonts w:hint="eastAsia" w:hAnsi="宋体" w:cs="宋体"/>
          <w:spacing w:val="-4"/>
          <w:kern w:val="21"/>
          <w:sz w:val="24"/>
          <w:szCs w:val="24"/>
        </w:rPr>
        <w:t>8）应具有良好的数据安全保障机制，具有较强的容错能力和灾难恢复能力，服务器组采用集群模式。</w:t>
      </w:r>
    </w:p>
    <w:p>
      <w:pPr>
        <w:pStyle w:val="3"/>
        <w:keepNext w:val="0"/>
        <w:numPr>
          <w:ilvl w:val="1"/>
          <w:numId w:val="5"/>
        </w:numPr>
        <w:adjustRightInd/>
        <w:spacing w:before="120" w:beforeLines="50" w:after="120" w:afterLines="50" w:line="400" w:lineRule="exact"/>
        <w:rPr>
          <w:rFonts w:ascii="宋体" w:eastAsia="宋体" w:cs="宋体"/>
          <w:b w:val="0"/>
          <w:bCs/>
          <w:sz w:val="24"/>
          <w:szCs w:val="24"/>
        </w:rPr>
      </w:pPr>
      <w:bookmarkStart w:id="41" w:name="_Toc48050113"/>
      <w:bookmarkStart w:id="42" w:name="_Toc48050112"/>
      <w:r>
        <w:rPr>
          <w:rFonts w:hint="eastAsia" w:ascii="宋体" w:eastAsia="宋体" w:cs="宋体"/>
          <w:bCs/>
          <w:sz w:val="24"/>
          <w:szCs w:val="24"/>
        </w:rPr>
        <w:t>数据安全防护要求</w:t>
      </w:r>
    </w:p>
    <w:p>
      <w:pPr>
        <w:spacing w:line="400" w:lineRule="exact"/>
        <w:ind w:firstLine="464" w:firstLineChars="200"/>
        <w:rPr>
          <w:rFonts w:ascii="宋体" w:hAnsi="宋体" w:cs="宋体"/>
          <w:spacing w:val="-4"/>
          <w:kern w:val="21"/>
          <w:sz w:val="24"/>
        </w:rPr>
      </w:pPr>
      <w:r>
        <w:rPr>
          <w:rFonts w:hint="eastAsia" w:ascii="宋体" w:hAnsi="宋体" w:cs="宋体"/>
          <w:spacing w:val="-4"/>
          <w:kern w:val="21"/>
          <w:sz w:val="24"/>
        </w:rPr>
        <w:t>要求充分考虑数据传输加密、数据库安全、访问控制等，充分保障数据安全。</w:t>
      </w:r>
    </w:p>
    <w:p>
      <w:pPr>
        <w:pStyle w:val="2"/>
        <w:keepNext w:val="0"/>
        <w:keepLines w:val="0"/>
        <w:numPr>
          <w:ilvl w:val="0"/>
          <w:numId w:val="5"/>
        </w:numPr>
        <w:spacing w:before="0" w:after="0" w:line="360" w:lineRule="auto"/>
        <w:rPr>
          <w:rFonts w:ascii="宋体" w:hAnsi="宋体" w:cs="宋体"/>
          <w:b w:val="0"/>
          <w:bCs w:val="0"/>
          <w:sz w:val="24"/>
          <w:szCs w:val="24"/>
        </w:rPr>
      </w:pPr>
      <w:r>
        <w:rPr>
          <w:rFonts w:hint="eastAsia" w:ascii="宋体" w:hAnsi="宋体" w:cs="宋体"/>
          <w:sz w:val="24"/>
          <w:szCs w:val="24"/>
        </w:rPr>
        <w:t>成果形式及要求</w:t>
      </w:r>
      <w:bookmarkEnd w:id="41"/>
    </w:p>
    <w:p>
      <w:pPr>
        <w:pStyle w:val="15"/>
        <w:adjustRightInd w:val="0"/>
        <w:spacing w:line="300" w:lineRule="auto"/>
        <w:ind w:firstLine="464"/>
        <w:rPr>
          <w:rFonts w:hAnsi="宋体" w:cs="宋体"/>
          <w:spacing w:val="-4"/>
          <w:kern w:val="21"/>
          <w:sz w:val="24"/>
          <w:szCs w:val="24"/>
        </w:rPr>
      </w:pPr>
      <w:r>
        <w:rPr>
          <w:rFonts w:hint="eastAsia" w:hAnsi="宋体" w:cs="宋体"/>
          <w:spacing w:val="-4"/>
          <w:kern w:val="21"/>
          <w:sz w:val="24"/>
          <w:szCs w:val="24"/>
        </w:rPr>
        <w:t>项目成果包括技术资料成果、数据成果和软件系统成果。乙方在项目实施过程中，按进度应向甲方提供相应技术文档，包含但不限于以下内容的相关技术文档：</w:t>
      </w:r>
    </w:p>
    <w:p>
      <w:pPr>
        <w:pStyle w:val="15"/>
        <w:adjustRightInd w:val="0"/>
        <w:spacing w:line="300" w:lineRule="auto"/>
        <w:ind w:firstLine="466"/>
        <w:rPr>
          <w:rFonts w:hAnsi="宋体" w:cs="宋体"/>
          <w:b/>
          <w:spacing w:val="-4"/>
          <w:kern w:val="21"/>
          <w:sz w:val="24"/>
          <w:szCs w:val="24"/>
        </w:rPr>
      </w:pPr>
      <w:r>
        <w:rPr>
          <w:rFonts w:hint="eastAsia" w:hAnsi="宋体" w:cs="宋体"/>
          <w:b/>
          <w:spacing w:val="-4"/>
          <w:kern w:val="21"/>
          <w:sz w:val="24"/>
          <w:szCs w:val="24"/>
        </w:rPr>
        <w:t>（1）技术资料成果</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225"/>
        <w:gridCol w:w="3905"/>
        <w:gridCol w:w="1578"/>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370" w:type="pct"/>
            <w:tcBorders>
              <w:top w:val="single" w:color="auto" w:sz="4" w:space="0"/>
              <w:left w:val="single" w:color="auto" w:sz="4" w:space="0"/>
              <w:bottom w:val="single" w:color="auto" w:sz="4" w:space="0"/>
              <w:right w:val="single" w:color="auto" w:sz="4" w:space="0"/>
            </w:tcBorders>
            <w:shd w:val="clear" w:color="auto" w:fill="BFBFBF"/>
            <w:noWrap w:val="0"/>
            <w:vAlign w:val="center"/>
          </w:tcPr>
          <w:p>
            <w:pPr>
              <w:pStyle w:val="266"/>
              <w:spacing w:before="0" w:after="120"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序号</w:t>
            </w:r>
          </w:p>
        </w:tc>
        <w:tc>
          <w:tcPr>
            <w:tcW w:w="676" w:type="pct"/>
            <w:tcBorders>
              <w:top w:val="single" w:color="auto" w:sz="4" w:space="0"/>
              <w:left w:val="single" w:color="auto" w:sz="4" w:space="0"/>
              <w:bottom w:val="single" w:color="auto" w:sz="4" w:space="0"/>
              <w:right w:val="single" w:color="auto" w:sz="4" w:space="0"/>
            </w:tcBorders>
            <w:shd w:val="clear" w:color="auto" w:fill="BFBFBF"/>
            <w:noWrap w:val="0"/>
            <w:vAlign w:val="center"/>
          </w:tcPr>
          <w:p>
            <w:pPr>
              <w:pStyle w:val="266"/>
              <w:spacing w:before="0" w:after="120"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成果类别</w:t>
            </w:r>
          </w:p>
        </w:tc>
        <w:tc>
          <w:tcPr>
            <w:tcW w:w="2155" w:type="pct"/>
            <w:tcBorders>
              <w:top w:val="single" w:color="auto" w:sz="4" w:space="0"/>
              <w:left w:val="single" w:color="auto" w:sz="4" w:space="0"/>
              <w:bottom w:val="single" w:color="auto" w:sz="4" w:space="0"/>
              <w:right w:val="single" w:color="auto" w:sz="4" w:space="0"/>
            </w:tcBorders>
            <w:shd w:val="clear" w:color="auto" w:fill="BFBFBF"/>
            <w:noWrap w:val="0"/>
            <w:vAlign w:val="center"/>
          </w:tcPr>
          <w:p>
            <w:pPr>
              <w:pStyle w:val="266"/>
              <w:spacing w:before="0" w:after="120"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内容</w:t>
            </w:r>
          </w:p>
        </w:tc>
        <w:tc>
          <w:tcPr>
            <w:tcW w:w="871" w:type="pct"/>
            <w:tcBorders>
              <w:top w:val="single" w:color="auto" w:sz="4" w:space="0"/>
              <w:left w:val="single" w:color="auto" w:sz="4" w:space="0"/>
              <w:bottom w:val="single" w:color="auto" w:sz="4" w:space="0"/>
              <w:right w:val="single" w:color="auto" w:sz="4" w:space="0"/>
            </w:tcBorders>
            <w:shd w:val="clear" w:color="auto" w:fill="BFBFBF"/>
            <w:noWrap w:val="0"/>
            <w:vAlign w:val="center"/>
          </w:tcPr>
          <w:p>
            <w:pPr>
              <w:pStyle w:val="266"/>
              <w:spacing w:before="0" w:after="120"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提交形式</w:t>
            </w:r>
          </w:p>
        </w:tc>
        <w:tc>
          <w:tcPr>
            <w:tcW w:w="928" w:type="pct"/>
            <w:tcBorders>
              <w:top w:val="single" w:color="auto" w:sz="4" w:space="0"/>
              <w:left w:val="single" w:color="auto" w:sz="4" w:space="0"/>
              <w:bottom w:val="single" w:color="auto" w:sz="4" w:space="0"/>
              <w:right w:val="single" w:color="auto" w:sz="4" w:space="0"/>
            </w:tcBorders>
            <w:shd w:val="clear" w:color="auto" w:fill="BFBFBF"/>
            <w:noWrap w:val="0"/>
            <w:vAlign w:val="center"/>
          </w:tcPr>
          <w:p>
            <w:pPr>
              <w:pStyle w:val="266"/>
              <w:spacing w:before="0" w:after="120"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完成的阶段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pPr>
              <w:pStyle w:val="266"/>
              <w:spacing w:before="0" w:after="120"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1</w:t>
            </w:r>
          </w:p>
        </w:tc>
        <w:tc>
          <w:tcPr>
            <w:tcW w:w="676" w:type="pct"/>
            <w:tcBorders>
              <w:top w:val="single" w:color="auto" w:sz="4" w:space="0"/>
              <w:left w:val="single" w:color="auto" w:sz="4" w:space="0"/>
              <w:bottom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需求文档</w:t>
            </w:r>
          </w:p>
        </w:tc>
        <w:tc>
          <w:tcPr>
            <w:tcW w:w="2155" w:type="pct"/>
            <w:tcBorders>
              <w:top w:val="single" w:color="auto" w:sz="4" w:space="0"/>
              <w:left w:val="single" w:color="auto" w:sz="4" w:space="0"/>
              <w:bottom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需求规格说明书</w:t>
            </w:r>
          </w:p>
        </w:tc>
        <w:tc>
          <w:tcPr>
            <w:tcW w:w="871" w:type="pct"/>
            <w:vMerge w:val="restart"/>
            <w:tcBorders>
              <w:top w:val="single" w:color="auto" w:sz="4" w:space="0"/>
              <w:left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装订成册和光盘</w:t>
            </w:r>
          </w:p>
        </w:tc>
        <w:tc>
          <w:tcPr>
            <w:tcW w:w="928" w:type="pct"/>
            <w:tcBorders>
              <w:top w:val="single" w:color="auto" w:sz="4" w:space="0"/>
              <w:left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需求阶段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pPr>
              <w:pStyle w:val="266"/>
              <w:spacing w:before="0" w:after="120"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1</w:t>
            </w:r>
          </w:p>
        </w:tc>
        <w:tc>
          <w:tcPr>
            <w:tcW w:w="676" w:type="pct"/>
            <w:tcBorders>
              <w:top w:val="single" w:color="auto" w:sz="4" w:space="0"/>
              <w:left w:val="single" w:color="auto" w:sz="4" w:space="0"/>
              <w:bottom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设计文档</w:t>
            </w:r>
          </w:p>
        </w:tc>
        <w:tc>
          <w:tcPr>
            <w:tcW w:w="2155" w:type="pct"/>
            <w:tcBorders>
              <w:top w:val="single" w:color="auto" w:sz="4" w:space="0"/>
              <w:left w:val="single" w:color="auto" w:sz="4" w:space="0"/>
              <w:bottom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总体设计方案、详细设计方案</w:t>
            </w:r>
          </w:p>
        </w:tc>
        <w:tc>
          <w:tcPr>
            <w:tcW w:w="871" w:type="pct"/>
            <w:vMerge w:val="continue"/>
            <w:tcBorders>
              <w:top w:val="single" w:color="auto" w:sz="4" w:space="0"/>
              <w:left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p>
        </w:tc>
        <w:tc>
          <w:tcPr>
            <w:tcW w:w="928" w:type="pct"/>
            <w:tcBorders>
              <w:top w:val="single" w:color="auto" w:sz="4" w:space="0"/>
              <w:left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pPr>
              <w:pStyle w:val="266"/>
              <w:spacing w:before="0" w:after="120"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2</w:t>
            </w:r>
          </w:p>
        </w:tc>
        <w:tc>
          <w:tcPr>
            <w:tcW w:w="676" w:type="pct"/>
            <w:tcBorders>
              <w:top w:val="single" w:color="auto" w:sz="4" w:space="0"/>
              <w:left w:val="single" w:color="auto" w:sz="4" w:space="0"/>
              <w:bottom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培训文档</w:t>
            </w:r>
          </w:p>
        </w:tc>
        <w:tc>
          <w:tcPr>
            <w:tcW w:w="2155" w:type="pct"/>
            <w:tcBorders>
              <w:top w:val="single" w:color="auto" w:sz="4" w:space="0"/>
              <w:left w:val="single" w:color="auto" w:sz="4" w:space="0"/>
              <w:bottom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用户手册、系统部署及维护手册等相关培训资料</w:t>
            </w:r>
          </w:p>
        </w:tc>
        <w:tc>
          <w:tcPr>
            <w:tcW w:w="871" w:type="pct"/>
            <w:vMerge w:val="continue"/>
            <w:tcBorders>
              <w:left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实施阶段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pPr>
              <w:pStyle w:val="266"/>
              <w:spacing w:before="0" w:after="120"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3</w:t>
            </w:r>
          </w:p>
        </w:tc>
        <w:tc>
          <w:tcPr>
            <w:tcW w:w="676" w:type="pct"/>
            <w:tcBorders>
              <w:top w:val="single" w:color="auto" w:sz="4" w:space="0"/>
              <w:left w:val="single" w:color="auto" w:sz="4" w:space="0"/>
              <w:bottom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验收文档</w:t>
            </w:r>
          </w:p>
        </w:tc>
        <w:tc>
          <w:tcPr>
            <w:tcW w:w="2155" w:type="pct"/>
            <w:tcBorders>
              <w:top w:val="single" w:color="auto" w:sz="4" w:space="0"/>
              <w:left w:val="single" w:color="auto" w:sz="4" w:space="0"/>
              <w:bottom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系统测试大纲及测试报告</w:t>
            </w:r>
          </w:p>
        </w:tc>
        <w:tc>
          <w:tcPr>
            <w:tcW w:w="871" w:type="pct"/>
            <w:vMerge w:val="continue"/>
            <w:tcBorders>
              <w:left w:val="single" w:color="auto" w:sz="4" w:space="0"/>
              <w:bottom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pStyle w:val="15"/>
              <w:adjustRightInd w:val="0"/>
              <w:spacing w:line="300" w:lineRule="auto"/>
              <w:ind w:firstLine="0"/>
              <w:rPr>
                <w:rFonts w:hAnsi="宋体" w:cs="宋体"/>
                <w:spacing w:val="-4"/>
                <w:kern w:val="21"/>
                <w:sz w:val="24"/>
                <w:szCs w:val="24"/>
              </w:rPr>
            </w:pPr>
            <w:r>
              <w:rPr>
                <w:rFonts w:hint="eastAsia" w:hAnsi="宋体" w:cs="宋体"/>
                <w:spacing w:val="-4"/>
                <w:kern w:val="21"/>
                <w:sz w:val="24"/>
                <w:szCs w:val="24"/>
              </w:rPr>
              <w:t>验收阶段</w:t>
            </w:r>
          </w:p>
        </w:tc>
      </w:tr>
    </w:tbl>
    <w:p>
      <w:pPr>
        <w:pStyle w:val="15"/>
        <w:adjustRightInd w:val="0"/>
        <w:spacing w:line="300" w:lineRule="auto"/>
        <w:ind w:firstLine="466"/>
        <w:rPr>
          <w:rFonts w:hAnsi="宋体" w:cs="宋体"/>
          <w:b/>
          <w:spacing w:val="-4"/>
          <w:kern w:val="21"/>
          <w:sz w:val="24"/>
          <w:szCs w:val="24"/>
        </w:rPr>
      </w:pPr>
      <w:r>
        <w:rPr>
          <w:rFonts w:hint="eastAsia" w:hAnsi="宋体" w:cs="宋体"/>
          <w:b/>
          <w:spacing w:val="-4"/>
          <w:kern w:val="21"/>
          <w:sz w:val="24"/>
          <w:szCs w:val="24"/>
        </w:rPr>
        <w:t>（2）数据成果</w:t>
      </w:r>
    </w:p>
    <w:p>
      <w:pPr>
        <w:pStyle w:val="15"/>
        <w:adjustRightInd w:val="0"/>
        <w:spacing w:line="300" w:lineRule="auto"/>
        <w:ind w:firstLine="464"/>
        <w:rPr>
          <w:rFonts w:hAnsi="宋体" w:cs="宋体"/>
          <w:spacing w:val="-4"/>
          <w:kern w:val="21"/>
          <w:sz w:val="24"/>
          <w:szCs w:val="24"/>
        </w:rPr>
      </w:pPr>
      <w:r>
        <w:rPr>
          <w:rFonts w:hint="eastAsia" w:hAnsi="宋体" w:cs="宋体"/>
          <w:spacing w:val="-4"/>
          <w:kern w:val="21"/>
          <w:sz w:val="24"/>
          <w:szCs w:val="24"/>
        </w:rPr>
        <w:t>高风险人员库、高风险事件库、高风险区域库、高风险场所库、高风险领域库等。</w:t>
      </w:r>
    </w:p>
    <w:p>
      <w:pPr>
        <w:pStyle w:val="15"/>
        <w:adjustRightInd w:val="0"/>
        <w:spacing w:line="300" w:lineRule="auto"/>
        <w:ind w:firstLine="466"/>
        <w:rPr>
          <w:rFonts w:hAnsi="宋体" w:cs="宋体"/>
          <w:b/>
          <w:spacing w:val="-4"/>
          <w:kern w:val="21"/>
          <w:sz w:val="24"/>
          <w:szCs w:val="24"/>
        </w:rPr>
      </w:pPr>
      <w:r>
        <w:rPr>
          <w:rFonts w:hint="eastAsia" w:hAnsi="宋体" w:cs="宋体"/>
          <w:b/>
          <w:spacing w:val="-4"/>
          <w:kern w:val="21"/>
          <w:sz w:val="24"/>
          <w:szCs w:val="24"/>
        </w:rPr>
        <w:t>（3）软件系统成果</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5166"/>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681" w:type="pct"/>
            <w:tcBorders>
              <w:top w:val="single" w:color="auto" w:sz="4" w:space="0"/>
              <w:left w:val="single" w:color="auto" w:sz="4" w:space="0"/>
              <w:bottom w:val="single" w:color="auto" w:sz="4" w:space="0"/>
              <w:right w:val="single" w:color="auto" w:sz="4" w:space="0"/>
            </w:tcBorders>
            <w:shd w:val="clear" w:color="auto" w:fill="BFBFBF"/>
            <w:noWrap w:val="0"/>
            <w:vAlign w:val="center"/>
          </w:tcPr>
          <w:p>
            <w:pPr>
              <w:pStyle w:val="266"/>
              <w:spacing w:before="0" w:after="120"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序号</w:t>
            </w:r>
          </w:p>
        </w:tc>
        <w:tc>
          <w:tcPr>
            <w:tcW w:w="2851" w:type="pct"/>
            <w:tcBorders>
              <w:top w:val="single" w:color="auto" w:sz="4" w:space="0"/>
              <w:left w:val="single" w:color="auto" w:sz="4" w:space="0"/>
              <w:bottom w:val="single" w:color="auto" w:sz="4" w:space="0"/>
              <w:right w:val="single" w:color="auto" w:sz="4" w:space="0"/>
            </w:tcBorders>
            <w:shd w:val="clear" w:color="auto" w:fill="BFBFBF"/>
            <w:noWrap w:val="0"/>
            <w:vAlign w:val="center"/>
          </w:tcPr>
          <w:p>
            <w:pPr>
              <w:pStyle w:val="266"/>
              <w:spacing w:before="0" w:after="120"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成果清单</w:t>
            </w:r>
          </w:p>
        </w:tc>
        <w:tc>
          <w:tcPr>
            <w:tcW w:w="1468" w:type="pct"/>
            <w:tcBorders>
              <w:top w:val="single" w:color="auto" w:sz="4" w:space="0"/>
              <w:left w:val="single" w:color="auto" w:sz="4" w:space="0"/>
              <w:bottom w:val="single" w:color="auto" w:sz="4" w:space="0"/>
              <w:right w:val="single" w:color="auto" w:sz="4" w:space="0"/>
            </w:tcBorders>
            <w:shd w:val="clear" w:color="auto" w:fill="BFBFBF"/>
            <w:noWrap w:val="0"/>
            <w:vAlign w:val="center"/>
          </w:tcPr>
          <w:p>
            <w:pPr>
              <w:pStyle w:val="266"/>
              <w:spacing w:before="0" w:after="120"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提交形式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1" w:type="pct"/>
            <w:tcBorders>
              <w:top w:val="single" w:color="auto" w:sz="4" w:space="0"/>
              <w:left w:val="single" w:color="auto" w:sz="4" w:space="0"/>
              <w:right w:val="single" w:color="auto" w:sz="4" w:space="0"/>
            </w:tcBorders>
            <w:noWrap w:val="0"/>
            <w:vAlign w:val="center"/>
          </w:tcPr>
          <w:p>
            <w:pPr>
              <w:pStyle w:val="15"/>
              <w:adjustRightInd w:val="0"/>
              <w:spacing w:line="300" w:lineRule="auto"/>
              <w:ind w:firstLine="0"/>
              <w:jc w:val="center"/>
              <w:rPr>
                <w:rFonts w:hAnsi="宋体" w:cs="宋体"/>
                <w:spacing w:val="-4"/>
                <w:kern w:val="21"/>
                <w:sz w:val="24"/>
                <w:szCs w:val="24"/>
              </w:rPr>
            </w:pPr>
            <w:r>
              <w:rPr>
                <w:rFonts w:hint="eastAsia" w:hAnsi="宋体" w:cs="宋体"/>
                <w:spacing w:val="-4"/>
                <w:kern w:val="21"/>
                <w:sz w:val="24"/>
                <w:szCs w:val="24"/>
              </w:rPr>
              <w:t>1</w:t>
            </w:r>
          </w:p>
        </w:tc>
        <w:tc>
          <w:tcPr>
            <w:tcW w:w="2851" w:type="pct"/>
            <w:tcBorders>
              <w:top w:val="single" w:color="auto" w:sz="4" w:space="0"/>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风险防控一张图</w:t>
            </w:r>
          </w:p>
        </w:tc>
        <w:tc>
          <w:tcPr>
            <w:tcW w:w="1468" w:type="pct"/>
            <w:tcBorders>
              <w:top w:val="single" w:color="auto" w:sz="4" w:space="0"/>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市级平台部署上线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81" w:type="pct"/>
            <w:tcBorders>
              <w:top w:val="single" w:color="auto" w:sz="4" w:space="0"/>
              <w:left w:val="single" w:color="auto" w:sz="4" w:space="0"/>
              <w:right w:val="single" w:color="auto" w:sz="4" w:space="0"/>
            </w:tcBorders>
            <w:noWrap w:val="0"/>
            <w:vAlign w:val="center"/>
          </w:tcPr>
          <w:p>
            <w:pPr>
              <w:pStyle w:val="15"/>
              <w:adjustRightInd w:val="0"/>
              <w:spacing w:line="300" w:lineRule="auto"/>
              <w:ind w:firstLine="0"/>
              <w:jc w:val="center"/>
              <w:rPr>
                <w:rFonts w:hAnsi="宋体" w:cs="宋体"/>
                <w:spacing w:val="-4"/>
                <w:kern w:val="21"/>
                <w:sz w:val="24"/>
                <w:szCs w:val="24"/>
              </w:rPr>
            </w:pPr>
            <w:r>
              <w:rPr>
                <w:rFonts w:hint="eastAsia" w:hAnsi="宋体" w:cs="宋体"/>
                <w:spacing w:val="-4"/>
                <w:kern w:val="21"/>
                <w:sz w:val="24"/>
                <w:szCs w:val="24"/>
              </w:rPr>
              <w:t>2</w:t>
            </w:r>
          </w:p>
        </w:tc>
        <w:tc>
          <w:tcPr>
            <w:tcW w:w="2851" w:type="pct"/>
            <w:tcBorders>
              <w:top w:val="single" w:color="auto" w:sz="4" w:space="0"/>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风险防控管理</w:t>
            </w:r>
          </w:p>
        </w:tc>
        <w:tc>
          <w:tcPr>
            <w:tcW w:w="1468" w:type="pct"/>
            <w:tcBorders>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市级平台部署上线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81" w:type="pct"/>
            <w:tcBorders>
              <w:left w:val="single" w:color="auto" w:sz="4" w:space="0"/>
              <w:right w:val="single" w:color="auto" w:sz="4" w:space="0"/>
            </w:tcBorders>
            <w:noWrap w:val="0"/>
            <w:vAlign w:val="center"/>
          </w:tcPr>
          <w:p>
            <w:pPr>
              <w:pStyle w:val="15"/>
              <w:adjustRightInd w:val="0"/>
              <w:spacing w:line="300" w:lineRule="auto"/>
              <w:ind w:firstLine="0"/>
              <w:jc w:val="center"/>
              <w:rPr>
                <w:rFonts w:hAnsi="宋体" w:cs="宋体"/>
                <w:spacing w:val="-4"/>
                <w:kern w:val="21"/>
                <w:sz w:val="24"/>
                <w:szCs w:val="24"/>
              </w:rPr>
            </w:pPr>
            <w:r>
              <w:rPr>
                <w:rFonts w:hint="eastAsia" w:hAnsi="宋体" w:cs="宋体"/>
                <w:spacing w:val="-4"/>
                <w:kern w:val="21"/>
                <w:sz w:val="24"/>
                <w:szCs w:val="24"/>
              </w:rPr>
              <w:t>3</w:t>
            </w:r>
          </w:p>
        </w:tc>
        <w:tc>
          <w:tcPr>
            <w:tcW w:w="2851" w:type="pct"/>
            <w:tcBorders>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重点人员异常情况预警2.0</w:t>
            </w:r>
          </w:p>
        </w:tc>
        <w:tc>
          <w:tcPr>
            <w:tcW w:w="1468" w:type="pct"/>
            <w:tcBorders>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市级及三区三县部署上线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81" w:type="pct"/>
            <w:tcBorders>
              <w:left w:val="single" w:color="auto" w:sz="4" w:space="0"/>
              <w:right w:val="single" w:color="auto" w:sz="4" w:space="0"/>
            </w:tcBorders>
            <w:noWrap w:val="0"/>
            <w:vAlign w:val="center"/>
          </w:tcPr>
          <w:p>
            <w:pPr>
              <w:pStyle w:val="15"/>
              <w:adjustRightInd w:val="0"/>
              <w:spacing w:line="300" w:lineRule="auto"/>
              <w:ind w:firstLine="0"/>
              <w:jc w:val="center"/>
              <w:rPr>
                <w:rFonts w:hAnsi="宋体" w:cs="宋体"/>
                <w:spacing w:val="-4"/>
                <w:kern w:val="21"/>
                <w:sz w:val="24"/>
                <w:szCs w:val="24"/>
              </w:rPr>
            </w:pPr>
            <w:r>
              <w:rPr>
                <w:rFonts w:hint="eastAsia" w:hAnsi="宋体" w:cs="宋体"/>
                <w:spacing w:val="-4"/>
                <w:kern w:val="21"/>
                <w:sz w:val="24"/>
                <w:szCs w:val="24"/>
              </w:rPr>
              <w:t>4</w:t>
            </w:r>
          </w:p>
        </w:tc>
        <w:tc>
          <w:tcPr>
            <w:tcW w:w="2851" w:type="pct"/>
            <w:tcBorders>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基层治理工作日/周/月报</w:t>
            </w:r>
          </w:p>
        </w:tc>
        <w:tc>
          <w:tcPr>
            <w:tcW w:w="1468" w:type="pct"/>
            <w:tcBorders>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市级及三区三县部署上线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81" w:type="pct"/>
            <w:tcBorders>
              <w:left w:val="single" w:color="auto" w:sz="4" w:space="0"/>
              <w:right w:val="single" w:color="auto" w:sz="4" w:space="0"/>
            </w:tcBorders>
            <w:noWrap w:val="0"/>
            <w:vAlign w:val="center"/>
          </w:tcPr>
          <w:p>
            <w:pPr>
              <w:pStyle w:val="15"/>
              <w:adjustRightInd w:val="0"/>
              <w:spacing w:line="300" w:lineRule="auto"/>
              <w:ind w:firstLine="0"/>
              <w:jc w:val="center"/>
              <w:rPr>
                <w:rFonts w:hAnsi="宋体" w:cs="宋体"/>
                <w:spacing w:val="-4"/>
                <w:kern w:val="21"/>
                <w:sz w:val="24"/>
                <w:szCs w:val="24"/>
              </w:rPr>
            </w:pPr>
            <w:r>
              <w:rPr>
                <w:rFonts w:hint="eastAsia" w:hAnsi="宋体" w:cs="宋体"/>
                <w:spacing w:val="-4"/>
                <w:kern w:val="21"/>
                <w:sz w:val="24"/>
                <w:szCs w:val="24"/>
              </w:rPr>
              <w:t>5</w:t>
            </w:r>
          </w:p>
        </w:tc>
        <w:tc>
          <w:tcPr>
            <w:tcW w:w="2851" w:type="pct"/>
            <w:tcBorders>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智能考核和工作评价</w:t>
            </w:r>
          </w:p>
        </w:tc>
        <w:tc>
          <w:tcPr>
            <w:tcW w:w="1468" w:type="pct"/>
            <w:tcBorders>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三区三县部署上线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81" w:type="pct"/>
            <w:tcBorders>
              <w:left w:val="single" w:color="auto" w:sz="4" w:space="0"/>
              <w:right w:val="single" w:color="auto" w:sz="4" w:space="0"/>
            </w:tcBorders>
            <w:noWrap w:val="0"/>
            <w:vAlign w:val="center"/>
          </w:tcPr>
          <w:p>
            <w:pPr>
              <w:pStyle w:val="15"/>
              <w:adjustRightInd w:val="0"/>
              <w:spacing w:line="300" w:lineRule="auto"/>
              <w:ind w:firstLine="0"/>
              <w:jc w:val="center"/>
              <w:rPr>
                <w:rFonts w:hAnsi="宋体" w:cs="宋体"/>
                <w:spacing w:val="-4"/>
                <w:kern w:val="21"/>
                <w:sz w:val="24"/>
                <w:szCs w:val="24"/>
              </w:rPr>
            </w:pPr>
            <w:r>
              <w:rPr>
                <w:rFonts w:hint="eastAsia" w:hAnsi="宋体" w:cs="宋体"/>
                <w:spacing w:val="-4"/>
                <w:kern w:val="21"/>
                <w:sz w:val="24"/>
                <w:szCs w:val="24"/>
              </w:rPr>
              <w:t>6</w:t>
            </w:r>
          </w:p>
        </w:tc>
        <w:tc>
          <w:tcPr>
            <w:tcW w:w="2851" w:type="pct"/>
            <w:tcBorders>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矛盾纠纷排查见底应用</w:t>
            </w:r>
          </w:p>
        </w:tc>
        <w:tc>
          <w:tcPr>
            <w:tcW w:w="1468" w:type="pct"/>
            <w:tcBorders>
              <w:left w:val="single" w:color="auto" w:sz="4" w:space="0"/>
              <w:right w:val="single" w:color="auto" w:sz="4" w:space="0"/>
            </w:tcBorders>
            <w:noWrap w:val="0"/>
            <w:vAlign w:val="center"/>
          </w:tcPr>
          <w:p>
            <w:pPr>
              <w:pStyle w:val="15"/>
              <w:adjustRightInd w:val="0"/>
              <w:ind w:firstLine="0"/>
              <w:rPr>
                <w:rFonts w:hAnsi="宋体" w:cs="宋体"/>
                <w:spacing w:val="-4"/>
                <w:kern w:val="21"/>
                <w:sz w:val="24"/>
                <w:szCs w:val="24"/>
              </w:rPr>
            </w:pPr>
            <w:r>
              <w:rPr>
                <w:rFonts w:hint="eastAsia" w:hAnsi="宋体" w:cs="宋体"/>
                <w:spacing w:val="-4"/>
                <w:kern w:val="21"/>
                <w:sz w:val="24"/>
                <w:szCs w:val="24"/>
              </w:rPr>
              <w:t>三区三县部署上线</w:t>
            </w:r>
          </w:p>
        </w:tc>
      </w:tr>
    </w:tbl>
    <w:p>
      <w:pPr>
        <w:pStyle w:val="2"/>
        <w:keepNext w:val="0"/>
        <w:keepLines w:val="0"/>
        <w:numPr>
          <w:ilvl w:val="0"/>
          <w:numId w:val="5"/>
        </w:numPr>
        <w:spacing w:before="0" w:after="0" w:line="360" w:lineRule="auto"/>
        <w:rPr>
          <w:rFonts w:ascii="宋体" w:hAnsi="宋体" w:cs="宋体"/>
          <w:b w:val="0"/>
          <w:bCs w:val="0"/>
          <w:sz w:val="24"/>
          <w:szCs w:val="24"/>
        </w:rPr>
      </w:pPr>
      <w:r>
        <w:rPr>
          <w:rFonts w:hint="eastAsia" w:ascii="宋体" w:hAnsi="宋体" w:cs="宋体"/>
          <w:sz w:val="24"/>
          <w:szCs w:val="24"/>
        </w:rPr>
        <w:t>进度计划</w:t>
      </w:r>
    </w:p>
    <w:p>
      <w:pPr>
        <w:pStyle w:val="15"/>
        <w:adjustRightInd w:val="0"/>
        <w:spacing w:line="300" w:lineRule="auto"/>
        <w:ind w:firstLine="464"/>
        <w:rPr>
          <w:rFonts w:hAnsi="宋体" w:cs="宋体"/>
          <w:spacing w:val="-4"/>
          <w:kern w:val="21"/>
          <w:sz w:val="24"/>
          <w:szCs w:val="24"/>
          <w:highlight w:val="none"/>
        </w:rPr>
      </w:pPr>
      <w:r>
        <w:rPr>
          <w:rFonts w:hint="eastAsia" w:hAnsi="宋体" w:cs="宋体"/>
          <w:spacing w:val="-4"/>
          <w:kern w:val="21"/>
          <w:sz w:val="24"/>
          <w:szCs w:val="24"/>
          <w:highlight w:val="none"/>
        </w:rPr>
        <w:t>从项目合同签订后开始计算，建设周期预计为6个月，初定于2022年11月至2023年5月完成项目建设。</w:t>
      </w:r>
    </w:p>
    <w:p>
      <w:pPr>
        <w:pStyle w:val="15"/>
        <w:adjustRightInd w:val="0"/>
        <w:spacing w:line="300" w:lineRule="auto"/>
        <w:ind w:firstLine="464"/>
        <w:rPr>
          <w:rFonts w:hAnsi="宋体" w:cs="宋体"/>
          <w:spacing w:val="-4"/>
          <w:kern w:val="21"/>
          <w:sz w:val="24"/>
          <w:szCs w:val="24"/>
          <w:highlight w:val="none"/>
        </w:rPr>
      </w:pPr>
      <w:r>
        <w:rPr>
          <w:rFonts w:hint="eastAsia" w:hAnsi="宋体" w:cs="宋体"/>
          <w:spacing w:val="-4"/>
          <w:kern w:val="21"/>
          <w:sz w:val="24"/>
          <w:szCs w:val="24"/>
          <w:highlight w:val="none"/>
        </w:rPr>
        <w:t>（1）2022年11月，完成合同签订；</w:t>
      </w:r>
    </w:p>
    <w:p>
      <w:pPr>
        <w:pStyle w:val="15"/>
        <w:adjustRightInd w:val="0"/>
        <w:spacing w:line="300" w:lineRule="auto"/>
        <w:ind w:firstLine="464"/>
        <w:rPr>
          <w:rFonts w:hAnsi="宋体" w:cs="宋体"/>
          <w:spacing w:val="-4"/>
          <w:kern w:val="21"/>
          <w:sz w:val="24"/>
          <w:szCs w:val="24"/>
          <w:highlight w:val="none"/>
        </w:rPr>
      </w:pPr>
      <w:r>
        <w:rPr>
          <w:rFonts w:hint="eastAsia" w:hAnsi="宋体" w:cs="宋体"/>
          <w:spacing w:val="-4"/>
          <w:kern w:val="21"/>
          <w:sz w:val="24"/>
          <w:szCs w:val="24"/>
          <w:highlight w:val="none"/>
        </w:rPr>
        <w:t>（2）2022年12月，完成项目初验，系统开始上线试运行；</w:t>
      </w:r>
    </w:p>
    <w:p>
      <w:pPr>
        <w:pStyle w:val="15"/>
        <w:adjustRightInd w:val="0"/>
        <w:spacing w:line="300" w:lineRule="auto"/>
        <w:ind w:firstLine="464"/>
        <w:rPr>
          <w:rFonts w:hAnsi="宋体" w:cs="宋体"/>
          <w:spacing w:val="-4"/>
          <w:kern w:val="21"/>
          <w:sz w:val="24"/>
          <w:szCs w:val="24"/>
          <w:highlight w:val="none"/>
        </w:rPr>
      </w:pPr>
      <w:r>
        <w:rPr>
          <w:rFonts w:hint="eastAsia" w:hAnsi="宋体" w:cs="宋体"/>
          <w:spacing w:val="-4"/>
          <w:kern w:val="21"/>
          <w:sz w:val="24"/>
          <w:szCs w:val="24"/>
          <w:highlight w:val="none"/>
        </w:rPr>
        <w:t>（3）2023年4月，系统上线试运行三个月后，运行稳定，无故障，结束试运行；</w:t>
      </w:r>
    </w:p>
    <w:p>
      <w:pPr>
        <w:pStyle w:val="15"/>
        <w:adjustRightInd w:val="0"/>
        <w:spacing w:line="300" w:lineRule="auto"/>
        <w:ind w:firstLine="464"/>
        <w:rPr>
          <w:rFonts w:hAnsi="宋体" w:cs="宋体"/>
          <w:spacing w:val="-4"/>
          <w:kern w:val="21"/>
          <w:sz w:val="24"/>
          <w:szCs w:val="24"/>
          <w:highlight w:val="none"/>
        </w:rPr>
      </w:pPr>
      <w:r>
        <w:rPr>
          <w:rFonts w:hint="eastAsia" w:hAnsi="宋体" w:cs="宋体"/>
          <w:spacing w:val="-4"/>
          <w:kern w:val="21"/>
          <w:sz w:val="24"/>
          <w:szCs w:val="24"/>
          <w:highlight w:val="none"/>
        </w:rPr>
        <w:t>（4）2023年5月，完成项目终验。</w:t>
      </w:r>
    </w:p>
    <w:p>
      <w:pPr>
        <w:pStyle w:val="2"/>
        <w:keepNext w:val="0"/>
        <w:keepLines w:val="0"/>
        <w:numPr>
          <w:ilvl w:val="0"/>
          <w:numId w:val="5"/>
        </w:numPr>
        <w:spacing w:before="0" w:after="0" w:line="360" w:lineRule="auto"/>
        <w:rPr>
          <w:rFonts w:ascii="宋体" w:hAnsi="宋体" w:cs="宋体"/>
          <w:b w:val="0"/>
          <w:bCs w:val="0"/>
          <w:sz w:val="24"/>
          <w:szCs w:val="24"/>
        </w:rPr>
      </w:pPr>
      <w:r>
        <w:rPr>
          <w:rFonts w:hint="eastAsia" w:ascii="宋体" w:hAnsi="宋体" w:cs="宋体"/>
          <w:sz w:val="24"/>
          <w:szCs w:val="24"/>
        </w:rPr>
        <w:t>系统培训</w:t>
      </w:r>
      <w:bookmarkEnd w:id="42"/>
    </w:p>
    <w:p>
      <w:pPr>
        <w:pStyle w:val="2"/>
        <w:keepNext w:val="0"/>
        <w:keepLines w:val="0"/>
        <w:numPr>
          <w:ilvl w:val="0"/>
          <w:numId w:val="0"/>
        </w:numPr>
        <w:spacing w:before="0" w:after="0" w:line="360" w:lineRule="auto"/>
        <w:ind w:leftChars="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中标人负责本项目所有培训工作的具体组织和实施，为培训工作提供师资和教材，所产生的所有培训费用由中标人承担。</w:t>
      </w:r>
    </w:p>
    <w:p>
      <w:pPr>
        <w:pStyle w:val="2"/>
        <w:keepNext w:val="0"/>
        <w:keepLines w:val="0"/>
        <w:numPr>
          <w:ilvl w:val="0"/>
          <w:numId w:val="0"/>
        </w:numPr>
        <w:spacing w:before="0" w:after="0" w:line="360" w:lineRule="auto"/>
        <w:ind w:leftChars="0"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rPr>
        <w:t>中标人应选派有相应专业的实际工作和</w:t>
      </w:r>
      <w:r>
        <w:rPr>
          <w:rFonts w:hint="eastAsia" w:ascii="宋体" w:hAnsi="宋体" w:cs="宋体"/>
          <w:b w:val="0"/>
          <w:bCs w:val="0"/>
          <w:sz w:val="24"/>
          <w:szCs w:val="24"/>
          <w:lang w:eastAsia="zh-CN"/>
        </w:rPr>
        <w:t>有</w:t>
      </w:r>
      <w:r>
        <w:rPr>
          <w:rFonts w:hint="eastAsia" w:ascii="宋体" w:hAnsi="宋体" w:cs="宋体"/>
          <w:b w:val="0"/>
          <w:bCs w:val="0"/>
          <w:sz w:val="24"/>
          <w:szCs w:val="24"/>
        </w:rPr>
        <w:t>相关培训经验的人员及相应的辅导人员对采购人使用人员、维护人员进行系统的安装调试、操作管理、维护培训，保证他们能熟练掌握软件系统的操作及日常维护。培训的时间、内容、人员、班次等各项内容在具体执行过程中采购人可以进行调整。</w:t>
      </w:r>
    </w:p>
    <w:p>
      <w:pPr>
        <w:pStyle w:val="2"/>
        <w:keepNext w:val="0"/>
        <w:keepLines w:val="0"/>
        <w:numPr>
          <w:ilvl w:val="0"/>
          <w:numId w:val="5"/>
        </w:numPr>
        <w:spacing w:before="0" w:after="0" w:line="360" w:lineRule="auto"/>
        <w:rPr>
          <w:rFonts w:ascii="宋体" w:hAnsi="宋体" w:cs="宋体"/>
          <w:b w:val="0"/>
          <w:bCs w:val="0"/>
          <w:sz w:val="24"/>
          <w:szCs w:val="24"/>
        </w:rPr>
      </w:pPr>
      <w:r>
        <w:rPr>
          <w:rFonts w:hint="eastAsia" w:ascii="宋体" w:hAnsi="宋体" w:cs="宋体"/>
          <w:sz w:val="24"/>
          <w:szCs w:val="24"/>
        </w:rPr>
        <w:t>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自项目验收合格之日起，提供为期3年的免费质量保证服务（售后服务）。</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 xml:space="preserve"> 在免费质量保证服务期（下称质保期）内，中标人需提供系统支撑日常维护、数据库系统维护、中间件维护、应用系统的日常维护等四项维护服务。</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3、</w:t>
      </w:r>
      <w:r>
        <w:rPr>
          <w:rFonts w:hint="eastAsia" w:hAnsi="宋体" w:cs="宋体"/>
          <w:spacing w:val="-4"/>
          <w:kern w:val="21"/>
          <w:sz w:val="24"/>
          <w:szCs w:val="24"/>
        </w:rPr>
        <w:t>针对本项目，</w:t>
      </w:r>
      <w:r>
        <w:rPr>
          <w:rFonts w:hint="eastAsia" w:hAnsi="宋体" w:cs="宋体"/>
          <w:spacing w:val="-4"/>
          <w:kern w:val="21"/>
          <w:sz w:val="24"/>
          <w:szCs w:val="24"/>
          <w:lang w:eastAsia="zh-CN"/>
        </w:rPr>
        <w:t>中标人</w:t>
      </w:r>
      <w:r>
        <w:rPr>
          <w:rFonts w:hint="eastAsia" w:hAnsi="宋体" w:cs="宋体"/>
          <w:spacing w:val="-4"/>
          <w:kern w:val="21"/>
          <w:sz w:val="24"/>
          <w:szCs w:val="24"/>
        </w:rPr>
        <w:t>应成立专门的技术支持团队，并指定项目负责人，建立长期、稳定的技术支持队伍</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提供5*8小时技术支持，自采购人提出维护请求，保证12个小时内进行回应，并且须在收到采购人故障报告24小时内提供及时维护（包括现场服务）。</w:t>
      </w:r>
    </w:p>
    <w:p>
      <w:pPr>
        <w:pStyle w:val="2"/>
        <w:keepNext w:val="0"/>
        <w:keepLines w:val="0"/>
        <w:numPr>
          <w:ilvl w:val="0"/>
          <w:numId w:val="5"/>
        </w:numPr>
        <w:spacing w:before="0" w:after="0" w:line="360" w:lineRule="auto"/>
        <w:rPr>
          <w:rFonts w:ascii="宋体" w:hAnsi="宋体" w:cs="宋体"/>
          <w:b w:val="0"/>
          <w:bCs w:val="0"/>
          <w:sz w:val="24"/>
          <w:szCs w:val="24"/>
        </w:rPr>
      </w:pPr>
      <w:r>
        <w:rPr>
          <w:rFonts w:hint="eastAsia" w:ascii="宋体" w:hAnsi="宋体" w:cs="宋体"/>
          <w:sz w:val="24"/>
          <w:szCs w:val="24"/>
        </w:rPr>
        <w:t>质量保证</w:t>
      </w:r>
    </w:p>
    <w:p>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1、</w:t>
      </w:r>
      <w:r>
        <w:rPr>
          <w:rFonts w:hint="eastAsia" w:ascii="宋体" w:hAnsi="宋体" w:eastAsia="宋体" w:cs="Times New Roman"/>
          <w:color w:val="000000"/>
          <w:sz w:val="24"/>
        </w:rPr>
        <w:t>中标人保证项目成果通过</w:t>
      </w:r>
      <w:r>
        <w:rPr>
          <w:rFonts w:hint="eastAsia" w:ascii="宋体" w:hAnsi="宋体" w:eastAsia="宋体" w:cs="Times New Roman"/>
          <w:color w:val="000000"/>
          <w:sz w:val="24"/>
          <w:lang w:eastAsia="zh-CN"/>
        </w:rPr>
        <w:t>采购人</w:t>
      </w:r>
      <w:r>
        <w:rPr>
          <w:rFonts w:hint="eastAsia" w:ascii="宋体" w:hAnsi="宋体" w:eastAsia="宋体" w:cs="Times New Roman"/>
          <w:color w:val="000000"/>
          <w:sz w:val="24"/>
        </w:rPr>
        <w:t>组织的评审和验收。</w:t>
      </w:r>
    </w:p>
    <w:p>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2、</w:t>
      </w:r>
      <w:r>
        <w:rPr>
          <w:rFonts w:hint="eastAsia" w:ascii="宋体" w:hAnsi="宋体" w:eastAsia="宋体" w:cs="Times New Roman"/>
          <w:color w:val="000000"/>
          <w:sz w:val="24"/>
        </w:rPr>
        <w:t>中标人保证所提供合同软件是成熟稳定并可用的；所提供的技术文件是最新的、完备的、清晰的、正确的，并且符合合同及其附件的规定以及</w:t>
      </w:r>
      <w:r>
        <w:rPr>
          <w:rFonts w:hint="eastAsia" w:ascii="宋体" w:hAnsi="宋体" w:eastAsia="宋体" w:cs="Times New Roman"/>
          <w:color w:val="000000"/>
          <w:sz w:val="24"/>
          <w:lang w:eastAsia="zh-CN"/>
        </w:rPr>
        <w:t>采购人</w:t>
      </w:r>
      <w:r>
        <w:rPr>
          <w:rFonts w:hint="eastAsia" w:ascii="宋体" w:hAnsi="宋体" w:eastAsia="宋体" w:cs="Times New Roman"/>
          <w:color w:val="000000"/>
          <w:sz w:val="24"/>
        </w:rPr>
        <w:t>的要求。</w:t>
      </w:r>
    </w:p>
    <w:p>
      <w:pPr>
        <w:spacing w:line="360" w:lineRule="auto"/>
        <w:ind w:firstLine="480" w:firstLineChars="200"/>
        <w:rPr>
          <w:rFonts w:hint="eastAsia" w:ascii="宋体" w:hAnsi="宋体" w:cs="宋体"/>
          <w:b/>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中标人保证所提供的平台及服务完全符合合同规定的功能、性能和安全要求，应保护招标人在使用该系统或其任何一部分时不受第三方提出侵犯专利权、商标权或工业设备等知识产权的指控。</w:t>
      </w:r>
    </w:p>
    <w:p>
      <w:pPr>
        <w:spacing w:line="360" w:lineRule="auto"/>
        <w:ind w:firstLine="482" w:firstLineChars="200"/>
        <w:rPr>
          <w:rFonts w:hint="eastAsia" w:ascii="宋体" w:hAnsi="宋体" w:cs="宋体"/>
          <w:b/>
          <w:sz w:val="24"/>
        </w:rPr>
      </w:pPr>
      <w:r>
        <w:rPr>
          <w:rFonts w:hint="eastAsia" w:ascii="宋体" w:hAnsi="宋体" w:cs="宋体"/>
          <w:b/>
          <w:sz w:val="24"/>
          <w:lang w:eastAsia="zh-CN"/>
        </w:rPr>
        <w:t>十</w:t>
      </w:r>
      <w:r>
        <w:rPr>
          <w:rFonts w:hint="eastAsia" w:ascii="宋体" w:hAnsi="宋体" w:cs="宋体"/>
          <w:b/>
          <w:sz w:val="24"/>
        </w:rPr>
        <w:t>、项目验收：</w:t>
      </w:r>
    </w:p>
    <w:p>
      <w:pPr>
        <w:spacing w:line="360" w:lineRule="auto"/>
        <w:ind w:firstLine="480" w:firstLineChars="200"/>
        <w:rPr>
          <w:rFonts w:hint="eastAsia" w:ascii="宋体" w:hAnsi="宋体" w:cs="宋体"/>
          <w:bCs/>
          <w:sz w:val="24"/>
        </w:rPr>
      </w:pPr>
      <w:r>
        <w:rPr>
          <w:rFonts w:hint="eastAsia" w:ascii="宋体" w:hAnsi="宋体" w:cs="宋体"/>
          <w:bCs/>
          <w:sz w:val="24"/>
        </w:rPr>
        <w:t>1.合同相关建设内容完成后，中标人应按照系统设计要求首先对系统进行内部测试，对项目及产品做出全面检查和对有关资料进行整理列出清单，并提交系统采购人审查，作为项目验收可以进行的依据。</w:t>
      </w:r>
    </w:p>
    <w:p>
      <w:pPr>
        <w:spacing w:line="360" w:lineRule="auto"/>
        <w:ind w:firstLine="480" w:firstLineChars="200"/>
        <w:rPr>
          <w:rFonts w:hint="eastAsia" w:ascii="宋体" w:hAnsi="宋体" w:cs="宋体"/>
          <w:bCs/>
          <w:sz w:val="24"/>
        </w:rPr>
      </w:pPr>
      <w:r>
        <w:rPr>
          <w:rFonts w:hint="eastAsia" w:ascii="宋体" w:hAnsi="宋体" w:cs="宋体"/>
          <w:bCs/>
          <w:sz w:val="24"/>
        </w:rPr>
        <w:t>2.项目达到验收条件后，中标人应向采购人提交书面验收申请，采购人在接到中标人提交的验收申请后，应在10个工作日内向大数据局提出验收申请，随后由大数据局组织验收，验收合格后签署验收报告。如因中标人原因致使系统无法通过验收，中标人应在20个工作日内解决相关问题，直至系统满足验收要求。</w:t>
      </w:r>
    </w:p>
    <w:p>
      <w:pPr>
        <w:pStyle w:val="29"/>
        <w:rPr>
          <w:b/>
          <w:bCs/>
        </w:rPr>
      </w:pPr>
      <w:r>
        <w:rPr>
          <w:rFonts w:hint="eastAsia"/>
          <w:b/>
          <w:bCs/>
          <w:lang w:eastAsia="zh-CN"/>
        </w:rPr>
        <w:t>十一</w:t>
      </w:r>
      <w:r>
        <w:rPr>
          <w:rFonts w:hint="eastAsia"/>
          <w:b/>
          <w:bCs/>
        </w:rPr>
        <w:t>、商务要求</w:t>
      </w:r>
    </w:p>
    <w:tbl>
      <w:tblPr>
        <w:tblStyle w:val="62"/>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431" w:type="pct"/>
            <w:noWrap w:val="0"/>
            <w:vAlign w:val="center"/>
          </w:tcPr>
          <w:p>
            <w:pPr>
              <w:spacing w:line="360" w:lineRule="auto"/>
              <w:jc w:val="center"/>
              <w:rPr>
                <w:rFonts w:ascii="宋体" w:hAnsi="宋体" w:cs="宋体"/>
                <w:b/>
                <w:sz w:val="24"/>
              </w:rPr>
            </w:pPr>
            <w:r>
              <w:rPr>
                <w:rFonts w:hint="eastAsia" w:ascii="宋体" w:hAnsi="宋体" w:cs="宋体"/>
                <w:b/>
                <w:sz w:val="24"/>
              </w:rPr>
              <w:t>工期</w:t>
            </w:r>
          </w:p>
        </w:tc>
        <w:tc>
          <w:tcPr>
            <w:tcW w:w="45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sz w:val="24"/>
              </w:rPr>
            </w:pPr>
            <w:r>
              <w:rPr>
                <w:rFonts w:hint="eastAsia" w:ascii="宋体" w:hAnsi="宋体" w:cs="宋体"/>
                <w:bCs/>
                <w:sz w:val="24"/>
              </w:rPr>
              <w:t>从项目合同签订后开始计算，建设周期预计为6个月，初定于2022年11月至2023年5月完成项目建设。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sz w:val="24"/>
              </w:rPr>
            </w:pPr>
            <w:r>
              <w:rPr>
                <w:rFonts w:hint="eastAsia" w:ascii="宋体" w:hAnsi="宋体" w:cs="宋体"/>
                <w:bCs/>
                <w:sz w:val="24"/>
              </w:rPr>
              <w:t>（1）2022年11月，完成合同签订；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sz w:val="24"/>
              </w:rPr>
            </w:pPr>
            <w:r>
              <w:rPr>
                <w:rFonts w:hint="eastAsia" w:ascii="宋体" w:hAnsi="宋体" w:cs="宋体"/>
                <w:bCs/>
                <w:sz w:val="24"/>
              </w:rPr>
              <w:t>（2）2022年12月，完成项目初验，系统开始上线试运行；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sz w:val="24"/>
              </w:rPr>
            </w:pPr>
            <w:r>
              <w:rPr>
                <w:rFonts w:hint="eastAsia" w:ascii="宋体" w:hAnsi="宋体" w:cs="宋体"/>
                <w:bCs/>
                <w:sz w:val="24"/>
              </w:rPr>
              <w:t>（3）2023年4月，系统上线试运行三个月后，运行稳定，无故障，结束试运行；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sz w:val="24"/>
              </w:rPr>
            </w:pPr>
            <w:r>
              <w:rPr>
                <w:rFonts w:hint="eastAsia" w:ascii="宋体" w:hAnsi="宋体" w:cs="宋体"/>
                <w:bCs/>
                <w:sz w:val="24"/>
              </w:rPr>
              <w:t>（4）2023年5月，完成项目终验。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sz w:val="24"/>
              </w:rPr>
            </w:pPr>
            <w:r>
              <w:rPr>
                <w:rFonts w:hint="eastAsia" w:ascii="宋体" w:hAnsi="宋体" w:cs="宋体"/>
                <w:bCs/>
                <w:sz w:val="24"/>
              </w:rPr>
              <w:t>售后服务：提供3年的免费运维服务（自项目验收合格之日算起）。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31" w:type="pct"/>
            <w:noWrap w:val="0"/>
            <w:vAlign w:val="center"/>
          </w:tcPr>
          <w:p>
            <w:pPr>
              <w:spacing w:line="360" w:lineRule="auto"/>
              <w:jc w:val="center"/>
              <w:rPr>
                <w:rFonts w:ascii="宋体" w:hAnsi="宋体" w:cs="宋体"/>
                <w:b/>
                <w:sz w:val="24"/>
              </w:rPr>
            </w:pPr>
            <w:r>
              <w:rPr>
                <w:rFonts w:hint="eastAsia" w:ascii="宋体" w:hAnsi="宋体" w:cs="宋体"/>
                <w:b/>
                <w:sz w:val="24"/>
              </w:rPr>
              <w:t>付款方式</w:t>
            </w:r>
          </w:p>
        </w:tc>
        <w:tc>
          <w:tcPr>
            <w:tcW w:w="456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本项目由中共湖州市委政法委员会负责统一招标，中标后由中标供应商分别跟</w:t>
            </w:r>
            <w:r>
              <w:rPr>
                <w:rFonts w:hint="eastAsia" w:ascii="宋体" w:hAnsi="宋体" w:cs="宋体"/>
                <w:b/>
                <w:sz w:val="24"/>
                <w:highlight w:val="none"/>
              </w:rPr>
              <w:t xml:space="preserve">中共湖州市委政法委员会 </w:t>
            </w:r>
            <w:r>
              <w:rPr>
                <w:rFonts w:hint="eastAsia" w:ascii="宋体" w:hAnsi="宋体" w:cs="宋体"/>
                <w:b/>
                <w:sz w:val="24"/>
                <w:highlight w:val="none"/>
                <w:lang w:eastAsia="zh-CN"/>
              </w:rPr>
              <w:t>、</w:t>
            </w:r>
            <w:r>
              <w:rPr>
                <w:rFonts w:hint="eastAsia" w:ascii="宋体" w:hAnsi="宋体" w:cs="宋体"/>
                <w:b/>
                <w:sz w:val="24"/>
                <w:highlight w:val="none"/>
              </w:rPr>
              <w:t>中共吴兴区委政法委员会</w:t>
            </w:r>
            <w:r>
              <w:rPr>
                <w:rFonts w:hint="eastAsia" w:ascii="宋体" w:hAnsi="宋体" w:cs="宋体"/>
                <w:b/>
                <w:sz w:val="24"/>
                <w:highlight w:val="none"/>
                <w:lang w:eastAsia="zh-CN"/>
              </w:rPr>
              <w:t>、</w:t>
            </w:r>
            <w:r>
              <w:rPr>
                <w:rFonts w:hint="eastAsia" w:ascii="宋体" w:hAnsi="宋体" w:cs="宋体"/>
                <w:b/>
                <w:sz w:val="24"/>
                <w:highlight w:val="none"/>
              </w:rPr>
              <w:t>湖州南太湖新区管理委员会政法委员会</w:t>
            </w:r>
            <w:r>
              <w:rPr>
                <w:rFonts w:hint="eastAsia" w:ascii="宋体" w:hAnsi="宋体" w:cs="宋体"/>
                <w:b/>
                <w:sz w:val="24"/>
                <w:highlight w:val="none"/>
                <w:lang w:eastAsia="zh-CN"/>
              </w:rPr>
              <w:t>、</w:t>
            </w:r>
            <w:r>
              <w:rPr>
                <w:rFonts w:hint="eastAsia" w:ascii="宋体" w:hAnsi="宋体" w:cs="宋体"/>
                <w:b/>
                <w:sz w:val="24"/>
                <w:highlight w:val="none"/>
              </w:rPr>
              <w:t>中共湖州市南浔区委政法委员会</w:t>
            </w:r>
            <w:r>
              <w:rPr>
                <w:rFonts w:hint="eastAsia" w:ascii="宋体" w:hAnsi="宋体" w:cs="宋体"/>
                <w:b/>
                <w:sz w:val="24"/>
                <w:highlight w:val="none"/>
                <w:lang w:eastAsia="zh-CN"/>
              </w:rPr>
              <w:t>、</w:t>
            </w:r>
            <w:r>
              <w:rPr>
                <w:rFonts w:hint="eastAsia" w:ascii="宋体" w:hAnsi="宋体" w:cs="宋体"/>
                <w:b/>
                <w:sz w:val="24"/>
                <w:highlight w:val="none"/>
              </w:rPr>
              <w:t>中共安吉县委政法委员会</w:t>
            </w:r>
            <w:r>
              <w:rPr>
                <w:rFonts w:hint="eastAsia" w:ascii="宋体" w:hAnsi="宋体" w:cs="宋体"/>
                <w:b/>
                <w:sz w:val="24"/>
                <w:highlight w:val="none"/>
                <w:lang w:eastAsia="zh-CN"/>
              </w:rPr>
              <w:t>、</w:t>
            </w:r>
            <w:r>
              <w:rPr>
                <w:rFonts w:hint="eastAsia" w:ascii="宋体" w:hAnsi="宋体" w:cs="宋体"/>
                <w:b/>
                <w:sz w:val="24"/>
                <w:highlight w:val="none"/>
              </w:rPr>
              <w:t>中共德清县委政法委员会</w:t>
            </w:r>
            <w:r>
              <w:rPr>
                <w:rFonts w:hint="eastAsia" w:ascii="宋体" w:hAnsi="宋体" w:cs="宋体"/>
                <w:b/>
                <w:sz w:val="24"/>
                <w:highlight w:val="none"/>
                <w:lang w:eastAsia="zh-CN"/>
              </w:rPr>
              <w:t>、</w:t>
            </w:r>
            <w:r>
              <w:rPr>
                <w:rFonts w:hint="eastAsia" w:ascii="宋体" w:hAnsi="宋体" w:cs="宋体"/>
                <w:b/>
                <w:sz w:val="24"/>
                <w:highlight w:val="none"/>
              </w:rPr>
              <w:t>中共长兴县委政法委员会</w:t>
            </w:r>
            <w:r>
              <w:rPr>
                <w:rFonts w:hint="eastAsia" w:ascii="宋体" w:hAnsi="宋体" w:cs="宋体"/>
                <w:bCs/>
                <w:sz w:val="24"/>
                <w:highlight w:val="none"/>
              </w:rPr>
              <w:t>签订合同。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sz w:val="24"/>
              </w:rPr>
            </w:pPr>
            <w:r>
              <w:rPr>
                <w:rFonts w:hint="eastAsia" w:ascii="宋体" w:hAnsi="宋体" w:cs="宋体"/>
                <w:bCs/>
                <w:sz w:val="24"/>
              </w:rPr>
              <w:t>根据省财政厅《关于进一步发挥政府采购政策功能全力推动经济稳进提质的通知》（浙财采监【2022】3号）要求，制定如下付款方式：</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highlight w:val="none"/>
              </w:rPr>
            </w:pPr>
            <w:r>
              <w:rPr>
                <w:rFonts w:hint="eastAsia"/>
                <w:b/>
                <w:bCs/>
                <w:sz w:val="24"/>
                <w:highlight w:val="none"/>
              </w:rPr>
              <w:t>合同签订后7 个工作日内，支付合同总价款的40%，完成项目初验后7 个工作日内支付合同总价款的40%，项目通过最终验收后7 个工作日内支付合同总价款的20%。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b/>
                <w:bCs/>
                <w:sz w:val="24"/>
              </w:rPr>
            </w:pPr>
            <w:r>
              <w:rPr>
                <w:rFonts w:hint="eastAsia"/>
                <w:b/>
                <w:bCs/>
                <w:sz w:val="24"/>
              </w:rPr>
              <w:t>注：1）中标供应商根据采购人每期的支付金额提供正规发票；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b/>
                <w:bCs/>
                <w:sz w:val="24"/>
              </w:rPr>
            </w:pPr>
            <w:r>
              <w:rPr>
                <w:rFonts w:hint="eastAsia"/>
                <w:b/>
                <w:bCs/>
                <w:sz w:val="24"/>
              </w:rPr>
              <w:t>2）税费：本服务执行中相关的一切税费均由中标供应商负担；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Cs/>
                <w:sz w:val="24"/>
              </w:rPr>
            </w:pPr>
            <w:r>
              <w:rPr>
                <w:rFonts w:hint="eastAsia"/>
                <w:b/>
                <w:bCs/>
                <w:sz w:val="24"/>
              </w:rPr>
              <w:t>3）若中标供应商明确表示无需预付款或者主动要求降低预付款比例的，采购人可不适用前述规定。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ascii="宋体" w:hAnsi="宋体" w:cs="宋体"/>
                <w:bCs/>
                <w:sz w:val="24"/>
              </w:rPr>
            </w:pPr>
            <w:r>
              <w:rPr>
                <w:rFonts w:hint="eastAsia" w:ascii="宋体" w:hAnsi="宋体" w:cs="宋体"/>
                <w:b/>
                <w:sz w:val="24"/>
              </w:rPr>
              <w:t>履约保证金</w:t>
            </w:r>
          </w:p>
        </w:tc>
        <w:tc>
          <w:tcPr>
            <w:tcW w:w="4568" w:type="pct"/>
            <w:noWrap w:val="0"/>
            <w:vAlign w:val="center"/>
          </w:tcPr>
          <w:p>
            <w:pPr>
              <w:spacing w:line="360" w:lineRule="auto"/>
            </w:pPr>
            <w:r>
              <w:rPr>
                <w:rFonts w:hint="eastAsia" w:ascii="宋体" w:hAnsi="宋体"/>
                <w:bCs/>
                <w:sz w:val="24"/>
              </w:rPr>
              <w:t>不缴纳。</w:t>
            </w:r>
          </w:p>
        </w:tc>
      </w:tr>
    </w:tbl>
    <w:p>
      <w:pPr>
        <w:spacing w:line="360" w:lineRule="auto"/>
        <w:outlineLvl w:val="1"/>
        <w:rPr>
          <w:rFonts w:hint="eastAsia" w:ascii="宋体" w:hAnsi="宋体" w:cs="宋体"/>
          <w:b/>
          <w:bCs/>
          <w:kern w:val="0"/>
          <w:sz w:val="24"/>
        </w:rPr>
      </w:pPr>
    </w:p>
    <w:p>
      <w:pPr>
        <w:spacing w:line="360" w:lineRule="auto"/>
        <w:ind w:firstLine="482" w:firstLineChars="200"/>
        <w:outlineLvl w:val="1"/>
        <w:rPr>
          <w:rFonts w:hint="eastAsia" w:ascii="宋体" w:hAnsi="宋体" w:cs="宋体"/>
          <w:b/>
          <w:bCs/>
          <w:kern w:val="0"/>
          <w:sz w:val="24"/>
        </w:rPr>
      </w:pPr>
      <w:r>
        <w:rPr>
          <w:rFonts w:hint="eastAsia" w:ascii="宋体" w:hAnsi="宋体" w:cs="宋体"/>
          <w:b/>
          <w:bCs/>
          <w:kern w:val="0"/>
          <w:sz w:val="24"/>
        </w:rPr>
        <w:br w:type="page"/>
      </w:r>
      <w:r>
        <w:rPr>
          <w:rFonts w:hint="eastAsia" w:ascii="宋体" w:hAnsi="宋体" w:cs="宋体"/>
          <w:b/>
          <w:bCs/>
          <w:kern w:val="0"/>
          <w:sz w:val="24"/>
          <w:lang w:eastAsia="zh-CN"/>
        </w:rPr>
        <w:t>十二</w:t>
      </w:r>
      <w:r>
        <w:rPr>
          <w:rFonts w:hint="eastAsia" w:ascii="宋体" w:hAnsi="宋体" w:cs="宋体"/>
          <w:b/>
          <w:bCs/>
          <w:kern w:val="0"/>
          <w:sz w:val="24"/>
        </w:rPr>
        <w:t xml:space="preserve">、扶持政策说明： </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1、本项目采购标的对应的中小企业划分标准所属行业为信息软件和信息技术服务业。</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2、依据《</w:t>
      </w:r>
      <w:r>
        <w:rPr>
          <w:rFonts w:hint="eastAsia" w:ascii="宋体" w:hAnsi="宋体" w:cs="宋体"/>
          <w:b/>
          <w:bCs/>
          <w:kern w:val="0"/>
          <w:sz w:val="24"/>
          <w:lang w:eastAsia="zh-Hans"/>
        </w:rPr>
        <w:t>政府采购促进中小企业发展管理办法》</w:t>
      </w:r>
      <w:r>
        <w:rPr>
          <w:rFonts w:hint="eastAsia" w:ascii="宋体" w:hAnsi="宋体" w:cs="宋体"/>
          <w:b/>
          <w:bCs/>
          <w:kern w:val="0"/>
          <w:sz w:val="24"/>
        </w:rPr>
        <w:t>（财库【2020】46号）规定享受扶持政策获得政府采购合同的，小微企业不得将合同分包给大中型企业，中型企业不得将合同分包给大型企业。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2、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4、符合中小企业划分标准的个体工商户，在政府采购活动中视同中小企业。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5、在政府采购活动中，供应商提供的货物、工程或者服务符合下列情形的，享受本办法规定的中小企业扶持政策：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6、在货物采购项目中，货物由中小企业制造，即货物由中小企业生产且使用该中小企业商号或者注册商标；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7、在工程采购项目中，工程由中小企业承建，即工程施工单位为中小企业；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8、在服务采购项目中，服务由中小企业承接，即提供服务的人员为中小企业依照《中华人民共和国劳动合同法》订立劳动合同的从业人员。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9、在货物采购项目中，供应商提供的货物既有中小企业制造货物，也有大型企业制造货物的，不享受本办法规定的中小企业扶持政策。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10、以联合体形式参加政府采购活动，联合体各方均为中小企业的，联合体视同中小企业。其中，联合体各方均为小微企业的，联合体视同小微企业。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11、监狱企业参加政府采购提供《监狱企业声明函》（见附件）及其相关的充分的证明材料的，视为小型、微型企业，享受小微企业政策扶持；监狱企业属于小型、微型企业的，不重复享受政策。</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12、残疾人福利性单位参加政府采购提供《残疾人福利性单位声明函》（格式见附件），视为小型、微型企业，享受小微企业政策扶持；残疾人福利性单位属于小型、微型企业的，不重复享受政策。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outlineLvl w:val="1"/>
        <w:rPr>
          <w:rFonts w:hint="eastAsia" w:ascii="宋体" w:hAnsi="宋体" w:cs="宋体"/>
          <w:b/>
          <w:bCs/>
          <w:kern w:val="0"/>
          <w:sz w:val="24"/>
        </w:rPr>
      </w:pPr>
      <w:r>
        <w:rPr>
          <w:rFonts w:hint="eastAsia" w:ascii="宋体" w:hAnsi="宋体" w:cs="宋体"/>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pPr>
        <w:spacing w:line="400" w:lineRule="exact"/>
        <w:ind w:right="482"/>
        <w:jc w:val="both"/>
        <w:rPr>
          <w:rFonts w:hint="eastAsia" w:ascii="宋体" w:hAnsi="宋体" w:cs="宋体"/>
          <w:b/>
          <w:sz w:val="36"/>
          <w:szCs w:val="36"/>
        </w:rPr>
        <w:sectPr>
          <w:headerReference r:id="rId3" w:type="default"/>
          <w:footerReference r:id="rId4" w:type="default"/>
          <w:pgSz w:w="11906" w:h="16838"/>
          <w:pgMar w:top="1474" w:right="1531" w:bottom="1474" w:left="1531" w:header="907" w:footer="907" w:gutter="0"/>
          <w:cols w:space="720" w:num="1"/>
          <w:docGrid w:linePitch="312" w:charSpace="0"/>
        </w:sectPr>
      </w:pPr>
    </w:p>
    <w:p>
      <w:pPr>
        <w:spacing w:line="400" w:lineRule="exact"/>
        <w:ind w:right="482"/>
        <w:jc w:val="center"/>
        <w:rPr>
          <w:rFonts w:hint="eastAsia" w:ascii="宋体" w:hAnsi="宋体" w:cs="宋体"/>
          <w:b/>
          <w:sz w:val="36"/>
          <w:szCs w:val="36"/>
        </w:rPr>
      </w:pPr>
      <w:r>
        <w:rPr>
          <w:rFonts w:hint="eastAsia" w:ascii="宋体" w:hAnsi="宋体" w:cs="宋体"/>
          <w:b/>
          <w:sz w:val="36"/>
          <w:szCs w:val="36"/>
        </w:rPr>
        <w:t>第三章  投标供应商须知</w:t>
      </w:r>
      <w:bookmarkEnd w:id="3"/>
    </w:p>
    <w:p>
      <w:pPr>
        <w:snapToGrid w:val="0"/>
        <w:spacing w:before="120" w:beforeLines="50" w:after="120" w:afterLines="50" w:line="340" w:lineRule="exact"/>
        <w:ind w:left="238"/>
        <w:jc w:val="center"/>
        <w:rPr>
          <w:rFonts w:hint="eastAsia" w:ascii="宋体" w:hAnsi="宋体" w:cs="宋体"/>
          <w:sz w:val="24"/>
        </w:rPr>
      </w:pPr>
      <w:r>
        <w:rPr>
          <w:rFonts w:hint="eastAsia" w:ascii="宋体" w:hAnsi="宋体" w:cs="宋体"/>
          <w:sz w:val="24"/>
        </w:rPr>
        <w:t>前附表</w:t>
      </w:r>
    </w:p>
    <w:tbl>
      <w:tblPr>
        <w:tblStyle w:val="62"/>
        <w:tblW w:w="527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6"/>
        <w:gridCol w:w="8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序号</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 w:val="24"/>
              </w:rPr>
            </w:pPr>
            <w:r>
              <w:rPr>
                <w:rFonts w:hint="eastAsia" w:ascii="宋体" w:hAnsi="宋体" w:cs="宋体"/>
                <w:sz w:val="24"/>
              </w:rPr>
              <w:t>项目名称：平安风险预警预测防控应用项目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2</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 w:val="24"/>
              </w:rPr>
            </w:pPr>
            <w:r>
              <w:rPr>
                <w:rFonts w:hint="eastAsia" w:ascii="宋体" w:hAnsi="宋体" w:cs="宋体"/>
                <w:sz w:val="24"/>
              </w:rPr>
              <w:t>采购内容：见采购文件第二章。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3</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 w:val="24"/>
              </w:rPr>
            </w:pPr>
            <w:r>
              <w:rPr>
                <w:rFonts w:hint="eastAsia" w:ascii="宋体" w:hAnsi="宋体" w:cs="宋体"/>
                <w:sz w:val="24"/>
              </w:rPr>
              <w:t>投标报价及费用：1、本项目投标应以人民币报价；2、不论投标结果如何，投标供应商均应自行承担所有与投标有关的全部费用；3、本项目</w:t>
            </w:r>
            <w:r>
              <w:rPr>
                <w:rFonts w:hint="eastAsia" w:ascii="宋体" w:hAnsi="宋体" w:cs="宋体"/>
                <w:color w:val="000000"/>
                <w:sz w:val="24"/>
              </w:rPr>
              <w:t>采购代理服务费按</w:t>
            </w:r>
            <w:r>
              <w:rPr>
                <w:rFonts w:hint="eastAsia" w:ascii="宋体" w:hAnsi="宋体" w:cs="宋体"/>
                <w:b/>
                <w:bCs/>
                <w:color w:val="000000"/>
                <w:sz w:val="24"/>
                <w:u w:val="single"/>
              </w:rPr>
              <w:t>壹万陆仟捌佰</w:t>
            </w:r>
            <w:r>
              <w:rPr>
                <w:rFonts w:hint="eastAsia" w:ascii="宋体" w:hAnsi="宋体" w:cs="宋体"/>
                <w:color w:val="000000"/>
                <w:sz w:val="24"/>
              </w:rPr>
              <w:t>元整收取，由中标供应商全额支付，投标供应商应自行考虑列入投标报价。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4</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采购预算：</w:t>
            </w:r>
            <w:r>
              <w:rPr>
                <w:rFonts w:hint="eastAsia" w:ascii="宋体" w:hAnsi="宋体" w:cs="宋体"/>
                <w:sz w:val="24"/>
                <w:lang w:val="en-US" w:eastAsia="zh-CN"/>
              </w:rPr>
              <w:t>1400</w:t>
            </w:r>
            <w:r>
              <w:rPr>
                <w:rFonts w:hint="eastAsia" w:ascii="宋体" w:hAnsi="宋体" w:cs="宋体"/>
                <w:sz w:val="24"/>
              </w:rPr>
              <w:t>万元</w:t>
            </w:r>
            <w:r>
              <w:rPr>
                <w:rFonts w:hint="eastAsia" w:ascii="宋体" w:hAnsi="宋体" w:cs="宋体"/>
                <w:sz w:val="24"/>
                <w:lang w:eastAsia="zh-CN"/>
              </w:rPr>
              <w:t>；最高限价</w:t>
            </w:r>
            <w:r>
              <w:rPr>
                <w:rFonts w:hint="eastAsia" w:ascii="宋体" w:hAnsi="宋体" w:cs="宋体"/>
                <w:sz w:val="24"/>
                <w:lang w:val="en-US" w:eastAsia="zh-CN"/>
              </w:rPr>
              <w:t>1350万元</w:t>
            </w:r>
            <w:r>
              <w:rPr>
                <w:rFonts w:hint="eastAsia" w:hAnsi="宋体" w:cs="宋体"/>
                <w:sz w:val="24"/>
                <w:szCs w:val="24"/>
              </w:rPr>
              <w:t>（其中中共湖州市委政法委员会 340万元</w:t>
            </w:r>
            <w:r>
              <w:rPr>
                <w:rFonts w:hint="eastAsia" w:hAnsi="宋体" w:cs="宋体"/>
                <w:sz w:val="24"/>
                <w:szCs w:val="24"/>
                <w:lang w:eastAsia="zh-CN"/>
              </w:rPr>
              <w:t>、</w:t>
            </w:r>
            <w:r>
              <w:rPr>
                <w:rFonts w:hint="eastAsia" w:hAnsi="宋体" w:cs="宋体"/>
                <w:sz w:val="24"/>
                <w:szCs w:val="24"/>
              </w:rPr>
              <w:t>中共安吉县委政法委员会175万元</w:t>
            </w:r>
            <w:r>
              <w:rPr>
                <w:rFonts w:hint="eastAsia" w:hAnsi="宋体" w:cs="宋体"/>
                <w:sz w:val="24"/>
                <w:szCs w:val="24"/>
                <w:lang w:eastAsia="zh-CN"/>
              </w:rPr>
              <w:t>、</w:t>
            </w:r>
            <w:r>
              <w:rPr>
                <w:rFonts w:hint="eastAsia" w:hAnsi="宋体" w:cs="宋体"/>
                <w:sz w:val="24"/>
                <w:szCs w:val="24"/>
              </w:rPr>
              <w:t>中共德清县委政法委员会175万元</w:t>
            </w:r>
            <w:r>
              <w:rPr>
                <w:rFonts w:hint="eastAsia" w:hAnsi="宋体" w:cs="宋体"/>
                <w:sz w:val="24"/>
                <w:szCs w:val="24"/>
                <w:lang w:eastAsia="zh-CN"/>
              </w:rPr>
              <w:t>、</w:t>
            </w:r>
            <w:r>
              <w:rPr>
                <w:rFonts w:hint="eastAsia" w:hAnsi="宋体" w:cs="宋体"/>
                <w:sz w:val="24"/>
                <w:szCs w:val="24"/>
              </w:rPr>
              <w:t>中共吴兴区委政法委员会 175万元</w:t>
            </w:r>
            <w:r>
              <w:rPr>
                <w:rFonts w:hint="eastAsia" w:hAnsi="宋体" w:cs="宋体"/>
                <w:sz w:val="24"/>
                <w:szCs w:val="24"/>
                <w:lang w:eastAsia="zh-CN"/>
              </w:rPr>
              <w:t>、</w:t>
            </w:r>
            <w:r>
              <w:rPr>
                <w:rFonts w:hint="eastAsia" w:hAnsi="宋体" w:cs="宋体"/>
                <w:sz w:val="24"/>
                <w:szCs w:val="24"/>
              </w:rPr>
              <w:t>中共湖州市南浔区委政法委员会 175万元</w:t>
            </w:r>
            <w:r>
              <w:rPr>
                <w:rFonts w:hint="eastAsia" w:hAnsi="宋体" w:cs="宋体"/>
                <w:sz w:val="24"/>
                <w:szCs w:val="24"/>
                <w:lang w:eastAsia="zh-CN"/>
              </w:rPr>
              <w:t>、</w:t>
            </w:r>
            <w:r>
              <w:rPr>
                <w:rFonts w:hint="eastAsia" w:hAnsi="宋体" w:cs="宋体"/>
                <w:sz w:val="24"/>
                <w:szCs w:val="24"/>
              </w:rPr>
              <w:t xml:space="preserve">中共长兴县委政法委员会175万元 </w:t>
            </w:r>
            <w:r>
              <w:rPr>
                <w:rFonts w:hint="eastAsia" w:hAnsi="宋体" w:cs="宋体"/>
                <w:sz w:val="24"/>
                <w:szCs w:val="24"/>
                <w:lang w:eastAsia="zh-CN"/>
              </w:rPr>
              <w:t>、</w:t>
            </w:r>
            <w:r>
              <w:rPr>
                <w:rFonts w:hint="eastAsia" w:hAnsi="宋体" w:cs="宋体"/>
                <w:sz w:val="24"/>
                <w:szCs w:val="24"/>
              </w:rPr>
              <w:t>湖州南太湖新区管理委员会政法委员会135万元。）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5</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 w:val="24"/>
              </w:rPr>
            </w:pPr>
            <w:r>
              <w:rPr>
                <w:rFonts w:hint="eastAsia" w:ascii="宋体" w:hAnsi="宋体" w:cs="宋体"/>
                <w:sz w:val="24"/>
              </w:rPr>
              <w:t>答疑与澄清：供应商如认为招标文件表述不清晰、存在歧视性或者其他违法内容的，可以在知道或者应知其权益受到损害之日起7个工作日内以书面形式要求采购人作出书面解释、澄清或者向采购人提出书面质疑</w:t>
            </w:r>
            <w:r>
              <w:rPr>
                <w:rFonts w:hint="eastAsia" w:ascii="宋体" w:hAnsi="宋体" w:cs="宋体"/>
                <w:sz w:val="24"/>
              </w:rPr>
              <w:fldChar w:fldCharType="begin"/>
            </w:r>
            <w:r>
              <w:rPr>
                <w:rFonts w:hint="eastAsia" w:ascii="宋体" w:hAnsi="宋体" w:cs="宋体"/>
                <w:sz w:val="24"/>
              </w:rPr>
              <w:instrText xml:space="preserve"> HYPERLINK "mailto:同时请将该书面文件的电子文档发送至309875994@qq.com" </w:instrText>
            </w:r>
            <w:r>
              <w:rPr>
                <w:rFonts w:hint="eastAsia" w:ascii="宋体" w:hAnsi="宋体" w:cs="宋体"/>
                <w:sz w:val="24"/>
              </w:rPr>
              <w:fldChar w:fldCharType="separate"/>
            </w:r>
            <w:r>
              <w:rPr>
                <w:rFonts w:hint="eastAsia" w:ascii="宋体" w:hAnsi="宋体" w:cs="宋体"/>
                <w:sz w:val="24"/>
              </w:rPr>
              <w:t>，请将该书面文件的电子文档发送至7918104520@qq.com</w:t>
            </w:r>
            <w:r>
              <w:rPr>
                <w:rFonts w:hint="eastAsia" w:ascii="宋体" w:hAnsi="宋体" w:cs="宋体"/>
                <w:sz w:val="24"/>
              </w:rPr>
              <w:fldChar w:fldCharType="end"/>
            </w:r>
            <w:r>
              <w:rPr>
                <w:rFonts w:hint="eastAsia" w:ascii="宋体" w:hAnsi="宋体" w:cs="宋体"/>
                <w:sz w:val="24"/>
              </w:rPr>
              <w:t>；根据《中华人民共和国财政部令第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份，将在网上发布补充（答疑、澄清）文件，潜在供应商应自行关注网站公告，采购人不再一一通知。供应商因自身贻误行为导致投标失败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6</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 w:val="24"/>
              </w:rPr>
            </w:pPr>
            <w:r>
              <w:rPr>
                <w:rFonts w:hint="eastAsia" w:ascii="宋体" w:hAnsi="宋体" w:cs="宋体"/>
                <w:sz w:val="24"/>
              </w:rPr>
              <w:t>1、投标文件组成：《资格文件》、《商务技术资信及其他文件》、《报价文件》三部分组成。</w:t>
            </w:r>
          </w:p>
          <w:p>
            <w:pPr>
              <w:snapToGrid w:val="0"/>
              <w:spacing w:line="360" w:lineRule="auto"/>
              <w:rPr>
                <w:rFonts w:hint="eastAsia" w:ascii="宋体" w:hAnsi="宋体" w:cs="宋体"/>
                <w:sz w:val="24"/>
              </w:rPr>
            </w:pPr>
            <w:r>
              <w:rPr>
                <w:rFonts w:hint="eastAsia" w:ascii="宋体" w:hAnsi="宋体" w:cs="宋体"/>
                <w:sz w:val="24"/>
              </w:rPr>
              <w:t>2、投标文件编制：投标供应商应先安装“政采云电子交易客户端”，并按照本采购文件和“政府采购云平台”的要求，通过“政采云电子交易客户端”编制并加密投标文件。</w:t>
            </w:r>
          </w:p>
          <w:p>
            <w:pPr>
              <w:snapToGrid w:val="0"/>
              <w:spacing w:line="360" w:lineRule="auto"/>
              <w:rPr>
                <w:rFonts w:hint="eastAsia" w:ascii="宋体" w:hAnsi="宋体" w:cs="宋体"/>
                <w:sz w:val="24"/>
              </w:rPr>
            </w:pPr>
            <w:r>
              <w:rPr>
                <w:rFonts w:hint="eastAsia" w:ascii="宋体" w:hAnsi="宋体" w:cs="宋体"/>
                <w:sz w:val="24"/>
              </w:rPr>
              <w:t>3、投标文件的形式：电子投标文件（包括“电子加密投标文件”和“备份投标文件”，在投标文件编制完成后同时生成）；</w:t>
            </w:r>
          </w:p>
          <w:p>
            <w:pPr>
              <w:snapToGrid w:val="0"/>
              <w:spacing w:line="360" w:lineRule="auto"/>
              <w:rPr>
                <w:rFonts w:hint="eastAsia" w:ascii="宋体" w:hAnsi="宋体" w:cs="宋体"/>
                <w:sz w:val="24"/>
              </w:rPr>
            </w:pPr>
            <w:r>
              <w:rPr>
                <w:rFonts w:hint="eastAsia" w:ascii="宋体" w:hAnsi="宋体" w:cs="宋体"/>
                <w:sz w:val="24"/>
              </w:rPr>
              <w:t>（1）“电子加密投标文件”是指通过“政采云电子交易客户端”完成投标文件编制后生成并加密的数据电文形式的投标文件。</w:t>
            </w:r>
          </w:p>
          <w:p>
            <w:pPr>
              <w:snapToGrid w:val="0"/>
              <w:spacing w:line="360" w:lineRule="auto"/>
              <w:rPr>
                <w:rFonts w:hint="eastAsia" w:ascii="宋体" w:hAnsi="宋体" w:cs="宋体"/>
                <w:sz w:val="24"/>
              </w:rPr>
            </w:pPr>
            <w:r>
              <w:rPr>
                <w:rFonts w:hint="eastAsia" w:ascii="宋体" w:hAnsi="宋体" w:cs="宋体"/>
                <w:sz w:val="24"/>
              </w:rPr>
              <w:t>（2）“备份投标文件”是指与“电子加密投标文件”同时生成的数据电文形式的电子文件（备份标书），其他方式编制的备份投标文件视为无效备份投标文件。</w:t>
            </w:r>
          </w:p>
          <w:p>
            <w:pPr>
              <w:snapToGrid w:val="0"/>
              <w:spacing w:line="360" w:lineRule="auto"/>
              <w:rPr>
                <w:rFonts w:hint="eastAsia" w:ascii="宋体" w:hAnsi="宋体" w:cs="宋体"/>
                <w:sz w:val="24"/>
              </w:rPr>
            </w:pPr>
            <w:r>
              <w:rPr>
                <w:rFonts w:hint="eastAsia" w:ascii="宋体" w:hAnsi="宋体" w:cs="宋体"/>
                <w:sz w:val="24"/>
              </w:rPr>
              <w:t>4、投标文件份数：</w:t>
            </w:r>
          </w:p>
          <w:p>
            <w:pPr>
              <w:snapToGrid w:val="0"/>
              <w:spacing w:line="360" w:lineRule="auto"/>
              <w:rPr>
                <w:rFonts w:hint="eastAsia" w:ascii="宋体" w:hAnsi="宋体" w:cs="宋体"/>
                <w:sz w:val="24"/>
              </w:rPr>
            </w:pPr>
            <w:r>
              <w:rPr>
                <w:rFonts w:hint="eastAsia" w:ascii="宋体" w:hAnsi="宋体" w:cs="宋体"/>
                <w:sz w:val="24"/>
              </w:rPr>
              <w:t>（1）“电子加密投标文件”：在线上传递交一份。</w:t>
            </w:r>
          </w:p>
          <w:p>
            <w:pPr>
              <w:snapToGrid w:val="0"/>
              <w:spacing w:line="360" w:lineRule="auto"/>
              <w:rPr>
                <w:rFonts w:hint="eastAsia" w:ascii="宋体" w:hAnsi="宋体" w:cs="宋体"/>
                <w:sz w:val="24"/>
              </w:rPr>
            </w:pPr>
            <w:r>
              <w:rPr>
                <w:rFonts w:hint="eastAsia" w:ascii="宋体" w:hAnsi="宋体" w:cs="宋体"/>
                <w:sz w:val="24"/>
              </w:rPr>
              <w:t>（2）“备份投标文件”：如果投标供应商在“政府采购云平台”完成的“电子加密投标文件”出现故障后，如供应商提交了符合条件的备份投标文件的，可以在30分钟内上传数据电文形式的“备份投标文件”。</w:t>
            </w:r>
          </w:p>
          <w:p>
            <w:pPr>
              <w:snapToGrid w:val="0"/>
              <w:spacing w:line="360" w:lineRule="auto"/>
              <w:rPr>
                <w:rFonts w:hint="eastAsia" w:ascii="宋体" w:hAnsi="宋体" w:cs="宋体"/>
                <w:sz w:val="24"/>
              </w:rPr>
            </w:pPr>
            <w:r>
              <w:rPr>
                <w:rFonts w:hint="eastAsia" w:ascii="宋体" w:hAnsi="宋体" w:cs="宋体"/>
                <w:sz w:val="24"/>
              </w:rPr>
              <w:t>5、投标文件的上传和递交：</w:t>
            </w:r>
          </w:p>
          <w:p>
            <w:pPr>
              <w:snapToGrid w:val="0"/>
              <w:spacing w:line="360" w:lineRule="auto"/>
              <w:rPr>
                <w:rFonts w:hint="eastAsia" w:ascii="宋体" w:hAnsi="宋体" w:cs="宋体"/>
                <w:sz w:val="24"/>
              </w:rPr>
            </w:pPr>
            <w:r>
              <w:rPr>
                <w:rFonts w:hint="eastAsia" w:ascii="宋体" w:hAnsi="宋体" w:cs="宋体"/>
                <w:sz w:val="24"/>
              </w:rPr>
              <w:t>（1）“电子加密投标文件”的上传、递交：</w:t>
            </w:r>
          </w:p>
          <w:p>
            <w:pPr>
              <w:snapToGrid w:val="0"/>
              <w:spacing w:line="360" w:lineRule="auto"/>
              <w:rPr>
                <w:rFonts w:hint="eastAsia" w:ascii="宋体" w:hAnsi="宋体" w:cs="宋体"/>
                <w:sz w:val="24"/>
              </w:rPr>
            </w:pPr>
            <w:r>
              <w:rPr>
                <w:rFonts w:hint="eastAsia" w:ascii="宋体" w:hAnsi="宋体" w:cs="宋体"/>
                <w:sz w:val="24"/>
              </w:rPr>
              <w:t>a.投标供应商应在投标截止时间前将“电子加密投标文件”成功上传递交至“政府采购云平台”，否则投标无效。</w:t>
            </w:r>
          </w:p>
          <w:p>
            <w:pPr>
              <w:snapToGrid w:val="0"/>
              <w:spacing w:line="360" w:lineRule="auto"/>
              <w:rPr>
                <w:rFonts w:hint="eastAsia" w:ascii="宋体" w:hAnsi="宋体" w:cs="宋体"/>
                <w:sz w:val="24"/>
              </w:rPr>
            </w:pPr>
            <w:r>
              <w:rPr>
                <w:rFonts w:hint="eastAsia" w:ascii="宋体" w:hAnsi="宋体" w:cs="宋体"/>
                <w:sz w:val="24"/>
              </w:rPr>
              <w:t>b.“电子加密投标文件”成功上传递交后，投标供应商可自行打印投标文件接收回执。</w:t>
            </w:r>
          </w:p>
          <w:p>
            <w:pPr>
              <w:snapToGrid w:val="0"/>
              <w:spacing w:line="360" w:lineRule="auto"/>
              <w:rPr>
                <w:rFonts w:hint="eastAsia" w:ascii="宋体" w:hAnsi="宋体" w:cs="宋体"/>
                <w:sz w:val="24"/>
              </w:rPr>
            </w:pPr>
            <w:r>
              <w:rPr>
                <w:rFonts w:hint="eastAsia" w:ascii="宋体" w:hAnsi="宋体" w:cs="宋体"/>
                <w:sz w:val="24"/>
              </w:rPr>
              <w:t>（2）“备份投标文件”的上传、递交：</w:t>
            </w:r>
          </w:p>
          <w:p>
            <w:pPr>
              <w:snapToGrid w:val="0"/>
              <w:spacing w:line="360" w:lineRule="auto"/>
              <w:rPr>
                <w:rFonts w:hint="eastAsia" w:ascii="宋体" w:hAnsi="宋体" w:cs="宋体"/>
                <w:sz w:val="24"/>
              </w:rPr>
            </w:pPr>
            <w:r>
              <w:rPr>
                <w:rFonts w:hint="eastAsia" w:ascii="宋体" w:hAnsi="宋体" w:cs="宋体"/>
                <w:sz w:val="24"/>
              </w:rPr>
              <w:t>a.如果投标供应商在“政府采购云平台”完成的“电子加密投标文件”出现故障（遗失CA或其他原因）后，须在30分钟内上传数据电文形式的“备份投标文件”；</w:t>
            </w:r>
          </w:p>
          <w:p>
            <w:pPr>
              <w:snapToGrid w:val="0"/>
              <w:spacing w:line="360" w:lineRule="auto"/>
              <w:rPr>
                <w:rFonts w:hint="eastAsia" w:ascii="宋体" w:hAnsi="宋体" w:cs="宋体"/>
                <w:sz w:val="24"/>
              </w:rPr>
            </w:pPr>
            <w:r>
              <w:rPr>
                <w:rFonts w:hint="eastAsia" w:ascii="宋体" w:hAnsi="宋体" w:cs="宋体"/>
                <w:sz w:val="24"/>
              </w:rPr>
              <w:t>b.通过“政府采购云平台”成功上传递交的“电子加密投标文件”已按时解密的，“备份投标文件”自动失效。投标文件启用顺序和效力。投标文件的启用，按先后顺位分别为电子投标文件、数据电文形式的备份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b/>
                <w:bCs/>
                <w:sz w:val="24"/>
              </w:rPr>
              <w:t>所有投标文件逾期解密的视作无效标。</w:t>
            </w:r>
          </w:p>
          <w:p>
            <w:pPr>
              <w:snapToGrid w:val="0"/>
              <w:spacing w:line="360" w:lineRule="auto"/>
              <w:rPr>
                <w:rFonts w:hint="eastAsia" w:ascii="宋体" w:hAnsi="宋体" w:cs="宋体"/>
                <w:sz w:val="24"/>
              </w:rPr>
            </w:pPr>
            <w:r>
              <w:rPr>
                <w:rFonts w:hint="eastAsia" w:ascii="宋体" w:hAnsi="宋体" w:cs="宋体"/>
                <w:sz w:val="24"/>
              </w:rPr>
              <w:t>6、电子加密投标文件的解密和异常情况处理：</w:t>
            </w:r>
          </w:p>
          <w:p>
            <w:pPr>
              <w:snapToGrid w:val="0"/>
              <w:spacing w:line="360" w:lineRule="auto"/>
              <w:rPr>
                <w:rFonts w:hint="eastAsia" w:ascii="宋体" w:hAnsi="宋体" w:cs="宋体"/>
                <w:sz w:val="24"/>
              </w:rPr>
            </w:pPr>
            <w:r>
              <w:rPr>
                <w:rFonts w:hint="eastAsia" w:ascii="宋体" w:hAnsi="宋体" w:cs="宋体"/>
                <w:sz w:val="24"/>
              </w:rPr>
              <w:t>（1）开标后，采购代理机构将向各投标供应商发出“电子加密投标文件”的解密通知，各投标供应商代表应当在接到解密通知后30分钟内自行完成“电子加密投标文件”的在线解密。</w:t>
            </w:r>
          </w:p>
          <w:p>
            <w:pPr>
              <w:snapToGrid w:val="0"/>
              <w:spacing w:line="360" w:lineRule="auto"/>
              <w:rPr>
                <w:rFonts w:hint="eastAsia" w:ascii="宋体" w:hAnsi="宋体" w:cs="宋体"/>
                <w:sz w:val="24"/>
              </w:rPr>
            </w:pPr>
            <w:r>
              <w:rPr>
                <w:rFonts w:hint="eastAsia" w:ascii="宋体" w:hAnsi="宋体" w:cs="宋体"/>
                <w:sz w:val="24"/>
              </w:rPr>
              <w:t>（2）通过“政府采购云平台”成功上传“电子加密投标文件”的投标供应商，因遗失CA或其他原因，导致无法解密“电子加密投标文件”的，由代理机构通过政采云电子交易平台【异常处理】端口上传、解密按规定递交的“备份投标文件。</w:t>
            </w:r>
          </w:p>
          <w:p>
            <w:pPr>
              <w:snapToGrid w:val="0"/>
              <w:spacing w:line="360" w:lineRule="auto"/>
              <w:rPr>
                <w:rFonts w:hint="eastAsia" w:ascii="宋体" w:hAnsi="宋体" w:cs="宋体"/>
                <w:sz w:val="24"/>
              </w:rPr>
            </w:pPr>
            <w:r>
              <w:rPr>
                <w:rFonts w:hint="eastAsia" w:ascii="宋体" w:hAnsi="宋体" w:cs="宋体"/>
                <w:sz w:val="24"/>
              </w:rPr>
              <w:t>（3）投标供应商在规定的时间内无法完成投标文件解密的，视为自动放弃本项目的投标。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7</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投标截止时间：</w:t>
            </w:r>
            <w:r>
              <w:rPr>
                <w:rFonts w:hint="eastAsia" w:ascii="宋体" w:hAnsi="宋体" w:cs="宋体"/>
                <w:b/>
                <w:bCs/>
                <w:sz w:val="24"/>
                <w:u w:val="single"/>
              </w:rPr>
              <w:t>详见招标公告</w:t>
            </w:r>
            <w:r>
              <w:rPr>
                <w:rFonts w:hint="eastAsia" w:ascii="宋体" w:hAnsi="宋体" w:cs="宋体"/>
                <w:sz w:val="24"/>
              </w:rPr>
              <w:t>；</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投标文件递交地点：</w:t>
            </w:r>
            <w:r>
              <w:rPr>
                <w:rFonts w:hint="eastAsia" w:ascii="宋体" w:hAnsi="宋体" w:cs="宋体"/>
                <w:b/>
                <w:bCs/>
                <w:sz w:val="24"/>
                <w:u w:val="single"/>
              </w:rPr>
              <w:t>详见招标公告</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8</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 w:val="24"/>
              </w:rPr>
            </w:pPr>
            <w:r>
              <w:rPr>
                <w:rFonts w:hint="eastAsia" w:ascii="宋体" w:hAnsi="宋体" w:cs="宋体"/>
                <w:sz w:val="24"/>
              </w:rPr>
              <w:t>开标时间：</w:t>
            </w:r>
            <w:r>
              <w:rPr>
                <w:rFonts w:hint="eastAsia" w:ascii="宋体" w:hAnsi="宋体" w:cs="宋体"/>
                <w:b/>
                <w:bCs/>
                <w:sz w:val="24"/>
                <w:u w:val="single"/>
              </w:rPr>
              <w:t>详见招标公告</w:t>
            </w:r>
            <w:r>
              <w:rPr>
                <w:rFonts w:hint="eastAsia" w:ascii="宋体" w:hAnsi="宋体" w:cs="宋体"/>
                <w:sz w:val="24"/>
              </w:rPr>
              <w:t>；</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地点：</w:t>
            </w:r>
            <w:r>
              <w:rPr>
                <w:rFonts w:hint="eastAsia" w:ascii="宋体" w:hAnsi="宋体" w:cs="宋体"/>
                <w:b/>
                <w:bCs/>
                <w:sz w:val="24"/>
                <w:u w:val="single"/>
              </w:rPr>
              <w:t>详见招标公告</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9</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10</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sz w:val="24"/>
              </w:rPr>
            </w:pPr>
            <w:r>
              <w:rPr>
                <w:rFonts w:hint="eastAsia" w:ascii="宋体" w:hAnsi="宋体" w:cs="宋体"/>
                <w:sz w:val="24"/>
              </w:rPr>
              <w:t>中标结果公告：采购人依法确定中标供应商后2个工作日内发布，并公示1个工作日，中标结果公告公示于浙江政府采购网 （</w:t>
            </w:r>
            <w:r>
              <w:rPr>
                <w:rFonts w:hint="eastAsia" w:ascii="宋体" w:hAnsi="宋体" w:cs="宋体"/>
                <w:color w:val="333333"/>
                <w:sz w:val="24"/>
                <w:shd w:val="clear" w:color="auto" w:fill="FFFFFF"/>
              </w:rPr>
              <w:t>http://zfcg.czt.zj.gov.cn/</w:t>
            </w:r>
            <w:r>
              <w:rPr>
                <w:rFonts w:hint="eastAsia" w:ascii="宋体" w:hAnsi="宋体" w:cs="宋体"/>
                <w:sz w:val="24"/>
              </w:rPr>
              <w:t>）</w:t>
            </w:r>
            <w:r>
              <w:rPr>
                <w:rFonts w:hint="eastAsia" w:ascii="宋体" w:hAnsi="宋体" w:cs="宋体"/>
                <w:color w:val="000000"/>
                <w:kern w:val="0"/>
                <w:sz w:val="24"/>
                <w:lang w:bidi="ar"/>
              </w:rPr>
              <w:t>湖州市公共资源交易信息网（</w:t>
            </w:r>
            <w:r>
              <w:rPr>
                <w:rFonts w:hint="eastAsia" w:ascii="宋体" w:hAnsi="宋体" w:cs="宋体"/>
                <w:color w:val="333333"/>
                <w:sz w:val="24"/>
                <w:shd w:val="clear" w:color="auto" w:fill="FFFFFF"/>
              </w:rPr>
              <w:t>http://ggzy.huzhou.gov.cn/hzfront/</w:t>
            </w:r>
            <w:r>
              <w:rPr>
                <w:rFonts w:hint="eastAsia" w:ascii="宋体" w:hAnsi="宋体" w:cs="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11</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 w:val="24"/>
                <w:highlight w:val="red"/>
              </w:rPr>
            </w:pPr>
            <w:r>
              <w:rPr>
                <w:rFonts w:hint="eastAsia" w:ascii="宋体" w:hAnsi="宋体" w:cs="宋体"/>
                <w:sz w:val="24"/>
              </w:rPr>
              <w:t>履约保证金：</w:t>
            </w:r>
            <w:r>
              <w:rPr>
                <w:rFonts w:hint="eastAsia" w:ascii="宋体" w:hAnsi="宋体"/>
                <w:bCs/>
                <w:sz w:val="24"/>
              </w:rPr>
              <w:t>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12</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签订合同时间：中标通知书发出后30个工作日内。</w:t>
            </w:r>
          </w:p>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合同签订后由中标投标供应商向招标代理机构提供已签订的合同书面文件</w:t>
            </w:r>
            <w:r>
              <w:rPr>
                <w:rFonts w:hint="eastAsia" w:ascii="宋体" w:hAnsi="宋体" w:cs="宋体"/>
                <w:sz w:val="24"/>
                <w:lang w:val="en-US" w:eastAsia="zh-CN"/>
              </w:rPr>
              <w:t>1</w:t>
            </w:r>
            <w:r>
              <w:rPr>
                <w:rFonts w:hint="eastAsia" w:ascii="宋体" w:hAnsi="宋体" w:cs="宋体"/>
                <w:sz w:val="24"/>
              </w:rPr>
              <w:t>份用于合同备案。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13</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投标文件有效期：</w:t>
            </w:r>
            <w:r>
              <w:rPr>
                <w:rFonts w:hint="eastAsia" w:ascii="宋体" w:hAnsi="宋体" w:cs="宋体"/>
                <w:sz w:val="24"/>
                <w:u w:val="single"/>
              </w:rPr>
              <w:t>60</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14</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 w:val="24"/>
              </w:rPr>
            </w:pPr>
            <w:r>
              <w:rPr>
                <w:rFonts w:hint="eastAsia" w:ascii="宋体" w:hAnsi="宋体" w:cs="宋体"/>
                <w:sz w:val="24"/>
              </w:rPr>
              <w:t>在确定中标供应商后，领取中标通知书前，中标供应商须提供二份完整的纸质投标文件给采购人，纸质投标文件须与电子投标文件格式及内容一致。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15</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 w:val="24"/>
              </w:rPr>
            </w:pPr>
            <w:r>
              <w:rPr>
                <w:rFonts w:hint="eastAsia" w:ascii="宋体" w:hAnsi="宋体" w:cs="宋体"/>
                <w:sz w:val="24"/>
              </w:rPr>
              <w:t>解释：本采购文件的解释权属于采购人。</w:t>
            </w:r>
          </w:p>
        </w:tc>
      </w:tr>
    </w:tbl>
    <w:p>
      <w:pPr>
        <w:pStyle w:val="34"/>
        <w:spacing w:line="360" w:lineRule="auto"/>
        <w:ind w:firstLine="210" w:firstLineChars="100"/>
        <w:rPr>
          <w:rFonts w:hint="eastAsia" w:hAnsi="宋体" w:cs="宋体"/>
          <w:b/>
          <w:sz w:val="24"/>
          <w:szCs w:val="24"/>
        </w:rPr>
      </w:pPr>
      <w:r>
        <w:rPr>
          <w:rFonts w:hint="eastAsia" w:hAnsi="宋体" w:cs="宋体"/>
        </w:rPr>
        <w:br w:type="page"/>
      </w:r>
      <w:bookmarkStart w:id="43" w:name="_Toc50524658"/>
      <w:bookmarkStart w:id="44" w:name="_Toc245801500"/>
      <w:r>
        <w:rPr>
          <w:rFonts w:hint="eastAsia" w:hAnsi="宋体" w:cs="宋体"/>
          <w:b/>
          <w:sz w:val="24"/>
          <w:szCs w:val="24"/>
        </w:rPr>
        <w:t>一、总则</w:t>
      </w:r>
    </w:p>
    <w:p>
      <w:pPr>
        <w:snapToGrid w:val="0"/>
        <w:spacing w:line="360" w:lineRule="auto"/>
        <w:ind w:firstLine="482" w:firstLineChars="200"/>
        <w:jc w:val="left"/>
        <w:rPr>
          <w:rFonts w:hint="eastAsia" w:ascii="宋体" w:hAnsi="宋体" w:cs="宋体"/>
          <w:b/>
          <w:sz w:val="24"/>
        </w:rPr>
      </w:pPr>
      <w:r>
        <w:rPr>
          <w:rFonts w:hint="eastAsia" w:ascii="宋体" w:hAnsi="宋体" w:cs="宋体"/>
          <w:b/>
          <w:sz w:val="24"/>
        </w:rPr>
        <w:t>（一） 适用范围</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本采购文件适用于</w:t>
      </w:r>
      <w:r>
        <w:rPr>
          <w:rFonts w:hint="eastAsia" w:ascii="宋体" w:hAnsi="宋体" w:cs="宋体"/>
          <w:sz w:val="24"/>
          <w:u w:val="single"/>
        </w:rPr>
        <w:t>平安风险预警预测防控应用项目</w:t>
      </w:r>
      <w:r>
        <w:rPr>
          <w:rFonts w:hint="eastAsia" w:ascii="宋体" w:hAnsi="宋体" w:cs="宋体"/>
          <w:sz w:val="24"/>
        </w:rPr>
        <w:t>的采购、投标、评标、定标、合同履约、付款等行为（法律、法规另有规定的，从其规定）。</w:t>
      </w:r>
    </w:p>
    <w:p>
      <w:pPr>
        <w:snapToGrid w:val="0"/>
        <w:spacing w:line="360" w:lineRule="auto"/>
        <w:ind w:firstLine="482" w:firstLineChars="200"/>
        <w:jc w:val="left"/>
        <w:rPr>
          <w:rFonts w:hint="eastAsia" w:ascii="宋体" w:hAnsi="宋体" w:cs="宋体"/>
          <w:b/>
          <w:sz w:val="24"/>
        </w:rPr>
      </w:pPr>
      <w:r>
        <w:rPr>
          <w:rFonts w:hint="eastAsia" w:ascii="宋体" w:hAnsi="宋体" w:cs="宋体"/>
          <w:b/>
          <w:sz w:val="24"/>
        </w:rPr>
        <w:t>（二）定义</w:t>
      </w:r>
    </w:p>
    <w:p>
      <w:pPr>
        <w:pStyle w:val="34"/>
        <w:spacing w:line="360" w:lineRule="auto"/>
        <w:ind w:firstLine="480" w:firstLineChars="200"/>
        <w:rPr>
          <w:rFonts w:hint="eastAsia" w:hAnsi="宋体" w:cs="宋体"/>
          <w:sz w:val="24"/>
          <w:szCs w:val="24"/>
        </w:rPr>
      </w:pPr>
      <w:r>
        <w:rPr>
          <w:rFonts w:hint="eastAsia" w:hAnsi="宋体" w:cs="宋体"/>
          <w:sz w:val="24"/>
        </w:rPr>
        <w:t>1、“采购人”系指中共湖州市委政法委员会 。</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2、“投标供应商”系指提交投标文件的单位或个人。</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3、“采购代理机构”系指湖州星兴工程咨询有限公司。</w:t>
      </w:r>
    </w:p>
    <w:p>
      <w:pPr>
        <w:snapToGrid w:val="0"/>
        <w:spacing w:line="360" w:lineRule="auto"/>
        <w:ind w:left="479" w:leftChars="228"/>
        <w:jc w:val="left"/>
        <w:rPr>
          <w:rFonts w:hint="eastAsia" w:ascii="宋体" w:hAnsi="宋体" w:cs="宋体"/>
          <w:sz w:val="24"/>
        </w:rPr>
      </w:pPr>
      <w:r>
        <w:rPr>
          <w:rFonts w:hint="eastAsia" w:ascii="宋体" w:hAnsi="宋体" w:cs="宋体"/>
          <w:sz w:val="24"/>
        </w:rPr>
        <w:t>4、“服务”系指采购文件规定投标供应商中标后须承担的与本项目有关的义务。</w:t>
      </w:r>
    </w:p>
    <w:p>
      <w:pPr>
        <w:snapToGrid w:val="0"/>
        <w:spacing w:line="360" w:lineRule="auto"/>
        <w:ind w:left="479" w:leftChars="228"/>
        <w:jc w:val="left"/>
        <w:rPr>
          <w:rFonts w:hint="eastAsia" w:ascii="宋体" w:hAnsi="宋体" w:cs="宋体"/>
          <w:sz w:val="24"/>
        </w:rPr>
      </w:pPr>
      <w:r>
        <w:rPr>
          <w:rFonts w:hint="eastAsia" w:ascii="宋体" w:hAnsi="宋体" w:cs="宋体"/>
          <w:sz w:val="24"/>
        </w:rPr>
        <w:t>5、“项目”系指投标供应商按采购文件规定向采购人提供的产品和服务。</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6、“书面形式”包括信函、传真、</w:t>
      </w:r>
      <w:r>
        <w:rPr>
          <w:rFonts w:hint="eastAsia" w:ascii="宋体" w:hAnsi="宋体" w:cs="宋体"/>
          <w:kern w:val="0"/>
          <w:sz w:val="24"/>
        </w:rPr>
        <w:t>电子扫描件</w:t>
      </w:r>
      <w:r>
        <w:rPr>
          <w:rFonts w:hint="eastAsia" w:ascii="宋体" w:hAnsi="宋体" w:cs="宋体"/>
          <w:sz w:val="24"/>
        </w:rPr>
        <w:t>等。</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7、标注“▲”系指实质性要求条款。</w:t>
      </w:r>
    </w:p>
    <w:p>
      <w:pPr>
        <w:snapToGrid w:val="0"/>
        <w:spacing w:line="360" w:lineRule="auto"/>
        <w:ind w:firstLine="472" w:firstLineChars="196"/>
        <w:jc w:val="left"/>
        <w:outlineLvl w:val="1"/>
        <w:rPr>
          <w:rFonts w:hint="eastAsia" w:ascii="宋体" w:hAnsi="宋体" w:cs="宋体"/>
          <w:b/>
          <w:sz w:val="24"/>
        </w:rPr>
      </w:pPr>
      <w:r>
        <w:rPr>
          <w:rFonts w:hint="eastAsia" w:ascii="宋体" w:hAnsi="宋体" w:cs="宋体"/>
          <w:b/>
          <w:sz w:val="24"/>
        </w:rPr>
        <w:t>（三）采购方式</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本次采购采用公开招标方式进行。</w:t>
      </w:r>
    </w:p>
    <w:p>
      <w:pPr>
        <w:snapToGrid w:val="0"/>
        <w:spacing w:line="360" w:lineRule="auto"/>
        <w:ind w:firstLine="472" w:firstLineChars="196"/>
        <w:jc w:val="left"/>
        <w:outlineLvl w:val="1"/>
        <w:rPr>
          <w:rFonts w:hint="eastAsia" w:ascii="宋体" w:hAnsi="宋体" w:cs="宋体"/>
          <w:b/>
          <w:sz w:val="24"/>
        </w:rPr>
      </w:pPr>
      <w:r>
        <w:rPr>
          <w:rFonts w:hint="eastAsia" w:ascii="宋体" w:hAnsi="宋体" w:cs="宋体"/>
          <w:b/>
          <w:sz w:val="24"/>
        </w:rPr>
        <w:t>（四）投标费用</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1、不论投标结果如何，投标供应商均应自行承担所有与投标有关的全部费用（采购文件有相关规定除外）。</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2、本项目招标代理服务费按</w:t>
      </w:r>
      <w:r>
        <w:rPr>
          <w:rFonts w:hint="eastAsia" w:ascii="宋体" w:hAnsi="宋体" w:cs="宋体"/>
          <w:b/>
          <w:bCs/>
          <w:sz w:val="24"/>
          <w:u w:val="single"/>
        </w:rPr>
        <w:t>壹万陆仟捌佰</w:t>
      </w:r>
      <w:r>
        <w:rPr>
          <w:rFonts w:hint="eastAsia" w:ascii="宋体" w:hAnsi="宋体" w:cs="宋体"/>
          <w:sz w:val="24"/>
        </w:rPr>
        <w:t>元整收取，由中标供应商全额支付，投标供应商应自行考虑列入投标报价。</w:t>
      </w:r>
    </w:p>
    <w:p>
      <w:pPr>
        <w:snapToGrid w:val="0"/>
        <w:spacing w:line="360" w:lineRule="auto"/>
        <w:ind w:firstLine="472" w:firstLineChars="196"/>
        <w:jc w:val="left"/>
        <w:rPr>
          <w:rFonts w:hint="eastAsia" w:ascii="宋体" w:hAnsi="宋体" w:cs="宋体"/>
          <w:b/>
          <w:sz w:val="24"/>
        </w:rPr>
      </w:pPr>
      <w:r>
        <w:rPr>
          <w:rFonts w:hint="eastAsia" w:ascii="宋体" w:hAnsi="宋体" w:cs="宋体"/>
          <w:b/>
          <w:sz w:val="24"/>
        </w:rPr>
        <w:t>（五）联合体投标</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本项目不接受联合体投标。</w:t>
      </w:r>
    </w:p>
    <w:p>
      <w:pPr>
        <w:snapToGrid w:val="0"/>
        <w:spacing w:line="360" w:lineRule="auto"/>
        <w:ind w:firstLine="472" w:firstLineChars="196"/>
        <w:rPr>
          <w:rFonts w:hint="eastAsia" w:ascii="宋体" w:hAnsi="宋体" w:cs="宋体"/>
          <w:b/>
          <w:sz w:val="24"/>
        </w:rPr>
      </w:pPr>
      <w:r>
        <w:rPr>
          <w:rFonts w:hint="eastAsia" w:ascii="宋体" w:hAnsi="宋体" w:cs="宋体"/>
          <w:b/>
          <w:sz w:val="24"/>
        </w:rPr>
        <w:t>（六）转包与分包</w:t>
      </w:r>
    </w:p>
    <w:p>
      <w:pPr>
        <w:snapToGrid w:val="0"/>
        <w:spacing w:line="360" w:lineRule="auto"/>
        <w:ind w:firstLine="470" w:firstLineChars="196"/>
        <w:rPr>
          <w:rFonts w:hint="eastAsia" w:ascii="宋体" w:hAnsi="宋体" w:cs="宋体"/>
          <w:sz w:val="24"/>
        </w:rPr>
      </w:pPr>
      <w:r>
        <w:rPr>
          <w:rFonts w:hint="eastAsia" w:ascii="宋体" w:hAnsi="宋体" w:cs="宋体"/>
          <w:sz w:val="24"/>
        </w:rPr>
        <w:t>本项目不允许转包和分包。</w:t>
      </w:r>
    </w:p>
    <w:p>
      <w:pPr>
        <w:numPr>
          <w:ilvl w:val="0"/>
          <w:numId w:val="16"/>
        </w:numPr>
        <w:snapToGrid w:val="0"/>
        <w:spacing w:line="360" w:lineRule="auto"/>
        <w:ind w:firstLine="472" w:firstLineChars="196"/>
        <w:rPr>
          <w:rFonts w:hint="eastAsia" w:ascii="宋体" w:hAnsi="宋体" w:cs="宋体"/>
          <w:b/>
          <w:sz w:val="24"/>
        </w:rPr>
      </w:pPr>
      <w:r>
        <w:rPr>
          <w:rFonts w:hint="eastAsia" w:ascii="宋体" w:hAnsi="宋体" w:cs="宋体"/>
          <w:b/>
          <w:sz w:val="24"/>
        </w:rPr>
        <w:t>特别说明：</w:t>
      </w:r>
    </w:p>
    <w:p>
      <w:pPr>
        <w:pStyle w:val="3"/>
        <w:ind w:firstLine="480" w:firstLineChars="200"/>
        <w:rPr>
          <w:rFonts w:hint="eastAsia" w:ascii="宋体" w:eastAsia="宋体" w:cs="宋体"/>
        </w:rPr>
      </w:pPr>
      <w:r>
        <w:rPr>
          <w:rFonts w:hint="eastAsia" w:ascii="宋体" w:eastAsia="宋体" w:cs="宋体"/>
          <w:b w:val="0"/>
          <w:sz w:val="24"/>
          <w:szCs w:val="24"/>
        </w:rPr>
        <w:t>▲1、单位负责人为同一人或者存在直接控股、管理关系的不同投标供应商，不得参加同一合同项下的政府采购活动。</w:t>
      </w:r>
    </w:p>
    <w:p>
      <w:pPr>
        <w:pStyle w:val="34"/>
        <w:snapToGrid w:val="0"/>
        <w:spacing w:line="360" w:lineRule="auto"/>
        <w:ind w:firstLine="470" w:firstLineChars="196"/>
        <w:outlineLvl w:val="1"/>
        <w:rPr>
          <w:rFonts w:hint="eastAsia" w:hAnsi="宋体" w:cs="宋体"/>
          <w:kern w:val="0"/>
          <w:sz w:val="24"/>
          <w:szCs w:val="24"/>
        </w:rPr>
      </w:pPr>
      <w:r>
        <w:rPr>
          <w:rFonts w:hint="eastAsia" w:hAnsi="宋体" w:cs="宋体"/>
          <w:kern w:val="0"/>
          <w:sz w:val="24"/>
          <w:szCs w:val="24"/>
        </w:rPr>
        <w:t>▲2、投标供应商投标所使用的资格、信誉、荣誉、业绩与企业认证必须为本公司所拥有。投标供应商投标所使用的项目实施人员必须为本公司员工（或必须为控股公司正式员工，以社保证明为准）。</w:t>
      </w:r>
    </w:p>
    <w:p>
      <w:pPr>
        <w:pStyle w:val="34"/>
        <w:snapToGrid w:val="0"/>
        <w:spacing w:line="360" w:lineRule="auto"/>
        <w:ind w:firstLine="470" w:firstLineChars="196"/>
        <w:outlineLvl w:val="1"/>
        <w:rPr>
          <w:rFonts w:hint="eastAsia" w:hAnsi="宋体" w:cs="宋体"/>
          <w:kern w:val="0"/>
          <w:sz w:val="24"/>
          <w:szCs w:val="24"/>
        </w:rPr>
      </w:pPr>
      <w:r>
        <w:rPr>
          <w:rFonts w:hint="eastAsia" w:hAnsi="宋体" w:cs="宋体"/>
          <w:kern w:val="0"/>
          <w:sz w:val="24"/>
          <w:szCs w:val="24"/>
        </w:rPr>
        <w:t>▲3、投标供应商应仔细阅读采购文件的所有内容，按照采购文件的要求提交投标文件，并对所提供的全部资料的真实性承担法律责任。</w:t>
      </w:r>
    </w:p>
    <w:p>
      <w:pPr>
        <w:pStyle w:val="34"/>
        <w:snapToGrid w:val="0"/>
        <w:spacing w:line="360" w:lineRule="auto"/>
        <w:ind w:firstLine="470" w:firstLineChars="196"/>
        <w:outlineLvl w:val="1"/>
        <w:rPr>
          <w:rFonts w:hint="eastAsia" w:hAnsi="宋体" w:cs="宋体"/>
          <w:kern w:val="0"/>
          <w:sz w:val="24"/>
          <w:szCs w:val="24"/>
        </w:rPr>
      </w:pPr>
      <w:r>
        <w:rPr>
          <w:rFonts w:hint="eastAsia" w:hAnsi="宋体" w:cs="宋体"/>
          <w:kern w:val="0"/>
          <w:sz w:val="24"/>
          <w:szCs w:val="24"/>
        </w:rPr>
        <w:t>▲4、投标供应商在投标活动中提供任何虚假材料,其投标无效，并报监管部门查处；中标后发现的,中标供应商须依照《中华人民共和国消费者权益保护法》之规定双倍赔偿采购人，且民事赔偿并不免除违法投标供应商的行政与刑事责任。</w:t>
      </w:r>
    </w:p>
    <w:p>
      <w:pPr>
        <w:pStyle w:val="34"/>
        <w:snapToGrid w:val="0"/>
        <w:spacing w:line="360" w:lineRule="auto"/>
        <w:ind w:firstLine="470" w:firstLineChars="196"/>
        <w:outlineLvl w:val="1"/>
        <w:rPr>
          <w:rFonts w:hint="eastAsia" w:hAnsi="宋体" w:cs="宋体"/>
          <w:kern w:val="0"/>
          <w:sz w:val="24"/>
          <w:szCs w:val="24"/>
        </w:rPr>
      </w:pPr>
      <w:r>
        <w:rPr>
          <w:rFonts w:hint="eastAsia" w:hAnsi="宋体" w:cs="宋体"/>
          <w:kern w:val="0"/>
          <w:sz w:val="24"/>
          <w:szCs w:val="24"/>
        </w:rPr>
        <w:t>5、本次采购采取开标后资格审查，采购代理机构不保证所有报名的投标供应商都符合投标供应商资格要求。</w:t>
      </w:r>
    </w:p>
    <w:p>
      <w:pPr>
        <w:pStyle w:val="34"/>
        <w:snapToGrid w:val="0"/>
        <w:spacing w:line="360" w:lineRule="auto"/>
        <w:ind w:firstLine="472" w:firstLineChars="196"/>
        <w:outlineLvl w:val="1"/>
        <w:rPr>
          <w:rFonts w:hint="eastAsia" w:hAnsi="宋体" w:cs="宋体"/>
          <w:b/>
          <w:bCs/>
          <w:sz w:val="24"/>
          <w:szCs w:val="24"/>
        </w:rPr>
      </w:pPr>
      <w:r>
        <w:rPr>
          <w:rFonts w:hint="eastAsia" w:hAnsi="宋体" w:cs="宋体"/>
          <w:b/>
          <w:bCs/>
          <w:sz w:val="24"/>
          <w:szCs w:val="24"/>
        </w:rPr>
        <w:t>（八）质疑和投诉</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1、供应商认为采购文件、采购过程、中标结果使自己的权益受到损害的，可以在知道或者应知其权益受到损害之日起7个工作日内，以书面形式向采购人、采购代理机构提出质疑。供应商对</w:t>
      </w:r>
      <w:r>
        <w:rPr>
          <w:rFonts w:hint="eastAsia" w:hAnsi="宋体" w:cs="宋体"/>
          <w:sz w:val="24"/>
        </w:rPr>
        <w:t>采购人、采购代理机构</w:t>
      </w:r>
      <w:r>
        <w:rPr>
          <w:rFonts w:hint="eastAsia" w:hAnsi="宋体" w:cs="宋体"/>
          <w:kern w:val="0"/>
          <w:sz w:val="24"/>
          <w:szCs w:val="24"/>
        </w:rPr>
        <w:t>的质疑答复不满意或者</w:t>
      </w:r>
      <w:r>
        <w:rPr>
          <w:rFonts w:hint="eastAsia" w:hAnsi="宋体" w:cs="宋体"/>
          <w:sz w:val="24"/>
        </w:rPr>
        <w:t>采购人、采购代理机构</w:t>
      </w:r>
      <w:r>
        <w:rPr>
          <w:rFonts w:hint="eastAsia" w:hAnsi="宋体" w:cs="宋体"/>
          <w:kern w:val="0"/>
          <w:sz w:val="24"/>
          <w:szCs w:val="24"/>
        </w:rPr>
        <w:t>未在规定时间内作出答复的，可以在答复期满后十五个工作日内向同级采购监管部门提起投诉。</w:t>
      </w:r>
    </w:p>
    <w:p>
      <w:pPr>
        <w:spacing w:line="500" w:lineRule="exact"/>
        <w:ind w:firstLine="480" w:firstLineChars="200"/>
        <w:rPr>
          <w:rFonts w:hint="eastAsia" w:ascii="宋体" w:hAnsi="宋体" w:cs="宋体"/>
          <w:sz w:val="24"/>
        </w:rPr>
      </w:pPr>
      <w:r>
        <w:rPr>
          <w:rFonts w:hint="eastAsia" w:ascii="宋体" w:hAnsi="宋体" w:cs="宋体"/>
          <w:kern w:val="0"/>
          <w:sz w:val="24"/>
        </w:rPr>
        <w:t>2、</w:t>
      </w:r>
      <w:r>
        <w:rPr>
          <w:rFonts w:hint="eastAsia" w:ascii="宋体" w:hAnsi="宋体" w:cs="宋体"/>
          <w:sz w:val="24"/>
        </w:rPr>
        <w:t>提出质疑的投标供应商（以下简称质疑投标供应商）应当是参与所质疑项目采购活动的投标供应商。</w:t>
      </w:r>
    </w:p>
    <w:p>
      <w:pPr>
        <w:spacing w:line="500" w:lineRule="exact"/>
        <w:ind w:firstLine="480" w:firstLineChars="200"/>
        <w:rPr>
          <w:rFonts w:hint="eastAsia" w:ascii="宋体" w:hAnsi="宋体" w:cs="宋体"/>
          <w:kern w:val="0"/>
          <w:sz w:val="24"/>
        </w:rPr>
      </w:pPr>
      <w:r>
        <w:rPr>
          <w:rFonts w:hint="eastAsia" w:ascii="宋体" w:hAnsi="宋体" w:cs="宋体"/>
          <w:sz w:val="24"/>
        </w:rPr>
        <w:t>潜在投标供应商已依法获取其可质疑的采购文件的，可以对该文件提出质疑。对采购文件提出质疑的，应当在获取采购文件或者采购文件公告期限届满之日起7个工作日内提出。</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3、供应商提出质疑应当提交质疑函和必要的证明材料。质疑函应当包括下列内容：</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1）供应商的姓名或者名称、地址、邮编、联系人及联系电话；</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2）质疑项目的名称、编号；</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3）具体、明确的质疑事项和与质疑事项相关的请求；</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4）事实依据；</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5）必要的法律依据；</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6）提出质疑的日期。</w:t>
      </w:r>
    </w:p>
    <w:p>
      <w:pPr>
        <w:snapToGrid w:val="0"/>
        <w:spacing w:line="360" w:lineRule="auto"/>
        <w:ind w:firstLine="480" w:firstLineChars="200"/>
        <w:rPr>
          <w:rFonts w:hint="eastAsia" w:ascii="宋体" w:hAnsi="宋体" w:cs="宋体"/>
        </w:rPr>
      </w:pPr>
      <w:r>
        <w:rPr>
          <w:rFonts w:hint="eastAsia" w:ascii="宋体" w:hAnsi="宋体" w:cs="宋体"/>
          <w:kern w:val="0"/>
          <w:sz w:val="24"/>
        </w:rPr>
        <w:t>投标供应商为自然人的，应当由本人签字；投标供应商为法人或者其他组织的，应当由法定代表人、主要负责人，或者其授权代表签字或者盖章，并加盖公章。</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4、投诉人提起投诉应当符合下列条件：</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1）提起投诉前已依法进行质疑；</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2）投诉书内容符合本办法的规定；</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3）在投诉有效期限内提起投诉；</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4）同一投诉事项未经财政部门投诉处理；</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5）财政部规定的其他条件。</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5、投诉人投诉时,应当提交投诉书和必要的证明材料，并按照被投诉采购人、采购代理机构和与投诉事项有关的供应商数量提供投诉书的副本。投诉书应当包括下列内容：</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1）投诉人和被投诉人的姓名或者名称、通讯地址、邮编、联系人及联系电话；</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2）质疑和质疑答复情况说明及相关证明材料；</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3）具体、明确的投诉事项和与投诉事项相关的投诉请求；</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4）事实依据；</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5）法律依据；</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6）提起投诉的日期。</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质疑供应商对采购人、采购代理机构的答复不满意，或者采购人、采购代理机构未在规定时间内作出答复的，可以在答复期满后15个工作日内向本办法第六条规定的财政部门提起投诉。</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34"/>
        <w:spacing w:line="360" w:lineRule="auto"/>
        <w:ind w:firstLine="480" w:firstLineChars="200"/>
        <w:rPr>
          <w:rFonts w:hint="eastAsia" w:hAnsi="宋体" w:cs="宋体"/>
          <w:kern w:val="0"/>
          <w:sz w:val="24"/>
          <w:szCs w:val="24"/>
        </w:rPr>
      </w:pPr>
      <w:r>
        <w:rPr>
          <w:rFonts w:hint="eastAsia" w:hAnsi="宋体" w:cs="宋体"/>
          <w:kern w:val="0"/>
          <w:sz w:val="24"/>
          <w:szCs w:val="24"/>
        </w:rPr>
        <w:t>6、质疑函模板参照浙江政府采购网下载专区下载。</w:t>
      </w:r>
    </w:p>
    <w:p>
      <w:pPr>
        <w:pStyle w:val="34"/>
        <w:snapToGrid w:val="0"/>
        <w:spacing w:line="360" w:lineRule="auto"/>
        <w:ind w:firstLine="482" w:firstLineChars="200"/>
        <w:rPr>
          <w:rFonts w:hint="eastAsia" w:hAnsi="宋体" w:cs="宋体"/>
          <w:b/>
          <w:sz w:val="24"/>
          <w:szCs w:val="24"/>
        </w:rPr>
      </w:pPr>
      <w:r>
        <w:rPr>
          <w:rFonts w:hint="eastAsia" w:hAnsi="宋体" w:cs="宋体"/>
          <w:b/>
          <w:sz w:val="24"/>
          <w:szCs w:val="24"/>
        </w:rPr>
        <w:t>二、采购文件</w:t>
      </w:r>
    </w:p>
    <w:p>
      <w:pPr>
        <w:snapToGrid w:val="0"/>
        <w:spacing w:line="360" w:lineRule="auto"/>
        <w:ind w:firstLine="472" w:firstLineChars="196"/>
        <w:jc w:val="left"/>
        <w:rPr>
          <w:rFonts w:hint="eastAsia" w:ascii="宋体" w:hAnsi="宋体" w:cs="宋体"/>
          <w:b/>
          <w:sz w:val="24"/>
        </w:rPr>
      </w:pPr>
      <w:r>
        <w:rPr>
          <w:rFonts w:hint="eastAsia" w:ascii="宋体" w:hAnsi="宋体" w:cs="宋体"/>
          <w:b/>
          <w:sz w:val="24"/>
        </w:rPr>
        <w:t>（一）采购文件的构成。本采购文件由以下部分组成：</w:t>
      </w:r>
    </w:p>
    <w:p>
      <w:pPr>
        <w:pStyle w:val="34"/>
        <w:snapToGrid w:val="0"/>
        <w:spacing w:line="360" w:lineRule="auto"/>
        <w:ind w:firstLine="480" w:firstLineChars="200"/>
        <w:rPr>
          <w:rFonts w:hint="eastAsia" w:hAnsi="宋体" w:cs="宋体"/>
          <w:bCs/>
          <w:sz w:val="24"/>
          <w:szCs w:val="24"/>
        </w:rPr>
      </w:pPr>
      <w:r>
        <w:rPr>
          <w:rFonts w:hint="eastAsia" w:hAnsi="宋体" w:cs="宋体"/>
          <w:bCs/>
          <w:sz w:val="24"/>
          <w:szCs w:val="24"/>
        </w:rPr>
        <w:t>1、公开招标采购公告</w:t>
      </w:r>
    </w:p>
    <w:p>
      <w:pPr>
        <w:pStyle w:val="34"/>
        <w:snapToGrid w:val="0"/>
        <w:spacing w:line="360" w:lineRule="auto"/>
        <w:ind w:firstLine="480" w:firstLineChars="200"/>
        <w:rPr>
          <w:rFonts w:hint="eastAsia" w:hAnsi="宋体" w:cs="宋体"/>
          <w:bCs/>
          <w:sz w:val="24"/>
          <w:szCs w:val="24"/>
        </w:rPr>
      </w:pPr>
      <w:r>
        <w:rPr>
          <w:rFonts w:hint="eastAsia" w:hAnsi="宋体" w:cs="宋体"/>
          <w:bCs/>
          <w:sz w:val="24"/>
          <w:szCs w:val="24"/>
        </w:rPr>
        <w:t>2、采购需求</w:t>
      </w:r>
    </w:p>
    <w:p>
      <w:pPr>
        <w:pStyle w:val="34"/>
        <w:snapToGrid w:val="0"/>
        <w:spacing w:line="360" w:lineRule="auto"/>
        <w:ind w:firstLine="480" w:firstLineChars="200"/>
        <w:rPr>
          <w:rFonts w:hint="eastAsia" w:hAnsi="宋体" w:cs="宋体"/>
          <w:bCs/>
          <w:sz w:val="24"/>
          <w:szCs w:val="24"/>
        </w:rPr>
      </w:pPr>
      <w:r>
        <w:rPr>
          <w:rFonts w:hint="eastAsia" w:hAnsi="宋体" w:cs="宋体"/>
          <w:bCs/>
          <w:sz w:val="24"/>
          <w:szCs w:val="24"/>
        </w:rPr>
        <w:t>3、投标供应商须知</w:t>
      </w:r>
    </w:p>
    <w:p>
      <w:pPr>
        <w:pStyle w:val="34"/>
        <w:snapToGrid w:val="0"/>
        <w:spacing w:line="360" w:lineRule="auto"/>
        <w:ind w:firstLine="480" w:firstLineChars="200"/>
        <w:rPr>
          <w:rFonts w:hint="eastAsia" w:hAnsi="宋体" w:cs="宋体"/>
          <w:bCs/>
          <w:sz w:val="24"/>
          <w:szCs w:val="24"/>
        </w:rPr>
      </w:pPr>
      <w:r>
        <w:rPr>
          <w:rFonts w:hint="eastAsia" w:hAnsi="宋体" w:cs="宋体"/>
          <w:bCs/>
          <w:sz w:val="24"/>
          <w:szCs w:val="24"/>
        </w:rPr>
        <w:t>4、评标办法和细则</w:t>
      </w:r>
    </w:p>
    <w:p>
      <w:pPr>
        <w:pStyle w:val="34"/>
        <w:snapToGrid w:val="0"/>
        <w:spacing w:line="360" w:lineRule="auto"/>
        <w:ind w:firstLine="480" w:firstLineChars="200"/>
        <w:rPr>
          <w:rFonts w:hint="eastAsia" w:hAnsi="宋体" w:cs="宋体"/>
          <w:bCs/>
          <w:sz w:val="24"/>
          <w:szCs w:val="24"/>
        </w:rPr>
      </w:pPr>
      <w:r>
        <w:rPr>
          <w:rFonts w:hint="eastAsia" w:hAnsi="宋体" w:cs="宋体"/>
          <w:bCs/>
          <w:sz w:val="24"/>
          <w:szCs w:val="24"/>
        </w:rPr>
        <w:t>5、采购合同范本</w:t>
      </w:r>
    </w:p>
    <w:p>
      <w:pPr>
        <w:pStyle w:val="34"/>
        <w:snapToGrid w:val="0"/>
        <w:spacing w:line="360" w:lineRule="auto"/>
        <w:ind w:firstLine="480" w:firstLineChars="200"/>
        <w:rPr>
          <w:rFonts w:hint="eastAsia" w:hAnsi="宋体" w:cs="宋体"/>
          <w:bCs/>
          <w:sz w:val="24"/>
          <w:szCs w:val="24"/>
        </w:rPr>
      </w:pPr>
      <w:r>
        <w:rPr>
          <w:rFonts w:hint="eastAsia" w:hAnsi="宋体" w:cs="宋体"/>
          <w:bCs/>
          <w:sz w:val="24"/>
          <w:szCs w:val="24"/>
        </w:rPr>
        <w:t>6、相关文件格式</w:t>
      </w:r>
    </w:p>
    <w:p>
      <w:pPr>
        <w:pStyle w:val="34"/>
        <w:snapToGrid w:val="0"/>
        <w:spacing w:line="360" w:lineRule="auto"/>
        <w:ind w:firstLine="480" w:firstLineChars="200"/>
        <w:rPr>
          <w:rFonts w:hint="eastAsia" w:hAnsi="宋体" w:cs="宋体"/>
          <w:bCs/>
          <w:sz w:val="24"/>
          <w:szCs w:val="24"/>
        </w:rPr>
      </w:pPr>
      <w:r>
        <w:rPr>
          <w:rFonts w:hint="eastAsia" w:hAnsi="宋体" w:cs="宋体"/>
          <w:bCs/>
          <w:sz w:val="24"/>
          <w:szCs w:val="24"/>
        </w:rPr>
        <w:t>7、本项目采购文件的澄清、答复、修改、补充的内容</w:t>
      </w:r>
    </w:p>
    <w:p>
      <w:pPr>
        <w:snapToGrid w:val="0"/>
        <w:spacing w:line="360" w:lineRule="auto"/>
        <w:ind w:firstLine="472" w:firstLineChars="196"/>
        <w:jc w:val="left"/>
        <w:rPr>
          <w:rFonts w:hint="eastAsia" w:ascii="宋体" w:hAnsi="宋体" w:cs="宋体"/>
          <w:b/>
          <w:sz w:val="24"/>
        </w:rPr>
      </w:pPr>
      <w:r>
        <w:rPr>
          <w:rFonts w:hint="eastAsia" w:ascii="宋体" w:hAnsi="宋体" w:cs="宋体"/>
          <w:b/>
          <w:sz w:val="24"/>
        </w:rPr>
        <w:t>（二）投标供应商的风险</w:t>
      </w:r>
    </w:p>
    <w:p>
      <w:pPr>
        <w:pStyle w:val="49"/>
        <w:spacing w:after="0" w:line="360" w:lineRule="auto"/>
        <w:ind w:left="0" w:leftChars="0" w:firstLine="480" w:firstLineChars="200"/>
        <w:rPr>
          <w:rFonts w:hint="eastAsia" w:ascii="宋体" w:hAnsi="宋体" w:cs="宋体"/>
          <w:sz w:val="24"/>
          <w:szCs w:val="24"/>
        </w:rPr>
      </w:pPr>
      <w:r>
        <w:rPr>
          <w:rFonts w:hint="eastAsia" w:ascii="宋体" w:hAnsi="宋体" w:cs="宋体"/>
          <w:sz w:val="24"/>
          <w:szCs w:val="24"/>
        </w:rPr>
        <w:t>投标供应商没有按照采购文件要求提供全部资料，或者投标供应商没有对采购文件在各方面作出实质性响应是投标供应商的风险，并可能导致其投标被拒绝。</w:t>
      </w:r>
    </w:p>
    <w:p>
      <w:pPr>
        <w:pStyle w:val="14"/>
        <w:widowControl w:val="0"/>
        <w:numPr>
          <w:ilvl w:val="0"/>
          <w:numId w:val="0"/>
        </w:numPr>
        <w:snapToGrid w:val="0"/>
        <w:spacing w:after="0" w:afterLines="0" w:line="360" w:lineRule="auto"/>
        <w:ind w:firstLine="472" w:firstLineChars="196"/>
        <w:rPr>
          <w:rFonts w:hint="eastAsia" w:ascii="宋体" w:hAnsi="宋体" w:cs="宋体"/>
          <w:b/>
          <w:szCs w:val="24"/>
        </w:rPr>
      </w:pPr>
      <w:r>
        <w:rPr>
          <w:rFonts w:hint="eastAsia" w:ascii="宋体" w:hAnsi="宋体" w:cs="宋体"/>
          <w:b/>
          <w:szCs w:val="24"/>
        </w:rPr>
        <w:t xml:space="preserve">（三）采购文件的澄清与修改 </w:t>
      </w:r>
    </w:p>
    <w:p>
      <w:pPr>
        <w:spacing w:line="360" w:lineRule="auto"/>
        <w:ind w:firstLine="470" w:firstLineChars="196"/>
        <w:rPr>
          <w:rFonts w:hint="eastAsia" w:ascii="宋体" w:hAnsi="宋体" w:cs="宋体"/>
          <w:sz w:val="24"/>
        </w:rPr>
      </w:pPr>
      <w:r>
        <w:rPr>
          <w:rFonts w:hint="eastAsia" w:ascii="宋体" w:hAnsi="宋体" w:cs="宋体"/>
          <w:sz w:val="24"/>
        </w:rPr>
        <w:t>1、供应商应认真阅读本招标文件，发现其中有误或有不合理要求的，供应商必须在招标公告规定的时间前以书面形式要求采购人澄清，</w:t>
      </w:r>
      <w:r>
        <w:rPr>
          <w:rFonts w:hint="eastAsia" w:ascii="宋体" w:hAnsi="宋体" w:cs="宋体"/>
          <w:sz w:val="24"/>
        </w:rPr>
        <w:fldChar w:fldCharType="begin"/>
      </w:r>
      <w:r>
        <w:rPr>
          <w:rFonts w:hint="eastAsia" w:ascii="宋体" w:hAnsi="宋体" w:cs="宋体"/>
          <w:sz w:val="24"/>
        </w:rPr>
        <w:instrText xml:space="preserve"> HYPERLINK "mailto:同时请将该书面文件的电子文档发送至309875994@qq.com" </w:instrText>
      </w:r>
      <w:r>
        <w:rPr>
          <w:rFonts w:hint="eastAsia" w:ascii="宋体" w:hAnsi="宋体" w:cs="宋体"/>
          <w:sz w:val="24"/>
        </w:rPr>
        <w:fldChar w:fldCharType="separate"/>
      </w:r>
      <w:r>
        <w:rPr>
          <w:rFonts w:hint="eastAsia" w:ascii="宋体" w:hAnsi="宋体" w:cs="宋体"/>
          <w:sz w:val="24"/>
        </w:rPr>
        <w:t>同时请将该书面文件的电子文档发送至7918104520@qq.com</w:t>
      </w:r>
      <w:r>
        <w:rPr>
          <w:rFonts w:hint="eastAsia" w:ascii="宋体" w:hAnsi="宋体" w:cs="宋体"/>
          <w:sz w:val="24"/>
        </w:rPr>
        <w:fldChar w:fldCharType="end"/>
      </w:r>
      <w:r>
        <w:rPr>
          <w:rFonts w:hint="eastAsia" w:ascii="宋体" w:hAnsi="宋体" w:cs="宋体"/>
          <w:sz w:val="24"/>
        </w:rPr>
        <w:t>。采购代理机构对已发出的招标文件进行必要澄清、答复、修改或补充的，应当在招标文件要求提交投标文件截止时间十五日前，在财政部门指定的政府采购信息发布媒体上发布更正公告，潜在供应商应自行关注网站公告，采购人不再一一通知。供应商因自身贻误行为导致投标失败的，责任自负。</w:t>
      </w:r>
    </w:p>
    <w:p>
      <w:pPr>
        <w:pStyle w:val="34"/>
        <w:snapToGrid w:val="0"/>
        <w:spacing w:line="360" w:lineRule="auto"/>
        <w:ind w:firstLine="480" w:firstLineChars="200"/>
        <w:rPr>
          <w:rFonts w:hint="eastAsia" w:hAnsi="宋体" w:cs="宋体"/>
          <w:sz w:val="24"/>
          <w:szCs w:val="24"/>
        </w:rPr>
      </w:pPr>
      <w:r>
        <w:rPr>
          <w:rFonts w:hint="eastAsia" w:hAnsi="宋体" w:cs="宋体"/>
          <w:sz w:val="24"/>
          <w:szCs w:val="24"/>
        </w:rPr>
        <w:t>2、采购人必须以书面形式答复投标供应商要求澄清的问题，并将不包含问题来源的答复书面通知所有购买采购文件的投标供应商；除书面答复以外的其他澄清方式及澄清内容均无效。</w:t>
      </w:r>
    </w:p>
    <w:p>
      <w:pPr>
        <w:pStyle w:val="34"/>
        <w:snapToGrid w:val="0"/>
        <w:spacing w:line="360" w:lineRule="auto"/>
        <w:ind w:firstLine="480" w:firstLineChars="200"/>
        <w:rPr>
          <w:rFonts w:hint="eastAsia" w:hAnsi="宋体" w:cs="宋体"/>
          <w:sz w:val="24"/>
          <w:szCs w:val="24"/>
        </w:rPr>
      </w:pPr>
      <w:r>
        <w:rPr>
          <w:rFonts w:hint="eastAsia" w:hAnsi="宋体" w:cs="宋体"/>
          <w:sz w:val="24"/>
          <w:szCs w:val="24"/>
        </w:rPr>
        <w:t>3、采购文件澄清、答复、修改、补充的内容为采购文件的组成部分。当采购文件与采购文件的答复、澄清、修改、补充通知就同一内容的表述不一致时，以最后发出的书面文件为准。</w:t>
      </w:r>
    </w:p>
    <w:p>
      <w:pPr>
        <w:pStyle w:val="34"/>
        <w:snapToGrid w:val="0"/>
        <w:spacing w:line="360" w:lineRule="auto"/>
        <w:ind w:firstLine="480" w:firstLineChars="200"/>
        <w:rPr>
          <w:rFonts w:hint="eastAsia" w:hAnsi="宋体" w:cs="宋体"/>
          <w:sz w:val="24"/>
          <w:szCs w:val="24"/>
        </w:rPr>
      </w:pPr>
      <w:r>
        <w:rPr>
          <w:rFonts w:hint="eastAsia" w:hAnsi="宋体" w:cs="宋体"/>
          <w:sz w:val="24"/>
          <w:szCs w:val="24"/>
        </w:rPr>
        <w:t>4、采购文件的澄清、答复、修改或补充都应该通过代理机构以法定形式发布，采购人非通过代理机构，不得擅自澄清、答复、修改或补充采购文件。</w:t>
      </w:r>
    </w:p>
    <w:p>
      <w:pPr>
        <w:pStyle w:val="34"/>
        <w:snapToGrid w:val="0"/>
        <w:spacing w:line="360" w:lineRule="auto"/>
        <w:ind w:firstLine="482" w:firstLineChars="200"/>
        <w:rPr>
          <w:rFonts w:hint="eastAsia" w:hAnsi="宋体" w:cs="宋体"/>
          <w:b/>
          <w:sz w:val="24"/>
          <w:szCs w:val="24"/>
        </w:rPr>
      </w:pPr>
      <w:r>
        <w:rPr>
          <w:rFonts w:hint="eastAsia" w:hAnsi="宋体" w:cs="宋体"/>
          <w:b/>
          <w:sz w:val="24"/>
          <w:szCs w:val="24"/>
        </w:rPr>
        <w:t>三、投标文件的编制要求</w:t>
      </w:r>
    </w:p>
    <w:p>
      <w:pPr>
        <w:pStyle w:val="34"/>
        <w:snapToGrid w:val="0"/>
        <w:spacing w:line="360" w:lineRule="auto"/>
        <w:ind w:firstLine="482" w:firstLineChars="200"/>
        <w:rPr>
          <w:rFonts w:hint="eastAsia" w:hAnsi="宋体" w:cs="宋体"/>
          <w:b/>
          <w:sz w:val="24"/>
          <w:szCs w:val="24"/>
        </w:rPr>
      </w:pPr>
      <w:r>
        <w:rPr>
          <w:rFonts w:hint="eastAsia" w:hAnsi="宋体" w:cs="宋体"/>
          <w:b/>
          <w:sz w:val="24"/>
          <w:szCs w:val="24"/>
        </w:rPr>
        <w:t>（一）投标文件的形式和效力：</w:t>
      </w:r>
    </w:p>
    <w:p>
      <w:pPr>
        <w:pStyle w:val="34"/>
        <w:snapToGrid w:val="0"/>
        <w:spacing w:line="360" w:lineRule="auto"/>
        <w:ind w:firstLine="480" w:firstLineChars="200"/>
        <w:rPr>
          <w:rFonts w:hint="eastAsia" w:hAnsi="宋体" w:cs="宋体"/>
          <w:sz w:val="24"/>
          <w:szCs w:val="24"/>
        </w:rPr>
      </w:pPr>
      <w:r>
        <w:rPr>
          <w:rFonts w:hint="eastAsia" w:hAnsi="宋体" w:cs="宋体"/>
          <w:sz w:val="24"/>
          <w:szCs w:val="24"/>
        </w:rPr>
        <w:t>1、投标文件的形式</w:t>
      </w:r>
    </w:p>
    <w:p>
      <w:pPr>
        <w:pStyle w:val="34"/>
        <w:snapToGrid w:val="0"/>
        <w:spacing w:line="360" w:lineRule="auto"/>
        <w:ind w:firstLine="480" w:firstLineChars="200"/>
        <w:rPr>
          <w:rFonts w:hint="eastAsia" w:hAnsi="宋体" w:cs="宋体"/>
          <w:sz w:val="24"/>
          <w:szCs w:val="24"/>
        </w:rPr>
      </w:pPr>
      <w:r>
        <w:rPr>
          <w:rFonts w:hint="eastAsia" w:hAnsi="宋体" w:cs="宋体"/>
          <w:sz w:val="24"/>
          <w:szCs w:val="24"/>
        </w:rPr>
        <w:t>（1）电子投标文件：按政采云平台项目采购-电子交易操作指南及本采购文件要求制作、加密并递交，供应商电子交易操作指南详见网址：</w:t>
      </w:r>
    </w:p>
    <w:p>
      <w:pPr>
        <w:pStyle w:val="34"/>
        <w:snapToGrid w:val="0"/>
        <w:spacing w:line="360" w:lineRule="auto"/>
        <w:rPr>
          <w:rFonts w:hint="eastAsia" w:hAnsi="宋体" w:cs="宋体"/>
          <w:sz w:val="24"/>
          <w:szCs w:val="24"/>
        </w:rPr>
      </w:pPr>
      <w:r>
        <w:rPr>
          <w:rFonts w:hint="eastAsia" w:hAnsi="宋体" w:cs="宋体"/>
          <w:sz w:val="24"/>
          <w:szCs w:val="24"/>
        </w:rPr>
        <w:t>https://help.zcygov.cn/web/site_2/2018/12-28/2573.html）。</w:t>
      </w:r>
    </w:p>
    <w:p>
      <w:pPr>
        <w:pStyle w:val="34"/>
        <w:snapToGrid w:val="0"/>
        <w:spacing w:line="360" w:lineRule="auto"/>
        <w:ind w:firstLine="480" w:firstLineChars="200"/>
        <w:rPr>
          <w:rFonts w:hint="eastAsia" w:hAnsi="宋体" w:cs="宋体"/>
          <w:sz w:val="24"/>
          <w:szCs w:val="24"/>
        </w:rPr>
      </w:pPr>
      <w:r>
        <w:rPr>
          <w:rFonts w:hint="eastAsia" w:hAnsi="宋体" w:cs="宋体"/>
          <w:sz w:val="24"/>
          <w:szCs w:val="24"/>
        </w:rPr>
        <w:t>（2）备份投标文件（U 盘）：以 U 盘形式提供的数据电子备份投标文件格式及内容须与政采云平台项目采购-电子交易操作指南中制作、加密并递交的电子投标文件格式及内容一致。</w:t>
      </w:r>
    </w:p>
    <w:p>
      <w:pPr>
        <w:pStyle w:val="34"/>
        <w:snapToGrid w:val="0"/>
        <w:spacing w:line="360" w:lineRule="auto"/>
        <w:ind w:firstLine="480" w:firstLineChars="200"/>
        <w:rPr>
          <w:rFonts w:hint="eastAsia" w:hAnsi="宋体" w:cs="宋体"/>
          <w:sz w:val="24"/>
          <w:szCs w:val="24"/>
        </w:rPr>
      </w:pPr>
      <w:r>
        <w:rPr>
          <w:rFonts w:hint="eastAsia" w:hAnsi="宋体" w:cs="宋体"/>
          <w:sz w:val="24"/>
          <w:szCs w:val="24"/>
        </w:rPr>
        <w:t>2、投标文件的效力</w:t>
      </w:r>
    </w:p>
    <w:p>
      <w:pPr>
        <w:pStyle w:val="34"/>
        <w:snapToGrid w:val="0"/>
        <w:spacing w:line="360" w:lineRule="auto"/>
        <w:ind w:firstLine="480" w:firstLineChars="200"/>
        <w:rPr>
          <w:rFonts w:hint="eastAsia" w:hAnsi="宋体" w:cs="宋体"/>
          <w:sz w:val="24"/>
          <w:szCs w:val="24"/>
        </w:rPr>
      </w:pPr>
      <w:r>
        <w:rPr>
          <w:rFonts w:hint="eastAsia" w:hAnsi="宋体" w:cs="宋体"/>
          <w:kern w:val="0"/>
          <w:sz w:val="24"/>
          <w:szCs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hAnsi="宋体" w:cs="宋体"/>
          <w:b/>
          <w:kern w:val="0"/>
          <w:sz w:val="24"/>
        </w:rPr>
        <w:t>供应商仅提交</w:t>
      </w:r>
      <w:r>
        <w:rPr>
          <w:rFonts w:hint="eastAsia" w:hAnsi="宋体" w:cs="宋体"/>
          <w:b/>
          <w:kern w:val="0"/>
          <w:sz w:val="24"/>
          <w:szCs w:val="24"/>
        </w:rPr>
        <w:t>“备份投标文件”</w:t>
      </w:r>
      <w:r>
        <w:rPr>
          <w:rFonts w:hint="eastAsia" w:hAnsi="宋体" w:cs="宋体"/>
          <w:b/>
          <w:kern w:val="0"/>
          <w:sz w:val="24"/>
        </w:rPr>
        <w:t>的，投标无效。</w:t>
      </w:r>
    </w:p>
    <w:p>
      <w:pPr>
        <w:pStyle w:val="34"/>
        <w:snapToGrid w:val="0"/>
        <w:spacing w:line="360" w:lineRule="auto"/>
        <w:ind w:firstLine="482" w:firstLineChars="200"/>
        <w:rPr>
          <w:rFonts w:hint="eastAsia" w:hAnsi="宋体" w:cs="宋体"/>
          <w:b/>
          <w:sz w:val="24"/>
          <w:szCs w:val="24"/>
        </w:rPr>
      </w:pPr>
      <w:r>
        <w:rPr>
          <w:rFonts w:hint="eastAsia" w:hAnsi="宋体" w:cs="宋体"/>
          <w:b/>
          <w:sz w:val="24"/>
          <w:szCs w:val="24"/>
        </w:rPr>
        <w:t>（二）投标文件的组成（如无格式、格式自拟）</w:t>
      </w:r>
    </w:p>
    <w:p>
      <w:pPr>
        <w:pStyle w:val="34"/>
        <w:snapToGrid w:val="0"/>
        <w:spacing w:line="360" w:lineRule="auto"/>
        <w:ind w:firstLine="480" w:firstLineChars="200"/>
        <w:rPr>
          <w:rFonts w:hint="eastAsia" w:hAnsi="宋体" w:cs="宋体"/>
          <w:sz w:val="24"/>
          <w:szCs w:val="24"/>
        </w:rPr>
      </w:pPr>
      <w:r>
        <w:rPr>
          <w:rFonts w:hint="eastAsia" w:hAnsi="宋体" w:cs="宋体"/>
          <w:sz w:val="24"/>
          <w:szCs w:val="24"/>
        </w:rPr>
        <w:t>投标文件由《资格文件》、《技术、商务、资信及其他文件》和《报价文件》组成，其中电子投标文件中所须加盖公章部分均采用 CA 签章。</w:t>
      </w:r>
    </w:p>
    <w:p>
      <w:pPr>
        <w:snapToGrid w:val="0"/>
        <w:spacing w:line="360" w:lineRule="auto"/>
        <w:ind w:firstLine="482" w:firstLineChars="200"/>
        <w:outlineLvl w:val="3"/>
        <w:rPr>
          <w:rFonts w:hint="eastAsia" w:ascii="宋体" w:hAnsi="宋体" w:cs="宋体"/>
          <w:b/>
          <w:sz w:val="24"/>
        </w:rPr>
      </w:pPr>
      <w:r>
        <w:rPr>
          <w:rFonts w:hint="eastAsia" w:ascii="宋体" w:hAnsi="宋体" w:cs="宋体"/>
          <w:b/>
          <w:sz w:val="24"/>
        </w:rPr>
        <w:t>1、资格文件</w:t>
      </w:r>
    </w:p>
    <w:p>
      <w:pPr>
        <w:pStyle w:val="55"/>
        <w:spacing w:line="360" w:lineRule="auto"/>
        <w:ind w:firstLine="480" w:firstLineChars="200"/>
        <w:rPr>
          <w:rFonts w:hint="eastAsia" w:ascii="宋体" w:hAnsi="宋体" w:cs="宋体"/>
          <w:sz w:val="24"/>
        </w:rPr>
      </w:pPr>
      <w:r>
        <w:rPr>
          <w:rFonts w:hint="eastAsia" w:ascii="宋体" w:hAnsi="宋体" w:cs="宋体"/>
          <w:sz w:val="24"/>
        </w:rPr>
        <w:t>（1）有效的营业执照、税务登记证、组织机构代码证或“三证合一”的营业执照或“五证合一”的营业执照；</w:t>
      </w:r>
    </w:p>
    <w:p>
      <w:pPr>
        <w:pStyle w:val="55"/>
        <w:spacing w:line="360" w:lineRule="auto"/>
        <w:ind w:firstLine="480" w:firstLineChars="200"/>
        <w:rPr>
          <w:rFonts w:hint="eastAsia" w:ascii="宋体" w:hAnsi="宋体" w:cs="宋体"/>
          <w:sz w:val="24"/>
        </w:rPr>
      </w:pPr>
      <w:r>
        <w:rPr>
          <w:rFonts w:hint="eastAsia" w:ascii="宋体" w:hAnsi="宋体" w:cs="宋体"/>
          <w:sz w:val="24"/>
        </w:rPr>
        <w:t>（2）法定代表人有效身份证明书及身份证或法定代表人授权书及授权人身份证；</w:t>
      </w:r>
    </w:p>
    <w:p>
      <w:pPr>
        <w:pStyle w:val="55"/>
        <w:spacing w:line="360" w:lineRule="auto"/>
        <w:ind w:firstLine="480" w:firstLineChars="200"/>
        <w:rPr>
          <w:rFonts w:hint="eastAsia" w:ascii="宋体" w:hAnsi="宋体" w:cs="宋体"/>
          <w:sz w:val="24"/>
        </w:rPr>
      </w:pPr>
      <w:r>
        <w:rPr>
          <w:rFonts w:hint="eastAsia" w:ascii="宋体" w:hAnsi="宋体" w:cs="宋体"/>
          <w:sz w:val="24"/>
        </w:rPr>
        <w:t>（3）授权代理人最近三个月任意一个月的社保证明；</w:t>
      </w:r>
    </w:p>
    <w:p>
      <w:pPr>
        <w:pStyle w:val="55"/>
        <w:spacing w:line="360" w:lineRule="auto"/>
        <w:ind w:firstLine="480" w:firstLineChars="200"/>
        <w:rPr>
          <w:rFonts w:hint="eastAsia" w:ascii="宋体" w:hAnsi="宋体" w:cs="宋体"/>
          <w:sz w:val="24"/>
        </w:rPr>
      </w:pPr>
      <w:r>
        <w:rPr>
          <w:rFonts w:hint="eastAsia" w:ascii="宋体" w:hAnsi="宋体" w:cs="宋体"/>
          <w:sz w:val="24"/>
        </w:rPr>
        <w:t>（4）最近三个月供应商依法缴纳税收和社保费的证明[税费凭证复印件，或者依法缴纳税费或依法免缴税费的证明]；</w:t>
      </w:r>
    </w:p>
    <w:p>
      <w:pPr>
        <w:pStyle w:val="55"/>
        <w:spacing w:line="360" w:lineRule="auto"/>
        <w:ind w:firstLine="480" w:firstLineChars="200"/>
        <w:rPr>
          <w:rFonts w:hint="eastAsia" w:ascii="宋体" w:hAnsi="宋体" w:cs="宋体"/>
          <w:sz w:val="24"/>
        </w:rPr>
      </w:pPr>
      <w:r>
        <w:rPr>
          <w:rFonts w:hint="eastAsia" w:ascii="宋体" w:hAnsi="宋体" w:cs="宋体"/>
          <w:sz w:val="24"/>
        </w:rPr>
        <w:t>（5）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（6）信用承诺书。</w:t>
      </w:r>
    </w:p>
    <w:p>
      <w:pPr>
        <w:pStyle w:val="55"/>
        <w:spacing w:line="360" w:lineRule="auto"/>
        <w:ind w:firstLine="482" w:firstLineChars="200"/>
        <w:jc w:val="left"/>
        <w:rPr>
          <w:rFonts w:hint="eastAsia" w:ascii="宋体" w:hAnsi="宋体" w:cs="宋体"/>
          <w:b/>
          <w:bCs/>
          <w:sz w:val="24"/>
        </w:rPr>
      </w:pPr>
      <w:r>
        <w:rPr>
          <w:rFonts w:hint="eastAsia" w:ascii="宋体" w:hAnsi="宋体" w:cs="宋体"/>
          <w:b/>
          <w:bCs/>
          <w:sz w:val="24"/>
        </w:rPr>
        <w:t>2、技术、商务、资信及其他文件</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（1）评分索引表（格式见附件，主要用于评审委员会对应评分内容，包括商务部分、技术部分）；</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（2）对项目总体要求的理解；</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）技术方案；</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系统测试方案</w:t>
      </w:r>
      <w:r>
        <w:rPr>
          <w:rFonts w:hint="eastAsia" w:ascii="宋体" w:hAnsi="宋体" w:cs="宋体"/>
          <w:sz w:val="24"/>
        </w:rPr>
        <w:t>；</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）项目进度计划和保障措施；</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）项目人员</w:t>
      </w:r>
      <w:r>
        <w:rPr>
          <w:rFonts w:hint="eastAsia" w:ascii="宋体" w:hAnsi="宋体" w:cs="宋体"/>
          <w:sz w:val="24"/>
          <w:lang w:eastAsia="zh-CN"/>
        </w:rPr>
        <w:t>配备</w:t>
      </w:r>
      <w:r>
        <w:rPr>
          <w:rFonts w:hint="eastAsia" w:ascii="宋体" w:hAnsi="宋体" w:cs="宋体"/>
          <w:sz w:val="24"/>
        </w:rPr>
        <w:t>；</w:t>
      </w:r>
    </w:p>
    <w:p>
      <w:pPr>
        <w:pStyle w:val="55"/>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视频演示</w:t>
      </w:r>
      <w:r>
        <w:rPr>
          <w:rFonts w:hint="eastAsia" w:ascii="宋体" w:hAnsi="宋体" w:cs="宋体"/>
          <w:sz w:val="24"/>
          <w:lang w:eastAsia="zh-CN"/>
        </w:rPr>
        <w:t>；</w:t>
      </w:r>
    </w:p>
    <w:p>
      <w:pPr>
        <w:pStyle w:val="55"/>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b w:val="0"/>
          <w:bCs w:val="0"/>
          <w:sz w:val="24"/>
          <w:lang w:eastAsia="zh-CN"/>
        </w:rPr>
        <w:t>）</w:t>
      </w:r>
      <w:r>
        <w:rPr>
          <w:rFonts w:hint="eastAsia" w:ascii="宋体" w:hAnsi="宋体" w:cs="宋体"/>
          <w:b w:val="0"/>
          <w:bCs w:val="0"/>
          <w:sz w:val="24"/>
        </w:rPr>
        <w:t>服务保障及培训方案</w:t>
      </w:r>
      <w:r>
        <w:rPr>
          <w:rFonts w:hint="eastAsia" w:ascii="宋体" w:hAnsi="宋体" w:cs="宋体"/>
          <w:b w:val="0"/>
          <w:bCs w:val="0"/>
          <w:sz w:val="24"/>
          <w:lang w:eastAsia="zh-CN"/>
        </w:rPr>
        <w:t>；</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）商务响应表（格式见附件）；</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）投标供应商情况介绍；</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）投标声明书；</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）企业</w:t>
      </w:r>
      <w:r>
        <w:rPr>
          <w:rFonts w:hint="eastAsia" w:ascii="宋体" w:hAnsi="宋体" w:cs="宋体"/>
          <w:sz w:val="24"/>
          <w:lang w:eastAsia="zh-CN"/>
        </w:rPr>
        <w:t>综合</w:t>
      </w:r>
      <w:r>
        <w:rPr>
          <w:rFonts w:hint="eastAsia" w:ascii="宋体" w:hAnsi="宋体" w:cs="宋体"/>
          <w:sz w:val="24"/>
        </w:rPr>
        <w:t>实力；</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）企业业绩；</w:t>
      </w:r>
    </w:p>
    <w:p>
      <w:pPr>
        <w:pStyle w:val="55"/>
        <w:spacing w:line="360" w:lineRule="auto"/>
        <w:ind w:firstLine="482" w:firstLineChars="200"/>
        <w:jc w:val="left"/>
        <w:rPr>
          <w:rFonts w:hint="eastAsia" w:ascii="宋体" w:hAnsi="宋体" w:cs="宋体"/>
          <w:b/>
          <w:bCs/>
          <w:sz w:val="24"/>
        </w:rPr>
      </w:pPr>
      <w:r>
        <w:rPr>
          <w:rFonts w:hint="eastAsia" w:ascii="宋体" w:hAnsi="宋体" w:cs="宋体"/>
          <w:b/>
          <w:bCs/>
          <w:sz w:val="24"/>
        </w:rPr>
        <w:t>3、报价文件</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（1) 投标函；</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（2) 开标一览表（格式见附件）；</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（3）报价明细表（格式见附件）；</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（4）中小企业声明函；</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（5）招标代理服务费承诺函；</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（6）其他投标供应商认为有必要提供的资料。</w:t>
      </w:r>
    </w:p>
    <w:p>
      <w:pPr>
        <w:pStyle w:val="55"/>
        <w:spacing w:line="360" w:lineRule="auto"/>
        <w:ind w:firstLine="480" w:firstLineChars="200"/>
        <w:rPr>
          <w:rFonts w:hint="eastAsia" w:ascii="宋体" w:hAnsi="宋体" w:cs="宋体"/>
          <w:sz w:val="24"/>
        </w:rPr>
      </w:pPr>
      <w:r>
        <w:rPr>
          <w:rFonts w:hint="eastAsia" w:ascii="宋体" w:hAnsi="宋体" w:cs="宋体"/>
          <w:sz w:val="24"/>
        </w:rPr>
        <w:t>▲注：（1）投标文件中已提供格式的，投标供应商在编制投标文件时必须按采购文件格式要求进行签字或盖章，否则视作提供相关内容无效。（2）除报价文件外，其余文件中不得出现本项目投标报价，如因投标供应商原因提前泄露投标报价，是投标供应商的责任。</w:t>
      </w:r>
    </w:p>
    <w:p>
      <w:pPr>
        <w:snapToGrid w:val="0"/>
        <w:spacing w:line="360" w:lineRule="auto"/>
        <w:ind w:firstLine="480"/>
        <w:rPr>
          <w:rFonts w:hint="eastAsia" w:ascii="宋体" w:hAnsi="宋体" w:cs="宋体"/>
          <w:b/>
          <w:color w:val="000000"/>
          <w:sz w:val="24"/>
        </w:rPr>
      </w:pPr>
      <w:r>
        <w:rPr>
          <w:rFonts w:hint="eastAsia" w:ascii="宋体" w:hAnsi="宋体" w:cs="宋体"/>
          <w:b/>
          <w:sz w:val="24"/>
        </w:rPr>
        <w:t>（二）投标文件的语言及计量</w:t>
      </w:r>
    </w:p>
    <w:p>
      <w:pPr>
        <w:snapToGrid w:val="0"/>
        <w:spacing w:line="360" w:lineRule="auto"/>
        <w:ind w:firstLine="480"/>
        <w:rPr>
          <w:rFonts w:hint="eastAsia" w:ascii="宋体" w:hAnsi="宋体" w:cs="宋体"/>
          <w:b/>
          <w:color w:val="000000"/>
          <w:sz w:val="24"/>
        </w:rPr>
      </w:pPr>
      <w:r>
        <w:rPr>
          <w:rFonts w:hint="eastAsia" w:ascii="宋体" w:hAnsi="宋体" w:cs="宋体"/>
          <w:sz w:val="24"/>
        </w:rPr>
        <w:t>▲1、投标文件以及投标供应商与采购人就有关投标事宜的所有来往函电，均应以中文汉语书写。除签名、盖章、专用名称等特殊情形外，以中文汉语以外的文字表述的投标文件视同未提供。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80"/>
        <w:rPr>
          <w:rFonts w:hint="eastAsia" w:ascii="宋体" w:hAnsi="宋体" w:cs="宋体"/>
          <w:b/>
          <w:color w:val="000000"/>
          <w:sz w:val="24"/>
        </w:rPr>
      </w:pPr>
      <w:r>
        <w:rPr>
          <w:rFonts w:hint="eastAsia" w:ascii="宋体" w:hAnsi="宋体" w:cs="宋体"/>
          <w:sz w:val="24"/>
        </w:rPr>
        <w:t>▲2、投标计量单位，采购文件已有明确规定的，使用采购文件规定的计量单位；采购文件没有规定的，应采用中华人民共和国法定计量单位（货币单位：人民币元），否则视同未响应。</w:t>
      </w:r>
    </w:p>
    <w:p>
      <w:pPr>
        <w:snapToGrid w:val="0"/>
        <w:spacing w:line="360" w:lineRule="auto"/>
        <w:ind w:firstLine="480"/>
        <w:rPr>
          <w:rFonts w:hint="eastAsia" w:ascii="宋体" w:hAnsi="宋体" w:cs="宋体"/>
          <w:b/>
          <w:color w:val="000000"/>
          <w:sz w:val="24"/>
        </w:rPr>
      </w:pPr>
      <w:r>
        <w:rPr>
          <w:rFonts w:hint="eastAsia" w:ascii="宋体" w:hAnsi="宋体" w:cs="宋体"/>
          <w:sz w:val="24"/>
        </w:rPr>
        <w:t>▲</w:t>
      </w:r>
      <w:r>
        <w:rPr>
          <w:rFonts w:hint="eastAsia" w:ascii="宋体" w:hAnsi="宋体" w:cs="宋体"/>
          <w:b/>
          <w:sz w:val="24"/>
        </w:rPr>
        <w:t>（三）投标报价：</w:t>
      </w:r>
    </w:p>
    <w:p>
      <w:pPr>
        <w:spacing w:line="360" w:lineRule="auto"/>
        <w:ind w:firstLine="480" w:firstLineChars="200"/>
        <w:rPr>
          <w:rFonts w:hint="eastAsia" w:ascii="宋体" w:hAnsi="宋体" w:cs="宋体"/>
          <w:sz w:val="24"/>
        </w:rPr>
      </w:pPr>
      <w:r>
        <w:rPr>
          <w:rFonts w:hint="eastAsia" w:ascii="宋体" w:hAnsi="宋体" w:cs="宋体"/>
          <w:sz w:val="24"/>
        </w:rPr>
        <w:t>1、所有报价均应使用人民币（元）表示；</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2、投标报价是履行合同的最终价格</w:t>
      </w:r>
      <w:r>
        <w:rPr>
          <w:rFonts w:hint="eastAsia" w:ascii="宋体" w:hAnsi="宋体" w:cs="宋体"/>
          <w:bCs/>
        </w:rPr>
        <w:t>，</w:t>
      </w:r>
      <w:r>
        <w:rPr>
          <w:rFonts w:hint="eastAsia" w:ascii="宋体" w:hAnsi="宋体" w:cs="宋体"/>
          <w:sz w:val="24"/>
        </w:rPr>
        <w:t>应包括人工、交通、检测、工具、保险、税金等</w:t>
      </w:r>
      <w:r>
        <w:rPr>
          <w:rFonts w:hint="eastAsia" w:ascii="宋体" w:hAnsi="宋体" w:cs="宋体"/>
          <w:color w:val="000000"/>
          <w:sz w:val="24"/>
        </w:rPr>
        <w:t>费用</w:t>
      </w:r>
      <w:r>
        <w:rPr>
          <w:rFonts w:hint="eastAsia" w:ascii="宋体" w:hAnsi="宋体" w:cs="宋体"/>
          <w:sz w:val="24"/>
        </w:rPr>
        <w:t>及供应商认为完成本采购文件规定内容所需发生的其他费用，凡未列入的，将被视为均已包含在投标总报价中。</w:t>
      </w:r>
    </w:p>
    <w:p>
      <w:pPr>
        <w:snapToGrid w:val="0"/>
        <w:spacing w:line="360" w:lineRule="auto"/>
        <w:ind w:firstLine="480"/>
        <w:rPr>
          <w:rFonts w:hint="eastAsia" w:ascii="宋体" w:hAnsi="宋体" w:cs="宋体"/>
          <w:color w:val="000000"/>
        </w:rPr>
      </w:pPr>
      <w:r>
        <w:rPr>
          <w:rFonts w:hint="eastAsia" w:ascii="宋体" w:hAnsi="宋体" w:cs="宋体"/>
          <w:sz w:val="24"/>
        </w:rPr>
        <w:t>3、投标文件只允许有一个报价，有选择的或有条件的报价将不予接收。</w:t>
      </w:r>
    </w:p>
    <w:p>
      <w:pPr>
        <w:snapToGrid w:val="0"/>
        <w:spacing w:line="360" w:lineRule="auto"/>
        <w:ind w:firstLine="480"/>
        <w:rPr>
          <w:rFonts w:hint="eastAsia" w:ascii="宋体" w:hAnsi="宋体" w:cs="宋体"/>
          <w:color w:val="000000"/>
          <w:sz w:val="24"/>
        </w:rPr>
      </w:pPr>
      <w:r>
        <w:rPr>
          <w:rFonts w:hint="eastAsia" w:ascii="宋体" w:hAnsi="宋体" w:cs="宋体"/>
          <w:color w:val="000000"/>
          <w:sz w:val="24"/>
        </w:rPr>
        <w:t>4、投标供应商的最终报价由投标供应商自担全部风险责任，中标后不得以任何理由调整报价或追加任何费用；</w:t>
      </w:r>
    </w:p>
    <w:p>
      <w:pPr>
        <w:snapToGrid w:val="0"/>
        <w:spacing w:line="360" w:lineRule="auto"/>
        <w:ind w:firstLine="480"/>
        <w:rPr>
          <w:rFonts w:hint="eastAsia" w:ascii="宋体" w:hAnsi="宋体" w:cs="宋体"/>
          <w:color w:val="000000"/>
          <w:sz w:val="24"/>
        </w:rPr>
      </w:pPr>
      <w:r>
        <w:rPr>
          <w:rFonts w:hint="eastAsia" w:ascii="宋体" w:hAnsi="宋体" w:cs="宋体"/>
          <w:color w:val="000000"/>
          <w:sz w:val="24"/>
        </w:rPr>
        <w:t>5、投标供应商所有优惠条件和优惠费用不得降低和影响本采购项目质量；</w:t>
      </w:r>
    </w:p>
    <w:p>
      <w:pPr>
        <w:snapToGrid w:val="0"/>
        <w:spacing w:line="360" w:lineRule="auto"/>
        <w:ind w:firstLine="480"/>
        <w:rPr>
          <w:rFonts w:hint="eastAsia" w:ascii="宋体" w:hAnsi="宋体" w:cs="宋体"/>
          <w:color w:val="000000"/>
          <w:sz w:val="24"/>
        </w:rPr>
      </w:pPr>
      <w:r>
        <w:rPr>
          <w:rFonts w:hint="eastAsia" w:ascii="宋体" w:hAnsi="宋体" w:cs="宋体"/>
          <w:color w:val="000000"/>
          <w:sz w:val="24"/>
        </w:rPr>
        <w:t>6、报价如单价与总价不符时，以单价为准；大写与小写不符时以大写为准；</w:t>
      </w:r>
    </w:p>
    <w:p>
      <w:pPr>
        <w:snapToGrid w:val="0"/>
        <w:spacing w:line="360" w:lineRule="auto"/>
        <w:ind w:firstLine="480"/>
        <w:rPr>
          <w:rFonts w:hint="eastAsia" w:ascii="宋体" w:hAnsi="宋体" w:cs="宋体"/>
          <w:color w:val="000000"/>
          <w:sz w:val="24"/>
        </w:rPr>
      </w:pPr>
      <w:r>
        <w:rPr>
          <w:rFonts w:hint="eastAsia" w:ascii="宋体" w:hAnsi="宋体" w:cs="宋体"/>
          <w:color w:val="000000"/>
          <w:sz w:val="24"/>
        </w:rPr>
        <w:t>7、投标供应商对采购文件里有关投标报价的全部内容应仔细确认，若有个别异议，应在开标前提出修改意见，否则视同全部确认；</w:t>
      </w:r>
    </w:p>
    <w:p>
      <w:pPr>
        <w:snapToGrid w:val="0"/>
        <w:spacing w:line="360" w:lineRule="auto"/>
        <w:ind w:firstLine="480"/>
        <w:rPr>
          <w:rFonts w:hint="eastAsia" w:ascii="宋体" w:hAnsi="宋体" w:cs="宋体"/>
          <w:color w:val="000000"/>
          <w:sz w:val="24"/>
        </w:rPr>
      </w:pPr>
      <w:r>
        <w:rPr>
          <w:rFonts w:hint="eastAsia" w:ascii="宋体" w:hAnsi="宋体" w:cs="宋体"/>
          <w:color w:val="000000"/>
          <w:sz w:val="24"/>
        </w:rPr>
        <w:t>8、投标供应商在填报投标项目报价明细表时必须按照采购需求内容逐项报价，不得随意更改序号、名称、单位、数量。</w:t>
      </w:r>
    </w:p>
    <w:p>
      <w:pPr>
        <w:snapToGrid w:val="0"/>
        <w:spacing w:line="360" w:lineRule="auto"/>
        <w:ind w:firstLine="480"/>
        <w:rPr>
          <w:rFonts w:hint="eastAsia" w:ascii="宋体" w:hAnsi="宋体" w:cs="宋体"/>
          <w:color w:val="000000"/>
          <w:sz w:val="24"/>
        </w:rPr>
      </w:pPr>
      <w:r>
        <w:rPr>
          <w:rFonts w:hint="eastAsia" w:ascii="宋体" w:hAnsi="宋体" w:cs="宋体"/>
          <w:b/>
          <w:color w:val="000000"/>
          <w:sz w:val="24"/>
        </w:rPr>
        <w:t>供应商对在合同执行中，除上述费用及采购文件规定的由中标供应商负责的工作范围以外需要采购人协调或提供便利的工作应当在报价文件中说明。</w:t>
      </w:r>
    </w:p>
    <w:p>
      <w:pPr>
        <w:pStyle w:val="14"/>
        <w:widowControl w:val="0"/>
        <w:numPr>
          <w:ilvl w:val="0"/>
          <w:numId w:val="0"/>
        </w:numPr>
        <w:snapToGrid w:val="0"/>
        <w:spacing w:after="0" w:afterLines="0" w:line="360" w:lineRule="auto"/>
        <w:ind w:firstLine="472" w:firstLineChars="196"/>
        <w:rPr>
          <w:rFonts w:hint="eastAsia" w:ascii="宋体" w:hAnsi="宋体" w:cs="宋体"/>
          <w:b/>
          <w:szCs w:val="24"/>
        </w:rPr>
      </w:pPr>
      <w:r>
        <w:rPr>
          <w:rFonts w:hint="eastAsia" w:ascii="宋体" w:hAnsi="宋体" w:cs="宋体"/>
          <w:b/>
          <w:szCs w:val="24"/>
        </w:rPr>
        <w:t>（四）投标文件的有效期</w:t>
      </w:r>
    </w:p>
    <w:p>
      <w:pPr>
        <w:pStyle w:val="14"/>
        <w:widowControl w:val="0"/>
        <w:numPr>
          <w:ilvl w:val="0"/>
          <w:numId w:val="0"/>
        </w:numPr>
        <w:snapToGrid w:val="0"/>
        <w:spacing w:after="0" w:afterLines="0" w:line="360" w:lineRule="auto"/>
        <w:ind w:firstLine="480" w:firstLineChars="200"/>
        <w:rPr>
          <w:rFonts w:hint="eastAsia" w:ascii="宋体" w:hAnsi="宋体" w:cs="宋体"/>
          <w:szCs w:val="24"/>
        </w:rPr>
      </w:pPr>
      <w:r>
        <w:rPr>
          <w:rFonts w:hint="eastAsia" w:ascii="宋体" w:hAnsi="宋体" w:cs="宋体"/>
          <w:szCs w:val="24"/>
        </w:rPr>
        <w:t>▲1、自投标截止日起60天投标文件应保持有效。有效期不足的投标文件将被拒绝。</w:t>
      </w:r>
    </w:p>
    <w:p>
      <w:pPr>
        <w:pStyle w:val="14"/>
        <w:widowControl w:val="0"/>
        <w:numPr>
          <w:ilvl w:val="0"/>
          <w:numId w:val="0"/>
        </w:numPr>
        <w:snapToGrid w:val="0"/>
        <w:spacing w:after="0" w:afterLines="0" w:line="360" w:lineRule="auto"/>
        <w:ind w:firstLine="480" w:firstLineChars="200"/>
        <w:rPr>
          <w:rFonts w:hint="eastAsia" w:ascii="宋体" w:hAnsi="宋体" w:cs="宋体"/>
          <w:szCs w:val="24"/>
        </w:rPr>
      </w:pPr>
      <w:r>
        <w:rPr>
          <w:rFonts w:hint="eastAsia" w:ascii="宋体" w:hAnsi="宋体" w:cs="宋体"/>
          <w:szCs w:val="24"/>
        </w:rPr>
        <w:t>2、在特殊情况下，采购人可与投标供应商协商延长投标书的有效期，这种要求和答复均以书面形式进行。</w:t>
      </w:r>
    </w:p>
    <w:p>
      <w:pPr>
        <w:snapToGrid w:val="0"/>
        <w:spacing w:line="360" w:lineRule="auto"/>
        <w:ind w:firstLine="480" w:firstLineChars="200"/>
        <w:jc w:val="left"/>
        <w:outlineLvl w:val="0"/>
        <w:rPr>
          <w:rFonts w:hint="eastAsia" w:ascii="宋体" w:hAnsi="宋体" w:cs="宋体"/>
          <w:b/>
          <w:sz w:val="24"/>
        </w:rPr>
      </w:pPr>
      <w:r>
        <w:rPr>
          <w:rFonts w:hint="eastAsia" w:ascii="宋体" w:hAnsi="宋体" w:cs="宋体"/>
          <w:sz w:val="24"/>
        </w:rPr>
        <w:t>3、投标供应商可拒绝接受延期要求。</w:t>
      </w:r>
      <w:r>
        <w:rPr>
          <w:rFonts w:hint="eastAsia" w:ascii="宋体" w:hAnsi="宋体" w:cs="宋体"/>
          <w:b/>
          <w:sz w:val="24"/>
        </w:rPr>
        <w:t xml:space="preserve"> </w:t>
      </w:r>
    </w:p>
    <w:p>
      <w:pPr>
        <w:snapToGrid w:val="0"/>
        <w:spacing w:line="360" w:lineRule="auto"/>
        <w:ind w:firstLine="480" w:firstLineChars="200"/>
        <w:jc w:val="left"/>
        <w:outlineLvl w:val="0"/>
        <w:rPr>
          <w:rFonts w:hint="eastAsia" w:ascii="宋体" w:hAnsi="宋体" w:cs="宋体"/>
          <w:sz w:val="24"/>
        </w:rPr>
      </w:pPr>
      <w:r>
        <w:rPr>
          <w:rFonts w:hint="eastAsia" w:ascii="宋体" w:hAnsi="宋体" w:cs="宋体"/>
          <w:sz w:val="24"/>
        </w:rPr>
        <w:t>4、中标供应商的投标文件自开标之日起至合同履行完毕止均应保持有效。</w:t>
      </w:r>
    </w:p>
    <w:p>
      <w:pPr>
        <w:snapToGrid w:val="0"/>
        <w:spacing w:line="360" w:lineRule="auto"/>
        <w:ind w:firstLine="472" w:firstLineChars="196"/>
        <w:jc w:val="left"/>
        <w:outlineLvl w:val="0"/>
        <w:rPr>
          <w:rFonts w:hint="eastAsia" w:ascii="宋体" w:hAnsi="宋体" w:cs="宋体"/>
          <w:b/>
          <w:sz w:val="24"/>
        </w:rPr>
      </w:pPr>
      <w:r>
        <w:rPr>
          <w:rFonts w:hint="eastAsia" w:ascii="宋体" w:hAnsi="宋体" w:cs="宋体"/>
          <w:b/>
          <w:sz w:val="24"/>
        </w:rPr>
        <w:t>（五）投标文件的签署和份数</w:t>
      </w:r>
    </w:p>
    <w:p>
      <w:pPr>
        <w:snapToGrid w:val="0"/>
        <w:spacing w:line="360" w:lineRule="auto"/>
        <w:ind w:firstLine="470" w:firstLineChars="196"/>
        <w:jc w:val="left"/>
        <w:outlineLvl w:val="0"/>
        <w:rPr>
          <w:rFonts w:hint="eastAsia" w:ascii="宋体" w:hAnsi="宋体" w:cs="宋体"/>
          <w:b/>
          <w:sz w:val="24"/>
        </w:rPr>
      </w:pPr>
      <w:r>
        <w:rPr>
          <w:rFonts w:hint="eastAsia" w:ascii="宋体" w:hAnsi="宋体" w:cs="宋体"/>
          <w:sz w:val="24"/>
        </w:rPr>
        <w:t>本项目通过“政府采购云平台（www.zcygov.cn）”实行在线投标（电子投标）。供应商应通过“政采云电子交易客户端”，并按照本采购文件和“政府采购云平台”的要求编制并加密投标文件。</w:t>
      </w:r>
    </w:p>
    <w:p>
      <w:pPr>
        <w:snapToGrid w:val="0"/>
        <w:spacing w:line="360" w:lineRule="auto"/>
        <w:ind w:firstLine="470" w:firstLineChars="196"/>
        <w:jc w:val="left"/>
        <w:outlineLvl w:val="0"/>
        <w:rPr>
          <w:rFonts w:hint="eastAsia" w:ascii="宋体" w:hAnsi="宋体" w:cs="宋体"/>
          <w:b/>
          <w:sz w:val="24"/>
        </w:rPr>
      </w:pPr>
      <w:r>
        <w:rPr>
          <w:rFonts w:hint="eastAsia" w:ascii="宋体" w:hAnsi="宋体" w:cs="宋体"/>
          <w:sz w:val="24"/>
        </w:rPr>
        <w:t>1、投标供应商应当按照本章节 “投标文件组成”规定的内容及顺序在“政采云电子交易客户端”编制投标文件。其中《资格文件》和《技术、商务、资信及其他文件》中不得出现本项目投标报价，如因投标供应商原因提前泄露投标报价，是投标供应商的责任。</w:t>
      </w:r>
    </w:p>
    <w:p>
      <w:pPr>
        <w:snapToGrid w:val="0"/>
        <w:spacing w:line="360" w:lineRule="auto"/>
        <w:ind w:firstLine="470" w:firstLineChars="196"/>
        <w:jc w:val="left"/>
        <w:outlineLvl w:val="0"/>
        <w:rPr>
          <w:rFonts w:hint="eastAsia" w:ascii="宋体" w:hAnsi="宋体" w:cs="宋体"/>
          <w:b/>
          <w:sz w:val="24"/>
        </w:rPr>
      </w:pPr>
      <w:r>
        <w:rPr>
          <w:rFonts w:hint="eastAsia" w:ascii="宋体" w:hAnsi="宋体" w:cs="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snapToGrid w:val="0"/>
        <w:spacing w:line="360" w:lineRule="auto"/>
        <w:ind w:firstLine="470" w:firstLineChars="196"/>
        <w:jc w:val="left"/>
        <w:outlineLvl w:val="0"/>
        <w:rPr>
          <w:rFonts w:hint="eastAsia" w:ascii="宋体" w:hAnsi="宋体" w:cs="宋体"/>
          <w:b/>
          <w:sz w:val="24"/>
        </w:rPr>
      </w:pPr>
      <w:r>
        <w:rPr>
          <w:rFonts w:hint="eastAsia" w:ascii="宋体" w:hAnsi="宋体" w:cs="宋体"/>
          <w:sz w:val="24"/>
        </w:rPr>
        <w:t>3、《投标文件》内容不完整、编排混乱导致《投标文件》被误读、漏读或者查找不到相关内容的，是投标供应商的责任。</w:t>
      </w:r>
    </w:p>
    <w:p>
      <w:pPr>
        <w:snapToGrid w:val="0"/>
        <w:spacing w:line="360" w:lineRule="auto"/>
        <w:ind w:firstLine="470" w:firstLineChars="196"/>
        <w:jc w:val="left"/>
        <w:outlineLvl w:val="0"/>
        <w:rPr>
          <w:rFonts w:hint="eastAsia" w:ascii="宋体" w:hAnsi="宋体" w:cs="宋体"/>
          <w:b/>
          <w:sz w:val="24"/>
        </w:rPr>
      </w:pPr>
      <w:r>
        <w:rPr>
          <w:rFonts w:hint="eastAsia" w:ascii="宋体" w:hAnsi="宋体" w:cs="宋体"/>
          <w:sz w:val="24"/>
        </w:rPr>
        <w:t>4、投标供应商没有按照本章节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pPr>
        <w:snapToGrid w:val="0"/>
        <w:spacing w:line="360" w:lineRule="auto"/>
        <w:ind w:firstLine="470" w:firstLineChars="196"/>
        <w:jc w:val="left"/>
        <w:outlineLvl w:val="0"/>
        <w:rPr>
          <w:rFonts w:hint="eastAsia" w:ascii="宋体" w:hAnsi="宋体" w:cs="宋体"/>
          <w:sz w:val="24"/>
        </w:rPr>
      </w:pPr>
      <w:r>
        <w:rPr>
          <w:rFonts w:hint="eastAsia" w:ascii="宋体" w:hAnsi="宋体" w:cs="宋体"/>
          <w:sz w:val="24"/>
        </w:rPr>
        <w:t>5、其他：投标文件需按采购文件要求的格式填写并签字（或盖章）。</w:t>
      </w:r>
    </w:p>
    <w:p>
      <w:pPr>
        <w:snapToGrid w:val="0"/>
        <w:spacing w:line="360" w:lineRule="auto"/>
        <w:ind w:firstLine="470" w:firstLineChars="196"/>
        <w:jc w:val="left"/>
        <w:outlineLvl w:val="0"/>
        <w:rPr>
          <w:rFonts w:hint="eastAsia" w:ascii="宋体" w:hAnsi="宋体" w:cs="宋体"/>
          <w:sz w:val="24"/>
        </w:rPr>
      </w:pPr>
      <w:r>
        <w:rPr>
          <w:rFonts w:hint="eastAsia" w:ascii="宋体" w:hAnsi="宋体" w:cs="宋体"/>
          <w:sz w:val="24"/>
        </w:rPr>
        <w:t>6、投标文件的形式：见《前附表》；</w:t>
      </w:r>
    </w:p>
    <w:p>
      <w:pPr>
        <w:snapToGrid w:val="0"/>
        <w:spacing w:line="360" w:lineRule="auto"/>
        <w:ind w:firstLine="470" w:firstLineChars="196"/>
        <w:jc w:val="left"/>
        <w:outlineLvl w:val="0"/>
        <w:rPr>
          <w:rFonts w:hint="eastAsia" w:ascii="宋体" w:hAnsi="宋体" w:cs="宋体"/>
          <w:sz w:val="24"/>
        </w:rPr>
      </w:pPr>
      <w:r>
        <w:rPr>
          <w:rFonts w:hint="eastAsia" w:ascii="宋体" w:hAnsi="宋体" w:cs="宋体"/>
          <w:sz w:val="24"/>
        </w:rPr>
        <w:t>（1）“电子加密投标文件”：“电子加密投标文件”是指通过“政采云电子交易客户端”完成投标文件编制后生成并加密的数据电文形式的投标文件。</w:t>
      </w:r>
    </w:p>
    <w:p>
      <w:pPr>
        <w:snapToGrid w:val="0"/>
        <w:spacing w:line="360" w:lineRule="auto"/>
        <w:ind w:firstLine="470" w:firstLineChars="196"/>
        <w:jc w:val="left"/>
        <w:outlineLvl w:val="0"/>
        <w:rPr>
          <w:rFonts w:hint="eastAsia" w:ascii="宋体" w:hAnsi="宋体" w:cs="宋体"/>
          <w:sz w:val="24"/>
        </w:rPr>
      </w:pPr>
      <w:r>
        <w:rPr>
          <w:rFonts w:hint="eastAsia" w:ascii="宋体" w:hAnsi="宋体" w:cs="宋体"/>
          <w:sz w:val="24"/>
        </w:rPr>
        <w:t>（2）“备份投标文件”：“备份投标文件”是指与“电子加密投标文件”同时生成的数据电文形式的电子文件（备份标书），其他方式编制的“备份投标文件”视为无效的“备份投标文件”。</w:t>
      </w:r>
    </w:p>
    <w:p>
      <w:pPr>
        <w:snapToGrid w:val="0"/>
        <w:spacing w:line="360" w:lineRule="auto"/>
        <w:ind w:firstLine="470" w:firstLineChars="196"/>
        <w:jc w:val="left"/>
        <w:outlineLvl w:val="0"/>
        <w:rPr>
          <w:rFonts w:hint="eastAsia" w:ascii="宋体" w:hAnsi="宋体" w:cs="宋体"/>
          <w:sz w:val="24"/>
        </w:rPr>
      </w:pPr>
      <w:r>
        <w:rPr>
          <w:rFonts w:hint="eastAsia" w:ascii="宋体" w:hAnsi="宋体" w:cs="宋体"/>
          <w:sz w:val="24"/>
        </w:rPr>
        <w:t>7、投标文件的份数：见《前附表》。</w:t>
      </w:r>
    </w:p>
    <w:p>
      <w:pPr>
        <w:snapToGrid w:val="0"/>
        <w:spacing w:line="360" w:lineRule="auto"/>
        <w:ind w:firstLine="470" w:firstLineChars="196"/>
        <w:jc w:val="left"/>
        <w:outlineLvl w:val="0"/>
        <w:rPr>
          <w:rFonts w:hint="eastAsia" w:ascii="宋体" w:hAnsi="宋体" w:cs="宋体"/>
          <w:sz w:val="24"/>
        </w:rPr>
      </w:pPr>
      <w:r>
        <w:rPr>
          <w:rFonts w:hint="eastAsia" w:ascii="宋体" w:hAnsi="宋体" w:cs="宋体"/>
          <w:sz w:val="24"/>
        </w:rPr>
        <w:t>8、投标文件的上传和递交：见《前附表》。</w:t>
      </w:r>
    </w:p>
    <w:p>
      <w:pPr>
        <w:snapToGrid w:val="0"/>
        <w:spacing w:line="360" w:lineRule="auto"/>
        <w:ind w:firstLine="470" w:firstLineChars="196"/>
        <w:jc w:val="left"/>
        <w:outlineLvl w:val="0"/>
        <w:rPr>
          <w:rFonts w:hint="eastAsia" w:ascii="宋体" w:hAnsi="宋体" w:cs="宋体"/>
          <w:sz w:val="24"/>
        </w:rPr>
      </w:pPr>
      <w:r>
        <w:rPr>
          <w:rFonts w:hint="eastAsia" w:ascii="宋体" w:hAnsi="宋体" w:cs="宋体"/>
          <w:sz w:val="24"/>
        </w:rPr>
        <w:t>9、“电子加密投标文件”解密和异常情况处理：见《前附表》。</w:t>
      </w:r>
    </w:p>
    <w:p>
      <w:pPr>
        <w:snapToGrid w:val="0"/>
        <w:spacing w:line="360" w:lineRule="auto"/>
        <w:ind w:firstLine="354" w:firstLineChars="147"/>
        <w:jc w:val="left"/>
        <w:rPr>
          <w:rFonts w:hint="eastAsia" w:ascii="宋体" w:hAnsi="宋体" w:cs="宋体"/>
          <w:b/>
          <w:sz w:val="24"/>
        </w:rPr>
      </w:pPr>
      <w:r>
        <w:rPr>
          <w:rFonts w:hint="eastAsia" w:ascii="宋体" w:hAnsi="宋体" w:cs="宋体"/>
          <w:b/>
          <w:sz w:val="24"/>
        </w:rPr>
        <w:t>（六）投标文件的包装、递交、修改和撤回</w:t>
      </w:r>
    </w:p>
    <w:p>
      <w:pPr>
        <w:shd w:val="clear" w:color="auto" w:fill="FFFFFF"/>
        <w:snapToGrid w:val="0"/>
        <w:spacing w:line="360" w:lineRule="auto"/>
        <w:ind w:firstLine="480" w:firstLineChars="200"/>
        <w:rPr>
          <w:rFonts w:hint="eastAsia" w:ascii="宋体" w:hAnsi="宋体" w:cs="宋体"/>
          <w:sz w:val="24"/>
        </w:rPr>
      </w:pPr>
      <w:r>
        <w:rPr>
          <w:rFonts w:hint="eastAsia" w:ascii="宋体" w:hAnsi="宋体" w:cs="宋体"/>
          <w:sz w:val="24"/>
        </w:rPr>
        <w:t>1、投标供应商应当在投标截止时间前完成电子投标文件的传输递交，并可以补充、修改或者撤回电子投标文件。补充或者修改电子投标文件的，应当先行撤回原文件，补充、修改后重新传输递交，投标截止时间止未完成传输的，视为撤回投标文件。投标、响应截止时间后送达的投标、投标文件，将被政采云平台拒收，作无效投标处理。</w:t>
      </w:r>
    </w:p>
    <w:p>
      <w:pPr>
        <w:shd w:val="clear" w:color="auto" w:fill="FFFFFF"/>
        <w:snapToGrid w:val="0"/>
        <w:spacing w:line="360" w:lineRule="auto"/>
        <w:ind w:firstLine="480" w:firstLineChars="200"/>
        <w:rPr>
          <w:rFonts w:hint="eastAsia" w:ascii="宋体" w:hAnsi="宋体" w:cs="宋体"/>
          <w:sz w:val="24"/>
        </w:rPr>
      </w:pPr>
      <w:r>
        <w:rPr>
          <w:rFonts w:hint="eastAsia" w:ascii="宋体" w:hAnsi="宋体" w:cs="宋体"/>
          <w:sz w:val="24"/>
        </w:rPr>
        <w:t>2、 投标供应商如需递交“备份投标文件”，应在投标截止时间前将“备份投标文件”递交至：湖州星兴工程咨询有限公司（浙江省湖州市吴兴区八里店镇星光商务广场11幢A座702室），联系人：汪美玲，电话：15990187642。</w:t>
      </w:r>
    </w:p>
    <w:p>
      <w:pPr>
        <w:shd w:val="clear" w:color="auto" w:fill="FFFFFF"/>
        <w:snapToGrid w:val="0"/>
        <w:spacing w:line="360" w:lineRule="auto"/>
        <w:ind w:firstLine="480" w:firstLineChars="200"/>
        <w:rPr>
          <w:rFonts w:hint="eastAsia" w:ascii="宋体" w:hAnsi="宋体" w:cs="宋体"/>
          <w:sz w:val="24"/>
        </w:rPr>
      </w:pPr>
      <w:r>
        <w:rPr>
          <w:rFonts w:hint="eastAsia" w:ascii="宋体" w:hAnsi="宋体" w:cs="宋体"/>
          <w:sz w:val="24"/>
        </w:rPr>
        <w:t>“备份投标文件”包括《资格文件》、《技术、商务、资信及其他文件》及《报价文件》各一份。“备份投标文件”的包装封面上应注明供应商名称、供应商地址、投标文件名称、投标项目名称及项目编号，并加盖供应商公章。未按规定密封、包装或标记的，由此造成“备份投标文件”被误投或提前拆封的风险由投标供应商承担。</w:t>
      </w:r>
    </w:p>
    <w:p>
      <w:pPr>
        <w:snapToGrid w:val="0"/>
        <w:spacing w:line="360" w:lineRule="auto"/>
        <w:ind w:firstLine="411" w:firstLineChars="196"/>
        <w:outlineLvl w:val="2"/>
        <w:rPr>
          <w:rFonts w:hint="eastAsia" w:ascii="宋体" w:hAnsi="宋体" w:cs="宋体"/>
          <w:b/>
          <w:sz w:val="24"/>
        </w:rPr>
      </w:pPr>
      <w:r>
        <w:rPr>
          <w:rFonts w:hint="eastAsia" w:ascii="宋体" w:hAnsi="宋体" w:cs="宋体"/>
        </w:rPr>
        <w:t>▲</w:t>
      </w:r>
      <w:r>
        <w:rPr>
          <w:rFonts w:hint="eastAsia" w:ascii="宋体" w:hAnsi="宋体" w:cs="宋体"/>
          <w:b/>
          <w:sz w:val="24"/>
        </w:rPr>
        <w:t>（八）投标无效的情形</w:t>
      </w:r>
    </w:p>
    <w:p>
      <w:pPr>
        <w:snapToGrid w:val="0"/>
        <w:spacing w:line="360" w:lineRule="auto"/>
        <w:ind w:firstLine="480" w:firstLineChars="200"/>
        <w:rPr>
          <w:rFonts w:hint="eastAsia" w:ascii="宋体" w:hAnsi="宋体" w:cs="宋体"/>
          <w:bCs/>
          <w:sz w:val="24"/>
        </w:rPr>
      </w:pPr>
      <w:r>
        <w:rPr>
          <w:rFonts w:hint="eastAsia" w:ascii="宋体" w:hAnsi="宋体" w:cs="宋体"/>
          <w:bCs/>
          <w:sz w:val="24"/>
        </w:rPr>
        <w:t>实质上没有响应采购文件要求的投标将被视为无效投标。投标供应商不得通过修正或撤销不合要求的偏离或保留从而使其投标成为实质上响应的投标，但经评标委员会认定属于投标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供应商修改、补正投标文件后，不影响评标委员会对其投标文件所作的评价和评分结果。</w:t>
      </w:r>
    </w:p>
    <w:p>
      <w:pPr>
        <w:snapToGrid w:val="0"/>
        <w:spacing w:line="360" w:lineRule="auto"/>
        <w:ind w:firstLine="482"/>
        <w:rPr>
          <w:rFonts w:hint="eastAsia" w:ascii="宋体" w:hAnsi="宋体" w:cs="宋体"/>
          <w:b/>
          <w:sz w:val="24"/>
        </w:rPr>
      </w:pPr>
      <w:r>
        <w:rPr>
          <w:rFonts w:hint="eastAsia" w:ascii="宋体" w:hAnsi="宋体" w:cs="宋体"/>
          <w:b/>
          <w:bCs/>
          <w:sz w:val="24"/>
        </w:rPr>
        <w:t>1、</w:t>
      </w:r>
      <w:r>
        <w:rPr>
          <w:rFonts w:hint="eastAsia" w:ascii="宋体" w:hAnsi="宋体" w:cs="宋体"/>
          <w:b/>
          <w:sz w:val="24"/>
        </w:rPr>
        <w:t>在“技术、商务、资信及其他文件”开标前，采购人或采购代理机构对投标供应商的资格进行审查，如发现下列情形之一的，投标文件将被视为无效，不再进行下一步评审：</w:t>
      </w:r>
    </w:p>
    <w:p>
      <w:pPr>
        <w:pStyle w:val="34"/>
        <w:spacing w:line="360" w:lineRule="auto"/>
        <w:ind w:firstLine="480" w:firstLineChars="200"/>
        <w:rPr>
          <w:rFonts w:hint="eastAsia" w:hAnsi="宋体" w:cs="宋体"/>
          <w:sz w:val="24"/>
        </w:rPr>
      </w:pPr>
      <w:r>
        <w:rPr>
          <w:rFonts w:hint="eastAsia" w:hAnsi="宋体" w:cs="宋体"/>
          <w:sz w:val="24"/>
        </w:rPr>
        <w:t>（1）未提供有效的营业执照、税务登记证、组织机构代码证或“三证合一”的营业执照或“五证合一”的营业执照；</w:t>
      </w:r>
    </w:p>
    <w:p>
      <w:pPr>
        <w:snapToGrid w:val="0"/>
        <w:spacing w:line="360" w:lineRule="auto"/>
        <w:ind w:firstLine="480" w:firstLineChars="200"/>
        <w:rPr>
          <w:rFonts w:hint="eastAsia" w:ascii="宋体" w:hAnsi="宋体" w:cs="宋体"/>
          <w:sz w:val="24"/>
        </w:rPr>
      </w:pPr>
      <w:r>
        <w:rPr>
          <w:rFonts w:hint="eastAsia" w:ascii="宋体" w:hAnsi="宋体" w:cs="宋体"/>
          <w:sz w:val="24"/>
        </w:rPr>
        <w:t>（2）未提供法定代表人有效身份证明书及身份证或法定代表人授权书及授权人身份证；</w:t>
      </w:r>
    </w:p>
    <w:p>
      <w:pPr>
        <w:snapToGrid w:val="0"/>
        <w:spacing w:line="360" w:lineRule="auto"/>
        <w:ind w:firstLine="480" w:firstLineChars="200"/>
        <w:rPr>
          <w:rFonts w:hint="eastAsia" w:ascii="宋体" w:hAnsi="宋体" w:cs="宋体"/>
          <w:kern w:val="0"/>
          <w:sz w:val="24"/>
        </w:rPr>
      </w:pPr>
      <w:r>
        <w:rPr>
          <w:rFonts w:hint="eastAsia" w:ascii="宋体" w:hAnsi="宋体" w:cs="宋体"/>
          <w:sz w:val="24"/>
        </w:rPr>
        <w:t>（3）未提供授权代理人最近三个月任意一个月的社保证明；</w:t>
      </w:r>
    </w:p>
    <w:p>
      <w:pPr>
        <w:pStyle w:val="34"/>
        <w:spacing w:line="360" w:lineRule="auto"/>
        <w:ind w:firstLine="480" w:firstLineChars="200"/>
        <w:rPr>
          <w:rFonts w:hint="eastAsia" w:hAnsi="宋体" w:cs="宋体"/>
          <w:sz w:val="24"/>
        </w:rPr>
      </w:pPr>
      <w:r>
        <w:rPr>
          <w:rFonts w:hint="eastAsia" w:hAnsi="宋体" w:cs="宋体"/>
          <w:sz w:val="24"/>
        </w:rPr>
        <w:t>（4）未提供最近三个月供应商依法缴纳税收和社保费的证明[税费凭证，或者依法缴纳税费或依法免缴税费的证明]；</w:t>
      </w:r>
    </w:p>
    <w:p>
      <w:pPr>
        <w:pStyle w:val="34"/>
        <w:spacing w:line="360" w:lineRule="auto"/>
        <w:ind w:firstLine="480" w:firstLineChars="200"/>
        <w:rPr>
          <w:rFonts w:hint="eastAsia" w:hAnsi="宋体" w:cs="宋体"/>
          <w:sz w:val="24"/>
        </w:rPr>
      </w:pPr>
      <w:r>
        <w:rPr>
          <w:rFonts w:hint="eastAsia" w:hAnsi="宋体" w:cs="宋体"/>
          <w:sz w:val="24"/>
        </w:rPr>
        <w:t>（5）未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pStyle w:val="34"/>
        <w:spacing w:line="360" w:lineRule="auto"/>
        <w:ind w:firstLine="480" w:firstLineChars="200"/>
        <w:rPr>
          <w:rFonts w:hint="eastAsia" w:hAnsi="宋体" w:cs="宋体"/>
          <w:sz w:val="24"/>
        </w:rPr>
      </w:pPr>
      <w:r>
        <w:rPr>
          <w:rFonts w:hint="eastAsia" w:hAnsi="宋体" w:cs="宋体"/>
          <w:sz w:val="24"/>
        </w:rPr>
        <w:t>（6）被“信用中国”（www.creditchina.gov.cn）、中国政府采购网（www.ccgp.gov.cn）列入失信被执行人、重大税收违法案件当事人名单、政府采购严重违法失信行为记录名单的；</w:t>
      </w:r>
    </w:p>
    <w:p>
      <w:pPr>
        <w:pStyle w:val="34"/>
        <w:spacing w:line="360" w:lineRule="auto"/>
        <w:ind w:firstLine="480"/>
        <w:rPr>
          <w:rFonts w:hint="eastAsia" w:hAnsi="宋体" w:cs="宋体"/>
          <w:sz w:val="24"/>
        </w:rPr>
      </w:pPr>
      <w:r>
        <w:rPr>
          <w:rFonts w:hint="eastAsia" w:hAnsi="宋体" w:cs="宋体"/>
          <w:sz w:val="24"/>
        </w:rPr>
        <w:t>（7）未提供信用承诺书的；</w:t>
      </w:r>
    </w:p>
    <w:p>
      <w:pPr>
        <w:snapToGrid w:val="0"/>
        <w:spacing w:line="360" w:lineRule="auto"/>
        <w:ind w:firstLine="482" w:firstLineChars="200"/>
        <w:jc w:val="left"/>
        <w:rPr>
          <w:rFonts w:hint="eastAsia" w:ascii="宋体" w:hAnsi="宋体" w:cs="宋体"/>
          <w:sz w:val="24"/>
        </w:rPr>
      </w:pPr>
      <w:r>
        <w:rPr>
          <w:rFonts w:hint="eastAsia" w:ascii="宋体" w:hAnsi="宋体" w:cs="宋体"/>
          <w:b/>
          <w:bCs/>
          <w:sz w:val="24"/>
        </w:rPr>
        <w:t>2、在符合性审查和商务评审时，如发现下列情形之一的，投标文件将被视为无效：</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（1）投标文件未按采购文件要求签署、盖章的；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（2）《资格文件》或《技术、商务、资信及其他文件》中出现报价的；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（3）未在浙江政府采购网（政采云平台）完成本项目网上报名的；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（4）资格证明文件不全的，或者不符合采购文件标明的资格要求的；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（5）投标文件无法定代表人签字,或未提供法定代表人授权委托书、投标声明书或者填写项目不齐全的；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（6）在投标截止时间以后传送的电子投标文件的；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（7）投标文件格式不规范、项目不齐全或者内容虚假的；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（8）投标文件的实质性内容未使用中文表述、意思表述不明确、前后矛盾或者使用计量单位不符合采购文件要求的（经评标委员会认定并允许其当场更正的笔误除外）</w:t>
      </w:r>
    </w:p>
    <w:p>
      <w:pPr>
        <w:snapToGrid w:val="0"/>
        <w:spacing w:line="360" w:lineRule="auto"/>
        <w:ind w:left="479" w:leftChars="228"/>
        <w:jc w:val="left"/>
        <w:rPr>
          <w:rFonts w:hint="eastAsia" w:ascii="宋体" w:hAnsi="宋体" w:cs="宋体"/>
          <w:sz w:val="24"/>
        </w:rPr>
      </w:pPr>
      <w:r>
        <w:rPr>
          <w:rFonts w:hint="eastAsia" w:ascii="宋体" w:hAnsi="宋体" w:cs="宋体"/>
          <w:sz w:val="24"/>
        </w:rPr>
        <w:t>（9）投标有效期、交货期等商务条款不能满足采购文件要求的；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（10）未实质性响应采购文件要求或者投标文件有采购方不能接受的附加条件的；</w:t>
      </w:r>
    </w:p>
    <w:p>
      <w:pPr>
        <w:snapToGrid w:val="0"/>
        <w:spacing w:line="360" w:lineRule="auto"/>
        <w:ind w:left="479" w:leftChars="228"/>
        <w:jc w:val="left"/>
        <w:rPr>
          <w:rFonts w:hint="eastAsia" w:ascii="宋体" w:hAnsi="宋体" w:cs="宋体"/>
          <w:sz w:val="24"/>
        </w:rPr>
      </w:pPr>
      <w:r>
        <w:rPr>
          <w:rFonts w:hint="eastAsia" w:ascii="宋体" w:hAnsi="宋体" w:cs="宋体"/>
          <w:b/>
          <w:bCs/>
          <w:sz w:val="24"/>
        </w:rPr>
        <w:t>3、在技术评审时，如发现下列情形之一的，投标文件将被视为无效：</w:t>
      </w:r>
    </w:p>
    <w:p>
      <w:pPr>
        <w:spacing w:line="360" w:lineRule="auto"/>
        <w:ind w:firstLine="480" w:firstLineChars="200"/>
        <w:rPr>
          <w:rFonts w:hint="eastAsia" w:ascii="宋体" w:hAnsi="宋体" w:cs="宋体"/>
          <w:sz w:val="24"/>
        </w:rPr>
      </w:pPr>
      <w:r>
        <w:rPr>
          <w:rFonts w:hint="eastAsia" w:ascii="宋体" w:hAnsi="宋体" w:cs="宋体"/>
          <w:sz w:val="24"/>
        </w:rPr>
        <w:t>（1）投标文件标明的响应或偏离与事实不符或虚假投标的；</w:t>
      </w:r>
    </w:p>
    <w:p>
      <w:pPr>
        <w:spacing w:line="360" w:lineRule="auto"/>
        <w:ind w:firstLine="480" w:firstLineChars="200"/>
        <w:rPr>
          <w:rFonts w:hint="eastAsia" w:ascii="宋体" w:hAnsi="宋体" w:cs="宋体"/>
          <w:sz w:val="24"/>
        </w:rPr>
      </w:pPr>
      <w:r>
        <w:rPr>
          <w:rFonts w:hint="eastAsia" w:ascii="宋体" w:hAnsi="宋体" w:cs="宋体"/>
          <w:sz w:val="24"/>
        </w:rPr>
        <w:t>（2）明显不符合采购文件要求的服务标准的；</w:t>
      </w:r>
    </w:p>
    <w:p>
      <w:pPr>
        <w:spacing w:line="360" w:lineRule="auto"/>
        <w:ind w:firstLine="480" w:firstLineChars="200"/>
        <w:rPr>
          <w:rFonts w:hint="eastAsia" w:ascii="宋体" w:hAnsi="宋体" w:cs="宋体"/>
          <w:sz w:val="24"/>
        </w:rPr>
      </w:pPr>
      <w:r>
        <w:rPr>
          <w:rFonts w:hint="eastAsia" w:ascii="宋体" w:hAnsi="宋体" w:cs="宋体"/>
          <w:sz w:val="24"/>
        </w:rPr>
        <w:t>（3）投标技术方案不明确，存在一个或一个以上备选（替代）投标供应商案的；</w:t>
      </w:r>
    </w:p>
    <w:p>
      <w:pPr>
        <w:spacing w:line="360" w:lineRule="auto"/>
        <w:ind w:firstLine="480" w:firstLineChars="200"/>
        <w:rPr>
          <w:rFonts w:hint="eastAsia" w:ascii="宋体" w:hAnsi="宋体" w:cs="宋体"/>
          <w:sz w:val="24"/>
        </w:rPr>
      </w:pPr>
      <w:r>
        <w:rPr>
          <w:rFonts w:hint="eastAsia" w:ascii="宋体" w:hAnsi="宋体" w:cs="宋体"/>
          <w:sz w:val="24"/>
        </w:rPr>
        <w:t>（4）与其他参加本次投标供应商的投标文件（技术文件）的文字表述内容相同连续20行以上或者差错相同2处以上的；</w:t>
      </w:r>
    </w:p>
    <w:p>
      <w:pPr>
        <w:spacing w:line="360" w:lineRule="auto"/>
        <w:ind w:firstLine="482" w:firstLineChars="200"/>
        <w:rPr>
          <w:rFonts w:hint="eastAsia" w:ascii="宋体" w:hAnsi="宋体" w:cs="宋体"/>
          <w:sz w:val="24"/>
        </w:rPr>
      </w:pPr>
      <w:r>
        <w:rPr>
          <w:rFonts w:hint="eastAsia" w:ascii="宋体" w:hAnsi="宋体" w:cs="宋体"/>
          <w:b/>
          <w:bCs/>
          <w:sz w:val="24"/>
        </w:rPr>
        <w:t>4、在报价评审时，如发现下列情形之一的，投标文件将被视为无效：</w:t>
      </w:r>
    </w:p>
    <w:p>
      <w:pPr>
        <w:spacing w:line="360" w:lineRule="auto"/>
        <w:ind w:firstLine="480" w:firstLineChars="200"/>
        <w:rPr>
          <w:rFonts w:hint="eastAsia" w:ascii="宋体" w:hAnsi="宋体" w:cs="宋体"/>
          <w:sz w:val="24"/>
        </w:rPr>
      </w:pPr>
      <w:r>
        <w:rPr>
          <w:rFonts w:hint="eastAsia" w:ascii="宋体" w:hAnsi="宋体" w:cs="宋体"/>
          <w:bCs/>
          <w:sz w:val="24"/>
        </w:rPr>
        <w:t>（1）未采用人民币报价或者未按照采购文件标明的币种报价的；</w:t>
      </w:r>
    </w:p>
    <w:p>
      <w:pPr>
        <w:spacing w:line="360" w:lineRule="auto"/>
        <w:ind w:firstLine="480" w:firstLineChars="200"/>
        <w:rPr>
          <w:rFonts w:hint="eastAsia" w:ascii="宋体" w:hAnsi="宋体" w:cs="宋体"/>
          <w:sz w:val="24"/>
        </w:rPr>
      </w:pPr>
      <w:r>
        <w:rPr>
          <w:rFonts w:hint="eastAsia" w:ascii="宋体" w:hAnsi="宋体" w:cs="宋体"/>
          <w:bCs/>
          <w:sz w:val="24"/>
        </w:rPr>
        <w:t>（2）报价超出预算的，采购人不能支付的；</w:t>
      </w:r>
    </w:p>
    <w:p>
      <w:pPr>
        <w:spacing w:line="360" w:lineRule="auto"/>
        <w:ind w:firstLine="480" w:firstLineChars="200"/>
        <w:rPr>
          <w:rFonts w:hint="eastAsia" w:ascii="宋体" w:hAnsi="宋体" w:cs="宋体"/>
          <w:sz w:val="24"/>
        </w:rPr>
      </w:pPr>
      <w:r>
        <w:rPr>
          <w:rFonts w:hint="eastAsia" w:ascii="宋体" w:hAnsi="宋体" w:cs="宋体"/>
          <w:bCs/>
          <w:sz w:val="24"/>
        </w:rPr>
        <w:t>（3）投标报价具有选择性，或者开标价格与投标文件承诺的优惠（折扣）价格不一致的。</w:t>
      </w:r>
      <w:r>
        <w:rPr>
          <w:rFonts w:hint="eastAsia" w:ascii="宋体" w:hAnsi="宋体" w:cs="宋体"/>
          <w:sz w:val="24"/>
        </w:rPr>
        <w:t xml:space="preserve">    </w:t>
      </w:r>
    </w:p>
    <w:p>
      <w:pPr>
        <w:spacing w:line="500" w:lineRule="exact"/>
        <w:ind w:firstLine="480" w:firstLineChars="200"/>
        <w:jc w:val="left"/>
        <w:outlineLvl w:val="3"/>
        <w:rPr>
          <w:rFonts w:hint="eastAsia" w:ascii="宋体" w:hAnsi="宋体" w:cs="宋体"/>
          <w:sz w:val="24"/>
        </w:rPr>
      </w:pPr>
      <w:r>
        <w:rPr>
          <w:rFonts w:hint="eastAsia" w:ascii="宋体" w:hAnsi="宋体" w:cs="宋体"/>
          <w:sz w:val="24"/>
        </w:rPr>
        <w:t>（4）评审委员会认为投标供应商报价明显低于其他合格投标供应商的报价，有可能影响服务质量或者不能诚信履约的，应当要求其在合理时间内提供书面说明，必要时提供相关证明材料；投标供应商不能证明其报价合理性的，评审委员会应当将其作为无效投标或者无效响应处理；</w:t>
      </w:r>
    </w:p>
    <w:p>
      <w:pPr>
        <w:spacing w:line="500" w:lineRule="exact"/>
        <w:ind w:firstLine="482" w:firstLineChars="200"/>
        <w:jc w:val="left"/>
        <w:outlineLvl w:val="3"/>
        <w:rPr>
          <w:rFonts w:hint="eastAsia" w:ascii="宋体" w:hAnsi="宋体" w:cs="宋体"/>
          <w:b/>
          <w:bCs/>
          <w:sz w:val="24"/>
        </w:rPr>
      </w:pPr>
      <w:r>
        <w:rPr>
          <w:rFonts w:hint="eastAsia" w:ascii="宋体" w:hAnsi="宋体" w:cs="宋体"/>
          <w:b/>
          <w:bCs/>
          <w:sz w:val="24"/>
        </w:rPr>
        <w:t>5、被拒绝的投标文件为无效。</w:t>
      </w:r>
    </w:p>
    <w:p>
      <w:pPr>
        <w:spacing w:line="500" w:lineRule="exact"/>
        <w:ind w:firstLine="482" w:firstLineChars="200"/>
        <w:jc w:val="left"/>
        <w:outlineLvl w:val="3"/>
        <w:rPr>
          <w:rFonts w:hint="eastAsia" w:ascii="宋体" w:hAnsi="宋体" w:cs="宋体"/>
          <w:b/>
          <w:bCs/>
          <w:sz w:val="24"/>
        </w:rPr>
      </w:pPr>
      <w:r>
        <w:rPr>
          <w:rFonts w:hint="eastAsia" w:ascii="宋体" w:hAnsi="宋体" w:cs="宋体"/>
          <w:b/>
          <w:bCs/>
          <w:sz w:val="24"/>
        </w:rPr>
        <w:t>四、开标</w:t>
      </w:r>
    </w:p>
    <w:p>
      <w:pPr>
        <w:snapToGrid w:val="0"/>
        <w:spacing w:line="500" w:lineRule="exact"/>
        <w:ind w:firstLine="482" w:firstLineChars="200"/>
        <w:outlineLvl w:val="2"/>
        <w:rPr>
          <w:rFonts w:hint="eastAsia" w:ascii="宋体" w:hAnsi="宋体" w:cs="宋体"/>
          <w:b/>
          <w:sz w:val="24"/>
        </w:rPr>
      </w:pPr>
      <w:r>
        <w:rPr>
          <w:rFonts w:hint="eastAsia" w:ascii="宋体" w:hAnsi="宋体" w:cs="宋体"/>
          <w:b/>
          <w:sz w:val="24"/>
        </w:rPr>
        <w:t>（一）开标形式</w:t>
      </w:r>
    </w:p>
    <w:p>
      <w:pPr>
        <w:pStyle w:val="34"/>
        <w:spacing w:line="500" w:lineRule="exact"/>
        <w:ind w:firstLine="480" w:firstLineChars="200"/>
        <w:rPr>
          <w:rFonts w:hint="eastAsia" w:hAnsi="宋体" w:cs="宋体"/>
          <w:sz w:val="24"/>
          <w:szCs w:val="24"/>
        </w:rPr>
      </w:pPr>
      <w:r>
        <w:rPr>
          <w:rFonts w:hint="eastAsia" w:hAnsi="宋体" w:cs="宋体"/>
          <w:sz w:val="24"/>
          <w:szCs w:val="24"/>
        </w:rPr>
        <w:t>采购代理机构将按照采购文件规定的时间通过“政府采购云平台”组织开标、开启投标文件，所有投标供应商均应当准时在线参加。</w:t>
      </w:r>
    </w:p>
    <w:p>
      <w:pPr>
        <w:snapToGrid w:val="0"/>
        <w:spacing w:line="500" w:lineRule="exact"/>
        <w:ind w:firstLine="482" w:firstLineChars="200"/>
        <w:outlineLvl w:val="2"/>
        <w:rPr>
          <w:rFonts w:hint="eastAsia" w:ascii="宋体" w:hAnsi="宋体" w:cs="宋体"/>
          <w:b/>
          <w:sz w:val="24"/>
        </w:rPr>
      </w:pPr>
      <w:r>
        <w:rPr>
          <w:rFonts w:hint="eastAsia" w:ascii="宋体" w:hAnsi="宋体" w:cs="宋体"/>
          <w:b/>
          <w:sz w:val="24"/>
        </w:rPr>
        <w:t>（二）开标准备</w:t>
      </w:r>
    </w:p>
    <w:p>
      <w:pPr>
        <w:pStyle w:val="34"/>
        <w:spacing w:line="500" w:lineRule="exact"/>
        <w:ind w:firstLine="480" w:firstLineChars="200"/>
        <w:rPr>
          <w:rFonts w:hint="eastAsia" w:hAnsi="宋体" w:cs="宋体"/>
          <w:sz w:val="24"/>
          <w:szCs w:val="24"/>
        </w:rPr>
      </w:pPr>
      <w:r>
        <w:rPr>
          <w:rFonts w:hint="eastAsia" w:hAnsi="宋体" w:cs="宋体"/>
          <w:sz w:val="24"/>
          <w:szCs w:val="24"/>
        </w:rPr>
        <w:t>1、开标的准备工作由采购代理机构负责落实；</w:t>
      </w:r>
    </w:p>
    <w:p>
      <w:pPr>
        <w:pStyle w:val="34"/>
        <w:spacing w:line="500" w:lineRule="exact"/>
        <w:ind w:firstLine="480" w:firstLineChars="200"/>
        <w:rPr>
          <w:rFonts w:hint="eastAsia" w:hAnsi="宋体" w:cs="宋体"/>
          <w:sz w:val="24"/>
          <w:szCs w:val="24"/>
        </w:rPr>
      </w:pPr>
      <w:r>
        <w:rPr>
          <w:rFonts w:hint="eastAsia" w:hAnsi="宋体" w:cs="宋体"/>
          <w:sz w:val="24"/>
          <w:szCs w:val="24"/>
        </w:rPr>
        <w:t>2、</w:t>
      </w:r>
      <w:r>
        <w:rPr>
          <w:rFonts w:hint="eastAsia" w:hAnsi="宋体" w:cs="宋体"/>
          <w:b/>
          <w:bCs/>
          <w:sz w:val="24"/>
          <w:szCs w:val="24"/>
        </w:rPr>
        <w:t>采购代理机构将按照采购文件规定的时间通过“政府采购云平台”组织开标、开启投标文件，所有投标供应商均应当准时在线参加。投标供应商如不参加开标大会的，视同认可开标结果，事后不得对采购相关人员、开标过程和开标结果提出异议，同时投标供应商因未在线参加开标而导致投标文件无法按时解密等一切后果由投标供应商自己承担</w:t>
      </w:r>
      <w:r>
        <w:rPr>
          <w:rFonts w:hint="eastAsia" w:hAnsi="宋体" w:cs="宋体"/>
          <w:sz w:val="24"/>
          <w:szCs w:val="24"/>
        </w:rPr>
        <w:t>。</w:t>
      </w:r>
    </w:p>
    <w:p>
      <w:pPr>
        <w:snapToGrid w:val="0"/>
        <w:spacing w:line="500" w:lineRule="exact"/>
        <w:ind w:firstLine="482" w:firstLineChars="200"/>
        <w:outlineLvl w:val="2"/>
        <w:rPr>
          <w:rFonts w:hint="eastAsia" w:ascii="宋体" w:hAnsi="宋体" w:cs="宋体"/>
          <w:b/>
          <w:sz w:val="24"/>
        </w:rPr>
      </w:pPr>
      <w:r>
        <w:rPr>
          <w:rFonts w:hint="eastAsia" w:ascii="宋体" w:hAnsi="宋体" w:cs="宋体"/>
          <w:b/>
          <w:sz w:val="24"/>
        </w:rPr>
        <w:t>（三）开标流程（两个阶段）</w:t>
      </w:r>
    </w:p>
    <w:p>
      <w:pPr>
        <w:snapToGrid w:val="0"/>
        <w:spacing w:line="500" w:lineRule="exact"/>
        <w:ind w:firstLine="482" w:firstLineChars="200"/>
        <w:outlineLvl w:val="3"/>
        <w:rPr>
          <w:rFonts w:hint="eastAsia" w:ascii="宋体" w:hAnsi="宋体" w:cs="宋体"/>
          <w:b/>
          <w:sz w:val="24"/>
        </w:rPr>
      </w:pPr>
      <w:r>
        <w:rPr>
          <w:rFonts w:hint="eastAsia" w:ascii="宋体" w:hAnsi="宋体" w:cs="宋体"/>
          <w:b/>
          <w:sz w:val="24"/>
        </w:rPr>
        <w:t>1、开标第一阶段</w:t>
      </w:r>
    </w:p>
    <w:p>
      <w:pPr>
        <w:pStyle w:val="34"/>
        <w:spacing w:line="500" w:lineRule="exact"/>
        <w:ind w:firstLine="480" w:firstLineChars="200"/>
        <w:rPr>
          <w:rFonts w:hint="eastAsia" w:hAnsi="宋体" w:cs="宋体"/>
          <w:sz w:val="24"/>
          <w:szCs w:val="24"/>
        </w:rPr>
      </w:pPr>
      <w:r>
        <w:rPr>
          <w:rFonts w:hint="eastAsia" w:hAnsi="宋体" w:cs="宋体"/>
          <w:sz w:val="24"/>
          <w:szCs w:val="24"/>
        </w:rPr>
        <w:t>（1）向各投标供应商发出电子加密投标文件【开始解密】通知，由投标供应商按采购文件规定的时间内自行进行投标文件解密。投标供应商在规定的时间内无法完成已递交的“电子加密投标文件”解密的，如已按规定递交了备份投标文件的，将由采购代理机构按“政府采购云平台”操作规范点击“异常处理”，由代理机构将备份投标文件上传至“政府采购云平台”，上传成功后，“电子加密投标文件”自动失效；</w:t>
      </w:r>
    </w:p>
    <w:p>
      <w:pPr>
        <w:pStyle w:val="34"/>
        <w:spacing w:line="500" w:lineRule="exact"/>
        <w:ind w:firstLine="480" w:firstLineChars="200"/>
        <w:rPr>
          <w:rFonts w:hint="eastAsia" w:hAnsi="宋体" w:cs="宋体"/>
          <w:sz w:val="24"/>
          <w:szCs w:val="24"/>
        </w:rPr>
      </w:pPr>
      <w:r>
        <w:rPr>
          <w:rFonts w:hint="eastAsia" w:hAnsi="宋体" w:cs="宋体"/>
          <w:sz w:val="24"/>
          <w:szCs w:val="24"/>
        </w:rPr>
        <w:t>（2）投标文件解密结束，开启投标文件，进入资格审查；</w:t>
      </w:r>
    </w:p>
    <w:p>
      <w:pPr>
        <w:pStyle w:val="34"/>
        <w:spacing w:line="500" w:lineRule="exact"/>
        <w:ind w:firstLine="480" w:firstLineChars="200"/>
        <w:rPr>
          <w:rFonts w:hint="eastAsia" w:hAnsi="宋体" w:cs="宋体"/>
          <w:sz w:val="24"/>
          <w:szCs w:val="24"/>
        </w:rPr>
      </w:pPr>
      <w:r>
        <w:rPr>
          <w:rFonts w:hint="eastAsia" w:hAnsi="宋体" w:cs="宋体"/>
          <w:sz w:val="24"/>
          <w:szCs w:val="24"/>
        </w:rPr>
        <w:t>（3）开启资格审查通过的投标供应商的商务技术资信及其他文件进入符合性审查、商务技术评审；</w:t>
      </w:r>
    </w:p>
    <w:p>
      <w:pPr>
        <w:pStyle w:val="34"/>
        <w:spacing w:line="500" w:lineRule="exact"/>
        <w:ind w:firstLine="480" w:firstLineChars="200"/>
        <w:rPr>
          <w:rFonts w:hint="eastAsia" w:hAnsi="宋体" w:cs="宋体"/>
          <w:sz w:val="24"/>
          <w:szCs w:val="24"/>
        </w:rPr>
      </w:pPr>
      <w:r>
        <w:rPr>
          <w:rFonts w:hint="eastAsia" w:hAnsi="宋体" w:cs="宋体"/>
          <w:sz w:val="24"/>
          <w:szCs w:val="24"/>
        </w:rPr>
        <w:t>（4）第一阶段开标结束。</w:t>
      </w:r>
    </w:p>
    <w:p>
      <w:pPr>
        <w:pStyle w:val="34"/>
        <w:spacing w:line="500" w:lineRule="exact"/>
        <w:ind w:firstLine="482" w:firstLineChars="200"/>
        <w:rPr>
          <w:rFonts w:hint="eastAsia" w:hAnsi="宋体" w:cs="宋体"/>
          <w:b/>
          <w:bCs/>
          <w:sz w:val="24"/>
          <w:szCs w:val="24"/>
        </w:rPr>
      </w:pPr>
      <w:r>
        <w:rPr>
          <w:rFonts w:hint="eastAsia" w:hAnsi="宋体" w:cs="宋体"/>
          <w:b/>
          <w:bCs/>
          <w:sz w:val="24"/>
          <w:szCs w:val="24"/>
        </w:rPr>
        <w:t>备注：开标大会的第一阶段结束后，采购人或采购代理机构将依法对投标供应商的资格进行审查，资格审查结束后进入符合性审查和商务技术的评审工作。</w:t>
      </w:r>
    </w:p>
    <w:p>
      <w:pPr>
        <w:snapToGrid w:val="0"/>
        <w:spacing w:line="500" w:lineRule="exact"/>
        <w:ind w:firstLine="482" w:firstLineChars="200"/>
        <w:outlineLvl w:val="3"/>
        <w:rPr>
          <w:rFonts w:hint="eastAsia" w:ascii="宋体" w:hAnsi="宋体" w:cs="宋体"/>
          <w:b/>
          <w:sz w:val="24"/>
        </w:rPr>
      </w:pPr>
      <w:r>
        <w:rPr>
          <w:rFonts w:hint="eastAsia" w:ascii="宋体" w:hAnsi="宋体" w:cs="宋体"/>
          <w:b/>
          <w:sz w:val="24"/>
        </w:rPr>
        <w:t>2、开标大会第二阶段</w:t>
      </w:r>
    </w:p>
    <w:p>
      <w:pPr>
        <w:spacing w:line="500" w:lineRule="exact"/>
        <w:ind w:firstLine="480" w:firstLineChars="200"/>
        <w:jc w:val="left"/>
        <w:rPr>
          <w:rFonts w:hint="eastAsia" w:ascii="宋体" w:hAnsi="宋体" w:cs="宋体"/>
          <w:sz w:val="24"/>
        </w:rPr>
      </w:pPr>
      <w:r>
        <w:rPr>
          <w:rFonts w:hint="eastAsia" w:ascii="宋体" w:hAnsi="宋体" w:cs="宋体"/>
          <w:sz w:val="24"/>
        </w:rPr>
        <w:t>（1）符合性审查、商务技术评审结束后，举行开标大会第二阶段会议。首先通过发送邮件形式公布符合性审查、商务技术评审无效投标供应商名称及理由；公布经商务技术评审后有效投标供应商的名单，同时公布其商务技术得分（总分）情况。</w:t>
      </w:r>
    </w:p>
    <w:p>
      <w:pPr>
        <w:spacing w:line="500" w:lineRule="exact"/>
        <w:ind w:firstLine="480" w:firstLineChars="200"/>
        <w:jc w:val="left"/>
        <w:rPr>
          <w:rFonts w:hint="eastAsia" w:ascii="宋体" w:hAnsi="宋体" w:cs="宋体"/>
          <w:sz w:val="24"/>
        </w:rPr>
      </w:pPr>
      <w:r>
        <w:rPr>
          <w:rFonts w:hint="eastAsia" w:ascii="宋体" w:hAnsi="宋体" w:cs="宋体"/>
          <w:sz w:val="24"/>
        </w:rPr>
        <w:t>（2）开启符合性审查、商务技术评审有效投标供应商的《报价文件》，通过发送邮件形式公布开标记录表（所有投标供应商的报价），投标供应商对自己的报价金额有异议的通过发送邮件形式说明（不予说明视为无异议）。唱标结束后，由评标委员会对报价的合理性、准确性等进行审查核实。</w:t>
      </w:r>
    </w:p>
    <w:p>
      <w:pPr>
        <w:spacing w:line="500" w:lineRule="exact"/>
        <w:ind w:firstLine="480" w:firstLineChars="200"/>
        <w:jc w:val="left"/>
        <w:rPr>
          <w:rFonts w:hint="eastAsia" w:ascii="宋体" w:hAnsi="宋体" w:cs="宋体"/>
          <w:sz w:val="24"/>
        </w:rPr>
      </w:pPr>
      <w:r>
        <w:rPr>
          <w:rFonts w:hint="eastAsia" w:ascii="宋体" w:hAnsi="宋体" w:cs="宋体"/>
          <w:sz w:val="24"/>
        </w:rPr>
        <w:t>（3）评审结束后，通过发送邮件形式公布中标候选投标供应商名单，及采购人最终确定中标供应商。</w:t>
      </w:r>
    </w:p>
    <w:p>
      <w:pPr>
        <w:spacing w:line="500" w:lineRule="exact"/>
        <w:ind w:firstLine="482" w:firstLineChars="200"/>
        <w:jc w:val="left"/>
        <w:rPr>
          <w:rFonts w:hint="eastAsia" w:ascii="宋体" w:hAnsi="宋体" w:cs="宋体"/>
          <w:b/>
          <w:bCs/>
          <w:sz w:val="24"/>
        </w:rPr>
      </w:pPr>
      <w:r>
        <w:rPr>
          <w:rFonts w:hint="eastAsia" w:ascii="宋体" w:hAnsi="宋体" w:cs="宋体"/>
          <w:b/>
          <w:bCs/>
          <w:sz w:val="24"/>
        </w:rPr>
        <w:t>特别说明：如遇“政府采购云平台”电子化开标或评审程序调整的，按调整后程序执行。</w:t>
      </w:r>
    </w:p>
    <w:p>
      <w:pPr>
        <w:snapToGrid w:val="0"/>
        <w:spacing w:line="500" w:lineRule="exact"/>
        <w:ind w:firstLine="482" w:firstLineChars="200"/>
        <w:outlineLvl w:val="2"/>
        <w:rPr>
          <w:rFonts w:hint="eastAsia" w:ascii="宋体" w:hAnsi="宋体" w:cs="宋体"/>
          <w:b/>
          <w:sz w:val="24"/>
        </w:rPr>
      </w:pPr>
      <w:r>
        <w:rPr>
          <w:rFonts w:hint="eastAsia" w:ascii="宋体" w:hAnsi="宋体" w:cs="宋体"/>
          <w:b/>
          <w:sz w:val="24"/>
        </w:rPr>
        <w:t>（四）投标供应商资格审查</w:t>
      </w:r>
    </w:p>
    <w:p>
      <w:pPr>
        <w:spacing w:line="500" w:lineRule="exact"/>
        <w:ind w:firstLine="480" w:firstLineChars="200"/>
        <w:jc w:val="left"/>
        <w:rPr>
          <w:rFonts w:hint="eastAsia" w:ascii="宋体" w:hAnsi="宋体" w:cs="宋体"/>
          <w:sz w:val="24"/>
        </w:rPr>
      </w:pPr>
      <w:r>
        <w:rPr>
          <w:rFonts w:hint="eastAsia" w:ascii="宋体" w:hAnsi="宋体" w:cs="宋体"/>
          <w:sz w:val="24"/>
        </w:rPr>
        <w:t>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80" w:firstLineChars="200"/>
        <w:jc w:val="left"/>
        <w:rPr>
          <w:rFonts w:hint="eastAsia" w:ascii="宋体" w:hAnsi="宋体" w:cs="宋体"/>
          <w:sz w:val="24"/>
        </w:rPr>
      </w:pPr>
      <w:r>
        <w:rPr>
          <w:rFonts w:hint="eastAsia" w:ascii="宋体" w:hAnsi="宋体" w:cs="宋体"/>
          <w:sz w:val="24"/>
        </w:rPr>
        <w:t>2、投标供应商提交的资格证明材料无法证明其符合采购文件规定的“投标供应商资格要求”的，采购人或采购代理机构将对其作资格审查不通过处理（无效投标），并不再将其投标提交评标委员会进行后续评审。</w:t>
      </w:r>
    </w:p>
    <w:p>
      <w:pPr>
        <w:spacing w:line="360" w:lineRule="auto"/>
        <w:ind w:firstLine="480" w:firstLineChars="200"/>
        <w:jc w:val="left"/>
        <w:rPr>
          <w:rFonts w:hint="eastAsia" w:ascii="宋体" w:hAnsi="宋体" w:cs="宋体"/>
        </w:rPr>
      </w:pPr>
      <w:r>
        <w:rPr>
          <w:rFonts w:hint="eastAsia" w:ascii="宋体" w:hAnsi="宋体" w:cs="宋体"/>
          <w:sz w:val="24"/>
        </w:rPr>
        <w:t>3、单位负责人为同一人或者存在直接控股、管理关系的不同投标供应商参加同一项目下的政府采购活动的，相关投标供应商均作资格无效处理。</w:t>
      </w:r>
    </w:p>
    <w:p>
      <w:pPr>
        <w:pStyle w:val="34"/>
        <w:snapToGrid w:val="0"/>
        <w:spacing w:line="360" w:lineRule="auto"/>
        <w:ind w:left="661" w:leftChars="200" w:hanging="241" w:hangingChars="100"/>
        <w:rPr>
          <w:rFonts w:hint="eastAsia" w:hAnsi="宋体" w:cs="宋体"/>
          <w:b/>
          <w:sz w:val="24"/>
          <w:szCs w:val="24"/>
        </w:rPr>
      </w:pPr>
      <w:r>
        <w:rPr>
          <w:rFonts w:hint="eastAsia" w:hAnsi="宋体" w:cs="宋体"/>
          <w:b/>
          <w:sz w:val="24"/>
          <w:szCs w:val="24"/>
        </w:rPr>
        <w:t>五、评标</w:t>
      </w:r>
    </w:p>
    <w:p>
      <w:pPr>
        <w:pStyle w:val="34"/>
        <w:snapToGrid w:val="0"/>
        <w:spacing w:line="360" w:lineRule="auto"/>
        <w:ind w:left="720" w:leftChars="228" w:hanging="241" w:hangingChars="100"/>
        <w:rPr>
          <w:rFonts w:hint="eastAsia" w:hAnsi="宋体" w:cs="宋体"/>
          <w:b/>
          <w:sz w:val="24"/>
          <w:szCs w:val="24"/>
        </w:rPr>
      </w:pPr>
      <w:r>
        <w:rPr>
          <w:rFonts w:hint="eastAsia" w:hAnsi="宋体" w:cs="宋体"/>
          <w:b/>
          <w:sz w:val="24"/>
          <w:szCs w:val="24"/>
        </w:rPr>
        <w:t>（一）组建评标委员会</w:t>
      </w:r>
    </w:p>
    <w:p>
      <w:pPr>
        <w:pStyle w:val="34"/>
        <w:snapToGrid w:val="0"/>
        <w:spacing w:line="360" w:lineRule="auto"/>
        <w:ind w:firstLine="480" w:firstLineChars="200"/>
        <w:rPr>
          <w:rFonts w:hint="eastAsia" w:hAnsi="宋体" w:cs="宋体"/>
          <w:sz w:val="24"/>
          <w:szCs w:val="24"/>
        </w:rPr>
      </w:pPr>
      <w:r>
        <w:rPr>
          <w:rFonts w:hint="eastAsia" w:hAnsi="宋体" w:cs="宋体"/>
          <w:sz w:val="24"/>
          <w:szCs w:val="24"/>
        </w:rPr>
        <w:t>本项目评标委员会由政府采购评审专家和采购人代表共7人组成（其中采购人代表不超过总人数的 1/3）。</w:t>
      </w:r>
    </w:p>
    <w:p>
      <w:pPr>
        <w:pStyle w:val="34"/>
        <w:snapToGrid w:val="0"/>
        <w:spacing w:line="360" w:lineRule="auto"/>
        <w:ind w:left="720" w:leftChars="228" w:hanging="241" w:hangingChars="100"/>
        <w:rPr>
          <w:rFonts w:hint="eastAsia" w:hAnsi="宋体" w:cs="宋体"/>
          <w:b/>
          <w:sz w:val="24"/>
          <w:szCs w:val="24"/>
        </w:rPr>
      </w:pPr>
      <w:r>
        <w:rPr>
          <w:rFonts w:hint="eastAsia" w:hAnsi="宋体" w:cs="宋体"/>
          <w:b/>
          <w:sz w:val="24"/>
          <w:szCs w:val="24"/>
        </w:rPr>
        <w:t>（二）评标的方式</w:t>
      </w:r>
    </w:p>
    <w:p>
      <w:pPr>
        <w:pStyle w:val="34"/>
        <w:snapToGrid w:val="0"/>
        <w:spacing w:line="360" w:lineRule="auto"/>
        <w:ind w:left="719" w:leftChars="228" w:hanging="240" w:hangingChars="100"/>
        <w:rPr>
          <w:rFonts w:hint="eastAsia" w:hAnsi="宋体" w:cs="宋体"/>
          <w:sz w:val="24"/>
          <w:szCs w:val="24"/>
        </w:rPr>
      </w:pPr>
      <w:r>
        <w:rPr>
          <w:rFonts w:hint="eastAsia" w:hAnsi="宋体" w:cs="宋体"/>
          <w:sz w:val="24"/>
          <w:szCs w:val="24"/>
        </w:rPr>
        <w:t>本项目采用不公开方式评标，评标的依据为采购文件和投标文件。</w:t>
      </w:r>
    </w:p>
    <w:p>
      <w:pPr>
        <w:pStyle w:val="34"/>
        <w:snapToGrid w:val="0"/>
        <w:spacing w:line="360" w:lineRule="auto"/>
        <w:ind w:left="720" w:leftChars="228" w:hanging="241" w:hangingChars="100"/>
        <w:rPr>
          <w:rFonts w:hint="eastAsia" w:hAnsi="宋体" w:cs="宋体"/>
          <w:b/>
          <w:sz w:val="24"/>
          <w:szCs w:val="24"/>
        </w:rPr>
      </w:pPr>
      <w:r>
        <w:rPr>
          <w:rFonts w:hint="eastAsia" w:hAnsi="宋体" w:cs="宋体"/>
          <w:b/>
          <w:sz w:val="24"/>
          <w:szCs w:val="24"/>
        </w:rPr>
        <w:t>（三）</w:t>
      </w:r>
      <w:r>
        <w:rPr>
          <w:rFonts w:hint="eastAsia" w:hAnsi="宋体" w:cs="宋体"/>
          <w:b/>
          <w:bCs/>
          <w:sz w:val="24"/>
          <w:szCs w:val="24"/>
        </w:rPr>
        <w:t>评标程序</w:t>
      </w:r>
    </w:p>
    <w:p>
      <w:pPr>
        <w:snapToGrid w:val="0"/>
        <w:spacing w:line="360" w:lineRule="auto"/>
        <w:ind w:firstLine="470" w:firstLineChars="196"/>
        <w:rPr>
          <w:rFonts w:hint="eastAsia" w:ascii="宋体" w:hAnsi="宋体" w:cs="宋体"/>
          <w:sz w:val="24"/>
        </w:rPr>
      </w:pPr>
      <w:r>
        <w:rPr>
          <w:rFonts w:hint="eastAsia" w:ascii="宋体" w:hAnsi="宋体" w:cs="宋体"/>
          <w:sz w:val="24"/>
        </w:rPr>
        <w:t>1、形式审查</w:t>
      </w:r>
    </w:p>
    <w:p>
      <w:pPr>
        <w:snapToGrid w:val="0"/>
        <w:spacing w:line="360" w:lineRule="auto"/>
        <w:ind w:firstLine="480" w:firstLineChars="200"/>
        <w:rPr>
          <w:rFonts w:hint="eastAsia" w:ascii="宋体" w:hAnsi="宋体" w:cs="宋体"/>
          <w:sz w:val="24"/>
        </w:rPr>
      </w:pPr>
      <w:r>
        <w:rPr>
          <w:rFonts w:hint="eastAsia" w:ascii="宋体" w:hAnsi="宋体" w:cs="宋体"/>
          <w:sz w:val="24"/>
        </w:rPr>
        <w:t>采购人代表和代理机构工作人员依法对投标供应商的资格先进行审查。</w:t>
      </w:r>
    </w:p>
    <w:p>
      <w:pPr>
        <w:snapToGrid w:val="0"/>
        <w:spacing w:line="360" w:lineRule="auto"/>
        <w:ind w:firstLine="472" w:firstLineChars="196"/>
        <w:rPr>
          <w:rFonts w:hint="eastAsia" w:ascii="宋体" w:hAnsi="宋体" w:cs="宋体"/>
          <w:b/>
          <w:bCs/>
          <w:sz w:val="24"/>
        </w:rPr>
      </w:pPr>
      <w:r>
        <w:rPr>
          <w:rFonts w:hint="eastAsia" w:ascii="宋体" w:hAnsi="宋体" w:cs="宋体"/>
          <w:b/>
          <w:bCs/>
          <w:sz w:val="24"/>
        </w:rPr>
        <w:t>2、实质审查与比较</w:t>
      </w:r>
    </w:p>
    <w:p>
      <w:pPr>
        <w:snapToGrid w:val="0"/>
        <w:spacing w:line="360" w:lineRule="auto"/>
        <w:ind w:firstLine="480" w:firstLineChars="200"/>
        <w:rPr>
          <w:rFonts w:hint="eastAsia" w:ascii="宋体" w:hAnsi="宋体" w:cs="宋体"/>
          <w:sz w:val="24"/>
        </w:rPr>
      </w:pPr>
      <w:r>
        <w:rPr>
          <w:rFonts w:hint="eastAsia" w:ascii="宋体" w:hAnsi="宋体" w:cs="宋体"/>
          <w:sz w:val="24"/>
        </w:rPr>
        <w:t>（1）评标委员会审查投标文件的实质性内容是否符合采购文件的实质性要求。</w:t>
      </w:r>
    </w:p>
    <w:p>
      <w:pPr>
        <w:snapToGrid w:val="0"/>
        <w:spacing w:line="360" w:lineRule="auto"/>
        <w:ind w:firstLine="480" w:firstLineChars="200"/>
        <w:rPr>
          <w:rFonts w:hint="eastAsia" w:ascii="宋体" w:hAnsi="宋体" w:cs="宋体"/>
          <w:sz w:val="24"/>
        </w:rPr>
      </w:pPr>
      <w:r>
        <w:rPr>
          <w:rFonts w:hint="eastAsia" w:ascii="宋体" w:hAnsi="宋体" w:cs="宋体"/>
          <w:sz w:val="24"/>
        </w:rPr>
        <w:t>（2）评标委员会将根据投标供应商的投标文件进行审查、核对,如有疑问,将对投标供应商进行询标,投标供应商要向评标委员会澄清有关问题,并最终以书面形式进行答复。投标供应商代表未到场或者拒绝澄清或者澄清的内容改变了投标文件的实质性内容的，评标委员会有权对该投标文件作出不利于投标供应商的评判。</w:t>
      </w:r>
    </w:p>
    <w:p>
      <w:pPr>
        <w:snapToGrid w:val="0"/>
        <w:spacing w:line="360" w:lineRule="auto"/>
        <w:ind w:firstLine="480" w:firstLineChars="200"/>
        <w:rPr>
          <w:rFonts w:hint="eastAsia" w:ascii="宋体" w:hAnsi="宋体" w:cs="宋体"/>
          <w:sz w:val="24"/>
        </w:rPr>
      </w:pPr>
      <w:r>
        <w:rPr>
          <w:rFonts w:hint="eastAsia" w:ascii="宋体" w:hAnsi="宋体" w:cs="宋体"/>
          <w:sz w:val="24"/>
        </w:rPr>
        <w:t>（3）各投标供应商的技术得分为所有评委的有效评分的算术平均数，由指定专人进行计算复核。</w:t>
      </w:r>
    </w:p>
    <w:p>
      <w:pPr>
        <w:snapToGrid w:val="0"/>
        <w:spacing w:line="360" w:lineRule="auto"/>
        <w:ind w:firstLine="480" w:firstLineChars="200"/>
        <w:rPr>
          <w:rFonts w:hint="eastAsia" w:ascii="宋体" w:hAnsi="宋体" w:cs="宋体"/>
          <w:sz w:val="24"/>
        </w:rPr>
      </w:pPr>
      <w:r>
        <w:rPr>
          <w:rFonts w:hint="eastAsia" w:ascii="宋体" w:hAnsi="宋体" w:cs="宋体"/>
          <w:sz w:val="24"/>
        </w:rPr>
        <w:t>（4）代理机构工作人员协助评标委员会根据本项目的评分标准计算各投标供应商的商务报价得分。</w:t>
      </w:r>
    </w:p>
    <w:p>
      <w:pPr>
        <w:snapToGrid w:val="0"/>
        <w:spacing w:line="360" w:lineRule="auto"/>
        <w:ind w:firstLine="480" w:firstLineChars="200"/>
        <w:rPr>
          <w:rFonts w:hint="eastAsia" w:ascii="宋体" w:hAnsi="宋体" w:cs="宋体"/>
          <w:sz w:val="24"/>
        </w:rPr>
      </w:pPr>
      <w:r>
        <w:rPr>
          <w:rFonts w:hint="eastAsia" w:ascii="宋体" w:hAnsi="宋体" w:cs="宋体"/>
          <w:sz w:val="24"/>
        </w:rPr>
        <w:t>（5）评标委员会完成评标后,评委对各部分得分汇总,计算出本项目最终得分、性价比、评标价等。评标委员会按评标原则推荐中标候选人同时起草评标报告。</w:t>
      </w:r>
    </w:p>
    <w:p>
      <w:pPr>
        <w:snapToGrid w:val="0"/>
        <w:spacing w:line="360" w:lineRule="auto"/>
        <w:ind w:firstLine="482" w:firstLineChars="200"/>
        <w:rPr>
          <w:rFonts w:hint="eastAsia" w:ascii="宋体" w:hAnsi="宋体" w:cs="宋体"/>
          <w:b/>
          <w:sz w:val="24"/>
        </w:rPr>
      </w:pPr>
      <w:r>
        <w:rPr>
          <w:rFonts w:hint="eastAsia" w:ascii="宋体" w:hAnsi="宋体" w:cs="宋体"/>
          <w:b/>
          <w:sz w:val="24"/>
        </w:rPr>
        <w:t>（四）澄清问题的形式</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对投标文件中含义不明确、同类问题表述不一致或者有明显文字和计算错误的内容，评标委员会可要求供应商作出必要的澄清、说明或者纠正。</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评审中需要供应商对投标文件作出澄清、说明或者补正的，评审小组和供应商应当通过电子交易平台交换数据电文。给予供应商提交澄清说明或补正的时间为半小时，供应商已经明确表示澄清说明或补正完毕的除外。</w:t>
      </w:r>
    </w:p>
    <w:p>
      <w:pPr>
        <w:pStyle w:val="34"/>
        <w:snapToGrid w:val="0"/>
        <w:spacing w:line="360" w:lineRule="auto"/>
        <w:ind w:left="720" w:leftChars="228" w:hanging="241" w:hangingChars="100"/>
        <w:rPr>
          <w:rFonts w:hint="eastAsia" w:hAnsi="宋体" w:cs="宋体"/>
          <w:b/>
          <w:sz w:val="24"/>
          <w:szCs w:val="24"/>
        </w:rPr>
      </w:pPr>
      <w:r>
        <w:rPr>
          <w:rFonts w:hint="eastAsia" w:hAnsi="宋体" w:cs="宋体"/>
          <w:b/>
          <w:sz w:val="24"/>
          <w:szCs w:val="24"/>
        </w:rPr>
        <w:t>（五）错误修正</w:t>
      </w:r>
    </w:p>
    <w:p>
      <w:pPr>
        <w:pStyle w:val="34"/>
        <w:snapToGrid w:val="0"/>
        <w:spacing w:line="360" w:lineRule="auto"/>
        <w:ind w:left="719" w:leftChars="228" w:hanging="240" w:hangingChars="100"/>
        <w:rPr>
          <w:rFonts w:hint="eastAsia" w:hAnsi="宋体" w:cs="宋体"/>
          <w:sz w:val="24"/>
          <w:szCs w:val="24"/>
        </w:rPr>
      </w:pPr>
      <w:r>
        <w:rPr>
          <w:rFonts w:hint="eastAsia" w:hAnsi="宋体" w:cs="宋体"/>
          <w:sz w:val="24"/>
          <w:szCs w:val="24"/>
        </w:rPr>
        <w:t>投标文件如果出现计算或表达上的错误，修正错误的原则如下：</w:t>
      </w:r>
    </w:p>
    <w:p>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1、开标一览表总价与投标报价明细表汇总数不一致的，以开标一览表为准；</w:t>
      </w:r>
    </w:p>
    <w:p>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2、投标文件的大写金额和小写金额不一致的，以大写金额为准；</w:t>
      </w:r>
    </w:p>
    <w:p>
      <w:pPr>
        <w:pStyle w:val="34"/>
        <w:snapToGrid w:val="0"/>
        <w:spacing w:line="360" w:lineRule="auto"/>
        <w:ind w:firstLine="480" w:firstLineChars="200"/>
        <w:rPr>
          <w:rFonts w:hint="eastAsia" w:hAnsi="宋体" w:cs="宋体"/>
          <w:sz w:val="24"/>
          <w:szCs w:val="24"/>
        </w:rPr>
      </w:pPr>
      <w:r>
        <w:rPr>
          <w:rFonts w:hint="eastAsia" w:hAnsi="宋体" w:cs="宋体"/>
          <w:sz w:val="24"/>
          <w:szCs w:val="24"/>
        </w:rPr>
        <w:t>3、总价金额与按单价汇总金额不一致的，以单价金额计算结果为准。</w:t>
      </w:r>
    </w:p>
    <w:p>
      <w:pPr>
        <w:pStyle w:val="34"/>
        <w:snapToGrid w:val="0"/>
        <w:spacing w:line="360" w:lineRule="auto"/>
        <w:ind w:firstLine="480" w:firstLineChars="200"/>
        <w:rPr>
          <w:rFonts w:hint="eastAsia" w:hAnsi="宋体" w:cs="宋体"/>
          <w:sz w:val="24"/>
          <w:szCs w:val="24"/>
        </w:rPr>
      </w:pPr>
      <w:r>
        <w:rPr>
          <w:rFonts w:hint="eastAsia" w:hAnsi="宋体" w:cs="宋体"/>
          <w:sz w:val="24"/>
          <w:szCs w:val="24"/>
        </w:rPr>
        <w:t>4、对不同文字文本投标文件的解释发生异议的，以中文文本为准。</w:t>
      </w:r>
    </w:p>
    <w:p>
      <w:pPr>
        <w:pStyle w:val="34"/>
        <w:snapToGrid w:val="0"/>
        <w:spacing w:line="420" w:lineRule="exact"/>
        <w:ind w:firstLine="482" w:firstLineChars="200"/>
        <w:rPr>
          <w:rFonts w:hint="eastAsia" w:hAnsi="宋体" w:cs="宋体"/>
          <w:b/>
          <w:sz w:val="24"/>
          <w:szCs w:val="24"/>
        </w:rPr>
      </w:pPr>
      <w:r>
        <w:rPr>
          <w:rFonts w:hint="eastAsia" w:hAnsi="宋体" w:cs="宋体"/>
          <w:b/>
          <w:sz w:val="24"/>
          <w:szCs w:val="24"/>
        </w:rPr>
        <w:t>按上述修正错误的原则及方法调整或修正投标文件的投标报价，投标供应商同意 并签字确认后，调整后的投标报价对投标供应商具有约束作用。如果投标供应商不接受修正后的报价，则其投标将作为无效投标处理 。</w:t>
      </w:r>
    </w:p>
    <w:p>
      <w:pPr>
        <w:pStyle w:val="34"/>
        <w:tabs>
          <w:tab w:val="left" w:pos="630"/>
        </w:tabs>
        <w:snapToGrid w:val="0"/>
        <w:spacing w:line="420" w:lineRule="exact"/>
        <w:ind w:firstLine="472" w:firstLineChars="196"/>
        <w:rPr>
          <w:rFonts w:hint="eastAsia" w:hAnsi="宋体" w:cs="宋体"/>
          <w:b/>
          <w:sz w:val="24"/>
          <w:szCs w:val="24"/>
        </w:rPr>
      </w:pPr>
      <w:r>
        <w:rPr>
          <w:rFonts w:hint="eastAsia" w:hAnsi="宋体" w:cs="宋体"/>
          <w:b/>
          <w:sz w:val="24"/>
          <w:szCs w:val="24"/>
        </w:rPr>
        <w:t>（六）评标原则和评标办法</w:t>
      </w:r>
    </w:p>
    <w:p>
      <w:pPr>
        <w:pStyle w:val="34"/>
        <w:snapToGrid w:val="0"/>
        <w:spacing w:line="420" w:lineRule="exact"/>
        <w:ind w:firstLine="480" w:firstLineChars="200"/>
        <w:rPr>
          <w:rFonts w:hint="eastAsia" w:hAnsi="宋体" w:cs="宋体"/>
          <w:sz w:val="24"/>
          <w:szCs w:val="24"/>
        </w:rPr>
      </w:pPr>
      <w:r>
        <w:rPr>
          <w:rFonts w:hint="eastAsia" w:hAnsi="宋体" w:cs="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pPr>
        <w:pStyle w:val="34"/>
        <w:snapToGrid w:val="0"/>
        <w:spacing w:line="420" w:lineRule="exact"/>
        <w:ind w:firstLine="480" w:firstLineChars="200"/>
        <w:rPr>
          <w:rFonts w:hint="eastAsia" w:hAnsi="宋体" w:cs="宋体"/>
          <w:sz w:val="24"/>
          <w:szCs w:val="24"/>
        </w:rPr>
      </w:pPr>
      <w:r>
        <w:rPr>
          <w:rFonts w:hint="eastAsia" w:hAnsi="宋体" w:cs="宋体"/>
          <w:sz w:val="24"/>
          <w:szCs w:val="24"/>
        </w:rPr>
        <w:t>2、评标办法。本项目评标办法是</w:t>
      </w:r>
      <w:r>
        <w:rPr>
          <w:rFonts w:hint="eastAsia" w:hAnsi="宋体" w:cs="宋体"/>
          <w:b/>
          <w:sz w:val="24"/>
          <w:szCs w:val="24"/>
          <w:u w:val="single"/>
        </w:rPr>
        <w:t>综合评分法</w:t>
      </w:r>
      <w:r>
        <w:rPr>
          <w:rFonts w:hint="eastAsia" w:hAnsi="宋体" w:cs="宋体"/>
          <w:sz w:val="24"/>
          <w:szCs w:val="24"/>
        </w:rPr>
        <w:t>，具体评标内容及评分标准等详见《第四章：评标办法及评分标准》。</w:t>
      </w:r>
    </w:p>
    <w:p>
      <w:pPr>
        <w:pStyle w:val="34"/>
        <w:snapToGrid w:val="0"/>
        <w:spacing w:line="420" w:lineRule="exact"/>
        <w:ind w:firstLine="472" w:firstLineChars="196"/>
        <w:rPr>
          <w:rFonts w:hint="eastAsia" w:hAnsi="宋体" w:cs="宋体"/>
          <w:b/>
          <w:sz w:val="24"/>
          <w:szCs w:val="24"/>
        </w:rPr>
      </w:pPr>
      <w:r>
        <w:rPr>
          <w:rFonts w:hint="eastAsia" w:hAnsi="宋体" w:cs="宋体"/>
          <w:b/>
          <w:sz w:val="24"/>
          <w:szCs w:val="24"/>
        </w:rPr>
        <w:t>（七）评标过程的监控</w:t>
      </w:r>
    </w:p>
    <w:p>
      <w:pPr>
        <w:pStyle w:val="34"/>
        <w:snapToGrid w:val="0"/>
        <w:spacing w:line="420" w:lineRule="exact"/>
        <w:ind w:firstLine="480" w:firstLineChars="200"/>
        <w:rPr>
          <w:rFonts w:hint="eastAsia" w:hAnsi="宋体" w:cs="宋体"/>
          <w:sz w:val="24"/>
          <w:szCs w:val="24"/>
        </w:rPr>
      </w:pPr>
      <w:r>
        <w:rPr>
          <w:rFonts w:hint="eastAsia" w:hAnsi="宋体" w:cs="宋体"/>
          <w:sz w:val="24"/>
          <w:szCs w:val="24"/>
        </w:rPr>
        <w:t>本项目评标过程实行全程录音、录像监控，投标供应商在评标过程中所进行的试图影响评标结果的不公正活动，可能导致其投标被拒绝。</w:t>
      </w:r>
    </w:p>
    <w:p>
      <w:pPr>
        <w:pStyle w:val="34"/>
        <w:snapToGrid w:val="0"/>
        <w:spacing w:line="420" w:lineRule="exact"/>
        <w:ind w:firstLine="482" w:firstLineChars="200"/>
        <w:rPr>
          <w:rFonts w:hint="eastAsia" w:hAnsi="宋体" w:cs="宋体"/>
          <w:sz w:val="24"/>
          <w:szCs w:val="24"/>
        </w:rPr>
      </w:pPr>
      <w:r>
        <w:rPr>
          <w:rFonts w:hint="eastAsia" w:hAnsi="宋体" w:cs="宋体"/>
          <w:b/>
          <w:sz w:val="24"/>
          <w:szCs w:val="24"/>
        </w:rPr>
        <w:t>六、定标</w:t>
      </w:r>
    </w:p>
    <w:p>
      <w:pPr>
        <w:pStyle w:val="34"/>
        <w:snapToGrid w:val="0"/>
        <w:spacing w:line="420" w:lineRule="exact"/>
        <w:ind w:firstLine="482" w:firstLineChars="200"/>
        <w:rPr>
          <w:rFonts w:hint="eastAsia" w:hAnsi="宋体" w:cs="宋体"/>
          <w:b/>
          <w:bCs/>
          <w:sz w:val="24"/>
          <w:szCs w:val="24"/>
        </w:rPr>
      </w:pPr>
      <w:r>
        <w:rPr>
          <w:rFonts w:hint="eastAsia" w:hAnsi="宋体" w:cs="宋体"/>
          <w:b/>
          <w:bCs/>
          <w:sz w:val="24"/>
          <w:szCs w:val="24"/>
        </w:rPr>
        <w:t>（一）确定中标供应商。</w:t>
      </w:r>
    </w:p>
    <w:p>
      <w:pPr>
        <w:pStyle w:val="34"/>
        <w:snapToGrid w:val="0"/>
        <w:spacing w:line="420" w:lineRule="exact"/>
        <w:ind w:firstLine="480" w:firstLineChars="200"/>
        <w:rPr>
          <w:rFonts w:hint="eastAsia" w:hAnsi="宋体" w:cs="宋体"/>
          <w:sz w:val="24"/>
          <w:szCs w:val="24"/>
        </w:rPr>
      </w:pPr>
      <w:r>
        <w:rPr>
          <w:rFonts w:hint="eastAsia" w:hAnsi="宋体" w:cs="宋体"/>
          <w:bCs/>
          <w:sz w:val="24"/>
          <w:szCs w:val="24"/>
        </w:rPr>
        <w:t>1、采购人根据</w:t>
      </w:r>
      <w:r>
        <w:rPr>
          <w:rFonts w:hint="eastAsia" w:hAnsi="宋体" w:cs="宋体"/>
          <w:sz w:val="24"/>
          <w:szCs w:val="24"/>
        </w:rPr>
        <w:t>评标委员会提出的评标报告确定中标供应商。</w:t>
      </w:r>
    </w:p>
    <w:p>
      <w:pPr>
        <w:snapToGrid w:val="0"/>
        <w:spacing w:line="420" w:lineRule="exact"/>
        <w:ind w:firstLine="480" w:firstLineChars="200"/>
        <w:jc w:val="left"/>
        <w:rPr>
          <w:rFonts w:hint="eastAsia" w:ascii="宋体" w:hAnsi="宋体" w:cs="宋体"/>
          <w:sz w:val="24"/>
        </w:rPr>
      </w:pPr>
      <w:r>
        <w:rPr>
          <w:rFonts w:hint="eastAsia" w:ascii="宋体" w:hAnsi="宋体" w:cs="宋体"/>
          <w:sz w:val="24"/>
        </w:rPr>
        <w:t>（1） 采购人不保证投标报价最低的投标供应商中标，也无义务对未中标的投标供应商作任何解释和说明。</w:t>
      </w:r>
    </w:p>
    <w:p>
      <w:pPr>
        <w:snapToGrid w:val="0"/>
        <w:spacing w:line="420" w:lineRule="exact"/>
        <w:ind w:firstLine="480" w:firstLineChars="200"/>
        <w:jc w:val="left"/>
        <w:rPr>
          <w:rFonts w:hint="eastAsia" w:ascii="宋体" w:hAnsi="宋体" w:cs="宋体"/>
          <w:sz w:val="24"/>
        </w:rPr>
      </w:pPr>
      <w:r>
        <w:rPr>
          <w:rFonts w:hint="eastAsia" w:ascii="宋体" w:hAnsi="宋体" w:cs="宋体"/>
          <w:sz w:val="24"/>
        </w:rPr>
        <w:t>（2）采购人原则上应当确定第一中标候选人为中标供应商。当第一中标候选人放弃中标、因不可抗力提出不能履行合同，采购人可以确定第二中标候选人为中标供应商。当第二中标候选人放弃中标、因不可抗力提出不能履行合同，采购人可以确定第三中标候选人为中标供应商。当第三中标候选人仍因上述原因不能履行合同时，应当重新采购。</w:t>
      </w:r>
    </w:p>
    <w:p>
      <w:pPr>
        <w:spacing w:line="420" w:lineRule="exact"/>
        <w:ind w:firstLine="480" w:firstLineChars="200"/>
        <w:rPr>
          <w:rFonts w:hint="eastAsia" w:ascii="宋体" w:hAnsi="宋体" w:cs="宋体"/>
          <w:sz w:val="24"/>
        </w:rPr>
      </w:pPr>
      <w:r>
        <w:rPr>
          <w:rFonts w:hint="eastAsia" w:ascii="宋体" w:hAnsi="宋体" w:cs="宋体"/>
          <w:sz w:val="24"/>
        </w:rPr>
        <w:t>（3）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pPr>
        <w:spacing w:line="420" w:lineRule="exact"/>
        <w:ind w:firstLine="480" w:firstLineChars="200"/>
        <w:rPr>
          <w:rFonts w:hint="eastAsia" w:ascii="宋体" w:hAnsi="宋体" w:cs="宋体"/>
          <w:sz w:val="24"/>
        </w:rPr>
      </w:pPr>
      <w:r>
        <w:rPr>
          <w:rFonts w:hint="eastAsia" w:ascii="宋体" w:hAnsi="宋体" w:cs="宋体"/>
          <w:sz w:val="24"/>
        </w:rPr>
        <w:t>（4）采购人在收到评标报告5个工作日内未按评标报告推荐的中标候选人顺序确定中标供应商，又不能说明合法理由的，视同按评标报告推荐的顺序确定排名中标候选人为中标供应商。</w:t>
      </w:r>
    </w:p>
    <w:p>
      <w:pPr>
        <w:spacing w:line="420" w:lineRule="exact"/>
        <w:ind w:firstLine="480" w:firstLineChars="200"/>
        <w:rPr>
          <w:rFonts w:hint="eastAsia" w:ascii="宋体" w:hAnsi="宋体" w:cs="宋体"/>
          <w:sz w:val="24"/>
        </w:rPr>
      </w:pPr>
      <w:r>
        <w:rPr>
          <w:rFonts w:hint="eastAsia" w:ascii="宋体" w:hAnsi="宋体" w:cs="宋体"/>
          <w:sz w:val="24"/>
        </w:rPr>
        <w:t>（5）采购人依法确定中标供应商后2个工作日内，采购代理机构以书面形式发出《中标通知书》，并同时在相关网站上发布中标结果公告。</w:t>
      </w:r>
    </w:p>
    <w:p>
      <w:pPr>
        <w:pStyle w:val="34"/>
        <w:spacing w:line="420" w:lineRule="exact"/>
        <w:ind w:firstLine="482" w:firstLineChars="200"/>
        <w:rPr>
          <w:rFonts w:hint="eastAsia" w:hAnsi="宋体" w:cs="宋体"/>
          <w:b/>
          <w:bCs/>
          <w:sz w:val="24"/>
          <w:szCs w:val="24"/>
        </w:rPr>
      </w:pPr>
      <w:r>
        <w:rPr>
          <w:rFonts w:hint="eastAsia" w:hAnsi="宋体" w:cs="宋体"/>
          <w:b/>
          <w:bCs/>
          <w:sz w:val="24"/>
          <w:szCs w:val="24"/>
        </w:rPr>
        <w:t>（二）中标通知书</w:t>
      </w:r>
    </w:p>
    <w:p>
      <w:pPr>
        <w:spacing w:line="360" w:lineRule="auto"/>
        <w:ind w:firstLine="480" w:firstLineChars="200"/>
        <w:rPr>
          <w:rFonts w:hint="eastAsia" w:ascii="宋体" w:hAnsi="宋体" w:cs="宋体"/>
          <w:sz w:val="24"/>
        </w:rPr>
      </w:pPr>
      <w:r>
        <w:rPr>
          <w:rFonts w:hint="eastAsia" w:ascii="宋体" w:hAnsi="宋体" w:cs="宋体"/>
          <w:sz w:val="24"/>
        </w:rPr>
        <w:t>1、确定中标供应商后，采购单位将以书面形式发出中标通知书，通知中标的投标供应商其投标被接受；</w:t>
      </w:r>
      <w:r>
        <w:rPr>
          <w:rFonts w:hint="eastAsia" w:ascii="宋体" w:hAnsi="宋体" w:cs="宋体"/>
          <w:snapToGrid w:val="0"/>
          <w:sz w:val="24"/>
        </w:rPr>
        <w:t>并同时将中标结果通知所有未中标的投标供应商。</w:t>
      </w:r>
    </w:p>
    <w:p>
      <w:pPr>
        <w:spacing w:line="360" w:lineRule="auto"/>
        <w:ind w:firstLine="482" w:firstLineChars="200"/>
        <w:rPr>
          <w:rFonts w:hint="eastAsia" w:ascii="宋体" w:hAnsi="宋体" w:cs="宋体"/>
          <w:b/>
          <w:sz w:val="24"/>
        </w:rPr>
      </w:pPr>
      <w:r>
        <w:rPr>
          <w:rFonts w:hint="eastAsia" w:ascii="宋体" w:hAnsi="宋体" w:cs="宋体"/>
          <w:b/>
          <w:sz w:val="24"/>
        </w:rPr>
        <w:t>2、根据浙江省财政厅《关于印发浙江省政府采购供应商注册及诚信管理暂行办法的通知》[浙财采监字〔2009〕28号]精神，中标供应商在领取中标通知书前，必须完成在《浙江政府采购网》上完成供应商的注册工作，经初审、终审及公示后方可正式领取中标通知书。</w:t>
      </w:r>
    </w:p>
    <w:p>
      <w:pPr>
        <w:spacing w:line="360" w:lineRule="auto"/>
        <w:ind w:firstLine="480" w:firstLineChars="200"/>
        <w:rPr>
          <w:rFonts w:hint="eastAsia" w:ascii="宋体" w:hAnsi="宋体" w:cs="宋体"/>
          <w:sz w:val="24"/>
        </w:rPr>
      </w:pPr>
      <w:r>
        <w:rPr>
          <w:rFonts w:hint="eastAsia" w:ascii="宋体" w:hAnsi="宋体" w:cs="宋体"/>
          <w:sz w:val="24"/>
        </w:rPr>
        <w:t>3、中标通知书为双方签订合同的依据。</w:t>
      </w:r>
    </w:p>
    <w:p>
      <w:pPr>
        <w:spacing w:line="360" w:lineRule="auto"/>
        <w:ind w:firstLine="480" w:firstLineChars="200"/>
        <w:rPr>
          <w:rFonts w:hint="eastAsia" w:ascii="宋体" w:hAnsi="宋体" w:cs="宋体"/>
          <w:sz w:val="24"/>
        </w:rPr>
      </w:pPr>
      <w:r>
        <w:rPr>
          <w:rFonts w:hint="eastAsia" w:ascii="宋体" w:hAnsi="宋体" w:cs="宋体"/>
          <w:sz w:val="24"/>
        </w:rPr>
        <w:t>4、中标供应商应根据中标通知书中规定的时间内，由法定代表人或其授权代理人与采购人签订合同。</w:t>
      </w:r>
    </w:p>
    <w:p>
      <w:pPr>
        <w:snapToGrid w:val="0"/>
        <w:spacing w:line="420" w:lineRule="exact"/>
        <w:ind w:firstLine="570"/>
        <w:jc w:val="left"/>
        <w:rPr>
          <w:rFonts w:hint="eastAsia" w:ascii="宋体" w:hAnsi="宋体" w:cs="宋体"/>
          <w:b/>
          <w:bCs/>
          <w:sz w:val="24"/>
        </w:rPr>
      </w:pPr>
      <w:r>
        <w:rPr>
          <w:rFonts w:hint="eastAsia" w:ascii="宋体" w:hAnsi="宋体" w:cs="宋体"/>
          <w:b/>
          <w:bCs/>
          <w:sz w:val="24"/>
        </w:rPr>
        <w:t>（三）重新采购</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1、在采购中，出现下列情形之一的，将重新采购：</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（1）投标截止时，投标供应商少于3家或经评审认为所有投标供应商的投标文件存在报价明显不合理或均不满足符合性要求时；经评审，当有效标不足3家，缺乏竞争时。</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（2）出现影响采购公正的违法、违规行为的。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（3）投标供应商的报价均超过了采购预算控制价，采购人不能支付的。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（4）因重大变故，采购任务取消的。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2、由于采购人原因中止采购或未能在规定延长后的投标文件有效期内确定中标供应商和发出中标通知书。 </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3、出现以下情形，导致电子交易平台无法正常运行，或者无法保证电子交易的公平、公正和安全时，中止电子交易活动：</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(1)电子交易平台发生故障而无法登录访问的；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(2)电子交易平台应用或数据库出现错误，不能进行正常操作的；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(3)电子交易平台发现严重安全漏洞，有潜在泄密危险的；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(4)病毒发作导致不能进行正常操作的；</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(5)其他无法保证电子交易的公平、公正和安全的情况。</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出现前款规定情形，不影响采购公平、公正性的，采购组织机构可以待上述情形消除后继续组织电子交易活动，也可以决定某些环节以纸质形式进行；影响或可能影响采购公平、公正性的，重新采购。</w:t>
      </w:r>
    </w:p>
    <w:p>
      <w:pPr>
        <w:pStyle w:val="34"/>
        <w:spacing w:line="360" w:lineRule="auto"/>
        <w:ind w:firstLine="470" w:firstLineChars="195"/>
        <w:jc w:val="left"/>
        <w:outlineLvl w:val="1"/>
        <w:rPr>
          <w:rFonts w:hint="eastAsia" w:hAnsi="宋体" w:cs="宋体"/>
          <w:b/>
          <w:sz w:val="24"/>
          <w:szCs w:val="24"/>
        </w:rPr>
      </w:pPr>
      <w:r>
        <w:rPr>
          <w:rFonts w:hint="eastAsia" w:hAnsi="宋体" w:cs="宋体"/>
          <w:b/>
          <w:sz w:val="24"/>
          <w:szCs w:val="24"/>
        </w:rPr>
        <w:t>七、合同授予</w:t>
      </w:r>
    </w:p>
    <w:p>
      <w:pPr>
        <w:spacing w:line="360" w:lineRule="auto"/>
        <w:ind w:firstLine="482" w:firstLineChars="200"/>
        <w:rPr>
          <w:rFonts w:hint="eastAsia" w:ascii="宋体" w:hAnsi="宋体" w:cs="宋体"/>
          <w:b/>
          <w:bCs/>
          <w:sz w:val="24"/>
        </w:rPr>
      </w:pPr>
      <w:r>
        <w:rPr>
          <w:rFonts w:hint="eastAsia" w:ascii="宋体" w:hAnsi="宋体" w:cs="宋体"/>
          <w:b/>
          <w:bCs/>
          <w:sz w:val="24"/>
        </w:rPr>
        <w:t>（一）签订合同</w:t>
      </w:r>
    </w:p>
    <w:p>
      <w:pPr>
        <w:spacing w:line="360" w:lineRule="auto"/>
        <w:ind w:firstLine="480" w:firstLineChars="200"/>
        <w:rPr>
          <w:rFonts w:hint="eastAsia" w:ascii="宋体" w:hAnsi="宋体" w:cs="宋体"/>
          <w:sz w:val="24"/>
        </w:rPr>
      </w:pPr>
      <w:r>
        <w:rPr>
          <w:rFonts w:hint="eastAsia" w:ascii="宋体" w:hAnsi="宋体" w:cs="宋体"/>
          <w:sz w:val="24"/>
        </w:rPr>
        <w:t>1、采购人与中标供应商应当在《中标通知书》发出之日起</w:t>
      </w:r>
      <w:r>
        <w:rPr>
          <w:rFonts w:hint="eastAsia" w:ascii="宋体" w:hAnsi="宋体" w:cs="宋体"/>
          <w:sz w:val="24"/>
          <w:u w:val="single"/>
        </w:rPr>
        <w:t>30</w:t>
      </w:r>
      <w:r>
        <w:rPr>
          <w:rFonts w:hint="eastAsia" w:ascii="宋体" w:hAnsi="宋体" w:cs="宋体"/>
          <w:sz w:val="24"/>
        </w:rPr>
        <w:t>日内签订政府采购合同。同时，采购代理机构对合同内容进行审查，如发现与采购结果和投标承诺内容不一致的，应予以纠正。</w:t>
      </w:r>
    </w:p>
    <w:p>
      <w:pPr>
        <w:spacing w:line="360" w:lineRule="auto"/>
        <w:ind w:firstLine="480" w:firstLineChars="200"/>
        <w:rPr>
          <w:rFonts w:hint="eastAsia" w:ascii="宋体" w:hAnsi="宋体" w:cs="宋体"/>
          <w:sz w:val="24"/>
        </w:rPr>
      </w:pPr>
      <w:r>
        <w:rPr>
          <w:rFonts w:hint="eastAsia" w:ascii="宋体" w:hAnsi="宋体" w:cs="宋体"/>
          <w:sz w:val="24"/>
        </w:rPr>
        <w:t>2、中标供应商拖延、拒签合同的,将被取消中标资格, 采购人可以与排位在中标供应商之后第一位的中标候选人签订政府采购合同,以此类推。</w:t>
      </w:r>
    </w:p>
    <w:p>
      <w:pPr>
        <w:pStyle w:val="34"/>
        <w:spacing w:line="360" w:lineRule="auto"/>
        <w:ind w:firstLine="482" w:firstLineChars="200"/>
        <w:rPr>
          <w:rFonts w:hint="eastAsia" w:hAnsi="宋体" w:cs="宋体"/>
          <w:b/>
          <w:sz w:val="24"/>
          <w:szCs w:val="24"/>
        </w:rPr>
      </w:pPr>
      <w:r>
        <w:rPr>
          <w:rFonts w:hint="eastAsia" w:hAnsi="宋体" w:cs="宋体"/>
          <w:b/>
          <w:sz w:val="24"/>
          <w:szCs w:val="24"/>
        </w:rPr>
        <w:t>（二）履约保证金：</w:t>
      </w:r>
      <w:r>
        <w:rPr>
          <w:rFonts w:hint="eastAsia" w:hAnsi="宋体"/>
          <w:bCs/>
          <w:sz w:val="24"/>
          <w:szCs w:val="24"/>
        </w:rPr>
        <w:t>无</w:t>
      </w:r>
    </w:p>
    <w:bookmarkEnd w:id="43"/>
    <w:bookmarkEnd w:id="44"/>
    <w:p>
      <w:pPr>
        <w:pStyle w:val="34"/>
        <w:spacing w:after="120" w:afterLines="50" w:line="420" w:lineRule="exact"/>
        <w:jc w:val="center"/>
        <w:rPr>
          <w:rFonts w:hint="eastAsia" w:hAnsi="宋体" w:cs="宋体"/>
          <w:b/>
          <w:sz w:val="32"/>
          <w:szCs w:val="32"/>
        </w:rPr>
      </w:pPr>
      <w:bookmarkStart w:id="45" w:name="_Toc245801511"/>
      <w:bookmarkStart w:id="46" w:name="_Toc20642287"/>
      <w:bookmarkStart w:id="47" w:name="_Toc20988286"/>
      <w:bookmarkStart w:id="48" w:name="_Toc21000516"/>
      <w:bookmarkStart w:id="49" w:name="_Toc36287940"/>
      <w:bookmarkStart w:id="50" w:name="_Toc21001360"/>
      <w:bookmarkStart w:id="51" w:name="_Toc20816117"/>
      <w:r>
        <w:rPr>
          <w:rFonts w:hint="eastAsia" w:hAnsi="宋体" w:cs="宋体"/>
          <w:b/>
          <w:sz w:val="32"/>
          <w:szCs w:val="32"/>
        </w:rPr>
        <w:t>第四章  评标办法和评分标准</w:t>
      </w:r>
    </w:p>
    <w:p>
      <w:pPr>
        <w:spacing w:line="360" w:lineRule="auto"/>
        <w:ind w:firstLine="540" w:firstLineChars="225"/>
        <w:rPr>
          <w:rFonts w:hint="eastAsia" w:ascii="宋体" w:hAnsi="宋体" w:cs="宋体"/>
          <w:sz w:val="24"/>
        </w:rPr>
      </w:pPr>
      <w:r>
        <w:rPr>
          <w:rFonts w:hint="eastAsia" w:ascii="宋体" w:hAnsi="宋体" w:cs="宋体"/>
          <w:sz w:val="24"/>
        </w:rPr>
        <w:t>为公正、公平、科学地选择中标供应商，根据《中华人民共和国政府采购法》、《中华人民共和国政府采购法实施条例》和《政府采购货物和服务采购投标管理办法》等有关法律法规的规定，并结合本项目的实际，制定本办法。</w:t>
      </w:r>
    </w:p>
    <w:p>
      <w:pPr>
        <w:snapToGrid w:val="0"/>
        <w:spacing w:line="360" w:lineRule="auto"/>
        <w:ind w:firstLine="482"/>
        <w:rPr>
          <w:rFonts w:hint="eastAsia" w:ascii="宋体" w:hAnsi="宋体" w:cs="宋体"/>
          <w:sz w:val="24"/>
        </w:rPr>
      </w:pPr>
      <w:r>
        <w:rPr>
          <w:rFonts w:hint="eastAsia" w:ascii="宋体" w:hAnsi="宋体" w:cs="宋体"/>
          <w:sz w:val="24"/>
        </w:rPr>
        <w:t>本办法适用于</w:t>
      </w:r>
      <w:r>
        <w:rPr>
          <w:rFonts w:hint="eastAsia" w:ascii="宋体" w:hAnsi="宋体" w:cs="宋体"/>
          <w:sz w:val="24"/>
          <w:u w:val="single"/>
        </w:rPr>
        <w:t>平安风险预警预测防控应用项目</w:t>
      </w:r>
      <w:r>
        <w:rPr>
          <w:rFonts w:hint="eastAsia" w:ascii="宋体" w:hAnsi="宋体" w:cs="宋体"/>
          <w:sz w:val="24"/>
        </w:rPr>
        <w:t>的评标。</w:t>
      </w:r>
    </w:p>
    <w:p>
      <w:pPr>
        <w:snapToGrid w:val="0"/>
        <w:spacing w:line="360" w:lineRule="auto"/>
        <w:ind w:firstLine="482"/>
        <w:rPr>
          <w:rFonts w:hint="eastAsia" w:ascii="宋体" w:hAnsi="宋体" w:cs="宋体"/>
          <w:b/>
          <w:sz w:val="24"/>
        </w:rPr>
      </w:pPr>
      <w:r>
        <w:rPr>
          <w:rFonts w:hint="eastAsia" w:ascii="宋体" w:hAnsi="宋体" w:cs="宋体"/>
          <w:b/>
          <w:sz w:val="24"/>
        </w:rPr>
        <w:t>一、总则</w:t>
      </w:r>
    </w:p>
    <w:p>
      <w:pPr>
        <w:snapToGrid w:val="0"/>
        <w:spacing w:line="360" w:lineRule="auto"/>
        <w:ind w:firstLine="480"/>
        <w:rPr>
          <w:rFonts w:hint="eastAsia" w:ascii="宋体" w:hAnsi="宋体" w:cs="宋体"/>
          <w:sz w:val="24"/>
        </w:rPr>
      </w:pPr>
      <w:r>
        <w:rPr>
          <w:rFonts w:hint="eastAsia" w:ascii="宋体" w:hAnsi="宋体" w:cs="宋体"/>
          <w:sz w:val="24"/>
        </w:rPr>
        <w:t>本次评标采用综合评分法，总分为100分，其中价格分10分，技术、商务资信及其他部分90分。合格投标供应商的评标得分为各项目汇总得分，按评标得分由高到低顺序排列。得分相同的，按投标报价由低到高顺序排列；得分且投标报价相同的，按技术得分由高到低顺序排列。本项目由采购人授权评标委员会直接确定排名第一的投标供应商为中标供应商。评分过程中采用四舍五入法，并保留小数二位。</w:t>
      </w:r>
    </w:p>
    <w:p>
      <w:pPr>
        <w:snapToGrid w:val="0"/>
        <w:spacing w:line="360" w:lineRule="auto"/>
        <w:ind w:firstLine="480"/>
        <w:rPr>
          <w:rFonts w:hint="eastAsia" w:ascii="宋体" w:hAnsi="宋体" w:cs="宋体"/>
          <w:sz w:val="24"/>
        </w:rPr>
      </w:pPr>
      <w:r>
        <w:rPr>
          <w:rFonts w:hint="eastAsia" w:ascii="宋体" w:hAnsi="宋体" w:cs="宋体"/>
          <w:sz w:val="24"/>
        </w:rPr>
        <w:t>投标供应商评标综合得分=价格分+(技术分+商务资信分)</w:t>
      </w:r>
    </w:p>
    <w:p>
      <w:pPr>
        <w:snapToGrid w:val="0"/>
        <w:spacing w:line="360" w:lineRule="auto"/>
        <w:ind w:firstLine="482"/>
        <w:rPr>
          <w:rFonts w:hint="eastAsia" w:ascii="宋体" w:hAnsi="宋体" w:cs="宋体"/>
          <w:b/>
          <w:sz w:val="24"/>
        </w:rPr>
      </w:pPr>
      <w:r>
        <w:rPr>
          <w:rFonts w:hint="eastAsia" w:ascii="宋体" w:hAnsi="宋体" w:cs="宋体"/>
          <w:b/>
          <w:sz w:val="24"/>
        </w:rPr>
        <w:t>二、评标内容及标准</w:t>
      </w:r>
    </w:p>
    <w:p>
      <w:pPr>
        <w:snapToGrid w:val="0"/>
        <w:spacing w:line="360" w:lineRule="auto"/>
        <w:ind w:firstLine="482"/>
        <w:rPr>
          <w:rFonts w:hint="eastAsia" w:ascii="宋体" w:hAnsi="宋体" w:cs="宋体"/>
          <w:b/>
          <w:sz w:val="24"/>
        </w:rPr>
      </w:pPr>
      <w:r>
        <w:rPr>
          <w:rFonts w:hint="eastAsia" w:ascii="宋体" w:hAnsi="宋体" w:cs="宋体"/>
          <w:b/>
          <w:sz w:val="24"/>
        </w:rPr>
        <w:t>1、价格分（10分）</w:t>
      </w:r>
    </w:p>
    <w:p>
      <w:pPr>
        <w:snapToGrid w:val="0"/>
        <w:spacing w:line="360" w:lineRule="auto"/>
        <w:ind w:firstLine="480"/>
        <w:rPr>
          <w:rFonts w:hint="eastAsia" w:ascii="宋体" w:hAnsi="宋体" w:cs="宋体"/>
          <w:sz w:val="24"/>
        </w:rPr>
      </w:pPr>
      <w:r>
        <w:rPr>
          <w:rFonts w:hint="eastAsia" w:ascii="宋体" w:hAnsi="宋体" w:cs="宋体"/>
          <w:sz w:val="24"/>
        </w:rPr>
        <w:t>价格分采用低价优先法计算，即满足采购文件要求且投标价格最低的投标报价为评标基准价，其他供应商的价格分按照下列公式计算：</w:t>
      </w:r>
    </w:p>
    <w:p>
      <w:pPr>
        <w:snapToGrid w:val="0"/>
        <w:spacing w:line="360" w:lineRule="auto"/>
        <w:ind w:firstLine="482"/>
        <w:rPr>
          <w:rFonts w:hint="eastAsia" w:ascii="宋体" w:hAnsi="宋体" w:cs="宋体"/>
          <w:b/>
          <w:bCs/>
          <w:color w:val="000000"/>
          <w:sz w:val="24"/>
        </w:rPr>
      </w:pPr>
      <w:r>
        <w:rPr>
          <w:rFonts w:hint="eastAsia" w:ascii="宋体" w:hAnsi="宋体" w:cs="宋体"/>
          <w:bCs/>
          <w:color w:val="000000"/>
          <w:sz w:val="24"/>
        </w:rPr>
        <w:t>价格分=（评标基准价/投标报价）×10%×100</w:t>
      </w:r>
      <w:r>
        <w:rPr>
          <w:rFonts w:hint="eastAsia" w:ascii="宋体" w:hAnsi="宋体" w:cs="宋体"/>
          <w:sz w:val="24"/>
        </w:rPr>
        <w:t xml:space="preserve"> </w:t>
      </w:r>
    </w:p>
    <w:p>
      <w:pPr>
        <w:spacing w:line="360" w:lineRule="auto"/>
        <w:ind w:firstLine="480"/>
        <w:rPr>
          <w:rFonts w:hint="eastAsia" w:ascii="宋体" w:hAnsi="宋体" w:cs="宋体"/>
          <w:sz w:val="24"/>
        </w:rPr>
      </w:pPr>
      <w:r>
        <w:rPr>
          <w:rFonts w:hint="eastAsia" w:ascii="宋体" w:hAnsi="宋体" w:cs="宋体"/>
          <w:sz w:val="24"/>
        </w:rPr>
        <w:t>此项由评标委员会集体核实后统一打分。</w:t>
      </w:r>
    </w:p>
    <w:p>
      <w:pPr>
        <w:snapToGrid w:val="0"/>
        <w:spacing w:line="360" w:lineRule="auto"/>
        <w:ind w:firstLine="480"/>
        <w:rPr>
          <w:rFonts w:hint="eastAsia" w:ascii="宋体" w:hAnsi="宋体" w:cs="宋体"/>
          <w:sz w:val="24"/>
        </w:rPr>
      </w:pPr>
      <w:r>
        <w:rPr>
          <w:rFonts w:hint="eastAsia" w:ascii="宋体" w:hAnsi="宋体" w:cs="宋体"/>
          <w:sz w:val="24"/>
        </w:rPr>
        <w:t>评标委员会在评审时发现投标供应商的报价明显高于其市场报价或低于成本价的，应当要求投标供应商书面说明并提供相关证明材料。投标供应商不能当场合理说明原因并提供证明材料的，评标委员会应将该投标供应商的投标文件作无效处理，并在评审报告中说明。</w:t>
      </w:r>
    </w:p>
    <w:p>
      <w:pPr>
        <w:pStyle w:val="16"/>
        <w:tabs>
          <w:tab w:val="left" w:pos="0"/>
          <w:tab w:val="left" w:pos="993"/>
          <w:tab w:val="left" w:pos="1134"/>
        </w:tabs>
        <w:spacing w:before="120" w:beforeLines="50" w:after="120" w:afterLines="50" w:line="460" w:lineRule="exact"/>
        <w:ind w:firstLine="466" w:firstLineChars="200"/>
        <w:rPr>
          <w:rFonts w:hAnsi="宋体"/>
          <w:b/>
          <w:bCs/>
          <w:sz w:val="24"/>
        </w:rPr>
      </w:pPr>
      <w:r>
        <w:rPr>
          <w:rFonts w:hint="eastAsia" w:hAnsi="宋体"/>
          <w:b/>
          <w:bCs/>
          <w:sz w:val="24"/>
        </w:rPr>
        <w:t>扶持政策说明：</w:t>
      </w:r>
    </w:p>
    <w:p>
      <w:pPr>
        <w:spacing w:line="460" w:lineRule="exact"/>
        <w:ind w:firstLine="480" w:firstLineChars="200"/>
        <w:rPr>
          <w:rFonts w:hint="eastAsia" w:ascii="宋体" w:hAnsi="宋体" w:cs="宋体"/>
          <w:kern w:val="0"/>
          <w:sz w:val="24"/>
          <w:szCs w:val="20"/>
        </w:rPr>
      </w:pPr>
      <w:r>
        <w:rPr>
          <w:rFonts w:hint="eastAsia" w:ascii="宋体" w:hAnsi="宋体" w:cs="宋体"/>
          <w:kern w:val="0"/>
          <w:sz w:val="24"/>
          <w:szCs w:val="20"/>
        </w:rPr>
        <w:t>（1）本项目在报价分评审时依据《政府采购促进中小企业发展管理办法》（财库〔2020〕46号）、《财政部关于进一步加大政府采购支持中小企业力度的通知》（财库〔2022〕19号）及《浙江省财政厅关于进一步加大政府采购支持中小企业力度 助力扎实稳住经济的通知》（浙财采监〔2022〕8号）、《关于印发中小企业划型标准规定的通知》（工信部联企业〔2011〕300 号）相关规定，</w:t>
      </w:r>
      <w:r>
        <w:rPr>
          <w:rFonts w:hint="eastAsia" w:ascii="宋体" w:hAnsi="宋体" w:cs="宋体"/>
          <w:b/>
          <w:bCs/>
          <w:kern w:val="0"/>
          <w:sz w:val="24"/>
          <w:szCs w:val="20"/>
        </w:rPr>
        <w:t>小型和微型企业可享受本项</w:t>
      </w:r>
      <w:r>
        <w:rPr>
          <w:rFonts w:hint="eastAsia" w:ascii="宋体" w:hAnsi="宋体" w:cs="宋体"/>
          <w:b/>
          <w:bCs/>
          <w:color w:val="000000"/>
          <w:kern w:val="0"/>
          <w:sz w:val="24"/>
          <w:szCs w:val="20"/>
        </w:rPr>
        <w:t>目</w:t>
      </w:r>
      <w:r>
        <w:rPr>
          <w:rFonts w:hint="eastAsia" w:ascii="宋体" w:hAnsi="宋体" w:cs="宋体"/>
          <w:b/>
          <w:bCs/>
          <w:color w:val="000000"/>
          <w:kern w:val="0"/>
          <w:sz w:val="24"/>
          <w:szCs w:val="20"/>
          <w:u w:val="single"/>
        </w:rPr>
        <w:t>20%</w:t>
      </w:r>
      <w:r>
        <w:rPr>
          <w:rFonts w:hint="eastAsia" w:ascii="宋体" w:hAnsi="宋体" w:cs="宋体"/>
          <w:b/>
          <w:bCs/>
          <w:color w:val="000000"/>
          <w:kern w:val="0"/>
          <w:sz w:val="24"/>
          <w:szCs w:val="20"/>
        </w:rPr>
        <w:t>的价格扣除扶持政策，用扣除后的价格参与评审</w:t>
      </w:r>
      <w:r>
        <w:rPr>
          <w:rFonts w:hint="eastAsia" w:ascii="宋体" w:hAnsi="宋体" w:cs="宋体"/>
          <w:color w:val="000000"/>
          <w:kern w:val="0"/>
          <w:sz w:val="24"/>
          <w:szCs w:val="20"/>
        </w:rPr>
        <w:t>；对联合协议或者分包意向协议约定小微企业的合同份额占到合同总额30%以上的，联合体或大中型企业可享受本项目</w:t>
      </w:r>
      <w:r>
        <w:rPr>
          <w:rFonts w:hint="eastAsia" w:ascii="宋体" w:hAnsi="宋体" w:cs="宋体"/>
          <w:b/>
          <w:bCs/>
          <w:color w:val="000000"/>
          <w:kern w:val="0"/>
          <w:sz w:val="24"/>
          <w:szCs w:val="20"/>
          <w:u w:val="single"/>
        </w:rPr>
        <w:t>6%</w:t>
      </w:r>
      <w:r>
        <w:rPr>
          <w:rFonts w:hint="eastAsia" w:ascii="宋体" w:hAnsi="宋体" w:cs="宋体"/>
          <w:color w:val="000000"/>
          <w:kern w:val="0"/>
          <w:sz w:val="24"/>
          <w:szCs w:val="20"/>
        </w:rPr>
        <w:t>的价格</w:t>
      </w:r>
      <w:r>
        <w:rPr>
          <w:rFonts w:hint="eastAsia" w:ascii="宋体" w:hAnsi="宋体" w:cs="宋体"/>
          <w:kern w:val="0"/>
          <w:sz w:val="24"/>
          <w:szCs w:val="20"/>
        </w:rPr>
        <w:t>扣除扶持政策，用扣除后的价格参与评审具体规定如下：</w:t>
      </w:r>
    </w:p>
    <w:p>
      <w:pPr>
        <w:spacing w:line="460" w:lineRule="exact"/>
        <w:ind w:firstLine="480" w:firstLineChars="200"/>
        <w:rPr>
          <w:rFonts w:hint="eastAsia" w:ascii="宋体" w:hAnsi="宋体" w:cs="宋体"/>
          <w:kern w:val="0"/>
          <w:sz w:val="24"/>
          <w:szCs w:val="20"/>
        </w:rPr>
      </w:pPr>
      <w:r>
        <w:rPr>
          <w:rFonts w:hint="eastAsia" w:ascii="宋体" w:hAnsi="宋体" w:cs="宋体"/>
          <w:kern w:val="0"/>
          <w:sz w:val="24"/>
          <w:szCs w:val="20"/>
        </w:rPr>
        <w:t>①采购标的对应的中小企业划分标准所属行业：【软件和信息技术服务业】</w:t>
      </w:r>
    </w:p>
    <w:p>
      <w:pPr>
        <w:spacing w:line="460" w:lineRule="exact"/>
        <w:ind w:firstLine="480" w:firstLineChars="200"/>
        <w:rPr>
          <w:rFonts w:ascii="宋体" w:hAnsi="宋体" w:cs="宋体"/>
          <w:kern w:val="0"/>
          <w:sz w:val="24"/>
          <w:szCs w:val="20"/>
        </w:rPr>
      </w:pPr>
      <w:r>
        <w:rPr>
          <w:rFonts w:hint="eastAsia" w:ascii="宋体" w:hAnsi="宋体" w:cs="宋体"/>
          <w:kern w:val="0"/>
          <w:sz w:val="24"/>
          <w:szCs w:val="20"/>
        </w:rPr>
        <w:t>②供应商必须符合工信部联企业[2011]300号规定的小型、微型企业的划分标准(行业对应)；</w:t>
      </w:r>
    </w:p>
    <w:p>
      <w:pPr>
        <w:spacing w:line="460" w:lineRule="exact"/>
        <w:ind w:firstLine="480" w:firstLineChars="200"/>
        <w:rPr>
          <w:rFonts w:ascii="宋体" w:hAnsi="宋体" w:cs="宋体"/>
          <w:kern w:val="0"/>
          <w:sz w:val="24"/>
          <w:szCs w:val="20"/>
        </w:rPr>
      </w:pPr>
      <w:r>
        <w:rPr>
          <w:rFonts w:hint="eastAsia" w:ascii="宋体" w:hAnsi="宋体" w:cs="宋体"/>
          <w:kern w:val="0"/>
          <w:sz w:val="24"/>
          <w:szCs w:val="20"/>
        </w:rPr>
        <w:t>③供应商所投产品由小型、微型企业制造，即货物由小型、微型企业生产且使用该小型、微型企业商号或者注册商标；如供应商提供的货物既有小型、微型企业制造货物，也有中型、大型企业制造货物的，不享受价格扶持政策。</w:t>
      </w:r>
    </w:p>
    <w:p>
      <w:pPr>
        <w:spacing w:line="460" w:lineRule="exact"/>
        <w:ind w:firstLine="480" w:firstLineChars="200"/>
        <w:rPr>
          <w:rFonts w:ascii="宋体" w:hAnsi="宋体" w:cs="宋体"/>
          <w:kern w:val="0"/>
          <w:sz w:val="24"/>
          <w:szCs w:val="20"/>
        </w:rPr>
      </w:pPr>
      <w:r>
        <w:rPr>
          <w:rFonts w:hint="eastAsia" w:ascii="宋体" w:hAnsi="宋体" w:cs="宋体"/>
          <w:kern w:val="0"/>
          <w:sz w:val="24"/>
          <w:szCs w:val="20"/>
        </w:rPr>
        <w:t>④供应商必须提交《中小企业声明函》（见第六章</w:t>
      </w:r>
      <w:r>
        <w:rPr>
          <w:rFonts w:hint="eastAsia" w:ascii="宋体" w:hAnsi="宋体" w:cs="宋体"/>
          <w:color w:val="000000"/>
          <w:sz w:val="24"/>
        </w:rPr>
        <w:t>投标文件</w:t>
      </w:r>
      <w:r>
        <w:rPr>
          <w:rFonts w:hint="eastAsia" w:ascii="宋体" w:hAnsi="宋体" w:cs="宋体"/>
          <w:kern w:val="0"/>
          <w:sz w:val="24"/>
          <w:szCs w:val="20"/>
        </w:rPr>
        <w:t>格式）并填写完整。</w:t>
      </w:r>
    </w:p>
    <w:p>
      <w:pPr>
        <w:spacing w:line="360" w:lineRule="auto"/>
        <w:ind w:firstLine="463" w:firstLineChars="192"/>
        <w:rPr>
          <w:rFonts w:ascii="宋体" w:hAnsi="宋体" w:cs="宋体"/>
          <w:b/>
          <w:color w:val="000000"/>
          <w:sz w:val="24"/>
        </w:rPr>
      </w:pPr>
      <w:r>
        <w:rPr>
          <w:rFonts w:hint="eastAsia" w:ascii="宋体" w:hAnsi="宋体" w:cs="宋体"/>
          <w:b/>
          <w:color w:val="000000"/>
          <w:sz w:val="24"/>
        </w:rPr>
        <w:t>（2）小、微企业按上述优惠取得政府采购合同后，不得分包或转包给大型、中型企业。</w:t>
      </w:r>
    </w:p>
    <w:p>
      <w:pPr>
        <w:spacing w:line="360" w:lineRule="auto"/>
        <w:ind w:firstLine="463" w:firstLineChars="192"/>
        <w:rPr>
          <w:rFonts w:ascii="宋体" w:hAnsi="宋体" w:cs="宋体"/>
          <w:b/>
          <w:color w:val="000000"/>
          <w:sz w:val="24"/>
        </w:rPr>
      </w:pPr>
      <w:r>
        <w:rPr>
          <w:rFonts w:hint="eastAsia" w:ascii="宋体" w:hAnsi="宋体" w:cs="宋体"/>
          <w:b/>
          <w:color w:val="000000"/>
          <w:sz w:val="24"/>
        </w:rPr>
        <w:t>（3）符合《财政部、司法部关于政府采购支持监狱企业发展有关问题的通知》（财库[2014]68号）规定的监狱企业，在全部提供本单位的服务或者提供其他监狱企业的服务参加政府采购活动时，视同小型、微型企业享受扶持政策。</w:t>
      </w:r>
    </w:p>
    <w:p>
      <w:pPr>
        <w:spacing w:line="360" w:lineRule="auto"/>
        <w:ind w:firstLine="460" w:firstLineChars="192"/>
        <w:rPr>
          <w:rFonts w:ascii="宋体" w:hAnsi="宋体" w:cs="宋体"/>
          <w:color w:val="000000"/>
          <w:sz w:val="24"/>
        </w:rPr>
      </w:pPr>
      <w:r>
        <w:rPr>
          <w:rFonts w:hint="eastAsia" w:ascii="宋体" w:hAnsi="宋体" w:cs="宋体"/>
          <w:color w:val="000000"/>
          <w:sz w:val="24"/>
        </w:rPr>
        <w:t>备注：❶监狱企业证明文件：省级或以上监狱管理局、戒毒管理局（含新疆生产建设兵团）出具的属于监狱企业的证明文件。❷如果提供其他监狱企业制造的货物，还须同时提供该企业为监狱企业的证明文件。</w:t>
      </w:r>
    </w:p>
    <w:p>
      <w:pPr>
        <w:spacing w:line="360" w:lineRule="auto"/>
        <w:ind w:firstLine="463" w:firstLineChars="192"/>
        <w:rPr>
          <w:rFonts w:ascii="宋体" w:hAnsi="宋体" w:cs="宋体"/>
          <w:b/>
          <w:color w:val="000000"/>
          <w:sz w:val="24"/>
        </w:rPr>
      </w:pPr>
      <w:r>
        <w:rPr>
          <w:rFonts w:hint="eastAsia" w:ascii="宋体" w:hAnsi="宋体" w:cs="宋体"/>
          <w:b/>
          <w:color w:val="000000"/>
          <w:sz w:val="24"/>
        </w:rPr>
        <w:t>（4）符合《财政部、民政部、中国残疾人联合会关于促进残疾人就业政府采购政策的通知》（财库[2017]141号）规定的残疾人福利性单位，在全部提供本单位的服务或者提供其他残疾人福利性单位的服务参加政府采购活动时，视同小型、微型企业享受扶持政策。</w:t>
      </w:r>
    </w:p>
    <w:p>
      <w:pPr>
        <w:spacing w:line="360" w:lineRule="auto"/>
        <w:ind w:firstLine="460" w:firstLineChars="192"/>
        <w:rPr>
          <w:rFonts w:ascii="宋体" w:hAnsi="宋体" w:cs="宋体"/>
        </w:rPr>
      </w:pPr>
      <w:r>
        <w:rPr>
          <w:rFonts w:hint="eastAsia" w:ascii="宋体" w:hAnsi="宋体" w:cs="宋体"/>
          <w:color w:val="000000"/>
          <w:sz w:val="24"/>
        </w:rPr>
        <w:t>备注：❶残疾人福利性单位证明材料：残疾人福利性单位声明函（见第六章投标文件格式）。❷如提供其他残疾人福利性单位制造的货物，还须同时提供该企业的残疾人福利性单位声明函。</w:t>
      </w:r>
    </w:p>
    <w:p>
      <w:pPr>
        <w:spacing w:line="460" w:lineRule="exact"/>
        <w:ind w:firstLine="482" w:firstLineChars="200"/>
        <w:rPr>
          <w:rFonts w:ascii="宋体" w:hAnsi="宋体" w:cs="宋体"/>
          <w:b/>
          <w:bCs/>
          <w:kern w:val="0"/>
          <w:sz w:val="24"/>
          <w:szCs w:val="20"/>
        </w:rPr>
      </w:pPr>
      <w:r>
        <w:rPr>
          <w:rFonts w:hint="eastAsia" w:ascii="宋体" w:hAnsi="宋体" w:cs="宋体"/>
          <w:b/>
          <w:bCs/>
          <w:kern w:val="0"/>
          <w:sz w:val="24"/>
          <w:szCs w:val="20"/>
        </w:rPr>
        <w:t>（5）供应商按照规定提供声明函内容不实的，属于提供虚假材料谋取中标（成交），依照《中华人民共和国政府采购法》等国家有关规定追究相应责任。</w:t>
      </w:r>
    </w:p>
    <w:p>
      <w:pPr>
        <w:pStyle w:val="25"/>
        <w:rPr>
          <w:rFonts w:hint="eastAsia"/>
        </w:rPr>
      </w:pPr>
    </w:p>
    <w:p>
      <w:pPr>
        <w:snapToGrid w:val="0"/>
        <w:spacing w:line="360" w:lineRule="auto"/>
        <w:ind w:firstLine="482"/>
        <w:rPr>
          <w:rFonts w:hint="eastAsia" w:ascii="宋体" w:hAnsi="宋体" w:cs="宋体"/>
          <w:b/>
          <w:sz w:val="24"/>
        </w:rPr>
      </w:pPr>
      <w:r>
        <w:rPr>
          <w:rFonts w:hint="eastAsia" w:ascii="宋体" w:hAnsi="宋体" w:cs="宋体"/>
          <w:b/>
          <w:sz w:val="24"/>
        </w:rPr>
        <w:t>2、技术、商务、资信及其他分（90分）</w:t>
      </w:r>
    </w:p>
    <w:p>
      <w:pPr>
        <w:snapToGrid w:val="0"/>
        <w:spacing w:line="360" w:lineRule="auto"/>
        <w:ind w:firstLine="480"/>
        <w:rPr>
          <w:rFonts w:hint="eastAsia" w:ascii="宋体" w:hAnsi="宋体" w:cs="宋体"/>
          <w:sz w:val="24"/>
        </w:rPr>
      </w:pPr>
      <w:r>
        <w:rPr>
          <w:rFonts w:hint="eastAsia" w:ascii="宋体" w:hAnsi="宋体" w:cs="宋体"/>
          <w:sz w:val="24"/>
        </w:rPr>
        <w:t>本项目设技术分、商务资信及其他分90分。</w:t>
      </w:r>
    </w:p>
    <w:p>
      <w:pPr>
        <w:snapToGrid w:val="0"/>
        <w:spacing w:line="360" w:lineRule="auto"/>
        <w:ind w:firstLine="480"/>
        <w:rPr>
          <w:rFonts w:hint="eastAsia" w:ascii="宋体" w:hAnsi="宋体" w:cs="宋体"/>
          <w:sz w:val="24"/>
        </w:rPr>
      </w:pPr>
      <w:r>
        <w:rPr>
          <w:rFonts w:hint="eastAsia" w:ascii="宋体" w:hAnsi="宋体" w:cs="宋体"/>
          <w:sz w:val="24"/>
        </w:rPr>
        <w:t>（1）技术、商务、资信及其他分的计算</w:t>
      </w:r>
    </w:p>
    <w:p>
      <w:pPr>
        <w:snapToGrid w:val="0"/>
        <w:spacing w:line="360" w:lineRule="auto"/>
        <w:ind w:firstLine="480"/>
        <w:rPr>
          <w:rFonts w:hint="eastAsia" w:ascii="宋体" w:hAnsi="宋体" w:cs="宋体"/>
          <w:sz w:val="24"/>
        </w:rPr>
      </w:pPr>
      <w:r>
        <w:rPr>
          <w:rFonts w:hint="eastAsia" w:ascii="宋体" w:hAnsi="宋体" w:cs="宋体"/>
          <w:sz w:val="24"/>
        </w:rPr>
        <w:t>技术、商务、资信及其他分按照评标委员会成员的独立评分结果汇总数的算术平均分计算，计算公式为：</w:t>
      </w:r>
    </w:p>
    <w:p>
      <w:pPr>
        <w:snapToGrid w:val="0"/>
        <w:spacing w:line="360" w:lineRule="auto"/>
        <w:ind w:firstLine="480"/>
        <w:rPr>
          <w:rFonts w:hint="eastAsia" w:ascii="宋体" w:hAnsi="宋体" w:cs="宋体"/>
          <w:sz w:val="24"/>
        </w:rPr>
      </w:pPr>
      <w:r>
        <w:rPr>
          <w:rFonts w:hint="eastAsia" w:ascii="宋体" w:hAnsi="宋体" w:cs="宋体"/>
          <w:sz w:val="24"/>
        </w:rPr>
        <w:t>技术、商务、资信及其他分=评标委员会所有成员评分合计数/评标委员会组成人员数</w:t>
      </w:r>
    </w:p>
    <w:p>
      <w:pPr>
        <w:spacing w:line="360" w:lineRule="auto"/>
        <w:rPr>
          <w:rFonts w:hint="eastAsia" w:ascii="宋体" w:hAnsi="宋体" w:cs="宋体"/>
          <w:sz w:val="24"/>
        </w:rPr>
      </w:pPr>
      <w:r>
        <w:rPr>
          <w:rFonts w:hint="eastAsia" w:ascii="宋体" w:hAnsi="宋体" w:cs="宋体"/>
          <w:sz w:val="24"/>
        </w:rPr>
        <w:t>附件: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657"/>
        <w:gridCol w:w="5512"/>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0" w:type="dxa"/>
            <w:noWrap w:val="0"/>
            <w:vAlign w:val="center"/>
          </w:tcPr>
          <w:p>
            <w:pPr>
              <w:tabs>
                <w:tab w:val="left" w:pos="1080"/>
              </w:tabs>
              <w:spacing w:line="360" w:lineRule="auto"/>
              <w:jc w:val="center"/>
              <w:rPr>
                <w:rFonts w:hint="eastAsia" w:ascii="宋体" w:hAnsi="宋体" w:cs="宋体"/>
                <w:b/>
                <w:sz w:val="24"/>
              </w:rPr>
            </w:pPr>
            <w:r>
              <w:rPr>
                <w:rFonts w:hint="eastAsia" w:ascii="宋体" w:hAnsi="宋体" w:cs="宋体"/>
                <w:b/>
                <w:sz w:val="24"/>
              </w:rPr>
              <w:t>序号</w:t>
            </w:r>
          </w:p>
        </w:tc>
        <w:tc>
          <w:tcPr>
            <w:tcW w:w="1657" w:type="dxa"/>
            <w:noWrap w:val="0"/>
            <w:vAlign w:val="center"/>
          </w:tcPr>
          <w:p>
            <w:pPr>
              <w:tabs>
                <w:tab w:val="left" w:pos="1080"/>
              </w:tabs>
              <w:spacing w:line="360" w:lineRule="auto"/>
              <w:jc w:val="center"/>
              <w:rPr>
                <w:rFonts w:hint="eastAsia" w:ascii="宋体" w:hAnsi="宋体" w:cs="宋体"/>
                <w:b/>
                <w:sz w:val="24"/>
              </w:rPr>
            </w:pPr>
            <w:r>
              <w:rPr>
                <w:rFonts w:hint="eastAsia" w:ascii="宋体" w:hAnsi="宋体" w:cs="宋体"/>
                <w:b/>
                <w:sz w:val="24"/>
              </w:rPr>
              <w:t>评审内容</w:t>
            </w:r>
          </w:p>
        </w:tc>
        <w:tc>
          <w:tcPr>
            <w:tcW w:w="5512" w:type="dxa"/>
            <w:noWrap w:val="0"/>
            <w:vAlign w:val="center"/>
          </w:tcPr>
          <w:p>
            <w:pPr>
              <w:tabs>
                <w:tab w:val="left" w:pos="1080"/>
              </w:tabs>
              <w:spacing w:line="360" w:lineRule="auto"/>
              <w:jc w:val="center"/>
              <w:rPr>
                <w:rFonts w:hint="eastAsia" w:ascii="宋体" w:hAnsi="宋体" w:cs="宋体"/>
                <w:b/>
                <w:sz w:val="24"/>
              </w:rPr>
            </w:pPr>
            <w:r>
              <w:rPr>
                <w:rFonts w:hint="eastAsia" w:ascii="宋体" w:hAnsi="宋体" w:cs="宋体"/>
                <w:b/>
                <w:sz w:val="24"/>
              </w:rPr>
              <w:t>评分标准</w:t>
            </w:r>
          </w:p>
        </w:tc>
        <w:tc>
          <w:tcPr>
            <w:tcW w:w="1111" w:type="dxa"/>
            <w:noWrap w:val="0"/>
            <w:vAlign w:val="center"/>
          </w:tcPr>
          <w:p>
            <w:pPr>
              <w:tabs>
                <w:tab w:val="left" w:pos="1080"/>
              </w:tabs>
              <w:spacing w:line="360" w:lineRule="auto"/>
              <w:jc w:val="center"/>
              <w:rPr>
                <w:rFonts w:hint="eastAsia"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0" w:type="dxa"/>
            <w:noWrap w:val="0"/>
            <w:vAlign w:val="center"/>
          </w:tcPr>
          <w:p>
            <w:pPr>
              <w:tabs>
                <w:tab w:val="left" w:pos="1080"/>
              </w:tabs>
              <w:spacing w:line="360" w:lineRule="auto"/>
              <w:jc w:val="center"/>
              <w:rPr>
                <w:rFonts w:hint="eastAsia" w:ascii="宋体" w:hAnsi="宋体" w:cs="宋体"/>
                <w:b/>
                <w:sz w:val="24"/>
              </w:rPr>
            </w:pPr>
            <w:r>
              <w:rPr>
                <w:rFonts w:hint="eastAsia" w:ascii="宋体" w:hAnsi="宋体" w:cs="宋体"/>
                <w:b/>
                <w:sz w:val="24"/>
              </w:rPr>
              <w:t>一</w:t>
            </w:r>
          </w:p>
        </w:tc>
        <w:tc>
          <w:tcPr>
            <w:tcW w:w="7169" w:type="dxa"/>
            <w:gridSpan w:val="2"/>
            <w:noWrap w:val="0"/>
            <w:vAlign w:val="center"/>
          </w:tcPr>
          <w:p>
            <w:pPr>
              <w:tabs>
                <w:tab w:val="left" w:pos="1080"/>
              </w:tabs>
              <w:spacing w:line="360" w:lineRule="auto"/>
              <w:jc w:val="center"/>
              <w:rPr>
                <w:rFonts w:hint="eastAsia" w:ascii="宋体" w:hAnsi="宋体" w:cs="宋体"/>
                <w:b/>
                <w:sz w:val="24"/>
              </w:rPr>
            </w:pPr>
            <w:r>
              <w:rPr>
                <w:rFonts w:hint="eastAsia" w:ascii="宋体" w:hAnsi="宋体" w:cs="宋体"/>
                <w:b/>
                <w:sz w:val="24"/>
              </w:rPr>
              <w:t>技术分</w:t>
            </w:r>
          </w:p>
        </w:tc>
        <w:tc>
          <w:tcPr>
            <w:tcW w:w="1111" w:type="dxa"/>
            <w:noWrap w:val="0"/>
            <w:vAlign w:val="center"/>
          </w:tcPr>
          <w:p>
            <w:pPr>
              <w:tabs>
                <w:tab w:val="left" w:pos="1080"/>
              </w:tabs>
              <w:spacing w:line="360" w:lineRule="auto"/>
              <w:jc w:val="center"/>
              <w:rPr>
                <w:rFonts w:hint="eastAsia" w:ascii="宋体" w:hAnsi="宋体" w:cs="宋体"/>
                <w:b/>
                <w:sz w:val="24"/>
              </w:rPr>
            </w:pPr>
            <w:r>
              <w:rPr>
                <w:rFonts w:hint="eastAsia" w:ascii="宋体" w:hAnsi="宋体" w:cs="宋体"/>
                <w:b/>
                <w:sz w:val="24"/>
                <w:lang w:val="en-US" w:eastAsia="zh-CN"/>
              </w:rPr>
              <w:t>6</w:t>
            </w:r>
            <w:r>
              <w:rPr>
                <w:rFonts w:hint="eastAsia" w:ascii="宋体" w:hAnsi="宋体" w:cs="宋体"/>
                <w:b/>
                <w:sz w:val="24"/>
                <w:lang w:val="en-US" w:eastAsia="zh-CN"/>
              </w:rPr>
              <w:t>0</w:t>
            </w:r>
            <w:r>
              <w:rPr>
                <w:rFonts w:hint="eastAsia" w:ascii="宋体" w:hAnsi="宋体" w:cs="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noWrap w:val="0"/>
            <w:vAlign w:val="center"/>
          </w:tcPr>
          <w:p>
            <w:pPr>
              <w:tabs>
                <w:tab w:val="left" w:pos="1080"/>
              </w:tabs>
              <w:spacing w:line="360" w:lineRule="auto"/>
              <w:jc w:val="center"/>
              <w:rPr>
                <w:rFonts w:hint="default" w:ascii="宋体" w:hAnsi="宋体" w:cs="宋体"/>
                <w:b/>
                <w:sz w:val="24"/>
                <w:lang w:val="en-US" w:eastAsia="zh-CN"/>
              </w:rPr>
            </w:pPr>
            <w:r>
              <w:rPr>
                <w:rFonts w:hint="eastAsia" w:ascii="宋体" w:hAnsi="宋体" w:cs="宋体"/>
                <w:b/>
                <w:sz w:val="24"/>
                <w:lang w:val="en-US" w:eastAsia="zh-CN"/>
              </w:rPr>
              <w:t>1</w:t>
            </w:r>
          </w:p>
        </w:tc>
        <w:tc>
          <w:tcPr>
            <w:tcW w:w="1657" w:type="dxa"/>
            <w:noWrap w:val="0"/>
            <w:vAlign w:val="center"/>
          </w:tcPr>
          <w:p>
            <w:pPr>
              <w:keepNext w:val="0"/>
              <w:keepLines w:val="0"/>
              <w:pageBreakBefore w:val="0"/>
              <w:widowControl w:val="0"/>
              <w:tabs>
                <w:tab w:val="left" w:pos="1080"/>
              </w:tabs>
              <w:kinsoku/>
              <w:wordWrap/>
              <w:overflowPunct/>
              <w:topLinePunct w:val="0"/>
              <w:autoSpaceDE/>
              <w:autoSpaceDN/>
              <w:bidi w:val="0"/>
              <w:snapToGrid/>
              <w:spacing w:line="320" w:lineRule="exact"/>
              <w:jc w:val="center"/>
              <w:textAlignment w:val="auto"/>
              <w:rPr>
                <w:rFonts w:hint="eastAsia" w:ascii="宋体" w:hAnsi="宋体" w:cs="宋体"/>
                <w:b/>
                <w:bCs/>
                <w:sz w:val="24"/>
              </w:rPr>
            </w:pPr>
            <w:r>
              <w:rPr>
                <w:rFonts w:hint="eastAsia" w:ascii="宋体" w:hAnsi="宋体" w:cs="宋体"/>
                <w:b/>
                <w:bCs/>
                <w:sz w:val="24"/>
              </w:rPr>
              <w:t>对项目总体要求的理解</w:t>
            </w:r>
          </w:p>
        </w:tc>
        <w:tc>
          <w:tcPr>
            <w:tcW w:w="5512" w:type="dxa"/>
            <w:noWrap w:val="0"/>
            <w:vAlign w:val="center"/>
          </w:tcPr>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zh-CN"/>
              </w:rPr>
            </w:pPr>
            <w:r>
              <w:rPr>
                <w:rFonts w:hint="eastAsia" w:ascii="宋体" w:hAnsi="宋体" w:cs="宋体"/>
                <w:sz w:val="24"/>
                <w:lang w:val="zh-CN"/>
              </w:rPr>
              <w:t>对本项目的总体要求、项目背景、建设目标和项目特点等理解深刻、分析全面透彻的得</w:t>
            </w:r>
            <w:r>
              <w:rPr>
                <w:rFonts w:hint="eastAsia" w:ascii="宋体" w:hAnsi="宋体" w:cs="宋体"/>
                <w:sz w:val="24"/>
                <w:lang w:val="en-US" w:eastAsia="zh-CN"/>
              </w:rPr>
              <w:t>6</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分；理解较深刻、分析透彻的得4-</w:t>
            </w:r>
            <w:r>
              <w:rPr>
                <w:rFonts w:hint="eastAsia" w:ascii="宋体" w:hAnsi="宋体" w:cs="宋体"/>
                <w:sz w:val="24"/>
                <w:lang w:val="en-US" w:eastAsia="zh-CN"/>
              </w:rPr>
              <w:t>6</w:t>
            </w:r>
            <w:r>
              <w:rPr>
                <w:rFonts w:hint="eastAsia" w:ascii="宋体" w:hAnsi="宋体" w:cs="宋体"/>
                <w:sz w:val="24"/>
                <w:lang w:val="zh-CN"/>
              </w:rPr>
              <w:t>分；理解有偏差、分析不够全面透彻的得0-4分；无相关内容表述，不得分。</w:t>
            </w:r>
          </w:p>
        </w:tc>
        <w:tc>
          <w:tcPr>
            <w:tcW w:w="1111" w:type="dxa"/>
            <w:noWrap w:val="0"/>
            <w:vAlign w:val="center"/>
          </w:tcPr>
          <w:p>
            <w:pPr>
              <w:tabs>
                <w:tab w:val="left" w:pos="1080"/>
              </w:tabs>
              <w:spacing w:line="36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80" w:type="dxa"/>
            <w:noWrap w:val="0"/>
            <w:vAlign w:val="center"/>
          </w:tcPr>
          <w:p>
            <w:pPr>
              <w:tabs>
                <w:tab w:val="left" w:pos="1080"/>
              </w:tabs>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2</w:t>
            </w:r>
          </w:p>
        </w:tc>
        <w:tc>
          <w:tcPr>
            <w:tcW w:w="1657" w:type="dxa"/>
            <w:noWrap w:val="0"/>
            <w:vAlign w:val="center"/>
          </w:tcPr>
          <w:p>
            <w:pPr>
              <w:keepNext w:val="0"/>
              <w:keepLines w:val="0"/>
              <w:pageBreakBefore w:val="0"/>
              <w:widowControl w:val="0"/>
              <w:tabs>
                <w:tab w:val="left" w:pos="1080"/>
              </w:tabs>
              <w:kinsoku/>
              <w:wordWrap/>
              <w:overflowPunct/>
              <w:topLinePunct w:val="0"/>
              <w:autoSpaceDE/>
              <w:autoSpaceDN/>
              <w:bidi w:val="0"/>
              <w:snapToGrid/>
              <w:spacing w:line="320" w:lineRule="exact"/>
              <w:jc w:val="center"/>
              <w:textAlignment w:val="auto"/>
              <w:rPr>
                <w:rFonts w:hint="eastAsia" w:ascii="宋体" w:hAnsi="宋体" w:cs="宋体"/>
                <w:sz w:val="24"/>
              </w:rPr>
            </w:pPr>
            <w:r>
              <w:rPr>
                <w:rFonts w:hint="eastAsia" w:ascii="宋体" w:hAnsi="宋体" w:cs="宋体"/>
                <w:b/>
                <w:bCs/>
                <w:sz w:val="24"/>
              </w:rPr>
              <w:t>技术方案</w:t>
            </w:r>
          </w:p>
        </w:tc>
        <w:tc>
          <w:tcPr>
            <w:tcW w:w="5512" w:type="dxa"/>
            <w:noWrap w:val="0"/>
            <w:vAlign w:val="center"/>
          </w:tcPr>
          <w:p>
            <w:pPr>
              <w:keepNext w:val="0"/>
              <w:keepLines w:val="0"/>
              <w:pageBreakBefore w:val="0"/>
              <w:widowControl w:val="0"/>
              <w:numPr>
                <w:ilvl w:val="0"/>
                <w:numId w:val="0"/>
              </w:numPr>
              <w:tabs>
                <w:tab w:val="left" w:pos="1080"/>
              </w:tabs>
              <w:kinsoku/>
              <w:wordWrap/>
              <w:overflowPunct/>
              <w:topLinePunct w:val="0"/>
              <w:autoSpaceDE/>
              <w:autoSpaceDN/>
              <w:bidi w:val="0"/>
              <w:snapToGrid/>
              <w:spacing w:line="320" w:lineRule="exact"/>
              <w:jc w:val="left"/>
              <w:textAlignment w:val="auto"/>
              <w:rPr>
                <w:rFonts w:hint="eastAsia" w:ascii="宋体" w:hAnsi="宋体" w:eastAsia="宋体" w:cs="宋体"/>
                <w:sz w:val="24"/>
                <w:lang w:val="en-US" w:eastAsia="zh-CN"/>
              </w:rPr>
            </w:pPr>
            <w:r>
              <w:rPr>
                <w:rFonts w:hint="eastAsia" w:ascii="宋体" w:hAnsi="宋体" w:cs="宋体"/>
                <w:sz w:val="24"/>
                <w:lang w:val="en-US" w:eastAsia="zh-CN"/>
              </w:rPr>
              <w:t>1、根据投标人对项目需求理解的全面性、业务流程分析的准确性、方案内容的完整性进行评分。对招标文件需求理解全面，有详细的业务流程图，得5分</w:t>
            </w:r>
            <w:r>
              <w:rPr>
                <w:rFonts w:hint="eastAsia" w:ascii="宋体" w:hAnsi="宋体" w:eastAsia="宋体" w:cs="宋体"/>
                <w:sz w:val="24"/>
                <w:lang w:val="en-US" w:eastAsia="zh-CN"/>
              </w:rPr>
              <w:t>；需求理解不全面、提供业务流程分析有偏差、方案内容不全面的，每项扣0.5-1分，扣完为止。</w:t>
            </w:r>
          </w:p>
          <w:p>
            <w:pPr>
              <w:keepNext w:val="0"/>
              <w:keepLines w:val="0"/>
              <w:pageBreakBefore w:val="0"/>
              <w:widowControl w:val="0"/>
              <w:numPr>
                <w:ilvl w:val="0"/>
                <w:numId w:val="0"/>
              </w:numPr>
              <w:tabs>
                <w:tab w:val="left" w:pos="1080"/>
              </w:tabs>
              <w:kinsoku/>
              <w:wordWrap/>
              <w:overflowPunct/>
              <w:topLinePunct w:val="0"/>
              <w:autoSpaceDE/>
              <w:autoSpaceDN/>
              <w:bidi w:val="0"/>
              <w:snapToGrid/>
              <w:spacing w:line="32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系统体系结构：体系结构设计合理可行，规范度高，建设目标明确、总体架构设计逻辑清晰、功能设计合理可行、性能设计完全符合要求的得5分；体系结构设计有欠缺，规范度差，建设目标不明确的每项扣0.5-1分，扣完为止。</w:t>
            </w:r>
          </w:p>
          <w:p>
            <w:pPr>
              <w:tabs>
                <w:tab w:val="left" w:pos="1080"/>
              </w:tabs>
              <w:spacing w:line="320" w:lineRule="exact"/>
              <w:jc w:val="left"/>
              <w:rPr>
                <w:rFonts w:hint="eastAsia" w:ascii="宋体" w:hAnsi="宋体" w:cs="宋体"/>
                <w:sz w:val="24"/>
              </w:rPr>
            </w:pPr>
            <w:r>
              <w:rPr>
                <w:rFonts w:hint="eastAsia" w:ascii="宋体" w:hAnsi="宋体" w:eastAsia="宋体" w:cs="宋体"/>
                <w:sz w:val="24"/>
                <w:highlight w:val="none"/>
                <w:lang w:val="en-US" w:eastAsia="zh-CN"/>
              </w:rPr>
              <w:t>3、</w:t>
            </w:r>
            <w:r>
              <w:rPr>
                <w:rFonts w:hint="eastAsia" w:ascii="宋体" w:hAnsi="宋体" w:cs="宋体"/>
                <w:sz w:val="24"/>
              </w:rPr>
              <w:t>提供完善的应用系统技术方案，功能模块包括风险防控一张图、风险防控管理、重点人员异常情况预警2.0、基层治理工作日、周、月报、智能考核和工作评价、矛盾纠纷排查见底应用，各功能模块设计合理，全面涵盖技术要求的相关功能，功能项描述全面、准确、图文结合，得</w:t>
            </w:r>
            <w:r>
              <w:rPr>
                <w:rFonts w:ascii="宋体" w:hAnsi="宋体" w:cs="宋体"/>
                <w:sz w:val="24"/>
              </w:rPr>
              <w:t>3</w:t>
            </w:r>
            <w:r>
              <w:rPr>
                <w:rFonts w:hint="eastAsia" w:ascii="宋体" w:hAnsi="宋体" w:cs="宋体"/>
                <w:sz w:val="24"/>
              </w:rPr>
              <w:t>分。</w:t>
            </w:r>
          </w:p>
          <w:p>
            <w:pPr>
              <w:tabs>
                <w:tab w:val="left" w:pos="1080"/>
              </w:tabs>
              <w:spacing w:line="320" w:lineRule="exact"/>
              <w:jc w:val="left"/>
              <w:rPr>
                <w:rFonts w:hint="eastAsia" w:ascii="宋体" w:hAnsi="宋体" w:cs="宋体"/>
                <w:sz w:val="24"/>
              </w:rPr>
            </w:pPr>
            <w:r>
              <w:rPr>
                <w:rFonts w:hint="eastAsia" w:ascii="宋体" w:hAnsi="宋体" w:cs="宋体"/>
                <w:sz w:val="24"/>
              </w:rPr>
              <w:t>风险防控管理，提供初步的算法模型设计方案，能够对风险人员、风险场所、风险事件、风险区域、风险领域的五色划分算法，能够阐述以上5类模型输入因子，计算规则，权重比例分配等，每提供1类算法模型且描述清晰，设计合理，得1分。最高得</w:t>
            </w:r>
            <w:r>
              <w:rPr>
                <w:rFonts w:ascii="宋体" w:hAnsi="宋体" w:cs="宋体"/>
                <w:sz w:val="24"/>
              </w:rPr>
              <w:t>5</w:t>
            </w:r>
            <w:r>
              <w:rPr>
                <w:rFonts w:hint="eastAsia" w:ascii="宋体" w:hAnsi="宋体" w:cs="宋体"/>
                <w:sz w:val="24"/>
              </w:rPr>
              <w:t>分。（未提供不得分）</w:t>
            </w:r>
          </w:p>
          <w:p>
            <w:pPr>
              <w:tabs>
                <w:tab w:val="left" w:pos="1080"/>
              </w:tabs>
              <w:spacing w:line="320" w:lineRule="exact"/>
              <w:jc w:val="left"/>
              <w:rPr>
                <w:rFonts w:hint="eastAsia" w:ascii="宋体" w:hAnsi="宋体" w:cs="宋体"/>
                <w:sz w:val="24"/>
              </w:rPr>
            </w:pPr>
            <w:r>
              <w:rPr>
                <w:rFonts w:hint="eastAsia" w:ascii="宋体" w:hAnsi="宋体" w:cs="宋体"/>
                <w:sz w:val="24"/>
              </w:rPr>
              <w:t>智能考核和工作评价，能够明确目标用户及主要业务流程，提供督查评价、智能抽查、智能提醒、平安工作管理等主要功能的业务流程图的得</w:t>
            </w:r>
            <w:r>
              <w:rPr>
                <w:rFonts w:ascii="宋体" w:hAnsi="宋体" w:cs="宋体"/>
                <w:sz w:val="24"/>
              </w:rPr>
              <w:t>2</w:t>
            </w:r>
            <w:r>
              <w:rPr>
                <w:rFonts w:hint="eastAsia" w:ascii="宋体" w:hAnsi="宋体" w:cs="宋体"/>
                <w:sz w:val="24"/>
              </w:rPr>
              <w:t>分，业务流程不清晰、相关功能描述不完善的每项扣0</w:t>
            </w:r>
            <w:r>
              <w:rPr>
                <w:rFonts w:ascii="宋体" w:hAnsi="宋体" w:cs="宋体"/>
                <w:sz w:val="24"/>
              </w:rPr>
              <w:t>.</w:t>
            </w:r>
            <w:r>
              <w:rPr>
                <w:rFonts w:hint="eastAsia" w:ascii="宋体" w:hAnsi="宋体" w:cs="宋体"/>
                <w:sz w:val="24"/>
              </w:rPr>
              <w:t>5-1分，扣完为止。（未提供不得分）</w:t>
            </w:r>
          </w:p>
          <w:p>
            <w:pPr>
              <w:keepNext w:val="0"/>
              <w:keepLines w:val="0"/>
              <w:pageBreakBefore w:val="0"/>
              <w:widowControl w:val="0"/>
              <w:numPr>
                <w:ilvl w:val="0"/>
                <w:numId w:val="0"/>
              </w:numPr>
              <w:tabs>
                <w:tab w:val="left" w:pos="1080"/>
              </w:tabs>
              <w:kinsoku/>
              <w:wordWrap/>
              <w:overflowPunct/>
              <w:topLinePunct w:val="0"/>
              <w:autoSpaceDE/>
              <w:autoSpaceDN/>
              <w:bidi w:val="0"/>
              <w:snapToGrid/>
              <w:spacing w:line="320" w:lineRule="exact"/>
              <w:jc w:val="left"/>
              <w:textAlignment w:val="auto"/>
              <w:rPr>
                <w:rFonts w:hint="eastAsia" w:ascii="宋体" w:hAnsi="宋体" w:eastAsia="宋体" w:cs="宋体"/>
                <w:sz w:val="24"/>
                <w:highlight w:val="none"/>
                <w:lang w:val="en-US" w:eastAsia="zh-CN"/>
              </w:rPr>
            </w:pPr>
          </w:p>
          <w:p>
            <w:pPr>
              <w:keepNext w:val="0"/>
              <w:keepLines w:val="0"/>
              <w:pageBreakBefore w:val="0"/>
              <w:widowControl w:val="0"/>
              <w:numPr>
                <w:ilvl w:val="0"/>
                <w:numId w:val="0"/>
              </w:numPr>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eastAsia="宋体" w:cs="宋体"/>
                <w:sz w:val="24"/>
                <w:lang w:val="en-US" w:eastAsia="zh-CN"/>
              </w:rPr>
              <w:t xml:space="preserve"> </w:t>
            </w:r>
            <w:r>
              <w:rPr>
                <w:rFonts w:hint="eastAsia" w:ascii="宋体" w:hAnsi="宋体" w:cs="宋体"/>
                <w:sz w:val="24"/>
                <w:lang w:val="en-US" w:eastAsia="zh-CN"/>
              </w:rPr>
              <w:t>4、提供完善、合理、可操作性强的系统安全保密解决方案，提供对数据进行访问控制、身份鉴别、资源控制等手段，确保数据的安全和保密。（未提供不得分）</w:t>
            </w:r>
          </w:p>
          <w:p>
            <w:pPr>
              <w:keepNext w:val="0"/>
              <w:keepLines w:val="0"/>
              <w:pageBreakBefore w:val="0"/>
              <w:widowControl w:val="0"/>
              <w:numPr>
                <w:ilvl w:val="0"/>
                <w:numId w:val="0"/>
              </w:numPr>
              <w:tabs>
                <w:tab w:val="left" w:pos="1080"/>
              </w:tabs>
              <w:kinsoku/>
              <w:wordWrap/>
              <w:overflowPunct/>
              <w:topLinePunct w:val="0"/>
              <w:autoSpaceDE/>
              <w:autoSpaceDN/>
              <w:bidi w:val="0"/>
              <w:snapToGrid/>
              <w:spacing w:line="320" w:lineRule="exact"/>
              <w:jc w:val="left"/>
              <w:textAlignment w:val="auto"/>
              <w:rPr>
                <w:rFonts w:hint="default" w:ascii="宋体" w:hAnsi="宋体" w:eastAsia="宋体" w:cs="宋体"/>
                <w:sz w:val="24"/>
                <w:lang w:val="en-US" w:eastAsia="zh-CN"/>
              </w:rPr>
            </w:pPr>
            <w:r>
              <w:rPr>
                <w:rFonts w:hint="eastAsia" w:ascii="宋体" w:hAnsi="宋体" w:cs="宋体"/>
                <w:sz w:val="24"/>
                <w:lang w:val="en-US" w:eastAsia="zh-CN"/>
              </w:rPr>
              <w:t>方案全面、科学、合理、可行性高且完全满足要求，的得4分，</w:t>
            </w:r>
            <w:r>
              <w:rPr>
                <w:rFonts w:hint="eastAsia"/>
                <w:sz w:val="24"/>
              </w:rPr>
              <w:t>方案全面性、科学性、合理性、可行性</w:t>
            </w:r>
            <w:r>
              <w:rPr>
                <w:rFonts w:hint="eastAsia"/>
                <w:sz w:val="24"/>
                <w:lang w:eastAsia="zh-CN"/>
              </w:rPr>
              <w:t>有欠缺的每项扣</w:t>
            </w:r>
            <w:r>
              <w:rPr>
                <w:rFonts w:hint="eastAsia"/>
                <w:sz w:val="24"/>
                <w:lang w:val="en-US" w:eastAsia="zh-CN"/>
              </w:rPr>
              <w:t>0.5-1分扣完为止</w:t>
            </w:r>
            <w:r>
              <w:rPr>
                <w:rFonts w:hint="eastAsia" w:ascii="宋体" w:hAnsi="宋体" w:cs="宋体"/>
                <w:sz w:val="24"/>
                <w:lang w:val="en-US" w:eastAsia="zh-CN"/>
              </w:rPr>
              <w:t>。</w:t>
            </w:r>
          </w:p>
        </w:tc>
        <w:tc>
          <w:tcPr>
            <w:tcW w:w="1111" w:type="dxa"/>
            <w:noWrap w:val="0"/>
            <w:vAlign w:val="center"/>
          </w:tcPr>
          <w:p>
            <w:pPr>
              <w:tabs>
                <w:tab w:val="left" w:pos="1080"/>
              </w:tabs>
              <w:spacing w:line="360" w:lineRule="auto"/>
              <w:jc w:val="center"/>
              <w:rPr>
                <w:rFonts w:hint="eastAsia" w:ascii="宋体" w:hAnsi="宋体" w:cs="宋体"/>
                <w:b/>
                <w:sz w:val="24"/>
              </w:rPr>
            </w:pPr>
            <w:r>
              <w:rPr>
                <w:rFonts w:hint="eastAsia" w:ascii="宋体" w:hAnsi="宋体" w:cs="宋体"/>
                <w:bCs/>
                <w:sz w:val="24"/>
              </w:rPr>
              <w:t>0-</w:t>
            </w:r>
            <w:r>
              <w:rPr>
                <w:rFonts w:hint="eastAsia" w:ascii="宋体" w:hAnsi="宋体" w:cs="宋体"/>
                <w:bCs/>
                <w:sz w:val="24"/>
                <w:lang w:val="en-US" w:eastAsia="zh-CN"/>
              </w:rPr>
              <w:t>24</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noWrap w:val="0"/>
            <w:vAlign w:val="center"/>
          </w:tcPr>
          <w:p>
            <w:pPr>
              <w:tabs>
                <w:tab w:val="left" w:pos="1080"/>
              </w:tabs>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3</w:t>
            </w:r>
          </w:p>
        </w:tc>
        <w:tc>
          <w:tcPr>
            <w:tcW w:w="1657"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cs="宋体"/>
                <w:b/>
                <w:bCs/>
                <w:sz w:val="24"/>
                <w:lang w:val="en-US" w:eastAsia="zh-CN"/>
              </w:rPr>
            </w:pPr>
            <w:r>
              <w:rPr>
                <w:rFonts w:hint="eastAsia" w:ascii="宋体" w:hAnsi="宋体" w:cs="宋体"/>
                <w:b/>
                <w:bCs/>
                <w:sz w:val="24"/>
                <w:lang w:val="en-US" w:eastAsia="zh-CN"/>
              </w:rPr>
              <w:t>系统测试</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宋体" w:hAnsi="宋体" w:cs="宋体"/>
                <w:sz w:val="24"/>
              </w:rPr>
            </w:pPr>
            <w:r>
              <w:rPr>
                <w:rFonts w:hint="eastAsia" w:ascii="宋体" w:hAnsi="宋体" w:cs="宋体"/>
                <w:b/>
                <w:bCs/>
                <w:sz w:val="24"/>
                <w:lang w:val="en-US" w:eastAsia="zh-CN"/>
              </w:rPr>
              <w:t>方案</w:t>
            </w:r>
          </w:p>
        </w:tc>
        <w:tc>
          <w:tcPr>
            <w:tcW w:w="5512"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宋体" w:hAnsi="宋体" w:cs="宋体"/>
                <w:sz w:val="24"/>
              </w:rPr>
            </w:pPr>
            <w:r>
              <w:rPr>
                <w:rFonts w:hint="eastAsia"/>
                <w:sz w:val="24"/>
              </w:rPr>
              <w:t>包含测试规范、分阶段的详细的计划、对缺陷的管理以及测试工作的流程图，实施方案全面、科学、合理、可行性高且完全满足需求的得</w:t>
            </w:r>
            <w:r>
              <w:rPr>
                <w:rFonts w:hint="eastAsia"/>
                <w:sz w:val="24"/>
                <w:lang w:val="en-US" w:eastAsia="zh-CN"/>
              </w:rPr>
              <w:t>5</w:t>
            </w:r>
            <w:r>
              <w:rPr>
                <w:rFonts w:hint="eastAsia"/>
                <w:sz w:val="24"/>
              </w:rPr>
              <w:t>分；方案全面性、科学性、合理性、可行性</w:t>
            </w:r>
            <w:r>
              <w:rPr>
                <w:rFonts w:hint="eastAsia"/>
                <w:sz w:val="24"/>
                <w:lang w:eastAsia="zh-CN"/>
              </w:rPr>
              <w:t>有欠缺的每项扣</w:t>
            </w:r>
            <w:r>
              <w:rPr>
                <w:rFonts w:hint="eastAsia"/>
                <w:sz w:val="24"/>
                <w:lang w:val="en-US" w:eastAsia="zh-CN"/>
              </w:rPr>
              <w:t>0.5-1分扣完为止</w:t>
            </w:r>
          </w:p>
        </w:tc>
        <w:tc>
          <w:tcPr>
            <w:tcW w:w="1111" w:type="dxa"/>
            <w:noWrap w:val="0"/>
            <w:vAlign w:val="center"/>
          </w:tcPr>
          <w:p>
            <w:pPr>
              <w:tabs>
                <w:tab w:val="left" w:pos="1080"/>
              </w:tabs>
              <w:spacing w:line="360" w:lineRule="auto"/>
              <w:jc w:val="center"/>
              <w:rPr>
                <w:rFonts w:hint="eastAsia" w:ascii="宋体" w:hAnsi="宋体" w:cs="宋体"/>
                <w:bCs/>
                <w:sz w:val="24"/>
              </w:rPr>
            </w:pPr>
            <w:r>
              <w:rPr>
                <w:rFonts w:hint="eastAsia" w:ascii="宋体" w:hAnsi="宋体" w:cs="宋体"/>
                <w:bCs/>
                <w:sz w:val="24"/>
              </w:rPr>
              <w:t>0-</w:t>
            </w:r>
            <w:r>
              <w:rPr>
                <w:rFonts w:hint="eastAsia" w:ascii="宋体" w:hAnsi="宋体" w:cs="宋体"/>
                <w:bCs/>
                <w:sz w:val="24"/>
                <w:lang w:val="en-US" w:eastAsia="zh-CN"/>
              </w:rPr>
              <w:t>5</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noWrap w:val="0"/>
            <w:vAlign w:val="center"/>
          </w:tcPr>
          <w:p>
            <w:pPr>
              <w:tabs>
                <w:tab w:val="left" w:pos="1080"/>
              </w:tabs>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4</w:t>
            </w:r>
          </w:p>
        </w:tc>
        <w:tc>
          <w:tcPr>
            <w:tcW w:w="1657" w:type="dxa"/>
            <w:noWrap w:val="0"/>
            <w:vAlign w:val="center"/>
          </w:tcPr>
          <w:p>
            <w:pPr>
              <w:keepNext w:val="0"/>
              <w:keepLines w:val="0"/>
              <w:pageBreakBefore w:val="0"/>
              <w:widowControl w:val="0"/>
              <w:tabs>
                <w:tab w:val="left" w:pos="1080"/>
              </w:tabs>
              <w:kinsoku/>
              <w:wordWrap/>
              <w:overflowPunct/>
              <w:topLinePunct w:val="0"/>
              <w:autoSpaceDE/>
              <w:autoSpaceDN/>
              <w:bidi w:val="0"/>
              <w:snapToGrid/>
              <w:spacing w:line="320" w:lineRule="exact"/>
              <w:jc w:val="center"/>
              <w:textAlignment w:val="auto"/>
              <w:rPr>
                <w:rFonts w:hint="eastAsia" w:ascii="宋体" w:hAnsi="宋体" w:cs="宋体"/>
                <w:b/>
                <w:bCs/>
                <w:sz w:val="24"/>
              </w:rPr>
            </w:pPr>
            <w:r>
              <w:rPr>
                <w:rFonts w:hint="eastAsia"/>
                <w:b/>
                <w:bCs/>
                <w:sz w:val="24"/>
                <w:szCs w:val="24"/>
              </w:rPr>
              <w:t>项目进度计划和保障措施</w:t>
            </w:r>
          </w:p>
        </w:tc>
        <w:tc>
          <w:tcPr>
            <w:tcW w:w="5512"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textAlignment w:val="auto"/>
              <w:rPr>
                <w:rFonts w:hint="eastAsia" w:ascii="宋体" w:hAnsi="宋体" w:cs="宋体"/>
                <w:color w:val="000000"/>
                <w:sz w:val="24"/>
              </w:rPr>
            </w:pPr>
            <w:r>
              <w:rPr>
                <w:rFonts w:hint="eastAsia"/>
                <w:sz w:val="24"/>
              </w:rPr>
              <w:t>科学合理，有完善的工期管理措施，各级质量管理人员齐全，保证措施优良。实施方案全面、科学、合理、可行性高且完全满足需求的得</w:t>
            </w:r>
            <w:r>
              <w:rPr>
                <w:rFonts w:hint="eastAsia"/>
                <w:sz w:val="24"/>
                <w:lang w:val="en-US" w:eastAsia="zh-CN"/>
              </w:rPr>
              <w:t>5</w:t>
            </w:r>
            <w:r>
              <w:rPr>
                <w:rFonts w:hint="eastAsia"/>
                <w:sz w:val="24"/>
              </w:rPr>
              <w:t>分；实施方案全面性、科学性、合理性、可行性</w:t>
            </w:r>
            <w:r>
              <w:rPr>
                <w:rFonts w:hint="eastAsia"/>
                <w:sz w:val="24"/>
                <w:lang w:eastAsia="zh-CN"/>
              </w:rPr>
              <w:t>有欠缺的每项扣</w:t>
            </w:r>
            <w:r>
              <w:rPr>
                <w:rFonts w:hint="eastAsia"/>
                <w:sz w:val="24"/>
                <w:lang w:val="en-US" w:eastAsia="zh-CN"/>
              </w:rPr>
              <w:t>0.5-1分扣完为止。</w:t>
            </w:r>
          </w:p>
        </w:tc>
        <w:tc>
          <w:tcPr>
            <w:tcW w:w="1111" w:type="dxa"/>
            <w:noWrap w:val="0"/>
            <w:vAlign w:val="center"/>
          </w:tcPr>
          <w:p>
            <w:pPr>
              <w:tabs>
                <w:tab w:val="left" w:pos="1080"/>
              </w:tabs>
              <w:spacing w:line="360" w:lineRule="auto"/>
              <w:jc w:val="center"/>
              <w:rPr>
                <w:rFonts w:hint="eastAsia" w:ascii="宋体" w:hAnsi="宋体" w:cs="宋体"/>
                <w:bCs/>
                <w:sz w:val="24"/>
              </w:rPr>
            </w:pPr>
          </w:p>
          <w:p>
            <w:pPr>
              <w:tabs>
                <w:tab w:val="left" w:pos="1080"/>
              </w:tabs>
              <w:spacing w:line="360" w:lineRule="auto"/>
              <w:jc w:val="center"/>
              <w:rPr>
                <w:rFonts w:hint="eastAsia" w:ascii="宋体" w:hAnsi="宋体" w:cs="宋体"/>
                <w:bCs/>
                <w:sz w:val="24"/>
              </w:rPr>
            </w:pPr>
            <w:r>
              <w:rPr>
                <w:rFonts w:hint="eastAsia" w:ascii="宋体" w:hAnsi="宋体" w:cs="宋体"/>
                <w:bCs/>
                <w:sz w:val="24"/>
              </w:rPr>
              <w:t>0-</w:t>
            </w:r>
            <w:r>
              <w:rPr>
                <w:rFonts w:hint="eastAsia" w:ascii="宋体" w:hAnsi="宋体" w:cs="宋体"/>
                <w:bCs/>
                <w:sz w:val="24"/>
                <w:lang w:val="en-US" w:eastAsia="zh-CN"/>
              </w:rPr>
              <w:t>5</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noWrap w:val="0"/>
            <w:vAlign w:val="center"/>
          </w:tcPr>
          <w:p>
            <w:pPr>
              <w:tabs>
                <w:tab w:val="left" w:pos="1080"/>
              </w:tabs>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5</w:t>
            </w:r>
          </w:p>
        </w:tc>
        <w:tc>
          <w:tcPr>
            <w:tcW w:w="1657" w:type="dxa"/>
            <w:noWrap w:val="0"/>
            <w:vAlign w:val="center"/>
          </w:tcPr>
          <w:p>
            <w:pPr>
              <w:keepNext w:val="0"/>
              <w:keepLines w:val="0"/>
              <w:pageBreakBefore w:val="0"/>
              <w:widowControl w:val="0"/>
              <w:tabs>
                <w:tab w:val="left" w:pos="1080"/>
              </w:tabs>
              <w:kinsoku/>
              <w:wordWrap/>
              <w:overflowPunct/>
              <w:topLinePunct w:val="0"/>
              <w:autoSpaceDE/>
              <w:autoSpaceDN/>
              <w:bidi w:val="0"/>
              <w:snapToGrid/>
              <w:spacing w:line="320" w:lineRule="exact"/>
              <w:jc w:val="center"/>
              <w:textAlignment w:val="auto"/>
              <w:rPr>
                <w:rFonts w:hint="eastAsia"/>
                <w:b/>
                <w:bCs/>
                <w:sz w:val="24"/>
                <w:szCs w:val="24"/>
              </w:rPr>
            </w:pPr>
            <w:r>
              <w:rPr>
                <w:rFonts w:hint="eastAsia"/>
                <w:b/>
                <w:bCs/>
                <w:sz w:val="24"/>
                <w:szCs w:val="24"/>
              </w:rPr>
              <w:t>项目人员</w:t>
            </w:r>
          </w:p>
          <w:p>
            <w:pPr>
              <w:keepNext w:val="0"/>
              <w:keepLines w:val="0"/>
              <w:pageBreakBefore w:val="0"/>
              <w:widowControl w:val="0"/>
              <w:tabs>
                <w:tab w:val="left" w:pos="1080"/>
              </w:tabs>
              <w:kinsoku/>
              <w:wordWrap/>
              <w:overflowPunct/>
              <w:topLinePunct w:val="0"/>
              <w:autoSpaceDE/>
              <w:autoSpaceDN/>
              <w:bidi w:val="0"/>
              <w:snapToGrid/>
              <w:spacing w:line="320" w:lineRule="exact"/>
              <w:jc w:val="center"/>
              <w:textAlignment w:val="auto"/>
              <w:rPr>
                <w:rFonts w:hint="eastAsia" w:eastAsia="宋体"/>
                <w:b/>
                <w:bCs/>
                <w:sz w:val="24"/>
                <w:szCs w:val="24"/>
                <w:lang w:eastAsia="zh-CN"/>
              </w:rPr>
            </w:pPr>
            <w:r>
              <w:rPr>
                <w:rFonts w:hint="eastAsia"/>
                <w:b/>
                <w:bCs/>
                <w:sz w:val="24"/>
                <w:szCs w:val="24"/>
                <w:lang w:eastAsia="zh-CN"/>
              </w:rPr>
              <w:t>配备</w:t>
            </w:r>
          </w:p>
        </w:tc>
        <w:tc>
          <w:tcPr>
            <w:tcW w:w="5512" w:type="dxa"/>
            <w:noWrap w:val="0"/>
            <w:vAlign w:val="center"/>
          </w:tcPr>
          <w:p>
            <w:pPr>
              <w:keepNext w:val="0"/>
              <w:keepLines w:val="0"/>
              <w:pageBreakBefore w:val="0"/>
              <w:widowControl w:val="0"/>
              <w:numPr>
                <w:ilvl w:val="0"/>
                <w:numId w:val="17"/>
              </w:numPr>
              <w:kinsoku/>
              <w:wordWrap/>
              <w:overflowPunct/>
              <w:topLinePunct w:val="0"/>
              <w:autoSpaceDE/>
              <w:autoSpaceDN/>
              <w:bidi w:val="0"/>
              <w:adjustRightInd w:val="0"/>
              <w:snapToGrid/>
              <w:spacing w:line="320" w:lineRule="exact"/>
              <w:textAlignment w:val="auto"/>
              <w:rPr>
                <w:rFonts w:hint="eastAsia"/>
                <w:sz w:val="24"/>
              </w:rPr>
            </w:pPr>
            <w:r>
              <w:rPr>
                <w:rFonts w:hint="eastAsia"/>
                <w:sz w:val="24"/>
              </w:rPr>
              <w:t>拟派项目组成员具有高级信息系统项目管理师证书的，每提供一个得</w:t>
            </w:r>
            <w:r>
              <w:rPr>
                <w:rFonts w:hint="eastAsia"/>
                <w:sz w:val="24"/>
                <w:lang w:val="en-US" w:eastAsia="zh-CN"/>
              </w:rPr>
              <w:t>2</w:t>
            </w:r>
            <w:r>
              <w:rPr>
                <w:rFonts w:hint="eastAsia"/>
                <w:sz w:val="24"/>
              </w:rPr>
              <w:t>分，最高得</w:t>
            </w:r>
            <w:r>
              <w:rPr>
                <w:rFonts w:hint="eastAsia"/>
                <w:sz w:val="24"/>
                <w:lang w:val="en-US" w:eastAsia="zh-CN"/>
              </w:rPr>
              <w:t>4</w:t>
            </w:r>
            <w:r>
              <w:rPr>
                <w:rFonts w:hint="eastAsia"/>
                <w:sz w:val="24"/>
              </w:rPr>
              <w:t>分。提供人员资质证书扫描件及近三个月中任意一个月的社保缴纳证明材料并加盖供应商公章，否则不得分。</w:t>
            </w:r>
          </w:p>
          <w:p>
            <w:pPr>
              <w:keepNext w:val="0"/>
              <w:keepLines w:val="0"/>
              <w:pageBreakBefore w:val="0"/>
              <w:widowControl w:val="0"/>
              <w:numPr>
                <w:ilvl w:val="0"/>
                <w:numId w:val="0"/>
              </w:numPr>
              <w:kinsoku/>
              <w:wordWrap/>
              <w:overflowPunct/>
              <w:topLinePunct w:val="0"/>
              <w:autoSpaceDE/>
              <w:autoSpaceDN/>
              <w:bidi w:val="0"/>
              <w:adjustRightInd w:val="0"/>
              <w:snapToGrid/>
              <w:spacing w:line="320" w:lineRule="exact"/>
              <w:textAlignment w:val="auto"/>
              <w:rPr>
                <w:rFonts w:hint="default" w:eastAsia="宋体"/>
                <w:sz w:val="24"/>
                <w:lang w:val="en-US" w:eastAsia="zh-CN"/>
              </w:rPr>
            </w:pPr>
            <w:r>
              <w:rPr>
                <w:rFonts w:hint="eastAsia"/>
                <w:sz w:val="24"/>
                <w:lang w:val="en-US" w:eastAsia="zh-CN"/>
              </w:rPr>
              <w:t>2、</w:t>
            </w:r>
            <w:r>
              <w:rPr>
                <w:rFonts w:hint="eastAsia"/>
                <w:spacing w:val="-6"/>
                <w:sz w:val="24"/>
                <w:lang w:eastAsia="zh-CN"/>
              </w:rPr>
              <w:t>人员配备</w:t>
            </w:r>
            <w:r>
              <w:rPr>
                <w:rFonts w:hint="eastAsia"/>
                <w:spacing w:val="-6"/>
                <w:sz w:val="24"/>
              </w:rPr>
              <w:t>组织机构齐全，各项制度健全，责任分工明确的得</w:t>
            </w:r>
            <w:r>
              <w:rPr>
                <w:rFonts w:hint="eastAsia"/>
                <w:spacing w:val="-6"/>
                <w:sz w:val="24"/>
                <w:lang w:val="en-US"/>
              </w:rPr>
              <w:t>4</w:t>
            </w:r>
            <w:r>
              <w:rPr>
                <w:rFonts w:hint="eastAsia"/>
                <w:spacing w:val="-6"/>
                <w:sz w:val="24"/>
              </w:rPr>
              <w:t>分；</w:t>
            </w:r>
            <w:r>
              <w:rPr>
                <w:rFonts w:hint="eastAsia"/>
                <w:spacing w:val="-6"/>
                <w:sz w:val="24"/>
                <w:lang w:eastAsia="zh-CN"/>
              </w:rPr>
              <w:t>人员配备不</w:t>
            </w:r>
            <w:r>
              <w:rPr>
                <w:rFonts w:hint="eastAsia"/>
                <w:spacing w:val="-6"/>
                <w:sz w:val="24"/>
              </w:rPr>
              <w:t>齐全</w:t>
            </w:r>
            <w:r>
              <w:rPr>
                <w:rFonts w:hint="eastAsia"/>
                <w:spacing w:val="-6"/>
                <w:sz w:val="24"/>
                <w:lang w:eastAsia="zh-CN"/>
              </w:rPr>
              <w:t>、各项制度不健全、责任分工不明确的每项扣</w:t>
            </w:r>
            <w:r>
              <w:rPr>
                <w:rFonts w:hint="eastAsia"/>
                <w:spacing w:val="-6"/>
                <w:sz w:val="24"/>
                <w:lang w:val="en-US" w:eastAsia="zh-CN"/>
              </w:rPr>
              <w:t>0.5-1分</w:t>
            </w:r>
          </w:p>
        </w:tc>
        <w:tc>
          <w:tcPr>
            <w:tcW w:w="1111" w:type="dxa"/>
            <w:noWrap w:val="0"/>
            <w:vAlign w:val="center"/>
          </w:tcPr>
          <w:p>
            <w:pPr>
              <w:tabs>
                <w:tab w:val="left" w:pos="1080"/>
              </w:tabs>
              <w:spacing w:line="36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noWrap w:val="0"/>
            <w:vAlign w:val="center"/>
          </w:tcPr>
          <w:p>
            <w:pPr>
              <w:tabs>
                <w:tab w:val="left" w:pos="1080"/>
              </w:tabs>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6</w:t>
            </w:r>
          </w:p>
        </w:tc>
        <w:tc>
          <w:tcPr>
            <w:tcW w:w="1657" w:type="dxa"/>
            <w:noWrap w:val="0"/>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eastAsia"/>
                <w:b/>
                <w:bCs/>
                <w:sz w:val="24"/>
                <w:szCs w:val="24"/>
              </w:rPr>
            </w:pPr>
          </w:p>
          <w:p>
            <w:pPr>
              <w:keepNext w:val="0"/>
              <w:keepLines w:val="0"/>
              <w:pageBreakBefore w:val="0"/>
              <w:widowControl w:val="0"/>
              <w:kinsoku/>
              <w:wordWrap/>
              <w:overflowPunct/>
              <w:topLinePunct w:val="0"/>
              <w:autoSpaceDE/>
              <w:autoSpaceDN/>
              <w:bidi w:val="0"/>
              <w:snapToGrid/>
              <w:spacing w:line="320" w:lineRule="exact"/>
              <w:textAlignment w:val="auto"/>
              <w:rPr>
                <w:rFonts w:hint="eastAsia"/>
                <w:b/>
                <w:bCs/>
                <w:sz w:val="24"/>
                <w:szCs w:val="24"/>
              </w:rPr>
            </w:pPr>
          </w:p>
          <w:p>
            <w:pPr>
              <w:keepNext w:val="0"/>
              <w:keepLines w:val="0"/>
              <w:pageBreakBefore w:val="0"/>
              <w:widowControl w:val="0"/>
              <w:kinsoku/>
              <w:wordWrap/>
              <w:overflowPunct/>
              <w:topLinePunct w:val="0"/>
              <w:autoSpaceDE/>
              <w:autoSpaceDN/>
              <w:bidi w:val="0"/>
              <w:snapToGrid/>
              <w:spacing w:line="320" w:lineRule="exact"/>
              <w:textAlignment w:val="auto"/>
              <w:rPr>
                <w:rFonts w:hint="eastAsia"/>
                <w:b/>
                <w:bCs/>
                <w:sz w:val="24"/>
                <w:szCs w:val="24"/>
              </w:rPr>
            </w:pPr>
          </w:p>
          <w:p>
            <w:pPr>
              <w:keepNext w:val="0"/>
              <w:keepLines w:val="0"/>
              <w:pageBreakBefore w:val="0"/>
              <w:widowControl w:val="0"/>
              <w:kinsoku/>
              <w:wordWrap/>
              <w:overflowPunct/>
              <w:topLinePunct w:val="0"/>
              <w:autoSpaceDE/>
              <w:autoSpaceDN/>
              <w:bidi w:val="0"/>
              <w:snapToGrid/>
              <w:spacing w:line="320" w:lineRule="exact"/>
              <w:textAlignment w:val="auto"/>
              <w:rPr>
                <w:rFonts w:hint="eastAsia"/>
                <w:b/>
                <w:bCs/>
                <w:sz w:val="24"/>
                <w:szCs w:val="24"/>
              </w:rPr>
            </w:pPr>
          </w:p>
          <w:p>
            <w:pPr>
              <w:keepNext w:val="0"/>
              <w:keepLines w:val="0"/>
              <w:pageBreakBefore w:val="0"/>
              <w:widowControl w:val="0"/>
              <w:kinsoku/>
              <w:wordWrap/>
              <w:overflowPunct/>
              <w:topLinePunct w:val="0"/>
              <w:autoSpaceDE/>
              <w:autoSpaceDN/>
              <w:bidi w:val="0"/>
              <w:snapToGrid/>
              <w:spacing w:line="320" w:lineRule="exact"/>
              <w:textAlignment w:val="auto"/>
              <w:rPr>
                <w:rFonts w:hint="eastAsia"/>
                <w:b/>
                <w:bCs/>
                <w:sz w:val="24"/>
                <w:szCs w:val="24"/>
              </w:rPr>
            </w:pPr>
          </w:p>
          <w:p>
            <w:pPr>
              <w:keepNext w:val="0"/>
              <w:keepLines w:val="0"/>
              <w:pageBreakBefore w:val="0"/>
              <w:widowControl w:val="0"/>
              <w:kinsoku/>
              <w:wordWrap/>
              <w:overflowPunct/>
              <w:topLinePunct w:val="0"/>
              <w:autoSpaceDE/>
              <w:autoSpaceDN/>
              <w:bidi w:val="0"/>
              <w:snapToGrid/>
              <w:spacing w:line="320" w:lineRule="exact"/>
              <w:textAlignment w:val="auto"/>
              <w:rPr>
                <w:rFonts w:hint="eastAsia"/>
                <w:b/>
                <w:bCs/>
                <w:sz w:val="24"/>
                <w:szCs w:val="24"/>
              </w:rPr>
            </w:pPr>
          </w:p>
          <w:p>
            <w:pPr>
              <w:keepNext w:val="0"/>
              <w:keepLines w:val="0"/>
              <w:pageBreakBefore w:val="0"/>
              <w:widowControl w:val="0"/>
              <w:kinsoku/>
              <w:wordWrap/>
              <w:overflowPunct/>
              <w:topLinePunct w:val="0"/>
              <w:autoSpaceDE/>
              <w:autoSpaceDN/>
              <w:bidi w:val="0"/>
              <w:snapToGrid/>
              <w:spacing w:line="320" w:lineRule="exact"/>
              <w:textAlignment w:val="auto"/>
              <w:rPr>
                <w:rFonts w:hint="eastAsia" w:ascii="宋体" w:hAnsi="宋体" w:cs="宋体"/>
                <w:color w:val="000000"/>
                <w:kern w:val="0"/>
                <w:sz w:val="24"/>
              </w:rPr>
            </w:pPr>
            <w:r>
              <w:rPr>
                <w:rFonts w:hint="eastAsia"/>
                <w:b/>
                <w:bCs/>
                <w:sz w:val="24"/>
                <w:szCs w:val="24"/>
              </w:rPr>
              <w:t>视频演示（根据演示分评分标准要求录制演示视频（mp4格式；时间控制在10分钟以内，超时或不演示均不得分）供应商录制的视频应以真实产品系统操作或Demo演示，采用图片和PPT的，不得分。）</w:t>
            </w:r>
          </w:p>
        </w:tc>
        <w:tc>
          <w:tcPr>
            <w:tcW w:w="5512" w:type="dxa"/>
            <w:noWrap w:val="0"/>
            <w:vAlign w:val="center"/>
          </w:tcPr>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b/>
                <w:bCs/>
                <w:sz w:val="24"/>
                <w:lang w:val="en-US" w:eastAsia="zh-CN"/>
              </w:rPr>
            </w:pPr>
            <w:r>
              <w:rPr>
                <w:rFonts w:hint="eastAsia" w:ascii="宋体" w:hAnsi="宋体" w:cs="宋体"/>
                <w:b/>
                <w:bCs/>
                <w:sz w:val="24"/>
                <w:lang w:val="en-US" w:eastAsia="zh-CN"/>
              </w:rPr>
              <w:t xml:space="preserve">1、风险防控管理功能展示： </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1）风险防控管理演示包含晾晒台、预警舱以及矛盾纠纷、矛盾纠纷-稳定指导、社会治安、行业监管、依法治网驾驶舱共7部分，得1分；（未提供不得分）</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2）晾晒台能对平安指数、信访类、社会治安类、维稳类等不少于8类关键指标或指数进行晾晒，得1分；（未提供不得分）</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3）预警舱演示：</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①能对风险人员、风险事件、风险单位、风险区域、风险领域以五色的形式展示各类风险等级，得1分；（未提供不得分）</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②能够穿透至风险人员画像，画像应展示基本信息、家庭成员信息、关联事件（能穿透查看关联事件列表）、走访信息、财产信息、失信信息、处罚信息，得1分；（未提供不得分）</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③风险单位支持穿透，展示风险单位画像，支持预警时间轴和预警趋势图展示，可在时间轴上展示关键事件时间节点及预警标签，得1分。（未提供不得分）</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cs="宋体"/>
                <w:b/>
                <w:bCs/>
                <w:sz w:val="24"/>
                <w:lang w:val="en-US" w:eastAsia="zh-CN"/>
              </w:rPr>
              <w:t>2、风险防控一张图功能展示：</w:t>
            </w:r>
            <w:r>
              <w:rPr>
                <w:rFonts w:hint="eastAsia" w:ascii="宋体" w:hAnsi="宋体" w:cs="宋体"/>
                <w:sz w:val="24"/>
                <w:lang w:val="en-US" w:eastAsia="zh-CN"/>
              </w:rPr>
              <w:t xml:space="preserve"> </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1）可视化展示矛盾纠纷、社会治安、行业监管、依法治网四大领域间的风险关联分析，自动研判风险等级，能够查看风险涉及领域、人员、场所等详细信息并支持穿透，得1分；（未提供不得分）</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2）总体态势展示，图层总数不少于20类，能够实现数据落图和热力图分析，得1分；（未提供不得分）</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3）通过热力图分析可识别出高风险区域，能分析高风险区域所属乡镇街道、村社区及网格，得1分；（未提供不得分）</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b/>
                <w:bCs/>
                <w:sz w:val="24"/>
                <w:lang w:val="en-US" w:eastAsia="zh-CN"/>
              </w:rPr>
            </w:pPr>
            <w:r>
              <w:rPr>
                <w:rFonts w:hint="eastAsia" w:ascii="宋体" w:hAnsi="宋体" w:cs="宋体"/>
                <w:b/>
                <w:bCs/>
                <w:sz w:val="24"/>
                <w:lang w:val="en-US" w:eastAsia="zh-CN"/>
              </w:rPr>
              <w:t xml:space="preserve">3、矛盾纠纷排查见底功能展示： </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1）可使用OCR识别技术将来访人员快速录入办件，并进行分流办件转派到其他专业窗口，并下派至镇（街道）处置，得1分；（未提供不得分）</w:t>
            </w:r>
          </w:p>
          <w:p>
            <w:pPr>
              <w:keepNext w:val="0"/>
              <w:keepLines w:val="0"/>
              <w:pageBreakBefore w:val="0"/>
              <w:widowControl w:val="0"/>
              <w:tabs>
                <w:tab w:val="left" w:pos="1080"/>
              </w:tabs>
              <w:kinsoku/>
              <w:wordWrap/>
              <w:overflowPunct/>
              <w:topLinePunct w:val="0"/>
              <w:autoSpaceDE/>
              <w:autoSpaceDN/>
              <w:bidi w:val="0"/>
              <w:snapToGrid/>
              <w:spacing w:line="320" w:lineRule="exact"/>
              <w:jc w:val="left"/>
              <w:textAlignment w:val="auto"/>
              <w:rPr>
                <w:rFonts w:hint="default" w:ascii="宋体" w:hAnsi="宋体" w:eastAsia="宋体" w:cs="宋体"/>
                <w:sz w:val="24"/>
                <w:lang w:val="en-US" w:eastAsia="zh-CN"/>
              </w:rPr>
            </w:pPr>
            <w:r>
              <w:rPr>
                <w:rFonts w:hint="eastAsia" w:ascii="宋体" w:hAnsi="宋体" w:cs="宋体"/>
                <w:sz w:val="24"/>
                <w:lang w:val="en-US" w:eastAsia="zh-CN"/>
              </w:rPr>
              <w:t>2）可为某个专业窗口配置调解协议书模板，自动生成调解协议书，得1分；（未提供不得分）</w:t>
            </w:r>
          </w:p>
        </w:tc>
        <w:tc>
          <w:tcPr>
            <w:tcW w:w="1111" w:type="dxa"/>
            <w:noWrap w:val="0"/>
            <w:vAlign w:val="center"/>
          </w:tcPr>
          <w:p>
            <w:pPr>
              <w:jc w:val="center"/>
              <w:rPr>
                <w:rFonts w:hint="eastAsia" w:ascii="宋体" w:hAnsi="宋体" w:cs="宋体"/>
                <w:color w:val="000000"/>
                <w:kern w:val="0"/>
                <w:sz w:val="24"/>
              </w:rPr>
            </w:pPr>
            <w:r>
              <w:rPr>
                <w:rFonts w:hint="eastAsia" w:ascii="宋体" w:hAnsi="宋体" w:cs="宋体"/>
                <w:bCs/>
                <w:sz w:val="24"/>
              </w:rPr>
              <w:t>0-</w:t>
            </w:r>
            <w:r>
              <w:rPr>
                <w:rFonts w:hint="eastAsia" w:ascii="宋体" w:hAnsi="宋体" w:cs="宋体"/>
                <w:bCs/>
                <w:sz w:val="24"/>
                <w:lang w:val="en-US" w:eastAsia="zh-CN"/>
              </w:rPr>
              <w:t>1</w:t>
            </w:r>
            <w:r>
              <w:rPr>
                <w:rFonts w:hint="eastAsia" w:ascii="宋体" w:hAnsi="宋体" w:cs="宋体"/>
                <w:bCs/>
                <w:sz w:val="24"/>
                <w:lang w:val="en-US" w:eastAsia="zh-CN"/>
              </w:rPr>
              <w:t>0</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noWrap w:val="0"/>
            <w:vAlign w:val="center"/>
          </w:tcPr>
          <w:p>
            <w:pPr>
              <w:tabs>
                <w:tab w:val="left" w:pos="1080"/>
              </w:tabs>
              <w:spacing w:line="360" w:lineRule="auto"/>
              <w:jc w:val="center"/>
              <w:rPr>
                <w:rFonts w:hint="eastAsia" w:ascii="宋体" w:hAnsi="宋体" w:cs="宋体"/>
                <w:b/>
                <w:sz w:val="24"/>
              </w:rPr>
            </w:pPr>
            <w:r>
              <w:rPr>
                <w:rFonts w:hint="eastAsia" w:ascii="宋体" w:hAnsi="宋体" w:cs="宋体"/>
                <w:b/>
                <w:sz w:val="24"/>
              </w:rPr>
              <w:t>二</w:t>
            </w:r>
          </w:p>
        </w:tc>
        <w:tc>
          <w:tcPr>
            <w:tcW w:w="7169" w:type="dxa"/>
            <w:gridSpan w:val="2"/>
            <w:noWrap w:val="0"/>
            <w:vAlign w:val="center"/>
          </w:tcPr>
          <w:p>
            <w:pPr>
              <w:keepNext w:val="0"/>
              <w:keepLines w:val="0"/>
              <w:pageBreakBefore w:val="0"/>
              <w:widowControl w:val="0"/>
              <w:tabs>
                <w:tab w:val="left" w:pos="1080"/>
              </w:tabs>
              <w:kinsoku/>
              <w:wordWrap/>
              <w:overflowPunct/>
              <w:topLinePunct w:val="0"/>
              <w:autoSpaceDE/>
              <w:autoSpaceDN/>
              <w:bidi w:val="0"/>
              <w:snapToGrid/>
              <w:spacing w:line="320" w:lineRule="exact"/>
              <w:jc w:val="center"/>
              <w:textAlignment w:val="auto"/>
              <w:rPr>
                <w:rFonts w:hint="eastAsia" w:ascii="宋体" w:hAnsi="宋体" w:cs="宋体"/>
                <w:b/>
                <w:bCs/>
                <w:sz w:val="24"/>
              </w:rPr>
            </w:pPr>
            <w:r>
              <w:rPr>
                <w:rFonts w:hint="eastAsia" w:ascii="宋体" w:hAnsi="宋体" w:cs="宋体"/>
                <w:b/>
                <w:bCs/>
                <w:sz w:val="24"/>
              </w:rPr>
              <w:t>商务、资信分</w:t>
            </w:r>
          </w:p>
        </w:tc>
        <w:tc>
          <w:tcPr>
            <w:tcW w:w="1111" w:type="dxa"/>
            <w:noWrap w:val="0"/>
            <w:vAlign w:val="center"/>
          </w:tcPr>
          <w:p>
            <w:pPr>
              <w:tabs>
                <w:tab w:val="left" w:pos="1080"/>
              </w:tabs>
              <w:spacing w:line="360" w:lineRule="auto"/>
              <w:jc w:val="center"/>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lang w:val="en-US" w:eastAsia="zh-CN"/>
              </w:rPr>
              <w:t>0</w:t>
            </w:r>
            <w:r>
              <w:rPr>
                <w:rFonts w:hint="eastAsia" w:ascii="宋体" w:hAnsi="宋体" w:cs="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noWrap w:val="0"/>
            <w:vAlign w:val="center"/>
          </w:tcPr>
          <w:p>
            <w:pPr>
              <w:tabs>
                <w:tab w:val="left" w:pos="1080"/>
              </w:tabs>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7</w:t>
            </w:r>
          </w:p>
        </w:tc>
        <w:tc>
          <w:tcPr>
            <w:tcW w:w="1657" w:type="dxa"/>
            <w:noWrap w:val="0"/>
            <w:vAlign w:val="center"/>
          </w:tcPr>
          <w:p>
            <w:pPr>
              <w:keepNext w:val="0"/>
              <w:keepLines w:val="0"/>
              <w:pageBreakBefore w:val="0"/>
              <w:widowControl w:val="0"/>
              <w:tabs>
                <w:tab w:val="left" w:pos="1080"/>
              </w:tabs>
              <w:kinsoku/>
              <w:wordWrap/>
              <w:overflowPunct/>
              <w:topLinePunct w:val="0"/>
              <w:autoSpaceDE/>
              <w:autoSpaceDN/>
              <w:bidi w:val="0"/>
              <w:snapToGrid/>
              <w:spacing w:line="320" w:lineRule="exact"/>
              <w:jc w:val="center"/>
              <w:textAlignment w:val="auto"/>
              <w:rPr>
                <w:rFonts w:hint="eastAsia" w:ascii="宋体" w:hAnsi="宋体" w:cs="宋体"/>
                <w:b/>
                <w:bCs/>
                <w:sz w:val="24"/>
              </w:rPr>
            </w:pPr>
            <w:r>
              <w:rPr>
                <w:rFonts w:hint="eastAsia" w:ascii="宋体" w:hAnsi="宋体" w:cs="宋体"/>
                <w:b/>
                <w:bCs/>
                <w:sz w:val="24"/>
              </w:rPr>
              <w:t>服务保障及培训方案</w:t>
            </w:r>
          </w:p>
        </w:tc>
        <w:tc>
          <w:tcPr>
            <w:tcW w:w="5512" w:type="dxa"/>
            <w:noWrap w:val="0"/>
            <w:vAlign w:val="center"/>
          </w:tcPr>
          <w:p>
            <w:pPr>
              <w:keepNext w:val="0"/>
              <w:keepLines w:val="0"/>
              <w:pageBreakBefore w:val="0"/>
              <w:widowControl w:val="0"/>
              <w:numPr>
                <w:ilvl w:val="0"/>
                <w:numId w:val="18"/>
              </w:numPr>
              <w:kinsoku/>
              <w:wordWrap/>
              <w:overflowPunct/>
              <w:topLinePunct w:val="0"/>
              <w:autoSpaceDE/>
              <w:autoSpaceDN/>
              <w:bidi w:val="0"/>
              <w:adjustRightInd w:val="0"/>
              <w:snapToGrid/>
              <w:spacing w:line="320" w:lineRule="exact"/>
              <w:textAlignment w:val="auto"/>
              <w:rPr>
                <w:rFonts w:hint="eastAsia" w:ascii="宋体" w:hAnsi="宋体" w:cs="宋体"/>
                <w:color w:val="000000"/>
                <w:sz w:val="24"/>
                <w:lang w:bidi="ar"/>
              </w:rPr>
            </w:pPr>
            <w:r>
              <w:rPr>
                <w:rFonts w:hint="eastAsia" w:ascii="宋体" w:hAnsi="宋体" w:cs="宋体"/>
                <w:color w:val="000000"/>
                <w:sz w:val="24"/>
                <w:lang w:val="zh-TW" w:bidi="ar"/>
              </w:rPr>
              <w:t>供应商提供的</w:t>
            </w:r>
            <w:r>
              <w:rPr>
                <w:rFonts w:hint="eastAsia" w:ascii="宋体" w:hAnsi="宋体" w:cs="宋体"/>
                <w:color w:val="000000"/>
                <w:sz w:val="24"/>
                <w:lang w:bidi="ar"/>
              </w:rPr>
              <w:t>后续</w:t>
            </w:r>
            <w:r>
              <w:rPr>
                <w:rFonts w:hint="eastAsia" w:ascii="宋体" w:hAnsi="宋体" w:cs="宋体"/>
                <w:color w:val="000000"/>
                <w:sz w:val="24"/>
                <w:lang w:val="zh-TW" w:bidi="ar"/>
              </w:rPr>
              <w:t>服务方案</w:t>
            </w:r>
            <w:r>
              <w:rPr>
                <w:rFonts w:hint="eastAsia" w:ascii="宋体" w:hAnsi="宋体" w:cs="宋体"/>
                <w:color w:val="000000"/>
                <w:sz w:val="24"/>
                <w:lang w:val="zh-TW" w:eastAsia="zh-CN" w:bidi="ar"/>
              </w:rPr>
              <w:t>（</w:t>
            </w:r>
            <w:r>
              <w:rPr>
                <w:rFonts w:hint="eastAsia" w:ascii="宋体" w:hAnsi="宋体" w:cs="宋体"/>
                <w:color w:val="000000"/>
                <w:sz w:val="24"/>
                <w:lang w:val="zh-TW" w:bidi="ar"/>
              </w:rPr>
              <w:t>服务体系、服务内容、故障解决方案、响应时间、人员保障等</w:t>
            </w:r>
            <w:r>
              <w:rPr>
                <w:rFonts w:hint="eastAsia" w:ascii="宋体" w:hAnsi="宋体" w:cs="宋体"/>
                <w:color w:val="000000"/>
                <w:sz w:val="24"/>
                <w:lang w:val="zh-TW" w:eastAsia="zh-CN" w:bidi="ar"/>
              </w:rPr>
              <w:t>）</w:t>
            </w:r>
            <w:r>
              <w:rPr>
                <w:rFonts w:hint="eastAsia" w:ascii="宋体" w:hAnsi="宋体" w:cs="宋体"/>
                <w:color w:val="000000"/>
                <w:sz w:val="24"/>
                <w:lang w:bidi="ar"/>
              </w:rPr>
              <w:t>后续</w:t>
            </w:r>
            <w:r>
              <w:rPr>
                <w:rFonts w:hint="eastAsia" w:ascii="宋体" w:hAnsi="宋体" w:cs="宋体"/>
                <w:color w:val="000000"/>
                <w:sz w:val="24"/>
                <w:lang w:val="zh-TW" w:bidi="ar"/>
              </w:rPr>
              <w:t>服务承诺及服务承诺落实的保障措施可行、完整</w:t>
            </w:r>
            <w:r>
              <w:rPr>
                <w:rFonts w:hint="eastAsia" w:ascii="宋体" w:hAnsi="宋体" w:cs="宋体"/>
                <w:color w:val="000000"/>
                <w:sz w:val="24"/>
                <w:lang w:bidi="ar"/>
              </w:rPr>
              <w:t>的得</w:t>
            </w:r>
            <w:r>
              <w:rPr>
                <w:rFonts w:hint="eastAsia" w:ascii="宋体" w:hAnsi="宋体" w:cs="宋体"/>
                <w:color w:val="000000"/>
                <w:sz w:val="24"/>
                <w:lang w:val="en-US" w:eastAsia="zh-CN" w:bidi="ar"/>
              </w:rPr>
              <w:t>6</w:t>
            </w:r>
            <w:r>
              <w:rPr>
                <w:rFonts w:hint="eastAsia" w:ascii="宋体" w:hAnsi="宋体" w:cs="宋体"/>
                <w:color w:val="000000"/>
                <w:sz w:val="24"/>
                <w:lang w:bidi="ar"/>
              </w:rPr>
              <w:t>分，欠缺或不完善的每项扣</w:t>
            </w:r>
            <w:r>
              <w:rPr>
                <w:rFonts w:hint="eastAsia" w:ascii="宋体" w:hAnsi="宋体" w:cs="宋体"/>
                <w:color w:val="000000"/>
                <w:sz w:val="24"/>
                <w:lang w:val="en-US" w:eastAsia="zh-CN" w:bidi="ar"/>
              </w:rPr>
              <w:t>0.5-</w:t>
            </w:r>
            <w:r>
              <w:rPr>
                <w:rFonts w:hint="eastAsia" w:ascii="宋体" w:hAnsi="宋体" w:cs="宋体"/>
                <w:color w:val="000000"/>
                <w:sz w:val="24"/>
                <w:lang w:bidi="ar"/>
              </w:rPr>
              <w:t>1分，</w:t>
            </w:r>
            <w:r>
              <w:rPr>
                <w:rFonts w:hint="eastAsia" w:ascii="宋体" w:hAnsi="宋体" w:cs="宋体"/>
                <w:sz w:val="24"/>
              </w:rPr>
              <w:t>扣完为止，</w:t>
            </w:r>
            <w:r>
              <w:rPr>
                <w:rFonts w:hint="eastAsia" w:ascii="宋体" w:hAnsi="宋体" w:cs="宋体"/>
                <w:color w:val="000000"/>
                <w:sz w:val="24"/>
                <w:lang w:bidi="ar"/>
              </w:rPr>
              <w:t>不提供不得分。</w:t>
            </w:r>
          </w:p>
          <w:p>
            <w:pPr>
              <w:keepNext w:val="0"/>
              <w:keepLines w:val="0"/>
              <w:pageBreakBefore w:val="0"/>
              <w:widowControl w:val="0"/>
              <w:numPr>
                <w:ilvl w:val="0"/>
                <w:numId w:val="0"/>
              </w:numPr>
              <w:kinsoku/>
              <w:wordWrap/>
              <w:overflowPunct/>
              <w:topLinePunct w:val="0"/>
              <w:autoSpaceDE/>
              <w:autoSpaceDN/>
              <w:bidi w:val="0"/>
              <w:adjustRightInd w:val="0"/>
              <w:snapToGrid/>
              <w:spacing w:line="320" w:lineRule="exact"/>
              <w:textAlignment w:val="auto"/>
              <w:rPr>
                <w:rFonts w:hint="eastAsia" w:ascii="宋体" w:hAnsi="宋体" w:cs="宋体"/>
                <w:sz w:val="24"/>
              </w:rPr>
            </w:pPr>
            <w:r>
              <w:rPr>
                <w:rFonts w:hint="eastAsia" w:ascii="宋体" w:hAnsi="宋体" w:cs="宋体"/>
                <w:color w:val="000000"/>
                <w:sz w:val="24"/>
                <w:lang w:val="en-US" w:eastAsia="zh-CN" w:bidi="ar"/>
              </w:rPr>
              <w:t>2、</w:t>
            </w:r>
            <w:r>
              <w:rPr>
                <w:rFonts w:hint="eastAsia" w:ascii="宋体" w:hAnsi="宋体" w:cs="宋体"/>
                <w:color w:val="000000"/>
                <w:sz w:val="24"/>
                <w:lang w:bidi="ar"/>
              </w:rPr>
              <w:t>培训计划包括培训内容、培训时间地点、培训对象，培训师资力量等。评审委员会根据投标供应商提供的操作培训方案进行评分，方案全面、可操作的得</w:t>
            </w:r>
            <w:r>
              <w:rPr>
                <w:rFonts w:hint="eastAsia" w:ascii="宋体" w:hAnsi="宋体" w:cs="宋体"/>
                <w:color w:val="000000"/>
                <w:sz w:val="24"/>
                <w:lang w:val="en-US" w:eastAsia="zh-CN" w:bidi="ar"/>
              </w:rPr>
              <w:t>6</w:t>
            </w:r>
            <w:r>
              <w:rPr>
                <w:rFonts w:hint="eastAsia" w:ascii="宋体" w:hAnsi="宋体" w:cs="宋体"/>
                <w:color w:val="000000"/>
                <w:sz w:val="24"/>
                <w:lang w:bidi="ar"/>
              </w:rPr>
              <w:t>分；不全面或缺少每项扣</w:t>
            </w:r>
            <w:r>
              <w:rPr>
                <w:rFonts w:hint="eastAsia" w:ascii="宋体" w:hAnsi="宋体" w:cs="宋体"/>
                <w:color w:val="000000"/>
                <w:sz w:val="24"/>
                <w:lang w:val="en-US" w:eastAsia="zh-CN" w:bidi="ar"/>
              </w:rPr>
              <w:t>0.5-</w:t>
            </w:r>
            <w:r>
              <w:rPr>
                <w:rFonts w:hint="eastAsia" w:ascii="宋体" w:hAnsi="宋体" w:cs="宋体"/>
                <w:color w:val="000000"/>
                <w:sz w:val="24"/>
                <w:lang w:bidi="ar"/>
              </w:rPr>
              <w:t>1分，</w:t>
            </w:r>
            <w:r>
              <w:rPr>
                <w:rFonts w:hint="eastAsia" w:ascii="宋体" w:hAnsi="宋体" w:cs="宋体"/>
                <w:sz w:val="24"/>
              </w:rPr>
              <w:t>扣完为止，</w:t>
            </w:r>
            <w:r>
              <w:rPr>
                <w:rFonts w:hint="eastAsia" w:ascii="宋体" w:hAnsi="宋体" w:cs="宋体"/>
                <w:color w:val="000000"/>
                <w:sz w:val="24"/>
                <w:lang w:bidi="ar"/>
              </w:rPr>
              <w:t>不提供不得分。</w:t>
            </w:r>
          </w:p>
        </w:tc>
        <w:tc>
          <w:tcPr>
            <w:tcW w:w="1111" w:type="dxa"/>
            <w:noWrap w:val="0"/>
            <w:vAlign w:val="center"/>
          </w:tcPr>
          <w:p>
            <w:pPr>
              <w:adjustRightInd w:val="0"/>
              <w:snapToGrid w:val="0"/>
              <w:spacing w:line="360" w:lineRule="auto"/>
              <w:jc w:val="center"/>
              <w:rPr>
                <w:rFonts w:hint="eastAsia" w:ascii="宋体" w:hAnsi="宋体" w:cs="宋体"/>
                <w:b/>
                <w:sz w:val="24"/>
              </w:rPr>
            </w:pPr>
            <w:r>
              <w:rPr>
                <w:rFonts w:hint="eastAsia" w:ascii="宋体" w:hAnsi="宋体" w:cs="宋体"/>
                <w:sz w:val="24"/>
              </w:rPr>
              <w:t>0-</w:t>
            </w:r>
            <w:r>
              <w:rPr>
                <w:rFonts w:hint="eastAsia" w:ascii="宋体" w:hAnsi="宋体" w:cs="宋体"/>
                <w:sz w:val="24"/>
                <w:lang w:val="en-US" w:eastAsia="zh-CN"/>
              </w:rPr>
              <w:t>12</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80" w:type="dxa"/>
            <w:noWrap w:val="0"/>
            <w:vAlign w:val="center"/>
          </w:tcPr>
          <w:p>
            <w:pPr>
              <w:tabs>
                <w:tab w:val="left" w:pos="1080"/>
              </w:tabs>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8</w:t>
            </w:r>
          </w:p>
        </w:tc>
        <w:tc>
          <w:tcPr>
            <w:tcW w:w="1657" w:type="dxa"/>
            <w:noWrap w:val="0"/>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cs="宋体"/>
                <w:sz w:val="24"/>
              </w:rPr>
            </w:pPr>
            <w:r>
              <w:rPr>
                <w:rFonts w:hint="eastAsia" w:ascii="宋体" w:hAnsi="宋体" w:cs="宋体"/>
                <w:b/>
                <w:bCs/>
                <w:sz w:val="24"/>
              </w:rPr>
              <w:t>企业业绩</w:t>
            </w:r>
          </w:p>
        </w:tc>
        <w:tc>
          <w:tcPr>
            <w:tcW w:w="5512"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textAlignment w:val="auto"/>
              <w:rPr>
                <w:rFonts w:hint="eastAsia" w:ascii="宋体" w:hAnsi="宋体" w:cs="宋体"/>
                <w:sz w:val="24"/>
              </w:rPr>
            </w:pPr>
            <w:r>
              <w:rPr>
                <w:rFonts w:hint="eastAsia" w:ascii="宋体" w:hAnsi="宋体" w:cs="宋体"/>
                <w:sz w:val="24"/>
              </w:rPr>
              <w:t>2019年1月1日以来承接过</w:t>
            </w:r>
            <w:r>
              <w:rPr>
                <w:rFonts w:hint="eastAsia" w:ascii="宋体" w:hAnsi="宋体" w:cs="宋体"/>
                <w:sz w:val="24"/>
                <w:lang w:eastAsia="zh-CN"/>
              </w:rPr>
              <w:t>类似</w:t>
            </w:r>
            <w:r>
              <w:rPr>
                <w:rFonts w:hint="eastAsia" w:ascii="宋体" w:hAnsi="宋体" w:cs="宋体"/>
                <w:sz w:val="24"/>
              </w:rPr>
              <w:t>项目业绩的，得</w:t>
            </w:r>
            <w:r>
              <w:rPr>
                <w:rFonts w:hint="eastAsia" w:ascii="宋体" w:hAnsi="宋体" w:cs="宋体"/>
                <w:sz w:val="24"/>
                <w:lang w:val="en-US" w:eastAsia="zh-CN"/>
              </w:rPr>
              <w:t>1</w:t>
            </w:r>
            <w:r>
              <w:rPr>
                <w:rFonts w:hint="eastAsia" w:ascii="宋体" w:hAnsi="宋体" w:cs="宋体"/>
                <w:sz w:val="24"/>
              </w:rPr>
              <w:t>分。</w:t>
            </w:r>
          </w:p>
          <w:p>
            <w:pPr>
              <w:keepNext w:val="0"/>
              <w:keepLines w:val="0"/>
              <w:pageBreakBefore w:val="0"/>
              <w:widowControl w:val="0"/>
              <w:kinsoku/>
              <w:wordWrap/>
              <w:overflowPunct/>
              <w:topLinePunct w:val="0"/>
              <w:autoSpaceDE/>
              <w:autoSpaceDN/>
              <w:bidi w:val="0"/>
              <w:adjustRightInd w:val="0"/>
              <w:snapToGrid/>
              <w:spacing w:line="320" w:lineRule="exact"/>
              <w:ind w:firstLine="482" w:firstLineChars="200"/>
              <w:textAlignment w:val="auto"/>
              <w:rPr>
                <w:rFonts w:hint="eastAsia" w:ascii="宋体" w:hAnsi="宋体" w:cs="宋体"/>
                <w:sz w:val="24"/>
                <w:highlight w:val="yellow"/>
              </w:rPr>
            </w:pPr>
            <w:r>
              <w:rPr>
                <w:rFonts w:hint="eastAsia" w:ascii="宋体" w:hAnsi="宋体" w:cs="宋体"/>
                <w:b/>
                <w:bCs/>
                <w:sz w:val="24"/>
              </w:rPr>
              <w:t>注：投标文件中须提供合同复印件或中标通知书（或扫描件）并加盖单位公章。</w:t>
            </w:r>
          </w:p>
        </w:tc>
        <w:tc>
          <w:tcPr>
            <w:tcW w:w="1111" w:type="dxa"/>
            <w:noWrap w:val="0"/>
            <w:vAlign w:val="center"/>
          </w:tcPr>
          <w:p>
            <w:pPr>
              <w:pStyle w:val="17"/>
              <w:spacing w:after="0" w:line="360" w:lineRule="auto"/>
              <w:ind w:left="0" w:leftChars="0" w:firstLine="0" w:firstLineChars="0"/>
              <w:jc w:val="center"/>
              <w:rPr>
                <w:rFonts w:hint="eastAsia" w:ascii="宋体" w:hAnsi="宋体" w:cs="宋体"/>
                <w:bCs/>
              </w:rPr>
            </w:pPr>
            <w:r>
              <w:rPr>
                <w:rFonts w:hint="eastAsia" w:ascii="宋体" w:hAnsi="宋体" w:cs="宋体"/>
              </w:rPr>
              <w:t>0-</w:t>
            </w:r>
            <w:r>
              <w:rPr>
                <w:rFonts w:hint="eastAsia" w:ascii="宋体" w:hAnsi="宋体" w:cs="宋体"/>
                <w:lang w:val="en-US" w:eastAsia="zh-CN"/>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0" w:type="dxa"/>
            <w:noWrap w:val="0"/>
            <w:vAlign w:val="center"/>
          </w:tcPr>
          <w:p>
            <w:pPr>
              <w:tabs>
                <w:tab w:val="left" w:pos="1080"/>
              </w:tabs>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9</w:t>
            </w:r>
          </w:p>
        </w:tc>
        <w:tc>
          <w:tcPr>
            <w:tcW w:w="1657" w:type="dxa"/>
            <w:noWrap w:val="0"/>
            <w:vAlign w:val="center"/>
          </w:tcPr>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cs="宋体"/>
                <w:b/>
                <w:bCs/>
                <w:sz w:val="24"/>
                <w:lang w:eastAsia="zh-CN"/>
              </w:rPr>
            </w:pPr>
            <w:r>
              <w:rPr>
                <w:rFonts w:hint="eastAsia" w:ascii="宋体" w:hAnsi="宋体" w:cs="宋体"/>
                <w:b/>
                <w:bCs/>
                <w:sz w:val="24"/>
                <w:lang w:eastAsia="zh-CN"/>
              </w:rPr>
              <w:t>企业综合</w:t>
            </w:r>
          </w:p>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eastAsia="宋体" w:cs="宋体"/>
                <w:b/>
                <w:bCs/>
                <w:sz w:val="24"/>
                <w:lang w:eastAsia="zh-CN"/>
              </w:rPr>
            </w:pPr>
            <w:r>
              <w:rPr>
                <w:rFonts w:hint="eastAsia" w:ascii="宋体" w:hAnsi="宋体" w:cs="宋体"/>
                <w:b/>
                <w:bCs/>
                <w:sz w:val="24"/>
                <w:lang w:eastAsia="zh-CN"/>
              </w:rPr>
              <w:t>实力</w:t>
            </w:r>
          </w:p>
        </w:tc>
        <w:tc>
          <w:tcPr>
            <w:tcW w:w="5512" w:type="dxa"/>
            <w:noWrap w:val="0"/>
            <w:vAlign w:val="center"/>
          </w:tcPr>
          <w:p>
            <w:pPr>
              <w:pStyle w:val="25"/>
              <w:keepNext w:val="0"/>
              <w:keepLines w:val="0"/>
              <w:pageBreakBefore w:val="0"/>
              <w:widowControl w:val="0"/>
              <w:numPr>
                <w:ilvl w:val="0"/>
                <w:numId w:val="19"/>
              </w:numPr>
              <w:kinsoku/>
              <w:wordWrap/>
              <w:overflowPunct/>
              <w:topLinePunct w:val="0"/>
              <w:autoSpaceDE/>
              <w:autoSpaceDN/>
              <w:bidi w:val="0"/>
              <w:snapToGrid/>
              <w:spacing w:line="320" w:lineRule="exact"/>
              <w:textAlignment w:val="auto"/>
              <w:rPr>
                <w:rFonts w:hint="eastAsia" w:ascii="宋体" w:eastAsia="宋体" w:cs="宋体"/>
                <w:szCs w:val="24"/>
                <w:lang w:val="en-US" w:eastAsia="zh-CN"/>
              </w:rPr>
            </w:pPr>
            <w:r>
              <w:rPr>
                <w:rFonts w:hint="eastAsia" w:ascii="宋体" w:eastAsia="宋体" w:cs="宋体"/>
                <w:szCs w:val="24"/>
                <w:lang w:val="en-US" w:eastAsia="zh-CN"/>
              </w:rPr>
              <w:t>供应商具有国家保密局颁发的有效的涉密信息系统集成资质证书（软件开发、系统咨询、系统集成）每提供一个乙级证书的得1分，每提供一个甲级证书得3分，本项最多得9分。</w:t>
            </w:r>
          </w:p>
          <w:p>
            <w:pPr>
              <w:pStyle w:val="25"/>
              <w:keepNext w:val="0"/>
              <w:keepLines w:val="0"/>
              <w:pageBreakBefore w:val="0"/>
              <w:widowControl w:val="0"/>
              <w:numPr>
                <w:ilvl w:val="0"/>
                <w:numId w:val="19"/>
              </w:numPr>
              <w:kinsoku/>
              <w:wordWrap/>
              <w:overflowPunct/>
              <w:topLinePunct w:val="0"/>
              <w:autoSpaceDE/>
              <w:autoSpaceDN/>
              <w:bidi w:val="0"/>
              <w:snapToGrid/>
              <w:spacing w:line="320" w:lineRule="exact"/>
              <w:ind w:left="0" w:leftChars="0" w:firstLine="0" w:firstLineChars="0"/>
              <w:textAlignment w:val="auto"/>
              <w:rPr>
                <w:rFonts w:hint="eastAsia" w:ascii="宋体" w:eastAsia="宋体" w:cs="宋体"/>
                <w:szCs w:val="24"/>
                <w:lang w:val="en-US" w:eastAsia="zh-CN"/>
              </w:rPr>
            </w:pPr>
            <w:r>
              <w:rPr>
                <w:rFonts w:hint="eastAsia" w:ascii="宋体" w:eastAsia="宋体" w:cs="宋体"/>
                <w:szCs w:val="24"/>
                <w:lang w:val="en-US" w:eastAsia="zh-CN"/>
              </w:rPr>
              <w:t>供应商具有有效的质量管理体系认证证书、环境管理体系认证证书、职业健康安全管理体系认证证书、信息安全管理体系认证证书、信息技术服务管理体系认证证书的每提供一个得1分，最多得5分。3、供应商具有国家版权局颁发的社会治理类或社会治理相关软件著作权证书的，每提供一个得1分，最多得3分。</w:t>
            </w:r>
          </w:p>
          <w:p>
            <w:pPr>
              <w:pStyle w:val="25"/>
              <w:keepNext w:val="0"/>
              <w:keepLines w:val="0"/>
              <w:pageBreakBefore w:val="0"/>
              <w:widowControl w:val="0"/>
              <w:numPr>
                <w:ilvl w:val="0"/>
                <w:numId w:val="0"/>
              </w:numPr>
              <w:kinsoku/>
              <w:wordWrap/>
              <w:overflowPunct/>
              <w:topLinePunct w:val="0"/>
              <w:autoSpaceDE/>
              <w:autoSpaceDN/>
              <w:bidi w:val="0"/>
              <w:snapToGrid/>
              <w:spacing w:line="320" w:lineRule="exact"/>
              <w:ind w:leftChars="0"/>
              <w:textAlignment w:val="auto"/>
              <w:rPr>
                <w:rFonts w:hint="default" w:ascii="宋体" w:eastAsia="宋体" w:cs="宋体"/>
                <w:szCs w:val="24"/>
                <w:lang w:val="en-US" w:eastAsia="zh-CN"/>
              </w:rPr>
            </w:pPr>
            <w:r>
              <w:rPr>
                <w:rFonts w:hint="eastAsia" w:ascii="宋体" w:eastAsia="宋体" w:cs="宋体"/>
                <w:b/>
                <w:bCs/>
                <w:szCs w:val="24"/>
                <w:lang w:val="en-US" w:eastAsia="zh-CN"/>
              </w:rPr>
              <w:t>以上证书需提供证书扫描件加盖供应商公章，不提供不得分。</w:t>
            </w:r>
          </w:p>
        </w:tc>
        <w:tc>
          <w:tcPr>
            <w:tcW w:w="1111" w:type="dxa"/>
            <w:noWrap w:val="0"/>
            <w:vAlign w:val="center"/>
          </w:tcPr>
          <w:p>
            <w:pPr>
              <w:pStyle w:val="17"/>
              <w:spacing w:after="0" w:line="360" w:lineRule="auto"/>
              <w:ind w:left="0" w:leftChars="0" w:firstLine="0" w:firstLineChars="0"/>
              <w:jc w:val="center"/>
              <w:rPr>
                <w:rFonts w:hint="eastAsia" w:ascii="宋体" w:hAnsi="宋体" w:cs="宋体"/>
                <w:b/>
                <w:bCs/>
              </w:rPr>
            </w:pPr>
            <w:r>
              <w:rPr>
                <w:rFonts w:hint="eastAsia" w:ascii="宋体" w:hAnsi="宋体" w:cs="宋体"/>
              </w:rPr>
              <w:t>0-</w:t>
            </w:r>
            <w:r>
              <w:rPr>
                <w:rFonts w:hint="eastAsia" w:ascii="宋体" w:hAnsi="宋体" w:cs="宋体"/>
                <w:lang w:val="en-US" w:eastAsia="zh-CN"/>
              </w:rPr>
              <w:t>17</w:t>
            </w:r>
            <w:r>
              <w:rPr>
                <w:rFonts w:hint="eastAsia" w:ascii="宋体" w:hAnsi="宋体" w:cs="宋体"/>
              </w:rPr>
              <w:t>分</w:t>
            </w:r>
          </w:p>
        </w:tc>
      </w:tr>
    </w:tbl>
    <w:p>
      <w:pPr>
        <w:adjustRightInd w:val="0"/>
        <w:spacing w:line="360" w:lineRule="auto"/>
        <w:ind w:firstLine="241" w:firstLineChars="100"/>
        <w:jc w:val="both"/>
        <w:rPr>
          <w:sz w:val="30"/>
          <w:szCs w:val="30"/>
        </w:rPr>
      </w:pPr>
      <w:r>
        <w:rPr>
          <w:rFonts w:hint="eastAsia"/>
          <w:b/>
          <w:sz w:val="24"/>
        </w:rPr>
        <w:t>注：提供演示视频文件，时间不得超过1</w:t>
      </w:r>
      <w:r>
        <w:rPr>
          <w:rFonts w:hint="eastAsia"/>
          <w:b/>
          <w:sz w:val="24"/>
          <w:lang w:val="en-US"/>
        </w:rPr>
        <w:t>0</w:t>
      </w:r>
      <w:r>
        <w:rPr>
          <w:rFonts w:hint="eastAsia"/>
          <w:b/>
          <w:sz w:val="24"/>
        </w:rPr>
        <w:t>分钟，不提供不得分；演示内容存储介质为</w:t>
      </w:r>
      <w:r>
        <w:rPr>
          <w:rFonts w:hint="eastAsia"/>
          <w:b/>
          <w:sz w:val="24"/>
          <w:lang w:val="en-US"/>
        </w:rPr>
        <w:t>U盘</w:t>
      </w:r>
      <w:r>
        <w:rPr>
          <w:rFonts w:hint="eastAsia"/>
          <w:b/>
          <w:sz w:val="24"/>
        </w:rPr>
        <w:t>，邮寄地址与备份文件邮寄地址相同。供应商需留足演示视频文件邮寄时间,确保演示视频文件于</w:t>
      </w:r>
      <w:r>
        <w:rPr>
          <w:rFonts w:hint="eastAsia"/>
          <w:b/>
          <w:sz w:val="24"/>
          <w:lang w:eastAsia="zh-CN"/>
        </w:rPr>
        <w:t>投标</w:t>
      </w:r>
      <w:r>
        <w:rPr>
          <w:rFonts w:hint="eastAsia"/>
          <w:b/>
          <w:sz w:val="24"/>
        </w:rPr>
        <w:t>截止时间前送达，因自身贻误行为导致超过时间的，责任自负。演示视频文件逾期送达指定地点的，演示视频文件将被拒绝。</w:t>
      </w:r>
    </w:p>
    <w:p>
      <w:pPr>
        <w:spacing w:line="360" w:lineRule="auto"/>
        <w:rPr>
          <w:rFonts w:hint="eastAsia" w:ascii="宋体" w:hAnsi="宋体" w:cs="宋体"/>
          <w:b/>
          <w:sz w:val="44"/>
          <w:szCs w:val="44"/>
        </w:rPr>
        <w:sectPr>
          <w:pgSz w:w="11906" w:h="16838"/>
          <w:pgMar w:top="1474" w:right="1531" w:bottom="1474" w:left="1531" w:header="907" w:footer="907" w:gutter="0"/>
          <w:cols w:space="720" w:num="1"/>
          <w:docGrid w:linePitch="312" w:charSpace="0"/>
        </w:sectPr>
      </w:pPr>
    </w:p>
    <w:p>
      <w:pPr>
        <w:spacing w:line="360" w:lineRule="auto"/>
        <w:jc w:val="center"/>
        <w:rPr>
          <w:rFonts w:hint="eastAsia" w:ascii="宋体" w:hAnsi="宋体" w:cs="宋体"/>
          <w:sz w:val="44"/>
          <w:szCs w:val="44"/>
        </w:rPr>
      </w:pPr>
      <w:r>
        <w:rPr>
          <w:rFonts w:hint="eastAsia" w:ascii="宋体" w:hAnsi="宋体" w:cs="宋体"/>
          <w:b/>
          <w:sz w:val="44"/>
          <w:szCs w:val="44"/>
        </w:rPr>
        <w:t xml:space="preserve">第五章 </w:t>
      </w:r>
      <w:bookmarkEnd w:id="45"/>
      <w:bookmarkEnd w:id="46"/>
      <w:bookmarkEnd w:id="47"/>
      <w:bookmarkEnd w:id="48"/>
      <w:bookmarkEnd w:id="49"/>
      <w:bookmarkEnd w:id="50"/>
      <w:bookmarkEnd w:id="51"/>
      <w:bookmarkStart w:id="52" w:name="_Toc245801513"/>
      <w:r>
        <w:rPr>
          <w:rFonts w:hint="eastAsia" w:ascii="宋体" w:hAnsi="宋体" w:cs="宋体"/>
          <w:b/>
          <w:sz w:val="44"/>
          <w:szCs w:val="44"/>
        </w:rPr>
        <w:t>合同主要条款</w:t>
      </w:r>
    </w:p>
    <w:p>
      <w:pPr>
        <w:spacing w:line="360" w:lineRule="auto"/>
        <w:ind w:firstLine="480" w:firstLineChars="200"/>
        <w:rPr>
          <w:rFonts w:hint="eastAsia" w:ascii="宋体" w:hAnsi="宋体" w:cs="宋体"/>
          <w:color w:val="000000"/>
          <w:sz w:val="24"/>
        </w:rPr>
      </w:pPr>
      <w:r>
        <w:rPr>
          <w:rFonts w:hint="eastAsia" w:ascii="宋体" w:hAnsi="宋体" w:cs="宋体"/>
          <w:sz w:val="24"/>
        </w:rPr>
        <w:t xml:space="preserve">  </w:t>
      </w:r>
      <w:r>
        <w:rPr>
          <w:rFonts w:hint="eastAsia" w:ascii="宋体" w:hAnsi="宋体" w:cs="宋体"/>
          <w:color w:val="000000"/>
          <w:sz w:val="24"/>
        </w:rPr>
        <w:t>（</w:t>
      </w:r>
      <w:r>
        <w:rPr>
          <w:rFonts w:hint="eastAsia" w:ascii="宋体" w:hAnsi="宋体" w:cs="宋体"/>
          <w:b/>
          <w:bCs/>
          <w:color w:val="000000"/>
          <w:sz w:val="24"/>
        </w:rPr>
        <w:t xml:space="preserve">仅供参考，以正式合同为准。本项目由中标供应商分别跟中共湖州市委政法委员会 </w:t>
      </w:r>
      <w:r>
        <w:rPr>
          <w:rFonts w:hint="eastAsia" w:ascii="宋体" w:hAnsi="宋体" w:cs="宋体"/>
          <w:b/>
          <w:bCs/>
          <w:color w:val="000000"/>
          <w:sz w:val="24"/>
          <w:lang w:eastAsia="zh-CN"/>
        </w:rPr>
        <w:t>、</w:t>
      </w:r>
      <w:r>
        <w:rPr>
          <w:rFonts w:hint="eastAsia" w:ascii="宋体" w:hAnsi="宋体" w:cs="宋体"/>
          <w:b/>
          <w:bCs/>
          <w:color w:val="000000"/>
          <w:sz w:val="24"/>
        </w:rPr>
        <w:t>中共安吉县委政法委员会</w:t>
      </w:r>
      <w:r>
        <w:rPr>
          <w:rFonts w:hint="eastAsia" w:ascii="宋体" w:hAnsi="宋体" w:cs="宋体"/>
          <w:b/>
          <w:bCs/>
          <w:color w:val="000000"/>
          <w:sz w:val="24"/>
          <w:lang w:eastAsia="zh-CN"/>
        </w:rPr>
        <w:t>、</w:t>
      </w:r>
      <w:r>
        <w:rPr>
          <w:rFonts w:hint="eastAsia" w:ascii="宋体" w:hAnsi="宋体" w:cs="宋体"/>
          <w:b/>
          <w:bCs/>
          <w:color w:val="000000"/>
          <w:sz w:val="24"/>
        </w:rPr>
        <w:t>中共德清县委政法委员会</w:t>
      </w:r>
      <w:r>
        <w:rPr>
          <w:rFonts w:hint="eastAsia" w:ascii="宋体" w:hAnsi="宋体" w:cs="宋体"/>
          <w:b/>
          <w:bCs/>
          <w:color w:val="000000"/>
          <w:sz w:val="24"/>
          <w:lang w:eastAsia="zh-CN"/>
        </w:rPr>
        <w:t>、</w:t>
      </w:r>
      <w:r>
        <w:rPr>
          <w:rFonts w:hint="eastAsia" w:ascii="宋体" w:hAnsi="宋体" w:cs="宋体"/>
          <w:b/>
          <w:bCs/>
          <w:color w:val="000000"/>
          <w:sz w:val="24"/>
        </w:rPr>
        <w:t>中共吴兴区委政法委员会</w:t>
      </w:r>
      <w:r>
        <w:rPr>
          <w:rFonts w:hint="eastAsia" w:ascii="宋体" w:hAnsi="宋体" w:cs="宋体"/>
          <w:b/>
          <w:bCs/>
          <w:color w:val="000000"/>
          <w:sz w:val="24"/>
          <w:lang w:eastAsia="zh-CN"/>
        </w:rPr>
        <w:t>、</w:t>
      </w:r>
      <w:r>
        <w:rPr>
          <w:rFonts w:hint="eastAsia" w:ascii="宋体" w:hAnsi="宋体" w:cs="宋体"/>
          <w:b/>
          <w:bCs/>
          <w:color w:val="000000"/>
          <w:sz w:val="24"/>
        </w:rPr>
        <w:t>中共湖州市南浔区委政法委员会</w:t>
      </w:r>
      <w:r>
        <w:rPr>
          <w:rFonts w:hint="eastAsia" w:ascii="宋体" w:hAnsi="宋体" w:cs="宋体"/>
          <w:b/>
          <w:bCs/>
          <w:color w:val="000000"/>
          <w:sz w:val="24"/>
          <w:lang w:eastAsia="zh-CN"/>
        </w:rPr>
        <w:t>、</w:t>
      </w:r>
      <w:r>
        <w:rPr>
          <w:rFonts w:hint="eastAsia" w:ascii="宋体" w:hAnsi="宋体" w:cs="宋体"/>
          <w:b/>
          <w:bCs/>
          <w:color w:val="000000"/>
          <w:sz w:val="24"/>
        </w:rPr>
        <w:t>中共长兴县委政法委员会</w:t>
      </w:r>
      <w:r>
        <w:rPr>
          <w:rFonts w:hint="eastAsia" w:ascii="宋体" w:hAnsi="宋体" w:cs="宋体"/>
          <w:b/>
          <w:bCs/>
          <w:color w:val="000000"/>
          <w:sz w:val="24"/>
          <w:lang w:eastAsia="zh-CN"/>
        </w:rPr>
        <w:t>、</w:t>
      </w:r>
      <w:r>
        <w:rPr>
          <w:rFonts w:hint="eastAsia" w:ascii="宋体" w:hAnsi="宋体" w:cs="宋体"/>
          <w:b/>
          <w:bCs/>
          <w:color w:val="000000"/>
          <w:sz w:val="24"/>
        </w:rPr>
        <w:t>湖州南太湖新区管理委员会政法委员会签订合同。）</w:t>
      </w:r>
    </w:p>
    <w:p>
      <w:pPr>
        <w:pStyle w:val="34"/>
        <w:snapToGrid w:val="0"/>
        <w:spacing w:before="120" w:after="120" w:line="360" w:lineRule="auto"/>
        <w:rPr>
          <w:rFonts w:hint="eastAsia" w:hAnsi="宋体" w:cs="宋体"/>
          <w:color w:val="000000"/>
          <w:sz w:val="24"/>
        </w:rPr>
      </w:pPr>
      <w:r>
        <w:rPr>
          <w:rFonts w:hint="eastAsia" w:hAnsi="宋体"/>
          <w:b/>
          <w:bCs/>
          <w:color w:val="000000"/>
          <w:sz w:val="24"/>
          <w:szCs w:val="24"/>
        </w:rPr>
        <w:t>财政审批编号:                                项目编号:</w:t>
      </w:r>
    </w:p>
    <w:p>
      <w:pPr>
        <w:spacing w:line="500" w:lineRule="exact"/>
        <w:ind w:right="420" w:rightChars="200"/>
        <w:jc w:val="center"/>
        <w:rPr>
          <w:rFonts w:hint="eastAsia"/>
          <w:sz w:val="24"/>
        </w:rPr>
      </w:pPr>
      <w:r>
        <w:rPr>
          <w:rFonts w:hint="eastAsia"/>
        </w:rPr>
        <w:t xml:space="preserve">  </w:t>
      </w:r>
      <w:r>
        <w:rPr>
          <w:rFonts w:hint="eastAsia"/>
          <w:sz w:val="24"/>
        </w:rPr>
        <w:t>（仅供参考，以正式合同为准）</w:t>
      </w:r>
    </w:p>
    <w:p>
      <w:pPr>
        <w:rPr>
          <w:rFonts w:hint="eastAsia"/>
        </w:rPr>
      </w:pPr>
    </w:p>
    <w:p>
      <w:pPr>
        <w:pStyle w:val="34"/>
        <w:snapToGrid w:val="0"/>
        <w:spacing w:before="120" w:after="120" w:line="360" w:lineRule="auto"/>
        <w:rPr>
          <w:rFonts w:hAnsi="宋体"/>
          <w:sz w:val="24"/>
          <w:szCs w:val="24"/>
        </w:rPr>
      </w:pPr>
      <w:r>
        <w:rPr>
          <w:rFonts w:hAnsi="宋体"/>
          <w:sz w:val="24"/>
          <w:szCs w:val="24"/>
        </w:rPr>
        <w:t>甲方：（买方）</w:t>
      </w:r>
    </w:p>
    <w:p>
      <w:pPr>
        <w:pStyle w:val="34"/>
        <w:snapToGrid w:val="0"/>
        <w:spacing w:before="120" w:after="120" w:line="360" w:lineRule="auto"/>
        <w:rPr>
          <w:rFonts w:hAnsi="宋体"/>
          <w:sz w:val="24"/>
          <w:szCs w:val="24"/>
        </w:rPr>
      </w:pPr>
      <w:r>
        <w:rPr>
          <w:rFonts w:hAnsi="宋体"/>
          <w:sz w:val="24"/>
          <w:szCs w:val="24"/>
        </w:rPr>
        <w:t>乙方：（卖方）</w:t>
      </w:r>
    </w:p>
    <w:p>
      <w:pPr>
        <w:spacing w:line="360" w:lineRule="auto"/>
        <w:ind w:firstLine="480" w:firstLineChars="200"/>
        <w:rPr>
          <w:sz w:val="24"/>
        </w:rPr>
      </w:pPr>
      <w:r>
        <w:rPr>
          <w:rFonts w:hint="eastAsia"/>
          <w:sz w:val="24"/>
        </w:rPr>
        <w:t>甲乙双方根据</w:t>
      </w:r>
      <w:r>
        <w:rPr>
          <w:rFonts w:hint="eastAsia"/>
          <w:sz w:val="24"/>
          <w:u w:val="single"/>
        </w:rPr>
        <w:t>湖州星兴工程咨询有限公司</w:t>
      </w:r>
      <w:r>
        <w:rPr>
          <w:rFonts w:hint="eastAsia"/>
          <w:sz w:val="24"/>
        </w:rPr>
        <w:t>关于</w:t>
      </w:r>
      <w:r>
        <w:rPr>
          <w:rFonts w:hint="eastAsia"/>
          <w:sz w:val="24"/>
          <w:u w:val="single"/>
        </w:rPr>
        <w:t>平安风险预警预测防控应用项目</w:t>
      </w:r>
      <w:r>
        <w:rPr>
          <w:rFonts w:hint="eastAsia"/>
          <w:sz w:val="24"/>
        </w:rPr>
        <w:t>公开采购的结果，签署本合同。</w:t>
      </w:r>
    </w:p>
    <w:p>
      <w:pPr>
        <w:spacing w:line="440" w:lineRule="exact"/>
        <w:rPr>
          <w:sz w:val="24"/>
        </w:rPr>
      </w:pPr>
      <w:r>
        <w:rPr>
          <w:rFonts w:hint="eastAsia"/>
          <w:sz w:val="24"/>
        </w:rPr>
        <w:t>1.合同项目与内容</w:t>
      </w:r>
    </w:p>
    <w:p>
      <w:pPr>
        <w:spacing w:line="440" w:lineRule="exact"/>
        <w:rPr>
          <w:sz w:val="24"/>
        </w:rPr>
      </w:pPr>
      <w:r>
        <w:rPr>
          <w:rFonts w:hint="eastAsia"/>
          <w:sz w:val="24"/>
        </w:rPr>
        <w:t>2.</w:t>
      </w:r>
      <w:r>
        <w:rPr>
          <w:rFonts w:hint="eastAsia"/>
          <w:sz w:val="24"/>
          <w:highlight w:val="none"/>
        </w:rPr>
        <w:t>工期</w:t>
      </w:r>
      <w:r>
        <w:rPr>
          <w:rFonts w:hint="eastAsia"/>
          <w:sz w:val="24"/>
        </w:rPr>
        <w:t>与服务地点</w:t>
      </w:r>
    </w:p>
    <w:p>
      <w:pPr>
        <w:spacing w:line="440" w:lineRule="exact"/>
        <w:ind w:firstLine="480" w:firstLineChars="200"/>
        <w:rPr>
          <w:sz w:val="24"/>
        </w:rPr>
      </w:pPr>
      <w:r>
        <w:rPr>
          <w:rFonts w:hint="eastAsia"/>
          <w:sz w:val="24"/>
        </w:rPr>
        <w:t>项目工期：</w:t>
      </w:r>
    </w:p>
    <w:p>
      <w:pPr>
        <w:spacing w:line="440" w:lineRule="exact"/>
        <w:ind w:firstLine="480" w:firstLineChars="200"/>
        <w:rPr>
          <w:sz w:val="24"/>
        </w:rPr>
      </w:pPr>
      <w:r>
        <w:rPr>
          <w:rFonts w:hint="eastAsia"/>
          <w:sz w:val="24"/>
        </w:rPr>
        <w:t>服务地点：</w:t>
      </w:r>
    </w:p>
    <w:p>
      <w:pPr>
        <w:spacing w:line="440" w:lineRule="exact"/>
        <w:rPr>
          <w:sz w:val="24"/>
        </w:rPr>
      </w:pPr>
      <w:r>
        <w:rPr>
          <w:rFonts w:hint="eastAsia"/>
          <w:sz w:val="24"/>
        </w:rPr>
        <w:t>3.签署合同的要求</w:t>
      </w:r>
    </w:p>
    <w:p>
      <w:pPr>
        <w:spacing w:line="440" w:lineRule="exact"/>
        <w:ind w:firstLine="480" w:firstLineChars="200"/>
        <w:rPr>
          <w:sz w:val="24"/>
        </w:rPr>
      </w:pPr>
      <w:r>
        <w:rPr>
          <w:rFonts w:hint="eastAsia"/>
          <w:sz w:val="24"/>
        </w:rPr>
        <w:t>3.1、供应商必须按照投标文件和询标过程中承诺的条款以及中标通知书中规定的时间、地点与采购人签订合同；</w:t>
      </w:r>
    </w:p>
    <w:p>
      <w:pPr>
        <w:spacing w:line="440" w:lineRule="exact"/>
        <w:ind w:firstLine="480" w:firstLineChars="200"/>
        <w:rPr>
          <w:sz w:val="24"/>
        </w:rPr>
      </w:pPr>
      <w:r>
        <w:rPr>
          <w:rFonts w:hint="eastAsia"/>
          <w:sz w:val="24"/>
        </w:rPr>
        <w:t>3.</w:t>
      </w:r>
      <w:r>
        <w:rPr>
          <w:sz w:val="24"/>
        </w:rPr>
        <w:t>2</w:t>
      </w:r>
      <w:r>
        <w:rPr>
          <w:rFonts w:hint="eastAsia"/>
          <w:sz w:val="24"/>
        </w:rPr>
        <w:t>、所签订的合同内容不得对采购文件和供应商的投标文件作实质性修改；</w:t>
      </w:r>
    </w:p>
    <w:p>
      <w:pPr>
        <w:spacing w:line="440" w:lineRule="exact"/>
        <w:ind w:firstLine="480" w:firstLineChars="200"/>
        <w:rPr>
          <w:sz w:val="24"/>
        </w:rPr>
      </w:pPr>
      <w:r>
        <w:rPr>
          <w:rFonts w:hint="eastAsia"/>
          <w:sz w:val="24"/>
        </w:rPr>
        <w:t>3.</w:t>
      </w:r>
      <w:r>
        <w:rPr>
          <w:sz w:val="24"/>
        </w:rPr>
        <w:t>3</w:t>
      </w:r>
      <w:r>
        <w:rPr>
          <w:rFonts w:hint="eastAsia"/>
          <w:sz w:val="24"/>
        </w:rPr>
        <w:t>、采购人不得向供应商提出任何不合理的要求，作为签订合同的条件，不得与供应商私下订立背离合同实质性内容的协议；</w:t>
      </w:r>
    </w:p>
    <w:p>
      <w:pPr>
        <w:spacing w:line="440" w:lineRule="exact"/>
        <w:rPr>
          <w:sz w:val="24"/>
        </w:rPr>
      </w:pPr>
      <w:r>
        <w:rPr>
          <w:rFonts w:hint="eastAsia"/>
          <w:sz w:val="24"/>
        </w:rPr>
        <w:t>4.技术规范</w:t>
      </w:r>
    </w:p>
    <w:p>
      <w:pPr>
        <w:spacing w:line="440" w:lineRule="exact"/>
        <w:ind w:firstLine="480" w:firstLineChars="200"/>
        <w:rPr>
          <w:sz w:val="24"/>
        </w:rPr>
      </w:pPr>
      <w:r>
        <w:rPr>
          <w:rFonts w:hint="eastAsia"/>
          <w:sz w:val="24"/>
        </w:rPr>
        <w:t>本合同执行国家及本省、市现行项目实施及验收规范及有关条例、实施办法等。</w:t>
      </w:r>
    </w:p>
    <w:p>
      <w:pPr>
        <w:spacing w:line="440" w:lineRule="exact"/>
        <w:ind w:firstLine="480" w:firstLineChars="200"/>
        <w:rPr>
          <w:sz w:val="24"/>
        </w:rPr>
      </w:pPr>
      <w:r>
        <w:rPr>
          <w:rFonts w:hint="eastAsia"/>
          <w:sz w:val="24"/>
        </w:rPr>
        <w:t>提供和交付的服务技术规范应与采购文件规定的技术规范相一致。</w:t>
      </w:r>
    </w:p>
    <w:p>
      <w:pPr>
        <w:spacing w:line="440" w:lineRule="exact"/>
        <w:rPr>
          <w:sz w:val="24"/>
        </w:rPr>
      </w:pPr>
      <w:r>
        <w:rPr>
          <w:rFonts w:hint="eastAsia"/>
          <w:sz w:val="24"/>
        </w:rPr>
        <w:t>5.知识产权</w:t>
      </w:r>
    </w:p>
    <w:p>
      <w:pPr>
        <w:spacing w:line="440" w:lineRule="exact"/>
        <w:ind w:firstLine="480" w:firstLineChars="200"/>
        <w:rPr>
          <w:rFonts w:hint="eastAsia"/>
          <w:sz w:val="24"/>
        </w:rPr>
      </w:pPr>
      <w:r>
        <w:rPr>
          <w:rFonts w:hint="eastAsia"/>
          <w:sz w:val="24"/>
        </w:rPr>
        <w:t>5.1乙方应保证提供服务过程中不会侵犯任何第三方的知识产权。因履行本合同所产生的技术成果及其相关知识产权，归甲方</w:t>
      </w:r>
      <w:r>
        <w:rPr>
          <w:rFonts w:hint="eastAsia"/>
          <w:sz w:val="24"/>
          <w:lang w:eastAsia="zh-CN"/>
        </w:rPr>
        <w:t>所</w:t>
      </w:r>
      <w:r>
        <w:rPr>
          <w:rFonts w:hint="eastAsia"/>
          <w:sz w:val="24"/>
        </w:rPr>
        <w:t>有。</w:t>
      </w:r>
    </w:p>
    <w:p>
      <w:pPr>
        <w:spacing w:line="440" w:lineRule="exact"/>
        <w:ind w:firstLine="480" w:firstLineChars="200"/>
        <w:rPr>
          <w:sz w:val="24"/>
        </w:rPr>
      </w:pPr>
      <w:r>
        <w:rPr>
          <w:rFonts w:hint="eastAsia"/>
          <w:sz w:val="24"/>
        </w:rPr>
        <w:t>5.2 乙方在合同标的研制过程中形成的在产品所有权归甲方所有，该在产品归甲方后其对应的合同价款甲方应支付给乙方。</w:t>
      </w:r>
    </w:p>
    <w:p>
      <w:pPr>
        <w:spacing w:line="440" w:lineRule="exact"/>
        <w:rPr>
          <w:sz w:val="24"/>
        </w:rPr>
      </w:pPr>
      <w:r>
        <w:rPr>
          <w:rFonts w:hint="eastAsia"/>
          <w:sz w:val="24"/>
        </w:rPr>
        <w:t>6.工作考核及付款方式</w:t>
      </w:r>
    </w:p>
    <w:p>
      <w:pPr>
        <w:spacing w:line="360" w:lineRule="auto"/>
        <w:ind w:firstLine="480" w:firstLineChars="200"/>
        <w:rPr>
          <w:rFonts w:hint="eastAsia"/>
          <w:b/>
          <w:bCs/>
          <w:sz w:val="24"/>
        </w:rPr>
      </w:pPr>
      <w:r>
        <w:rPr>
          <w:rFonts w:hint="eastAsia"/>
          <w:sz w:val="24"/>
        </w:rPr>
        <w:t>在疫情期间，根据省财政厅《关于进一步发挥政府采购政策功能全力推动经济稳进提质的通知》（浙财采监【2022】3号）要求，制定如下付款方式：</w:t>
      </w:r>
    </w:p>
    <w:p>
      <w:pPr>
        <w:spacing w:line="360" w:lineRule="auto"/>
        <w:ind w:firstLine="482" w:firstLineChars="200"/>
        <w:rPr>
          <w:rFonts w:hint="eastAsia"/>
          <w:b/>
          <w:bCs/>
          <w:sz w:val="24"/>
          <w:highlight w:val="none"/>
        </w:rPr>
      </w:pPr>
      <w:r>
        <w:rPr>
          <w:rFonts w:hint="eastAsia"/>
          <w:b/>
          <w:bCs/>
          <w:sz w:val="24"/>
          <w:highlight w:val="none"/>
        </w:rPr>
        <w:t>合同签订后7 个工作日内，支付合同总价款的40%，完成项目初验后7 个工作日内支付合同总价款的40%，项目通过最终验收后7 个工作日内支付合同总价款的20%。</w:t>
      </w:r>
    </w:p>
    <w:p>
      <w:pPr>
        <w:spacing w:line="360" w:lineRule="auto"/>
        <w:ind w:firstLine="482" w:firstLineChars="200"/>
        <w:rPr>
          <w:b/>
          <w:bCs/>
          <w:sz w:val="24"/>
        </w:rPr>
      </w:pPr>
      <w:r>
        <w:rPr>
          <w:rFonts w:hint="eastAsia"/>
          <w:b/>
          <w:bCs/>
          <w:sz w:val="24"/>
        </w:rPr>
        <w:t>注：1）中标供应商根据采购人每期的支付金额提供正规发票；</w:t>
      </w:r>
    </w:p>
    <w:p>
      <w:pPr>
        <w:spacing w:line="360" w:lineRule="auto"/>
        <w:ind w:firstLine="482" w:firstLineChars="200"/>
        <w:rPr>
          <w:b/>
          <w:bCs/>
          <w:sz w:val="24"/>
        </w:rPr>
      </w:pPr>
      <w:r>
        <w:rPr>
          <w:rFonts w:hint="eastAsia"/>
          <w:b/>
          <w:bCs/>
          <w:sz w:val="24"/>
        </w:rPr>
        <w:t>2）税费：本服务执行中相关的一切税费均由中标供应商负担；</w:t>
      </w:r>
    </w:p>
    <w:p>
      <w:pPr>
        <w:spacing w:line="440" w:lineRule="exact"/>
        <w:ind w:firstLine="482" w:firstLineChars="200"/>
        <w:rPr>
          <w:b/>
          <w:bCs/>
          <w:sz w:val="24"/>
        </w:rPr>
      </w:pPr>
      <w:r>
        <w:rPr>
          <w:rFonts w:hint="eastAsia"/>
          <w:b/>
          <w:bCs/>
          <w:sz w:val="24"/>
        </w:rPr>
        <w:t>3）若中标供应商明确表示无需预付款或者主动要求降低预付款比例的，采购人可不适用前述规定。</w:t>
      </w:r>
    </w:p>
    <w:p>
      <w:pPr>
        <w:spacing w:line="440" w:lineRule="exact"/>
        <w:ind w:firstLine="480" w:firstLineChars="200"/>
        <w:rPr>
          <w:sz w:val="24"/>
        </w:rPr>
      </w:pPr>
      <w:r>
        <w:rPr>
          <w:rFonts w:hint="eastAsia"/>
          <w:sz w:val="24"/>
        </w:rPr>
        <w:t>7.支付：支付应使用人民币；</w:t>
      </w:r>
    </w:p>
    <w:p>
      <w:pPr>
        <w:spacing w:line="440" w:lineRule="exact"/>
        <w:rPr>
          <w:sz w:val="24"/>
        </w:rPr>
      </w:pPr>
      <w:r>
        <w:rPr>
          <w:rFonts w:hint="eastAsia"/>
          <w:sz w:val="24"/>
        </w:rPr>
        <w:t>8.项目培训</w:t>
      </w:r>
    </w:p>
    <w:p>
      <w:pPr>
        <w:spacing w:line="360" w:lineRule="auto"/>
        <w:ind w:firstLine="480" w:firstLineChars="200"/>
        <w:rPr>
          <w:rFonts w:hint="eastAsia"/>
          <w:sz w:val="24"/>
        </w:rPr>
      </w:pPr>
      <w:r>
        <w:rPr>
          <w:rFonts w:hint="eastAsia"/>
          <w:sz w:val="24"/>
        </w:rPr>
        <w:t>8.1乙方负责本项目所有培训工作的具体组织和实施，为培训工作提供师资和教材，所产生的所有培训费用由乙方承担。</w:t>
      </w:r>
    </w:p>
    <w:p>
      <w:pPr>
        <w:spacing w:line="360" w:lineRule="auto"/>
        <w:ind w:firstLine="480" w:firstLineChars="200"/>
        <w:rPr>
          <w:rFonts w:hint="eastAsia"/>
          <w:sz w:val="24"/>
        </w:rPr>
      </w:pPr>
      <w:r>
        <w:rPr>
          <w:rFonts w:hint="eastAsia"/>
          <w:sz w:val="24"/>
        </w:rPr>
        <w:t>8.2乙方应选派有相应专业的实际工作和培训经验的人员及相应的辅导人员对甲方的使用人员、维护人员进行系统的安装调试、操作管理、维护培训，使其能熟练掌握软件系统的操作及日常维护。培训的时间、内容、人员、班次等各项内容在具体执行过程中甲方可以进行调整。</w:t>
      </w:r>
    </w:p>
    <w:p>
      <w:pPr>
        <w:spacing w:line="440" w:lineRule="exact"/>
        <w:rPr>
          <w:sz w:val="24"/>
        </w:rPr>
      </w:pPr>
      <w:r>
        <w:rPr>
          <w:rFonts w:hint="eastAsia"/>
          <w:sz w:val="24"/>
        </w:rPr>
        <w:t>9.售后服务及承诺</w:t>
      </w:r>
    </w:p>
    <w:p>
      <w:pPr>
        <w:spacing w:line="360" w:lineRule="auto"/>
        <w:ind w:firstLine="480" w:firstLineChars="200"/>
        <w:rPr>
          <w:sz w:val="24"/>
        </w:rPr>
      </w:pPr>
      <w:r>
        <w:rPr>
          <w:rFonts w:hint="eastAsia"/>
          <w:sz w:val="24"/>
        </w:rPr>
        <w:t>9.1自项目验收合格之日起，乙方为甲方提供为期</w:t>
      </w:r>
      <w:r>
        <w:rPr>
          <w:sz w:val="24"/>
        </w:rPr>
        <w:t>3</w:t>
      </w:r>
      <w:r>
        <w:rPr>
          <w:rFonts w:hint="eastAsia"/>
          <w:sz w:val="24"/>
        </w:rPr>
        <w:t>年的免费质量保证服务（售后服务）。</w:t>
      </w:r>
    </w:p>
    <w:p>
      <w:pPr>
        <w:spacing w:line="360" w:lineRule="auto"/>
        <w:ind w:firstLine="480" w:firstLineChars="200"/>
        <w:rPr>
          <w:rFonts w:hint="eastAsia"/>
          <w:sz w:val="24"/>
        </w:rPr>
      </w:pPr>
      <w:r>
        <w:rPr>
          <w:rFonts w:hint="eastAsia"/>
          <w:sz w:val="24"/>
        </w:rPr>
        <w:t>9.2在质保期内，乙方需要提供系统支撑日常维护、数据库系统维护、中间件维护、应用系统的日常维护等四项维护服务。具有长期服务能力，提供及时周到的系统技术支持。</w:t>
      </w:r>
    </w:p>
    <w:p>
      <w:pPr>
        <w:spacing w:line="360" w:lineRule="auto"/>
        <w:ind w:firstLine="480" w:firstLineChars="200"/>
        <w:rPr>
          <w:rFonts w:hint="eastAsia"/>
          <w:sz w:val="24"/>
        </w:rPr>
      </w:pPr>
      <w:r>
        <w:rPr>
          <w:rFonts w:hint="eastAsia"/>
          <w:sz w:val="24"/>
        </w:rPr>
        <w:t>9.3针对本项目，乙方应成立专门的技术支持团队，并指定项目负责人，建立长期、稳定的技术支持队伍。</w:t>
      </w:r>
    </w:p>
    <w:p>
      <w:pPr>
        <w:numPr>
          <w:ilvl w:val="0"/>
          <w:numId w:val="20"/>
        </w:numPr>
        <w:spacing w:line="360" w:lineRule="auto"/>
        <w:ind w:firstLine="480" w:firstLineChars="200"/>
        <w:rPr>
          <w:rFonts w:hint="eastAsia"/>
          <w:sz w:val="24"/>
        </w:rPr>
      </w:pPr>
      <w:r>
        <w:rPr>
          <w:rFonts w:hint="eastAsia"/>
          <w:sz w:val="24"/>
        </w:rPr>
        <w:t xml:space="preserve">项目验收 </w:t>
      </w:r>
    </w:p>
    <w:p>
      <w:pPr>
        <w:spacing w:line="360" w:lineRule="auto"/>
        <w:ind w:firstLine="480" w:firstLineChars="200"/>
        <w:rPr>
          <w:rFonts w:hint="eastAsia"/>
          <w:sz w:val="24"/>
        </w:rPr>
      </w:pPr>
      <w:r>
        <w:rPr>
          <w:rFonts w:hint="eastAsia"/>
          <w:sz w:val="24"/>
        </w:rPr>
        <w:t>10.1合同相关建设内容完成后，乙方应按照系统设计要求首先对系统进行内部测试，对项目及产品做出全面检查和对有关资料进行整理列出清单，并提交甲方审查，作为项目验收可以进行的依据。</w:t>
      </w:r>
    </w:p>
    <w:p>
      <w:pPr>
        <w:spacing w:line="360" w:lineRule="auto"/>
        <w:ind w:firstLine="480" w:firstLineChars="200"/>
        <w:rPr>
          <w:rFonts w:hint="eastAsia"/>
          <w:sz w:val="24"/>
        </w:rPr>
      </w:pPr>
      <w:r>
        <w:rPr>
          <w:rFonts w:hint="eastAsia"/>
          <w:sz w:val="24"/>
        </w:rPr>
        <w:t>10.2 项目达到验收条件后，乙方应向甲方提交书面验收申请，甲方在收到乙方提交的验收申请后，应在10个工作日内向大数据局提出验收申请，随后由大数据局组织验收，验收合格后签署验收报告。如因乙方原因致使系统无法通过验收，乙方应尽快解决相关问题，直至系统满足验收要求。</w:t>
      </w:r>
    </w:p>
    <w:p>
      <w:pPr>
        <w:spacing w:line="360" w:lineRule="auto"/>
        <w:ind w:firstLine="480" w:firstLineChars="200"/>
        <w:rPr>
          <w:sz w:val="24"/>
        </w:rPr>
      </w:pPr>
      <w:r>
        <w:rPr>
          <w:rFonts w:hint="eastAsia"/>
          <w:sz w:val="24"/>
        </w:rPr>
        <w:t>11、保密条款</w:t>
      </w:r>
    </w:p>
    <w:p>
      <w:pPr>
        <w:spacing w:line="360" w:lineRule="auto"/>
        <w:ind w:firstLine="480" w:firstLineChars="200"/>
        <w:rPr>
          <w:rFonts w:hint="eastAsia"/>
          <w:sz w:val="24"/>
        </w:rPr>
      </w:pPr>
      <w:r>
        <w:rPr>
          <w:rFonts w:hint="eastAsia"/>
          <w:sz w:val="24"/>
        </w:rPr>
        <w:t>11.1 乙方为履行本合同而获得的甲方技术、商业信息等均为甲方的商业秘密，未经甲方书面同意，乙方不得向任何第三方披露。</w:t>
      </w:r>
    </w:p>
    <w:p>
      <w:pPr>
        <w:spacing w:line="360" w:lineRule="auto"/>
        <w:ind w:firstLine="480" w:firstLineChars="200"/>
        <w:rPr>
          <w:rFonts w:hint="eastAsia"/>
          <w:sz w:val="24"/>
        </w:rPr>
      </w:pPr>
      <w:r>
        <w:rPr>
          <w:rFonts w:hint="eastAsia"/>
          <w:sz w:val="24"/>
        </w:rPr>
        <w:t>11.2 甲乙双方对于因签订和履行本合同所知悉的对方商业秘密、技术秘密承担保密义务，未经对方书面同意，不得向任何第三方透露。甲、乙任何一方均应保证其工作人员履行上述保密义务并对此承担连带责任。</w:t>
      </w:r>
    </w:p>
    <w:p>
      <w:pPr>
        <w:spacing w:line="360" w:lineRule="auto"/>
        <w:ind w:firstLine="480" w:firstLineChars="200"/>
      </w:pPr>
      <w:r>
        <w:rPr>
          <w:rFonts w:hint="eastAsia"/>
          <w:sz w:val="24"/>
        </w:rPr>
        <w:t>11.3 一方违反保密义务的，应赔偿对方因此遭受的全部损失，且守约方有权据此提前解除本合同。</w:t>
      </w:r>
    </w:p>
    <w:p>
      <w:pPr>
        <w:spacing w:line="440" w:lineRule="exact"/>
        <w:ind w:firstLine="480" w:firstLineChars="200"/>
        <w:rPr>
          <w:sz w:val="24"/>
        </w:rPr>
      </w:pPr>
      <w:r>
        <w:rPr>
          <w:rFonts w:hint="eastAsia"/>
          <w:sz w:val="24"/>
        </w:rPr>
        <w:t>12.履约保证及后续服务</w:t>
      </w:r>
    </w:p>
    <w:p>
      <w:pPr>
        <w:spacing w:line="440" w:lineRule="exact"/>
        <w:ind w:firstLine="480" w:firstLineChars="200"/>
        <w:rPr>
          <w:rFonts w:hint="eastAsia"/>
          <w:bCs/>
          <w:sz w:val="24"/>
        </w:rPr>
      </w:pPr>
      <w:r>
        <w:rPr>
          <w:rFonts w:hint="eastAsia"/>
          <w:sz w:val="24"/>
        </w:rPr>
        <w:t>12</w:t>
      </w:r>
      <w:r>
        <w:rPr>
          <w:sz w:val="24"/>
        </w:rPr>
        <w:t>.1</w:t>
      </w:r>
      <w:r>
        <w:rPr>
          <w:rFonts w:hint="eastAsia"/>
          <w:sz w:val="24"/>
        </w:rPr>
        <w:t>履约保证金:</w:t>
      </w:r>
      <w:r>
        <w:rPr>
          <w:rFonts w:hint="eastAsia"/>
          <w:bCs/>
          <w:sz w:val="24"/>
        </w:rPr>
        <w:t>无</w:t>
      </w:r>
    </w:p>
    <w:p>
      <w:pPr>
        <w:spacing w:line="440" w:lineRule="exact"/>
        <w:ind w:firstLine="480" w:firstLineChars="200"/>
        <w:rPr>
          <w:sz w:val="24"/>
        </w:rPr>
      </w:pPr>
      <w:r>
        <w:rPr>
          <w:rFonts w:hint="eastAsia"/>
          <w:sz w:val="24"/>
        </w:rPr>
        <w:t>12.</w:t>
      </w:r>
      <w:r>
        <w:rPr>
          <w:sz w:val="24"/>
        </w:rPr>
        <w:t>2</w:t>
      </w:r>
      <w:r>
        <w:rPr>
          <w:rFonts w:hint="eastAsia"/>
          <w:sz w:val="24"/>
        </w:rPr>
        <w:t>供应商应按采购文件规定的服务标准向采购人提供服务。</w:t>
      </w:r>
    </w:p>
    <w:p>
      <w:pPr>
        <w:spacing w:line="440" w:lineRule="exact"/>
        <w:ind w:firstLine="480" w:firstLineChars="200"/>
        <w:rPr>
          <w:sz w:val="24"/>
        </w:rPr>
      </w:pPr>
      <w:r>
        <w:rPr>
          <w:rFonts w:hint="eastAsia"/>
          <w:sz w:val="24"/>
        </w:rPr>
        <w:t>12.</w:t>
      </w:r>
      <w:r>
        <w:rPr>
          <w:sz w:val="24"/>
        </w:rPr>
        <w:t>3</w:t>
      </w:r>
      <w:r>
        <w:rPr>
          <w:rFonts w:hint="eastAsia"/>
          <w:sz w:val="24"/>
        </w:rPr>
        <w:t xml:space="preserve"> 如采购人检查发现供应商提供的服务</w:t>
      </w:r>
      <w:r>
        <w:rPr>
          <w:rFonts w:hint="eastAsia"/>
          <w:sz w:val="24"/>
          <w:highlight w:val="none"/>
        </w:rPr>
        <w:t>不符合合同约定，供</w:t>
      </w:r>
      <w:r>
        <w:rPr>
          <w:rFonts w:hint="eastAsia"/>
          <w:sz w:val="24"/>
        </w:rPr>
        <w:t>应商应立即进行整改，直到符合要求为止。采购人可根据考核标准中扣除供应商因检查不合格而应该扣罚的款项（扣罚款项在签订合同时明确）。</w:t>
      </w:r>
    </w:p>
    <w:p>
      <w:pPr>
        <w:spacing w:line="440" w:lineRule="exact"/>
        <w:ind w:firstLine="480" w:firstLineChars="200"/>
        <w:rPr>
          <w:sz w:val="24"/>
        </w:rPr>
      </w:pPr>
      <w:r>
        <w:rPr>
          <w:rFonts w:hint="eastAsia"/>
          <w:sz w:val="24"/>
        </w:rPr>
        <w:t>12.</w:t>
      </w:r>
      <w:r>
        <w:rPr>
          <w:sz w:val="24"/>
        </w:rPr>
        <w:t>4</w:t>
      </w:r>
      <w:r>
        <w:rPr>
          <w:rFonts w:hint="eastAsia"/>
          <w:sz w:val="24"/>
        </w:rPr>
        <w:t>供应商提供的服务人员不符合本合同约定的数额，供应商应当自接到采购人通知之日起2日内予以补足，采购人有权按照缺岗天数及缺岗人数扣除相应费用。</w:t>
      </w:r>
    </w:p>
    <w:p>
      <w:pPr>
        <w:spacing w:line="440" w:lineRule="exact"/>
        <w:ind w:firstLine="480" w:firstLineChars="200"/>
        <w:rPr>
          <w:sz w:val="24"/>
        </w:rPr>
      </w:pPr>
      <w:r>
        <w:rPr>
          <w:rFonts w:hint="eastAsia"/>
          <w:sz w:val="24"/>
        </w:rPr>
        <w:t>12.</w:t>
      </w:r>
      <w:r>
        <w:rPr>
          <w:sz w:val="24"/>
        </w:rPr>
        <w:t>5</w:t>
      </w:r>
      <w:r>
        <w:rPr>
          <w:rFonts w:hint="eastAsia"/>
          <w:sz w:val="24"/>
        </w:rPr>
        <w:t xml:space="preserve"> 由于供应商服务人员原因在服务工作中给采购人的设施、材料造成损失，供应商应负责赔偿。</w:t>
      </w:r>
    </w:p>
    <w:p>
      <w:pPr>
        <w:spacing w:line="440" w:lineRule="exact"/>
        <w:ind w:firstLine="480" w:firstLineChars="200"/>
        <w:rPr>
          <w:sz w:val="24"/>
        </w:rPr>
      </w:pPr>
      <w:r>
        <w:rPr>
          <w:rFonts w:hint="eastAsia"/>
          <w:sz w:val="24"/>
        </w:rPr>
        <w:t>12.</w:t>
      </w:r>
      <w:r>
        <w:rPr>
          <w:sz w:val="24"/>
        </w:rPr>
        <w:t>6</w:t>
      </w:r>
      <w:r>
        <w:rPr>
          <w:rFonts w:hint="eastAsia"/>
          <w:sz w:val="24"/>
        </w:rPr>
        <w:t xml:space="preserve"> 在使用过程中发生问题，供应商在接到采购人通知后在</w:t>
      </w:r>
      <w:r>
        <w:rPr>
          <w:rFonts w:hint="eastAsia"/>
          <w:sz w:val="24"/>
          <w:u w:val="single"/>
        </w:rPr>
        <w:t xml:space="preserve">  </w:t>
      </w:r>
      <w:r>
        <w:rPr>
          <w:rFonts w:hint="eastAsia"/>
          <w:sz w:val="24"/>
        </w:rPr>
        <w:t xml:space="preserve">  小时内到达采购人现场。</w:t>
      </w:r>
    </w:p>
    <w:p>
      <w:pPr>
        <w:spacing w:line="440" w:lineRule="exact"/>
        <w:ind w:firstLine="480" w:firstLineChars="200"/>
        <w:rPr>
          <w:sz w:val="24"/>
        </w:rPr>
      </w:pPr>
      <w:r>
        <w:rPr>
          <w:rFonts w:hint="eastAsia"/>
          <w:sz w:val="24"/>
        </w:rPr>
        <w:t>13.违约责任</w:t>
      </w:r>
    </w:p>
    <w:p>
      <w:pPr>
        <w:spacing w:line="440" w:lineRule="exact"/>
        <w:ind w:firstLine="480" w:firstLineChars="200"/>
        <w:rPr>
          <w:sz w:val="24"/>
        </w:rPr>
      </w:pPr>
      <w:r>
        <w:rPr>
          <w:rFonts w:hint="eastAsia"/>
          <w:sz w:val="24"/>
        </w:rPr>
        <w:t>13.1 甲方无正当理由拒绝接受服务的，甲方向乙方偿付合同款项百分之五作为违约金。</w:t>
      </w:r>
    </w:p>
    <w:p>
      <w:pPr>
        <w:spacing w:line="440" w:lineRule="exact"/>
        <w:ind w:firstLine="480" w:firstLineChars="200"/>
        <w:rPr>
          <w:sz w:val="24"/>
        </w:rPr>
      </w:pPr>
      <w:r>
        <w:rPr>
          <w:rFonts w:hint="eastAsia"/>
          <w:sz w:val="24"/>
        </w:rPr>
        <w:t>13.2 甲方违反本合同约定，无故逾期组织验收和无故逾期办理款项支付手续的，每逾期一周应按合同金额的千分之五承担违约责任，最高不超过合同金额的百分之五。</w:t>
      </w:r>
    </w:p>
    <w:p>
      <w:pPr>
        <w:spacing w:line="440" w:lineRule="exact"/>
        <w:ind w:firstLine="480" w:firstLineChars="200"/>
        <w:rPr>
          <w:rFonts w:hint="eastAsia"/>
          <w:sz w:val="24"/>
        </w:rPr>
      </w:pPr>
      <w:r>
        <w:rPr>
          <w:rFonts w:hint="eastAsia"/>
          <w:sz w:val="24"/>
        </w:rPr>
        <w:t>13.3 乙方违反本合同约定，无故逾期未按约定提供服务或无故逾期交付成果的，每逾期一周应按合同金额的千分之五承担违约责任，最高不超过合同金额的百分之五。</w:t>
      </w:r>
    </w:p>
    <w:p>
      <w:pPr>
        <w:spacing w:line="440" w:lineRule="exact"/>
        <w:ind w:firstLine="480" w:firstLineChars="200"/>
        <w:rPr>
          <w:sz w:val="24"/>
        </w:rPr>
      </w:pPr>
      <w:r>
        <w:rPr>
          <w:sz w:val="24"/>
        </w:rPr>
        <w:t>1</w:t>
      </w:r>
      <w:r>
        <w:rPr>
          <w:rFonts w:hint="eastAsia"/>
          <w:sz w:val="24"/>
        </w:rPr>
        <w:t>3</w:t>
      </w:r>
      <w:r>
        <w:rPr>
          <w:sz w:val="24"/>
        </w:rPr>
        <w:t>.4</w:t>
      </w:r>
      <w:r>
        <w:rPr>
          <w:rFonts w:hint="eastAsia"/>
          <w:sz w:val="24"/>
        </w:rPr>
        <w:t>如供应商提供的服务或与服务相关的物品存在知识产权纠纷而导致本合同无法继续履行，在采购人发函要求解决相关知识产权问题后</w:t>
      </w:r>
      <w:r>
        <w:rPr>
          <w:sz w:val="24"/>
        </w:rPr>
        <w:t xml:space="preserve">60 </w:t>
      </w:r>
      <w:r>
        <w:rPr>
          <w:rFonts w:hint="eastAsia"/>
          <w:sz w:val="24"/>
        </w:rPr>
        <w:t>日内仍未解决的，则采购人有权单方终止本合同的履行，并要求供应商承担相应赔偿责任。</w:t>
      </w:r>
    </w:p>
    <w:p>
      <w:pPr>
        <w:spacing w:line="440" w:lineRule="exact"/>
        <w:rPr>
          <w:sz w:val="24"/>
        </w:rPr>
      </w:pPr>
      <w:r>
        <w:rPr>
          <w:rFonts w:hint="eastAsia"/>
          <w:sz w:val="24"/>
        </w:rPr>
        <w:t>14.不可抗力事件处理</w:t>
      </w:r>
    </w:p>
    <w:p>
      <w:pPr>
        <w:spacing w:line="440" w:lineRule="exact"/>
        <w:ind w:firstLine="480" w:firstLineChars="200"/>
        <w:rPr>
          <w:sz w:val="24"/>
        </w:rPr>
      </w:pPr>
      <w:r>
        <w:rPr>
          <w:rFonts w:hint="eastAsia"/>
          <w:sz w:val="24"/>
        </w:rPr>
        <w:t>14.1 在合同有效期内，任何一方因不可抗力事件导致不能履行合同，则合同履行期可延长，其延长期与不可抗力影响期相同。</w:t>
      </w:r>
    </w:p>
    <w:p>
      <w:pPr>
        <w:spacing w:line="440" w:lineRule="exact"/>
        <w:ind w:firstLine="480" w:firstLineChars="200"/>
        <w:rPr>
          <w:sz w:val="24"/>
        </w:rPr>
      </w:pPr>
      <w:r>
        <w:rPr>
          <w:rFonts w:hint="eastAsia"/>
          <w:sz w:val="24"/>
        </w:rPr>
        <w:t>14.2 不可抗力事件发生后，应立即通知对方，并寄送有关权威机构出具的证明。</w:t>
      </w:r>
    </w:p>
    <w:p>
      <w:pPr>
        <w:spacing w:line="440" w:lineRule="exact"/>
        <w:ind w:firstLine="480" w:firstLineChars="200"/>
        <w:rPr>
          <w:sz w:val="24"/>
        </w:rPr>
      </w:pPr>
      <w:r>
        <w:rPr>
          <w:rFonts w:hint="eastAsia"/>
          <w:sz w:val="24"/>
        </w:rPr>
        <w:t>14.3 不可抗力事件延续120天以上，双方应通过友好协商，确定是否继续履行合同。</w:t>
      </w:r>
    </w:p>
    <w:p>
      <w:pPr>
        <w:spacing w:line="440" w:lineRule="exact"/>
        <w:rPr>
          <w:sz w:val="24"/>
        </w:rPr>
      </w:pPr>
      <w:r>
        <w:rPr>
          <w:rFonts w:hint="eastAsia"/>
          <w:sz w:val="24"/>
        </w:rPr>
        <w:t>15.争议解决</w:t>
      </w:r>
    </w:p>
    <w:p>
      <w:pPr>
        <w:spacing w:line="440" w:lineRule="exact"/>
        <w:ind w:firstLine="480" w:firstLineChars="200"/>
        <w:rPr>
          <w:sz w:val="24"/>
        </w:rPr>
      </w:pPr>
      <w:r>
        <w:rPr>
          <w:rFonts w:hint="eastAsia"/>
          <w:sz w:val="24"/>
        </w:rPr>
        <w:t>15.1在执行本合同中所发生的或与本合同有关的一切争端，合同双方应通过友好协商解决，经过协商仍不能解决，双方选择通过下列第</w:t>
      </w:r>
      <w:r>
        <w:rPr>
          <w:sz w:val="24"/>
        </w:rPr>
        <w:t>x</w:t>
      </w:r>
      <w:r>
        <w:rPr>
          <w:rFonts w:hint="eastAsia"/>
          <w:sz w:val="24"/>
        </w:rPr>
        <w:t>种方式解决：</w:t>
      </w:r>
    </w:p>
    <w:p>
      <w:pPr>
        <w:spacing w:line="440" w:lineRule="exact"/>
        <w:ind w:firstLine="480" w:firstLineChars="200"/>
        <w:rPr>
          <w:sz w:val="24"/>
        </w:rPr>
      </w:pPr>
      <w:r>
        <w:rPr>
          <w:rFonts w:hint="eastAsia"/>
          <w:sz w:val="24"/>
        </w:rPr>
        <w:t>（1）将争端提交湖州仲裁委员会仲裁</w:t>
      </w:r>
    </w:p>
    <w:p>
      <w:pPr>
        <w:spacing w:line="440" w:lineRule="exact"/>
        <w:ind w:firstLine="480" w:firstLineChars="200"/>
        <w:rPr>
          <w:sz w:val="24"/>
        </w:rPr>
      </w:pPr>
      <w:r>
        <w:rPr>
          <w:rFonts w:hint="eastAsia"/>
          <w:sz w:val="24"/>
        </w:rPr>
        <w:t>（2）直接向有管辖权的人民法院起诉。</w:t>
      </w:r>
    </w:p>
    <w:p>
      <w:pPr>
        <w:spacing w:line="440" w:lineRule="exact"/>
        <w:ind w:firstLine="480" w:firstLineChars="200"/>
        <w:rPr>
          <w:sz w:val="24"/>
        </w:rPr>
      </w:pPr>
      <w:r>
        <w:rPr>
          <w:rFonts w:hint="eastAsia"/>
          <w:sz w:val="24"/>
        </w:rPr>
        <w:t>15.</w:t>
      </w:r>
      <w:r>
        <w:rPr>
          <w:sz w:val="24"/>
        </w:rPr>
        <w:t>2</w:t>
      </w:r>
      <w:r>
        <w:rPr>
          <w:rFonts w:hint="eastAsia"/>
          <w:sz w:val="24"/>
        </w:rPr>
        <w:t>仲裁费用或诉讼费用应由败诉方负担。</w:t>
      </w:r>
    </w:p>
    <w:p>
      <w:pPr>
        <w:spacing w:line="440" w:lineRule="exact"/>
        <w:ind w:firstLine="480" w:firstLineChars="200"/>
        <w:rPr>
          <w:sz w:val="24"/>
        </w:rPr>
      </w:pPr>
      <w:r>
        <w:rPr>
          <w:rFonts w:hint="eastAsia"/>
          <w:sz w:val="24"/>
        </w:rPr>
        <w:t>15.</w:t>
      </w:r>
      <w:r>
        <w:rPr>
          <w:sz w:val="24"/>
        </w:rPr>
        <w:t>3</w:t>
      </w:r>
      <w:r>
        <w:rPr>
          <w:rFonts w:hint="eastAsia"/>
          <w:sz w:val="24"/>
        </w:rPr>
        <w:t>在仲裁或诉讼期间，除进行仲裁或诉讼的部分外，本合同其它部分应继续执行。</w:t>
      </w:r>
    </w:p>
    <w:p>
      <w:pPr>
        <w:spacing w:line="440" w:lineRule="exact"/>
        <w:rPr>
          <w:sz w:val="24"/>
        </w:rPr>
      </w:pPr>
      <w:r>
        <w:rPr>
          <w:rFonts w:hint="eastAsia"/>
          <w:sz w:val="24"/>
        </w:rPr>
        <w:t>16.转让或分包</w:t>
      </w:r>
    </w:p>
    <w:p>
      <w:pPr>
        <w:spacing w:line="440" w:lineRule="exact"/>
        <w:ind w:firstLine="480" w:firstLineChars="200"/>
        <w:rPr>
          <w:sz w:val="24"/>
        </w:rPr>
      </w:pPr>
      <w:r>
        <w:rPr>
          <w:rFonts w:hint="eastAsia"/>
          <w:sz w:val="24"/>
        </w:rPr>
        <w:t>16.1本合同范围的服务，应由供应商提供，不得转让他人供应；</w:t>
      </w:r>
    </w:p>
    <w:p>
      <w:pPr>
        <w:spacing w:line="440" w:lineRule="exact"/>
        <w:ind w:firstLine="480" w:firstLineChars="200"/>
        <w:rPr>
          <w:sz w:val="24"/>
        </w:rPr>
      </w:pPr>
      <w:r>
        <w:rPr>
          <w:rFonts w:hint="eastAsia"/>
          <w:sz w:val="24"/>
        </w:rPr>
        <w:t>16.2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480" w:firstLineChars="200"/>
        <w:rPr>
          <w:sz w:val="24"/>
        </w:rPr>
      </w:pPr>
      <w:r>
        <w:rPr>
          <w:rFonts w:hint="eastAsia"/>
          <w:sz w:val="24"/>
        </w:rPr>
        <w:t>16.3本合同全部或部分的分包不能减轻供应商承担的责任，供应商仍须将分包人的任何行动、错误或疏忽当作是自己完成的并负全责；</w:t>
      </w:r>
    </w:p>
    <w:p>
      <w:pPr>
        <w:spacing w:line="440" w:lineRule="exact"/>
        <w:ind w:firstLine="480" w:firstLineChars="200"/>
        <w:rPr>
          <w:sz w:val="24"/>
        </w:rPr>
      </w:pPr>
      <w:r>
        <w:rPr>
          <w:sz w:val="24"/>
        </w:rPr>
        <w:t>1</w:t>
      </w:r>
      <w:r>
        <w:rPr>
          <w:rFonts w:hint="eastAsia"/>
          <w:sz w:val="24"/>
        </w:rPr>
        <w:t>6.4在任何分包合同中，须注明分包人按分包合同的范围履行，在供应商按本合同的履行终止时（不论任何原因），亦同时一并终止；</w:t>
      </w:r>
    </w:p>
    <w:p>
      <w:pPr>
        <w:spacing w:line="440" w:lineRule="exact"/>
        <w:ind w:firstLine="480" w:firstLineChars="200"/>
        <w:rPr>
          <w:sz w:val="24"/>
        </w:rPr>
      </w:pPr>
      <w:r>
        <w:rPr>
          <w:rFonts w:hint="eastAsia"/>
          <w:sz w:val="24"/>
        </w:rPr>
        <w:t>16.5如有转让和未经采购人同意的分包行为，采购人有权给予终止合同。</w:t>
      </w:r>
    </w:p>
    <w:p>
      <w:pPr>
        <w:spacing w:line="440" w:lineRule="exact"/>
        <w:rPr>
          <w:sz w:val="24"/>
        </w:rPr>
      </w:pPr>
      <w:r>
        <w:rPr>
          <w:rFonts w:hint="eastAsia"/>
          <w:sz w:val="24"/>
        </w:rPr>
        <w:t>17.适用法律</w:t>
      </w:r>
    </w:p>
    <w:p>
      <w:pPr>
        <w:spacing w:line="440" w:lineRule="exact"/>
        <w:ind w:firstLine="480" w:firstLineChars="200"/>
        <w:rPr>
          <w:sz w:val="24"/>
        </w:rPr>
      </w:pPr>
      <w:r>
        <w:rPr>
          <w:rFonts w:hint="eastAsia"/>
          <w:sz w:val="24"/>
        </w:rPr>
        <w:t>合同适用法律有《中华人民共和国政府采购法》、《中华人民共和国民法典》和浙江省有关条例等。</w:t>
      </w:r>
    </w:p>
    <w:p>
      <w:pPr>
        <w:spacing w:line="440" w:lineRule="exact"/>
        <w:rPr>
          <w:sz w:val="24"/>
        </w:rPr>
      </w:pPr>
      <w:r>
        <w:rPr>
          <w:rFonts w:hint="eastAsia"/>
          <w:sz w:val="24"/>
        </w:rPr>
        <w:t>18.合同生效及其他</w:t>
      </w:r>
    </w:p>
    <w:p>
      <w:pPr>
        <w:spacing w:line="440" w:lineRule="exact"/>
        <w:ind w:firstLine="480" w:firstLineChars="200"/>
        <w:rPr>
          <w:rFonts w:hint="eastAsia"/>
          <w:sz w:val="24"/>
        </w:rPr>
      </w:pPr>
      <w:r>
        <w:rPr>
          <w:rFonts w:hint="eastAsia"/>
          <w:sz w:val="24"/>
        </w:rPr>
        <w:t>1</w:t>
      </w:r>
      <w:r>
        <w:rPr>
          <w:sz w:val="24"/>
        </w:rPr>
        <w:t>8.1</w:t>
      </w:r>
      <w:r>
        <w:rPr>
          <w:rFonts w:hint="eastAsia"/>
          <w:sz w:val="24"/>
        </w:rPr>
        <w:t>合同经双方法定代表人或授权代表签字并加盖单位公章或合同专用章后生效。</w:t>
      </w:r>
    </w:p>
    <w:p>
      <w:pPr>
        <w:spacing w:line="440" w:lineRule="exact"/>
        <w:ind w:firstLine="480" w:firstLineChars="200"/>
        <w:rPr>
          <w:sz w:val="24"/>
        </w:rPr>
      </w:pPr>
      <w:r>
        <w:rPr>
          <w:rFonts w:hint="eastAsia"/>
          <w:sz w:val="24"/>
        </w:rPr>
        <w:t>18.2</w:t>
      </w:r>
      <w:r>
        <w:rPr>
          <w:sz w:val="24"/>
        </w:rPr>
        <w:t>本合同正本一式</w:t>
      </w:r>
      <w:r>
        <w:rPr>
          <w:rFonts w:hint="eastAsia"/>
          <w:sz w:val="24"/>
        </w:rPr>
        <w:t>伍</w:t>
      </w:r>
      <w:r>
        <w:rPr>
          <w:sz w:val="24"/>
        </w:rPr>
        <w:t>份，具有同等法律效力，甲乙双方各执</w:t>
      </w:r>
      <w:r>
        <w:rPr>
          <w:rFonts w:hint="eastAsia"/>
          <w:sz w:val="24"/>
        </w:rPr>
        <w:t>贰</w:t>
      </w:r>
      <w:r>
        <w:rPr>
          <w:sz w:val="24"/>
        </w:rPr>
        <w:t>份；</w:t>
      </w:r>
      <w:r>
        <w:rPr>
          <w:rFonts w:hint="eastAsia"/>
          <w:sz w:val="24"/>
        </w:rPr>
        <w:t>采购代理机构执壹份用于备案</w:t>
      </w:r>
      <w:r>
        <w:rPr>
          <w:sz w:val="24"/>
        </w:rPr>
        <w:t>。</w:t>
      </w:r>
    </w:p>
    <w:p>
      <w:pPr>
        <w:spacing w:line="360" w:lineRule="auto"/>
        <w:ind w:firstLine="240" w:firstLineChars="100"/>
        <w:rPr>
          <w:bCs/>
          <w:sz w:val="24"/>
        </w:rPr>
      </w:pPr>
      <w:r>
        <w:rPr>
          <w:rFonts w:hint="eastAsia"/>
          <w:bCs/>
          <w:sz w:val="24"/>
        </w:rPr>
        <w:t xml:space="preserve">采购人：                                  供应商： </w:t>
      </w:r>
    </w:p>
    <w:p>
      <w:pPr>
        <w:spacing w:line="360" w:lineRule="auto"/>
        <w:ind w:firstLine="240" w:firstLineChars="100"/>
        <w:textAlignment w:val="bottom"/>
        <w:rPr>
          <w:sz w:val="24"/>
        </w:rPr>
      </w:pPr>
      <w:r>
        <w:rPr>
          <w:rFonts w:hint="eastAsia"/>
          <w:sz w:val="24"/>
        </w:rPr>
        <w:t>法定代表人或                               法定代表人或</w:t>
      </w:r>
    </w:p>
    <w:p>
      <w:pPr>
        <w:spacing w:line="360" w:lineRule="auto"/>
        <w:ind w:firstLine="240" w:firstLineChars="100"/>
        <w:textAlignment w:val="bottom"/>
        <w:rPr>
          <w:sz w:val="24"/>
        </w:rPr>
      </w:pPr>
      <w:r>
        <w:rPr>
          <w:rFonts w:hint="eastAsia"/>
          <w:sz w:val="24"/>
        </w:rPr>
        <w:t xml:space="preserve">受委托人（签字）：                         受委托人（签字）：                                    </w:t>
      </w:r>
    </w:p>
    <w:p>
      <w:pPr>
        <w:spacing w:line="360" w:lineRule="auto"/>
        <w:ind w:firstLine="240" w:firstLineChars="100"/>
        <w:textAlignment w:val="bottom"/>
        <w:rPr>
          <w:sz w:val="24"/>
        </w:rPr>
      </w:pPr>
      <w:r>
        <w:rPr>
          <w:rFonts w:hint="eastAsia"/>
          <w:sz w:val="24"/>
        </w:rPr>
        <w:t>地 址：                                    地 址：</w:t>
      </w:r>
    </w:p>
    <w:p>
      <w:pPr>
        <w:spacing w:line="360" w:lineRule="auto"/>
        <w:ind w:firstLine="240" w:firstLineChars="100"/>
        <w:textAlignment w:val="bottom"/>
        <w:rPr>
          <w:sz w:val="24"/>
        </w:rPr>
      </w:pPr>
      <w:r>
        <w:rPr>
          <w:rFonts w:hint="eastAsia"/>
          <w:sz w:val="24"/>
        </w:rPr>
        <w:t>邮 编：                                    邮 编：</w:t>
      </w:r>
    </w:p>
    <w:p>
      <w:pPr>
        <w:spacing w:line="360" w:lineRule="auto"/>
        <w:ind w:firstLine="240" w:firstLineChars="100"/>
        <w:textAlignment w:val="bottom"/>
        <w:rPr>
          <w:sz w:val="24"/>
        </w:rPr>
      </w:pPr>
      <w:r>
        <w:rPr>
          <w:rFonts w:hint="eastAsia"/>
          <w:sz w:val="24"/>
        </w:rPr>
        <w:t>电 话：                                    电 话：</w:t>
      </w:r>
    </w:p>
    <w:p>
      <w:pPr>
        <w:spacing w:line="360" w:lineRule="auto"/>
        <w:ind w:firstLine="240" w:firstLineChars="100"/>
        <w:textAlignment w:val="bottom"/>
        <w:rPr>
          <w:sz w:val="24"/>
        </w:rPr>
      </w:pPr>
      <w:r>
        <w:rPr>
          <w:rFonts w:hint="eastAsia"/>
          <w:sz w:val="24"/>
        </w:rPr>
        <w:t>传 真：                                    传 真：</w:t>
      </w:r>
    </w:p>
    <w:p>
      <w:pPr>
        <w:spacing w:line="360" w:lineRule="auto"/>
        <w:ind w:firstLine="240" w:firstLineChars="100"/>
        <w:textAlignment w:val="bottom"/>
        <w:rPr>
          <w:sz w:val="24"/>
        </w:rPr>
      </w:pPr>
      <w:r>
        <w:rPr>
          <w:rFonts w:hint="eastAsia"/>
          <w:sz w:val="24"/>
        </w:rPr>
        <w:t>开户银行：                                 开户银行：</w:t>
      </w:r>
    </w:p>
    <w:p>
      <w:pPr>
        <w:spacing w:line="360" w:lineRule="auto"/>
        <w:ind w:firstLine="240" w:firstLineChars="100"/>
        <w:textAlignment w:val="bottom"/>
        <w:rPr>
          <w:sz w:val="24"/>
        </w:rPr>
      </w:pPr>
      <w:r>
        <w:rPr>
          <w:rFonts w:hint="eastAsia"/>
          <w:sz w:val="24"/>
        </w:rPr>
        <w:t>账 号：                                    账  号：</w:t>
      </w:r>
    </w:p>
    <w:p>
      <w:pPr>
        <w:spacing w:line="360" w:lineRule="auto"/>
        <w:ind w:firstLine="240" w:firstLineChars="100"/>
        <w:textAlignment w:val="bottom"/>
        <w:rPr>
          <w:b/>
          <w:bCs/>
          <w:sz w:val="24"/>
        </w:rPr>
      </w:pPr>
      <w:r>
        <w:rPr>
          <w:rFonts w:hint="eastAsia"/>
          <w:sz w:val="24"/>
        </w:rPr>
        <w:t>签字日期：      年  月  日                 签字日期：      年  月  日</w:t>
      </w:r>
    </w:p>
    <w:p/>
    <w:p>
      <w:pPr>
        <w:pStyle w:val="34"/>
        <w:tabs>
          <w:tab w:val="left" w:pos="2472"/>
        </w:tabs>
        <w:snapToGrid w:val="0"/>
        <w:jc w:val="center"/>
        <w:rPr>
          <w:rFonts w:hint="eastAsia" w:hAnsi="宋体" w:cs="宋体"/>
          <w:b/>
          <w:bCs/>
          <w:sz w:val="36"/>
          <w:szCs w:val="36"/>
        </w:rPr>
      </w:pPr>
    </w:p>
    <w:p>
      <w:pPr>
        <w:pStyle w:val="34"/>
        <w:tabs>
          <w:tab w:val="left" w:pos="2472"/>
        </w:tabs>
        <w:snapToGrid w:val="0"/>
        <w:jc w:val="center"/>
        <w:rPr>
          <w:rFonts w:hint="eastAsia" w:hAnsi="宋体" w:cs="宋体"/>
          <w:b/>
          <w:bCs/>
          <w:sz w:val="36"/>
          <w:szCs w:val="36"/>
        </w:rPr>
      </w:pPr>
      <w:r>
        <w:rPr>
          <w:rFonts w:hint="eastAsia" w:hAnsi="宋体" w:cs="宋体"/>
          <w:b/>
          <w:bCs/>
          <w:sz w:val="36"/>
          <w:szCs w:val="36"/>
        </w:rPr>
        <w:br w:type="page"/>
      </w:r>
    </w:p>
    <w:p>
      <w:pPr>
        <w:pStyle w:val="34"/>
        <w:tabs>
          <w:tab w:val="left" w:pos="2472"/>
        </w:tabs>
        <w:snapToGrid w:val="0"/>
        <w:jc w:val="center"/>
        <w:rPr>
          <w:rFonts w:hint="eastAsia" w:hAnsi="宋体" w:cs="宋体"/>
          <w:b/>
          <w:bCs/>
          <w:sz w:val="36"/>
          <w:szCs w:val="36"/>
        </w:rPr>
      </w:pPr>
      <w:r>
        <w:rPr>
          <w:rFonts w:hint="eastAsia" w:hAnsi="宋体" w:cs="宋体"/>
          <w:b/>
          <w:bCs/>
          <w:sz w:val="36"/>
          <w:szCs w:val="36"/>
        </w:rPr>
        <w:t xml:space="preserve">第六章  </w:t>
      </w:r>
      <w:bookmarkEnd w:id="52"/>
      <w:r>
        <w:rPr>
          <w:rFonts w:hint="eastAsia" w:hAnsi="宋体" w:cs="宋体"/>
          <w:b/>
          <w:bCs/>
          <w:sz w:val="36"/>
          <w:szCs w:val="36"/>
        </w:rPr>
        <w:t>投标文件格式</w:t>
      </w:r>
    </w:p>
    <w:p>
      <w:pPr>
        <w:snapToGrid w:val="0"/>
        <w:spacing w:before="120" w:beforeLines="50" w:after="50"/>
        <w:rPr>
          <w:rFonts w:hint="eastAsia" w:ascii="宋体" w:hAnsi="宋体" w:cs="宋体"/>
          <w:b/>
          <w:sz w:val="24"/>
        </w:rPr>
      </w:pPr>
    </w:p>
    <w:p>
      <w:pPr>
        <w:tabs>
          <w:tab w:val="left" w:pos="0"/>
        </w:tabs>
        <w:snapToGrid w:val="0"/>
        <w:spacing w:line="360" w:lineRule="auto"/>
        <w:rPr>
          <w:rFonts w:hint="eastAsia" w:ascii="宋体" w:hAnsi="宋体" w:cs="宋体"/>
          <w:bCs/>
          <w:sz w:val="24"/>
          <w:szCs w:val="32"/>
        </w:rPr>
      </w:pPr>
    </w:p>
    <w:p>
      <w:pPr>
        <w:rPr>
          <w:rFonts w:hint="eastAsia" w:ascii="宋体" w:hAnsi="宋体" w:cs="宋体"/>
          <w:b/>
          <w:bCs/>
          <w:sz w:val="24"/>
          <w:szCs w:val="32"/>
        </w:rPr>
      </w:pPr>
    </w:p>
    <w:p>
      <w:pPr>
        <w:pStyle w:val="25"/>
        <w:rPr>
          <w:rFonts w:hint="eastAsia" w:ascii="宋体" w:eastAsia="宋体" w:cs="宋体"/>
        </w:rPr>
      </w:pPr>
    </w:p>
    <w:p>
      <w:pPr>
        <w:tabs>
          <w:tab w:val="left" w:pos="0"/>
        </w:tabs>
        <w:snapToGrid w:val="0"/>
        <w:spacing w:line="360" w:lineRule="auto"/>
        <w:rPr>
          <w:rFonts w:hint="eastAsia" w:ascii="宋体" w:hAnsi="宋体" w:cs="宋体"/>
          <w:b/>
          <w:bCs/>
          <w:sz w:val="30"/>
          <w:szCs w:val="30"/>
        </w:rPr>
      </w:pPr>
      <w:r>
        <w:rPr>
          <w:rFonts w:hint="eastAsia" w:ascii="宋体" w:hAnsi="宋体" w:cs="宋体"/>
          <w:b/>
          <w:bCs/>
          <w:sz w:val="30"/>
          <w:szCs w:val="30"/>
        </w:rPr>
        <w:t>投标文件封面格式</w:t>
      </w:r>
    </w:p>
    <w:p>
      <w:pPr>
        <w:tabs>
          <w:tab w:val="left" w:pos="0"/>
        </w:tabs>
        <w:snapToGrid w:val="0"/>
        <w:spacing w:line="360" w:lineRule="auto"/>
        <w:rPr>
          <w:rFonts w:hint="eastAsia" w:ascii="宋体" w:hAnsi="宋体" w:cs="宋体"/>
          <w:bCs/>
          <w:sz w:val="24"/>
          <w:szCs w:val="32"/>
        </w:rPr>
      </w:pPr>
    </w:p>
    <w:p>
      <w:pPr>
        <w:snapToGrid w:val="0"/>
        <w:spacing w:before="120" w:beforeLines="50" w:after="50"/>
        <w:jc w:val="center"/>
        <w:rPr>
          <w:rFonts w:hint="eastAsia" w:ascii="宋体" w:hAnsi="宋体" w:cs="宋体"/>
          <w:b/>
          <w:bCs/>
          <w:sz w:val="24"/>
        </w:rPr>
      </w:pPr>
      <w:r>
        <w:rPr>
          <w:rFonts w:hint="eastAsia" w:ascii="宋体" w:hAnsi="宋体" w:cs="宋体"/>
          <w:bCs/>
          <w:sz w:val="24"/>
        </w:rPr>
        <w:t xml:space="preserve">                                  </w:t>
      </w:r>
    </w:p>
    <w:p>
      <w:pPr>
        <w:snapToGrid w:val="0"/>
        <w:spacing w:before="120" w:beforeLines="50" w:after="50"/>
        <w:jc w:val="center"/>
        <w:rPr>
          <w:rFonts w:hint="eastAsia" w:ascii="宋体" w:hAnsi="宋体" w:cs="宋体"/>
          <w:bCs/>
          <w:sz w:val="24"/>
          <w:szCs w:val="20"/>
        </w:rPr>
      </w:pPr>
      <w:r>
        <w:rPr>
          <w:rFonts w:hint="eastAsia" w:ascii="宋体" w:hAnsi="宋体" w:cs="宋体"/>
          <w:bCs/>
          <w:sz w:val="24"/>
        </w:rPr>
        <w:t>资格/技术、商务、资信及其他文件（报价文件）</w:t>
      </w:r>
    </w:p>
    <w:p>
      <w:pPr>
        <w:snapToGrid w:val="0"/>
        <w:spacing w:before="120" w:beforeLines="50" w:after="50"/>
        <w:rPr>
          <w:rFonts w:hint="eastAsia" w:ascii="宋体" w:hAnsi="宋体" w:cs="宋体"/>
          <w:bCs/>
          <w:sz w:val="24"/>
          <w:szCs w:val="20"/>
        </w:rPr>
      </w:pP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项目名称：</w:t>
      </w: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项目编号：</w:t>
      </w: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投标供应商名称：</w:t>
      </w:r>
    </w:p>
    <w:p>
      <w:pPr>
        <w:snapToGrid w:val="0"/>
        <w:spacing w:before="120" w:beforeLines="50" w:after="50"/>
        <w:ind w:firstLine="1068" w:firstLineChars="445"/>
        <w:rPr>
          <w:rFonts w:hint="eastAsia" w:ascii="宋体" w:hAnsi="宋体" w:cs="宋体"/>
          <w:bCs/>
          <w:sz w:val="24"/>
        </w:rPr>
      </w:pPr>
      <w:r>
        <w:rPr>
          <w:rFonts w:hint="eastAsia" w:ascii="宋体" w:hAnsi="宋体" w:cs="宋体"/>
          <w:bCs/>
          <w:sz w:val="24"/>
        </w:rPr>
        <w:t>投标供应商地址：</w:t>
      </w:r>
    </w:p>
    <w:p>
      <w:pPr>
        <w:snapToGrid w:val="0"/>
        <w:spacing w:before="120" w:beforeLines="50" w:after="50"/>
        <w:jc w:val="center"/>
        <w:rPr>
          <w:rFonts w:hint="eastAsia" w:ascii="宋体" w:hAnsi="宋体" w:cs="宋体"/>
          <w:bCs/>
          <w:sz w:val="24"/>
        </w:rPr>
      </w:pPr>
    </w:p>
    <w:p>
      <w:pPr>
        <w:snapToGrid w:val="0"/>
        <w:spacing w:before="120" w:beforeLines="50" w:after="50"/>
        <w:jc w:val="center"/>
        <w:rPr>
          <w:rFonts w:hint="eastAsia" w:ascii="宋体" w:hAnsi="宋体" w:cs="宋体"/>
          <w:b/>
          <w:sz w:val="30"/>
        </w:rPr>
      </w:pPr>
      <w:r>
        <w:rPr>
          <w:rFonts w:hint="eastAsia" w:ascii="宋体" w:hAnsi="宋体" w:cs="宋体"/>
          <w:bCs/>
          <w:sz w:val="24"/>
        </w:rPr>
        <w:t xml:space="preserve">       </w:t>
      </w: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r>
        <w:rPr>
          <w:rFonts w:hint="eastAsia" w:ascii="宋体" w:hAnsi="宋体" w:cs="宋体"/>
          <w:b/>
          <w:sz w:val="30"/>
        </w:rPr>
        <w:br w:type="page"/>
      </w:r>
    </w:p>
    <w:p>
      <w:pPr>
        <w:snapToGrid w:val="0"/>
        <w:spacing w:before="120" w:beforeLines="50" w:after="50"/>
        <w:rPr>
          <w:rFonts w:hint="eastAsia" w:ascii="宋体" w:hAnsi="宋体" w:cs="宋体"/>
          <w:b/>
          <w:sz w:val="30"/>
        </w:rPr>
      </w:pPr>
      <w:r>
        <w:rPr>
          <w:rFonts w:hint="eastAsia" w:ascii="宋体" w:hAnsi="宋体" w:cs="宋体"/>
          <w:b/>
          <w:sz w:val="30"/>
        </w:rPr>
        <w:t>1、资格文件目录</w:t>
      </w:r>
    </w:p>
    <w:p>
      <w:pPr>
        <w:pStyle w:val="55"/>
        <w:spacing w:line="360" w:lineRule="auto"/>
        <w:ind w:firstLine="480" w:firstLineChars="200"/>
        <w:rPr>
          <w:rFonts w:hint="eastAsia" w:ascii="宋体" w:hAnsi="宋体" w:cs="宋体"/>
          <w:sz w:val="24"/>
        </w:rPr>
      </w:pPr>
      <w:r>
        <w:rPr>
          <w:rFonts w:hint="eastAsia" w:ascii="宋体" w:hAnsi="宋体" w:cs="宋体"/>
          <w:sz w:val="24"/>
        </w:rPr>
        <w:t>（1）有效的营业执照、税务登记证、组织机构代码证或“三证合一”的营业执照或“五证合一”的营业执照；</w:t>
      </w:r>
    </w:p>
    <w:p>
      <w:pPr>
        <w:pStyle w:val="55"/>
        <w:spacing w:line="360" w:lineRule="auto"/>
        <w:ind w:firstLine="480" w:firstLineChars="200"/>
        <w:rPr>
          <w:rFonts w:hint="eastAsia" w:ascii="宋体" w:hAnsi="宋体" w:cs="宋体"/>
          <w:sz w:val="24"/>
        </w:rPr>
      </w:pPr>
      <w:r>
        <w:rPr>
          <w:rFonts w:hint="eastAsia" w:ascii="宋体" w:hAnsi="宋体" w:cs="宋体"/>
          <w:sz w:val="24"/>
        </w:rPr>
        <w:t>（2）法定代表人有效身份证明书及身份证或法定代表人授权书及授权人身份证；</w:t>
      </w:r>
    </w:p>
    <w:p>
      <w:pPr>
        <w:pStyle w:val="55"/>
        <w:spacing w:line="360" w:lineRule="auto"/>
        <w:ind w:firstLine="480" w:firstLineChars="200"/>
        <w:rPr>
          <w:rFonts w:hint="eastAsia" w:ascii="宋体" w:hAnsi="宋体" w:cs="宋体"/>
          <w:sz w:val="24"/>
        </w:rPr>
      </w:pPr>
      <w:r>
        <w:rPr>
          <w:rFonts w:hint="eastAsia" w:ascii="宋体" w:hAnsi="宋体" w:cs="宋体"/>
          <w:sz w:val="24"/>
        </w:rPr>
        <w:t>（3）授权代理人最近三个月任意一个月的社保证明；</w:t>
      </w:r>
    </w:p>
    <w:p>
      <w:pPr>
        <w:pStyle w:val="55"/>
        <w:spacing w:line="360" w:lineRule="auto"/>
        <w:ind w:firstLine="480" w:firstLineChars="200"/>
        <w:rPr>
          <w:rFonts w:hint="eastAsia" w:ascii="宋体" w:hAnsi="宋体" w:cs="宋体"/>
          <w:sz w:val="24"/>
        </w:rPr>
      </w:pPr>
      <w:r>
        <w:rPr>
          <w:rFonts w:hint="eastAsia" w:ascii="宋体" w:hAnsi="宋体" w:cs="宋体"/>
          <w:sz w:val="24"/>
        </w:rPr>
        <w:t>（4）最近三个月供应商依法缴纳税收和社保费的证明[税费凭证复印件，或者依法缴纳税费或依法免缴税费的证明]；</w:t>
      </w:r>
    </w:p>
    <w:p>
      <w:pPr>
        <w:pStyle w:val="55"/>
        <w:spacing w:line="360" w:lineRule="auto"/>
        <w:ind w:firstLine="480" w:firstLineChars="200"/>
        <w:rPr>
          <w:rFonts w:hint="eastAsia" w:ascii="宋体" w:hAnsi="宋体" w:cs="宋体"/>
          <w:sz w:val="24"/>
        </w:rPr>
      </w:pPr>
      <w:r>
        <w:rPr>
          <w:rFonts w:hint="eastAsia" w:ascii="宋体" w:hAnsi="宋体" w:cs="宋体"/>
          <w:sz w:val="24"/>
        </w:rPr>
        <w:t>（5）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（6）信用承诺书。</w:t>
      </w:r>
    </w:p>
    <w:p>
      <w:pPr>
        <w:snapToGrid w:val="0"/>
        <w:spacing w:line="360" w:lineRule="auto"/>
        <w:rPr>
          <w:rFonts w:hint="eastAsia" w:ascii="宋体" w:hAnsi="宋体" w:cs="宋体"/>
          <w:b/>
          <w:sz w:val="24"/>
        </w:rPr>
      </w:pPr>
    </w:p>
    <w:p>
      <w:pPr>
        <w:pStyle w:val="26"/>
        <w:ind w:firstLine="241"/>
        <w:rPr>
          <w:rFonts w:hint="eastAsia" w:ascii="宋体" w:hAnsi="宋体" w:eastAsia="宋体" w:cs="宋体"/>
          <w:b/>
        </w:rPr>
      </w:pPr>
    </w:p>
    <w:p>
      <w:pPr>
        <w:pStyle w:val="26"/>
        <w:ind w:firstLine="241"/>
        <w:rPr>
          <w:rFonts w:hint="eastAsia" w:ascii="宋体" w:hAnsi="宋体" w:eastAsia="宋体" w:cs="宋体"/>
          <w:b/>
        </w:rPr>
      </w:pPr>
    </w:p>
    <w:p>
      <w:pPr>
        <w:pStyle w:val="26"/>
        <w:ind w:firstLine="241"/>
        <w:rPr>
          <w:rFonts w:hint="eastAsia" w:ascii="宋体" w:hAnsi="宋体" w:eastAsia="宋体" w:cs="宋体"/>
          <w:b/>
        </w:rPr>
      </w:pPr>
    </w:p>
    <w:p>
      <w:pPr>
        <w:pStyle w:val="26"/>
        <w:ind w:firstLine="241"/>
        <w:rPr>
          <w:rFonts w:hint="eastAsia" w:ascii="宋体" w:hAnsi="宋体" w:eastAsia="宋体" w:cs="宋体"/>
          <w:b/>
        </w:rPr>
      </w:pPr>
    </w:p>
    <w:p>
      <w:pPr>
        <w:pStyle w:val="26"/>
        <w:ind w:firstLine="241"/>
        <w:rPr>
          <w:rFonts w:hint="eastAsia" w:ascii="宋体" w:hAnsi="宋体" w:eastAsia="宋体" w:cs="宋体"/>
          <w:b/>
        </w:rPr>
      </w:pPr>
    </w:p>
    <w:p>
      <w:pPr>
        <w:pStyle w:val="26"/>
        <w:ind w:firstLine="241"/>
        <w:rPr>
          <w:rFonts w:hint="eastAsia" w:ascii="宋体" w:hAnsi="宋体" w:eastAsia="宋体" w:cs="宋体"/>
          <w:b/>
        </w:rPr>
      </w:pPr>
    </w:p>
    <w:p>
      <w:pPr>
        <w:pStyle w:val="26"/>
        <w:ind w:firstLine="241"/>
        <w:rPr>
          <w:rFonts w:hint="eastAsia" w:ascii="宋体" w:hAnsi="宋体" w:eastAsia="宋体" w:cs="宋体"/>
          <w:b/>
        </w:rPr>
      </w:pPr>
    </w:p>
    <w:p>
      <w:pPr>
        <w:pStyle w:val="26"/>
        <w:ind w:firstLine="241"/>
        <w:rPr>
          <w:rFonts w:hint="eastAsia" w:ascii="宋体" w:hAnsi="宋体" w:eastAsia="宋体" w:cs="宋体"/>
          <w:b/>
        </w:rPr>
      </w:pPr>
    </w:p>
    <w:p>
      <w:pPr>
        <w:pStyle w:val="26"/>
        <w:ind w:firstLine="241"/>
        <w:rPr>
          <w:rFonts w:hint="eastAsia" w:ascii="宋体" w:hAnsi="宋体" w:eastAsia="宋体" w:cs="宋体"/>
          <w:b/>
        </w:rPr>
      </w:pPr>
    </w:p>
    <w:p>
      <w:pPr>
        <w:pStyle w:val="34"/>
        <w:spacing w:line="360" w:lineRule="auto"/>
        <w:rPr>
          <w:rFonts w:hint="eastAsia" w:hAnsi="宋体" w:cs="宋体"/>
          <w:b/>
          <w:bCs/>
          <w:sz w:val="24"/>
        </w:rPr>
      </w:pPr>
    </w:p>
    <w:p>
      <w:pPr>
        <w:pStyle w:val="34"/>
        <w:spacing w:line="360" w:lineRule="auto"/>
        <w:ind w:firstLine="482" w:firstLineChars="200"/>
        <w:jc w:val="center"/>
        <w:rPr>
          <w:rFonts w:hint="eastAsia" w:hAnsi="宋体" w:cs="宋体"/>
          <w:b/>
          <w:bCs/>
          <w:sz w:val="24"/>
        </w:rPr>
      </w:pPr>
    </w:p>
    <w:p>
      <w:pPr>
        <w:pStyle w:val="34"/>
        <w:spacing w:line="360" w:lineRule="auto"/>
        <w:ind w:firstLine="482" w:firstLineChars="200"/>
        <w:jc w:val="center"/>
        <w:rPr>
          <w:rFonts w:hint="eastAsia" w:hAnsi="宋体" w:cs="宋体"/>
          <w:b/>
          <w:bCs/>
          <w:sz w:val="24"/>
        </w:rPr>
      </w:pPr>
    </w:p>
    <w:p>
      <w:pPr>
        <w:pStyle w:val="34"/>
        <w:spacing w:line="360" w:lineRule="auto"/>
        <w:ind w:firstLine="482" w:firstLineChars="200"/>
        <w:jc w:val="center"/>
        <w:rPr>
          <w:rFonts w:hint="eastAsia" w:hAnsi="宋体" w:cs="宋体"/>
          <w:b/>
          <w:bCs/>
          <w:sz w:val="24"/>
        </w:rPr>
      </w:pPr>
    </w:p>
    <w:p>
      <w:pPr>
        <w:pStyle w:val="34"/>
        <w:spacing w:line="360" w:lineRule="auto"/>
        <w:ind w:firstLine="482" w:firstLineChars="200"/>
        <w:jc w:val="center"/>
        <w:rPr>
          <w:rFonts w:hint="eastAsia" w:hAnsi="宋体" w:cs="宋体"/>
          <w:b/>
          <w:bCs/>
          <w:sz w:val="24"/>
        </w:rPr>
      </w:pPr>
    </w:p>
    <w:p>
      <w:pPr>
        <w:pStyle w:val="34"/>
        <w:spacing w:line="360" w:lineRule="auto"/>
        <w:ind w:firstLine="482" w:firstLineChars="200"/>
        <w:jc w:val="center"/>
        <w:rPr>
          <w:rFonts w:hint="eastAsia" w:hAnsi="宋体" w:cs="宋体"/>
          <w:b/>
          <w:bCs/>
          <w:sz w:val="24"/>
        </w:rPr>
      </w:pPr>
    </w:p>
    <w:p>
      <w:pPr>
        <w:pStyle w:val="34"/>
        <w:spacing w:line="360" w:lineRule="auto"/>
        <w:rPr>
          <w:rFonts w:hint="eastAsia" w:hAnsi="宋体" w:cs="宋体"/>
          <w:b/>
          <w:bCs/>
          <w:sz w:val="24"/>
        </w:rPr>
      </w:pPr>
    </w:p>
    <w:p>
      <w:pPr>
        <w:pStyle w:val="34"/>
        <w:spacing w:line="360" w:lineRule="auto"/>
        <w:rPr>
          <w:rFonts w:hint="eastAsia" w:hAnsi="宋体" w:cs="宋体"/>
          <w:b/>
          <w:bCs/>
          <w:sz w:val="24"/>
        </w:rPr>
      </w:pPr>
      <w:r>
        <w:rPr>
          <w:rFonts w:hint="eastAsia" w:hAnsi="宋体" w:cs="宋体"/>
          <w:b/>
          <w:bCs/>
          <w:sz w:val="24"/>
        </w:rPr>
        <w:t>（1）有效的营业执照、税务登记证、组织机构代码证或“三证合一”的营业执照或“五证合一”的营业执照；</w:t>
      </w:r>
    </w:p>
    <w:p>
      <w:pPr>
        <w:snapToGrid w:val="0"/>
        <w:spacing w:line="360" w:lineRule="auto"/>
        <w:ind w:firstLine="482" w:firstLineChars="200"/>
        <w:jc w:val="center"/>
        <w:rPr>
          <w:rFonts w:hint="eastAsia" w:ascii="宋体" w:hAnsi="宋体" w:cs="宋体"/>
          <w:b/>
          <w:bCs/>
          <w:sz w:val="24"/>
        </w:rPr>
      </w:pPr>
    </w:p>
    <w:p>
      <w:pPr>
        <w:snapToGrid w:val="0"/>
        <w:spacing w:line="360" w:lineRule="auto"/>
        <w:ind w:firstLine="480" w:firstLineChars="200"/>
        <w:jc w:val="center"/>
        <w:rPr>
          <w:rFonts w:hint="eastAsia" w:ascii="宋体" w:hAnsi="宋体" w:cs="宋体"/>
          <w:sz w:val="24"/>
        </w:rPr>
      </w:pPr>
    </w:p>
    <w:p>
      <w:pPr>
        <w:snapToGrid w:val="0"/>
        <w:spacing w:line="360" w:lineRule="auto"/>
        <w:ind w:firstLine="480" w:firstLineChars="200"/>
        <w:jc w:val="center"/>
        <w:rPr>
          <w:rFonts w:hint="eastAsia" w:ascii="宋体" w:hAnsi="宋体" w:cs="宋体"/>
          <w:sz w:val="24"/>
        </w:rPr>
      </w:pPr>
    </w:p>
    <w:p>
      <w:pPr>
        <w:tabs>
          <w:tab w:val="left" w:pos="2594"/>
        </w:tabs>
        <w:snapToGrid w:val="0"/>
        <w:spacing w:line="360" w:lineRule="auto"/>
        <w:jc w:val="left"/>
        <w:rPr>
          <w:rFonts w:hint="eastAsia" w:ascii="宋体" w:hAnsi="宋体" w:cs="宋体"/>
          <w:b/>
          <w:sz w:val="24"/>
        </w:rPr>
      </w:pPr>
    </w:p>
    <w:p>
      <w:pPr>
        <w:snapToGrid w:val="0"/>
        <w:spacing w:line="360" w:lineRule="auto"/>
        <w:jc w:val="center"/>
        <w:rPr>
          <w:rFonts w:hint="eastAsia" w:ascii="宋体" w:hAnsi="宋体" w:cs="宋体"/>
          <w:b/>
          <w:sz w:val="24"/>
        </w:rPr>
      </w:pPr>
      <w:r>
        <w:rPr>
          <w:rFonts w:hint="eastAsia" w:ascii="宋体" w:hAnsi="宋体" w:cs="宋体"/>
          <w:b/>
          <w:sz w:val="24"/>
        </w:rPr>
        <w:t>（2）法定代表人有效身份证明书及身份证或法定代表人授权书及授权人身份证</w:t>
      </w:r>
    </w:p>
    <w:p>
      <w:pPr>
        <w:snapToGrid w:val="0"/>
        <w:spacing w:line="360" w:lineRule="auto"/>
        <w:ind w:firstLine="482" w:firstLineChars="200"/>
        <w:jc w:val="center"/>
        <w:rPr>
          <w:rFonts w:hint="eastAsia" w:ascii="宋体" w:hAnsi="宋体" w:cs="宋体"/>
          <w:b/>
          <w:sz w:val="24"/>
        </w:rPr>
      </w:pPr>
    </w:p>
    <w:p>
      <w:pPr>
        <w:snapToGrid w:val="0"/>
        <w:spacing w:line="360" w:lineRule="auto"/>
        <w:ind w:firstLine="482" w:firstLineChars="200"/>
        <w:jc w:val="center"/>
        <w:rPr>
          <w:rFonts w:hint="eastAsia" w:ascii="宋体" w:hAnsi="宋体" w:cs="宋体"/>
          <w:b/>
          <w:sz w:val="24"/>
        </w:rPr>
      </w:pPr>
      <w:r>
        <w:rPr>
          <w:rFonts w:hint="eastAsia" w:ascii="宋体" w:hAnsi="宋体" w:cs="宋体"/>
          <w:b/>
          <w:sz w:val="24"/>
        </w:rPr>
        <w:t>法定代表人有效身份证明书</w:t>
      </w:r>
    </w:p>
    <w:p>
      <w:pPr>
        <w:pStyle w:val="15"/>
        <w:spacing w:line="400" w:lineRule="exact"/>
        <w:ind w:firstLine="511" w:firstLineChars="156"/>
        <w:jc w:val="center"/>
        <w:rPr>
          <w:rFonts w:hint="eastAsia" w:hAnsi="宋体" w:cs="宋体"/>
          <w:bCs/>
          <w:spacing w:val="24"/>
          <w:sz w:val="28"/>
          <w:szCs w:val="28"/>
        </w:rPr>
      </w:pPr>
    </w:p>
    <w:p>
      <w:pPr>
        <w:pStyle w:val="15"/>
        <w:spacing w:line="400" w:lineRule="exact"/>
        <w:ind w:firstLine="449" w:firstLineChars="156"/>
        <w:jc w:val="center"/>
        <w:rPr>
          <w:rFonts w:hint="eastAsia" w:hAnsi="宋体" w:cs="宋体"/>
          <w:bCs/>
          <w:spacing w:val="24"/>
          <w:sz w:val="24"/>
          <w:szCs w:val="24"/>
        </w:rPr>
      </w:pPr>
    </w:p>
    <w:p>
      <w:pPr>
        <w:pStyle w:val="15"/>
        <w:spacing w:line="360" w:lineRule="auto"/>
        <w:ind w:firstLine="480" w:firstLineChars="200"/>
        <w:rPr>
          <w:rFonts w:hint="eastAsia" w:hAnsi="宋体" w:cs="宋体"/>
          <w:sz w:val="24"/>
          <w:szCs w:val="24"/>
        </w:rPr>
      </w:pPr>
      <w:r>
        <w:rPr>
          <w:rFonts w:hint="eastAsia" w:hAnsi="宋体" w:cs="宋体"/>
          <w:sz w:val="24"/>
          <w:szCs w:val="24"/>
        </w:rPr>
        <w:t>（姓名）是（单位全称）的法定代表人，身份证号码为。</w:t>
      </w:r>
    </w:p>
    <w:p>
      <w:pPr>
        <w:pStyle w:val="15"/>
        <w:spacing w:line="400" w:lineRule="exact"/>
        <w:ind w:firstLine="374" w:firstLineChars="156"/>
        <w:rPr>
          <w:rFonts w:hint="eastAsia" w:hAnsi="宋体" w:cs="宋体"/>
          <w:sz w:val="24"/>
          <w:szCs w:val="24"/>
        </w:rPr>
      </w:pPr>
    </w:p>
    <w:p>
      <w:pPr>
        <w:pStyle w:val="15"/>
        <w:spacing w:line="400" w:lineRule="exact"/>
        <w:ind w:firstLine="374" w:firstLineChars="156"/>
        <w:rPr>
          <w:rFonts w:hint="eastAsia" w:hAnsi="宋体" w:cs="宋体"/>
          <w:sz w:val="24"/>
          <w:szCs w:val="24"/>
        </w:rPr>
      </w:pPr>
    </w:p>
    <w:p>
      <w:pPr>
        <w:pStyle w:val="15"/>
        <w:spacing w:line="400" w:lineRule="exact"/>
        <w:ind w:firstLine="374" w:firstLineChars="156"/>
        <w:rPr>
          <w:rFonts w:hint="eastAsia" w:hAnsi="宋体" w:cs="宋体"/>
          <w:sz w:val="24"/>
          <w:szCs w:val="24"/>
        </w:rPr>
      </w:pPr>
      <w:r>
        <w:rPr>
          <w:rFonts w:hint="eastAsia" w:hAnsi="宋体" w:cs="宋体"/>
          <w:sz w:val="24"/>
          <w:szCs w:val="24"/>
        </w:rPr>
        <w:t xml:space="preserve">    特此证明</w:t>
      </w:r>
    </w:p>
    <w:p>
      <w:pPr>
        <w:pStyle w:val="15"/>
        <w:spacing w:line="400" w:lineRule="exact"/>
        <w:ind w:firstLine="374" w:firstLineChars="156"/>
        <w:rPr>
          <w:rFonts w:hint="eastAsia" w:hAnsi="宋体" w:cs="宋体"/>
          <w:sz w:val="24"/>
          <w:szCs w:val="24"/>
        </w:rPr>
      </w:pPr>
    </w:p>
    <w:p>
      <w:pPr>
        <w:pStyle w:val="15"/>
        <w:spacing w:line="400" w:lineRule="exact"/>
        <w:ind w:firstLine="374" w:firstLineChars="156"/>
        <w:rPr>
          <w:rFonts w:hint="eastAsia" w:hAnsi="宋体" w:cs="宋体"/>
          <w:sz w:val="24"/>
          <w:szCs w:val="24"/>
        </w:rPr>
      </w:pPr>
    </w:p>
    <w:p>
      <w:pPr>
        <w:pStyle w:val="15"/>
        <w:spacing w:line="400" w:lineRule="exact"/>
        <w:ind w:firstLine="374" w:firstLineChars="156"/>
        <w:rPr>
          <w:rFonts w:hint="eastAsia" w:hAnsi="宋体" w:cs="宋体"/>
          <w:sz w:val="24"/>
          <w:szCs w:val="24"/>
        </w:rPr>
      </w:pPr>
    </w:p>
    <w:p>
      <w:pPr>
        <w:pStyle w:val="15"/>
        <w:spacing w:line="400" w:lineRule="exact"/>
        <w:ind w:firstLine="374" w:firstLineChars="156"/>
        <w:rPr>
          <w:rFonts w:hint="eastAsia" w:hAnsi="宋体" w:cs="宋体"/>
          <w:sz w:val="24"/>
          <w:szCs w:val="24"/>
        </w:rPr>
      </w:pPr>
    </w:p>
    <w:p>
      <w:pPr>
        <w:pStyle w:val="15"/>
        <w:spacing w:line="400" w:lineRule="exact"/>
        <w:ind w:firstLine="374" w:firstLineChars="156"/>
        <w:rPr>
          <w:rFonts w:hint="eastAsia" w:hAnsi="宋体" w:cs="宋体"/>
          <w:sz w:val="24"/>
          <w:szCs w:val="24"/>
        </w:rPr>
      </w:pPr>
      <w:r>
        <w:rPr>
          <w:rFonts w:hint="eastAsia" w:hAnsi="宋体" w:cs="宋体"/>
          <w:sz w:val="24"/>
          <w:szCs w:val="24"/>
        </w:rPr>
        <w:t xml:space="preserve">                      投标供应商：（盖章）</w:t>
      </w:r>
    </w:p>
    <w:p>
      <w:pPr>
        <w:pStyle w:val="15"/>
        <w:spacing w:line="400" w:lineRule="exact"/>
        <w:ind w:firstLine="374" w:firstLineChars="156"/>
        <w:rPr>
          <w:rFonts w:hint="eastAsia" w:hAnsi="宋体" w:cs="宋体"/>
          <w:sz w:val="24"/>
          <w:szCs w:val="24"/>
        </w:rPr>
      </w:pPr>
    </w:p>
    <w:p>
      <w:pPr>
        <w:pStyle w:val="15"/>
        <w:spacing w:line="400" w:lineRule="exact"/>
        <w:ind w:firstLine="3012" w:firstLineChars="1255"/>
        <w:rPr>
          <w:rFonts w:hint="eastAsia" w:hAnsi="宋体" w:cs="宋体"/>
          <w:sz w:val="24"/>
          <w:szCs w:val="24"/>
        </w:rPr>
      </w:pPr>
      <w:r>
        <w:rPr>
          <w:rFonts w:hint="eastAsia" w:hAnsi="宋体" w:cs="宋体"/>
          <w:sz w:val="24"/>
          <w:szCs w:val="24"/>
        </w:rPr>
        <w:t>法定代表人或其授权代理人（签名或盖章）</w:t>
      </w:r>
    </w:p>
    <w:p>
      <w:pPr>
        <w:pStyle w:val="15"/>
        <w:spacing w:line="400" w:lineRule="exact"/>
        <w:ind w:firstLine="374" w:firstLineChars="156"/>
        <w:jc w:val="center"/>
        <w:rPr>
          <w:rFonts w:hint="eastAsia" w:hAnsi="宋体" w:cs="宋体"/>
          <w:sz w:val="24"/>
          <w:szCs w:val="24"/>
        </w:rPr>
      </w:pPr>
    </w:p>
    <w:p>
      <w:pPr>
        <w:pStyle w:val="15"/>
        <w:spacing w:line="400" w:lineRule="exact"/>
        <w:ind w:firstLine="374" w:firstLineChars="156"/>
        <w:rPr>
          <w:rFonts w:hint="eastAsia" w:hAnsi="宋体" w:cs="宋体"/>
          <w:sz w:val="24"/>
          <w:szCs w:val="24"/>
        </w:rPr>
      </w:pPr>
      <w:r>
        <w:rPr>
          <w:rFonts w:hint="eastAsia" w:hAnsi="宋体" w:cs="宋体"/>
          <w:sz w:val="24"/>
          <w:szCs w:val="24"/>
        </w:rPr>
        <w:t xml:space="preserve">        日期：    年   月   日</w:t>
      </w:r>
    </w:p>
    <w:p>
      <w:pPr>
        <w:pStyle w:val="15"/>
        <w:spacing w:line="400" w:lineRule="exact"/>
        <w:ind w:firstLine="374" w:firstLineChars="156"/>
        <w:jc w:val="center"/>
        <w:rPr>
          <w:rFonts w:hint="eastAsia" w:hAnsi="宋体" w:cs="宋体"/>
          <w:sz w:val="24"/>
          <w:szCs w:val="24"/>
        </w:rPr>
      </w:pPr>
    </w:p>
    <w:p>
      <w:pPr>
        <w:pStyle w:val="15"/>
        <w:spacing w:line="400" w:lineRule="exact"/>
        <w:ind w:firstLine="374" w:firstLineChars="156"/>
        <w:jc w:val="center"/>
        <w:rPr>
          <w:rFonts w:hint="eastAsia" w:hAnsi="宋体" w:cs="宋体"/>
          <w:sz w:val="24"/>
          <w:szCs w:val="24"/>
        </w:rPr>
      </w:pPr>
    </w:p>
    <w:p>
      <w:pPr>
        <w:pStyle w:val="15"/>
        <w:spacing w:line="400" w:lineRule="exact"/>
        <w:ind w:firstLine="0"/>
        <w:rPr>
          <w:rFonts w:hint="eastAsia" w:hAnsi="宋体" w:cs="宋体"/>
          <w:sz w:val="24"/>
          <w:szCs w:val="24"/>
        </w:rPr>
      </w:pPr>
    </w:p>
    <w:p>
      <w:pPr>
        <w:pStyle w:val="15"/>
        <w:spacing w:line="400" w:lineRule="exact"/>
        <w:ind w:firstLine="374" w:firstLineChars="156"/>
        <w:rPr>
          <w:rFonts w:hint="eastAsia" w:hAnsi="宋体" w:cs="宋体"/>
          <w:sz w:val="24"/>
          <w:szCs w:val="24"/>
        </w:rPr>
      </w:pPr>
      <w:r>
        <w:rPr>
          <w:rFonts w:hint="eastAsia" w:hAnsi="宋体" w:cs="宋体"/>
          <w:sz w:val="24"/>
          <w:szCs w:val="24"/>
        </w:rPr>
        <w:t>———————————————————————————————————</w:t>
      </w:r>
    </w:p>
    <w:p>
      <w:pPr>
        <w:pStyle w:val="15"/>
        <w:spacing w:line="400" w:lineRule="exact"/>
        <w:ind w:firstLine="0"/>
        <w:rPr>
          <w:rFonts w:hint="eastAsia" w:hAnsi="宋体" w:cs="宋体"/>
          <w:sz w:val="24"/>
          <w:szCs w:val="24"/>
        </w:rPr>
      </w:pPr>
    </w:p>
    <w:p>
      <w:pPr>
        <w:pStyle w:val="15"/>
        <w:spacing w:line="400" w:lineRule="exact"/>
        <w:ind w:firstLine="374" w:firstLineChars="156"/>
        <w:jc w:val="center"/>
        <w:rPr>
          <w:rFonts w:hint="eastAsia" w:hAnsi="宋体" w:cs="宋体"/>
          <w:sz w:val="24"/>
          <w:szCs w:val="24"/>
        </w:rPr>
      </w:pPr>
      <w:r>
        <w:rPr>
          <w:rFonts w:hint="eastAsia" w:hAnsi="宋体" w:cs="宋体"/>
          <w:sz w:val="24"/>
          <w:szCs w:val="24"/>
        </w:rPr>
        <w:t>有效身份证明</w:t>
      </w:r>
    </w:p>
    <w:p>
      <w:pPr>
        <w:widowControl/>
        <w:tabs>
          <w:tab w:val="left" w:pos="801"/>
        </w:tabs>
        <w:spacing w:line="460" w:lineRule="exact"/>
        <w:rPr>
          <w:rFonts w:hint="eastAsia" w:ascii="宋体" w:hAnsi="宋体" w:cs="宋体"/>
          <w:b/>
          <w:sz w:val="24"/>
        </w:rPr>
      </w:pPr>
    </w:p>
    <w:p>
      <w:pPr>
        <w:widowControl/>
        <w:tabs>
          <w:tab w:val="left" w:pos="801"/>
        </w:tabs>
        <w:spacing w:line="460" w:lineRule="exact"/>
        <w:ind w:firstLine="482" w:firstLineChars="200"/>
        <w:jc w:val="center"/>
        <w:rPr>
          <w:rFonts w:hint="eastAsia" w:ascii="宋体" w:hAnsi="宋体" w:cs="宋体"/>
          <w:b/>
          <w:sz w:val="24"/>
        </w:rPr>
      </w:pPr>
    </w:p>
    <w:p>
      <w:pPr>
        <w:widowControl/>
        <w:tabs>
          <w:tab w:val="left" w:pos="801"/>
        </w:tabs>
        <w:spacing w:line="460" w:lineRule="exact"/>
        <w:ind w:firstLine="482" w:firstLineChars="200"/>
        <w:jc w:val="center"/>
        <w:rPr>
          <w:rFonts w:hint="eastAsia" w:ascii="宋体" w:hAnsi="宋体" w:cs="宋体"/>
          <w:b/>
          <w:color w:val="000000"/>
          <w:sz w:val="24"/>
        </w:rPr>
      </w:pPr>
      <w:r>
        <w:rPr>
          <w:rFonts w:hint="eastAsia" w:ascii="宋体" w:hAnsi="宋体" w:cs="宋体"/>
          <w:b/>
          <w:sz w:val="24"/>
        </w:rPr>
        <w:t>法定代表人授权书及授权人身份证</w:t>
      </w:r>
    </w:p>
    <w:p>
      <w:pPr>
        <w:snapToGrid w:val="0"/>
        <w:spacing w:before="120" w:beforeLines="50" w:after="50"/>
        <w:rPr>
          <w:rFonts w:hint="eastAsia" w:ascii="宋体" w:hAnsi="宋体" w:cs="宋体"/>
          <w:bCs/>
          <w:sz w:val="24"/>
        </w:rPr>
      </w:pPr>
    </w:p>
    <w:p>
      <w:pPr>
        <w:snapToGrid w:val="0"/>
        <w:spacing w:before="120" w:beforeLines="50" w:after="50" w:line="360" w:lineRule="auto"/>
        <w:rPr>
          <w:rFonts w:hint="eastAsia" w:ascii="宋体" w:hAnsi="宋体" w:cs="宋体"/>
          <w:b/>
          <w:bCs/>
          <w:sz w:val="24"/>
          <w:szCs w:val="20"/>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sz w:val="24"/>
        </w:rPr>
        <w:t>（采购人名称）</w:t>
      </w:r>
      <w:r>
        <w:rPr>
          <w:rFonts w:hint="eastAsia" w:ascii="宋体" w:hAnsi="宋体" w:cs="宋体"/>
          <w:b/>
          <w:bCs/>
          <w:sz w:val="24"/>
        </w:rPr>
        <w:t xml:space="preserve"> </w:t>
      </w:r>
      <w:r>
        <w:rPr>
          <w:rFonts w:hint="eastAsia" w:ascii="宋体" w:hAnsi="宋体" w:cs="宋体"/>
          <w:sz w:val="24"/>
        </w:rPr>
        <w:t>：</w:t>
      </w:r>
    </w:p>
    <w:p>
      <w:pPr>
        <w:snapToGrid w:val="0"/>
        <w:spacing w:before="120" w:beforeLines="50" w:after="50" w:line="360" w:lineRule="auto"/>
        <w:ind w:firstLine="720" w:firstLineChars="300"/>
        <w:rPr>
          <w:rFonts w:hint="eastAsia" w:ascii="宋体" w:hAnsi="宋体" w:cs="宋体"/>
          <w:sz w:val="24"/>
          <w:szCs w:val="20"/>
        </w:rPr>
      </w:pPr>
      <w:r>
        <w:rPr>
          <w:rFonts w:hint="eastAsia" w:ascii="宋体" w:hAnsi="宋体" w:cs="宋体"/>
          <w:sz w:val="24"/>
        </w:rPr>
        <w:t>我</w:t>
      </w:r>
      <w:r>
        <w:rPr>
          <w:rFonts w:hint="eastAsia" w:ascii="宋体" w:hAnsi="宋体" w:cs="宋体"/>
          <w:bCs/>
          <w:sz w:val="24"/>
          <w:u w:val="single"/>
        </w:rPr>
        <w:t xml:space="preserve">            </w:t>
      </w:r>
      <w:r>
        <w:rPr>
          <w:rFonts w:hint="eastAsia" w:ascii="宋体" w:hAnsi="宋体" w:cs="宋体"/>
          <w:sz w:val="24"/>
        </w:rPr>
        <w:t>（姓名）系</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sz w:val="24"/>
        </w:rPr>
        <w:t xml:space="preserve">（投标供应商名称）的法定代表人，现授权委托本单位在职职工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平安风险预警预测防控应用项目</w:t>
      </w:r>
      <w:r>
        <w:rPr>
          <w:rFonts w:hint="eastAsia" w:ascii="宋体" w:hAnsi="宋体" w:cs="宋体"/>
          <w:sz w:val="24"/>
        </w:rPr>
        <w:t>的投标活动，并代表我方全权办理针对上述项目的投标、开标、评标、签约等具体事务和签署相关文件。</w:t>
      </w:r>
    </w:p>
    <w:p>
      <w:pPr>
        <w:snapToGrid w:val="0"/>
        <w:spacing w:before="120" w:beforeLines="50" w:after="50" w:line="360" w:lineRule="auto"/>
        <w:rPr>
          <w:rFonts w:hint="eastAsia" w:ascii="宋体" w:hAnsi="宋体" w:cs="宋体"/>
          <w:sz w:val="24"/>
          <w:szCs w:val="20"/>
        </w:rPr>
      </w:pPr>
      <w:r>
        <w:rPr>
          <w:rFonts w:hint="eastAsia" w:ascii="宋体" w:hAnsi="宋体" w:cs="宋体"/>
          <w:sz w:val="24"/>
        </w:rPr>
        <w:t xml:space="preserve">    我方对被授权人的签名事项负全部责任。</w:t>
      </w:r>
    </w:p>
    <w:p>
      <w:pPr>
        <w:snapToGrid w:val="0"/>
        <w:spacing w:before="120" w:beforeLines="50" w:after="50" w:line="360" w:lineRule="auto"/>
        <w:ind w:firstLine="480"/>
        <w:rPr>
          <w:rFonts w:hint="eastAsia"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120" w:beforeLines="50" w:after="50" w:line="360" w:lineRule="auto"/>
        <w:ind w:firstLine="480"/>
        <w:rPr>
          <w:rFonts w:hint="eastAsia" w:ascii="宋体" w:hAnsi="宋体" w:cs="宋体"/>
          <w:sz w:val="24"/>
          <w:szCs w:val="20"/>
        </w:rPr>
      </w:pPr>
      <w:r>
        <w:rPr>
          <w:rFonts w:hint="eastAsia" w:ascii="宋体" w:hAnsi="宋体" w:cs="宋体"/>
          <w:sz w:val="24"/>
        </w:rPr>
        <w:t>被授权人无转委托权，特此委托。</w:t>
      </w:r>
    </w:p>
    <w:p>
      <w:pPr>
        <w:snapToGrid w:val="0"/>
        <w:spacing w:before="120" w:beforeLines="50" w:after="50" w:line="360" w:lineRule="auto"/>
        <w:rPr>
          <w:rFonts w:hint="eastAsia" w:ascii="宋体" w:hAnsi="宋体" w:cs="宋体"/>
          <w:sz w:val="24"/>
          <w:szCs w:val="20"/>
        </w:rPr>
      </w:pPr>
    </w:p>
    <w:p>
      <w:pPr>
        <w:snapToGrid w:val="0"/>
        <w:spacing w:before="120" w:beforeLines="50" w:after="50" w:line="360" w:lineRule="auto"/>
        <w:rPr>
          <w:rFonts w:hint="eastAsia" w:ascii="宋体" w:hAnsi="宋体" w:cs="宋体"/>
          <w:sz w:val="24"/>
          <w:szCs w:val="20"/>
          <w:u w:val="single"/>
        </w:rPr>
      </w:pPr>
      <w:r>
        <w:rPr>
          <w:rFonts w:hint="eastAsia" w:ascii="宋体" w:hAnsi="宋体" w:cs="宋体"/>
          <w:sz w:val="24"/>
        </w:rPr>
        <w:t>被授权人签名：</w:t>
      </w:r>
      <w:r>
        <w:rPr>
          <w:rFonts w:hint="eastAsia" w:ascii="宋体" w:hAnsi="宋体" w:cs="宋体"/>
          <w:sz w:val="24"/>
          <w:u w:val="single"/>
        </w:rPr>
        <w:t xml:space="preserve">          </w:t>
      </w:r>
      <w:r>
        <w:rPr>
          <w:rFonts w:hint="eastAsia" w:ascii="宋体" w:hAnsi="宋体" w:cs="宋体"/>
          <w:sz w:val="24"/>
        </w:rPr>
        <w:t xml:space="preserve">                 法定代表人签名：</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p>
    <w:p>
      <w:pPr>
        <w:snapToGrid w:val="0"/>
        <w:spacing w:before="120" w:beforeLines="50" w:after="50" w:line="360" w:lineRule="auto"/>
        <w:ind w:firstLine="960" w:firstLineChars="400"/>
        <w:rPr>
          <w:rFonts w:hint="eastAsia" w:ascii="宋体" w:hAnsi="宋体" w:cs="宋体"/>
          <w:sz w:val="24"/>
          <w:szCs w:val="20"/>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spacing w:before="120" w:beforeLines="50" w:after="50" w:line="360" w:lineRule="auto"/>
        <w:rPr>
          <w:rFonts w:hint="eastAsia" w:ascii="宋体" w:hAnsi="宋体" w:cs="宋体"/>
          <w:sz w:val="24"/>
          <w:szCs w:val="20"/>
        </w:rPr>
      </w:pPr>
      <w:r>
        <w:rPr>
          <w:rFonts w:hint="eastAsia" w:ascii="宋体" w:hAnsi="宋体" w:cs="宋体"/>
          <w:sz w:val="24"/>
        </w:rPr>
        <w:t>被授权人身份证号码：</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120" w:beforeLines="50" w:after="50" w:line="360" w:lineRule="auto"/>
        <w:rPr>
          <w:rFonts w:hint="eastAsia" w:ascii="宋体" w:hAnsi="宋体" w:cs="宋体"/>
          <w:sz w:val="24"/>
        </w:rPr>
      </w:pPr>
      <w:r>
        <w:rPr>
          <w:rFonts w:hint="eastAsia" w:ascii="宋体" w:hAnsi="宋体" w:cs="宋体"/>
          <w:sz w:val="24"/>
        </w:rPr>
        <w:t xml:space="preserve">                                     投标供应商公章：</w:t>
      </w:r>
    </w:p>
    <w:p>
      <w:pPr>
        <w:pStyle w:val="15"/>
        <w:spacing w:line="360" w:lineRule="auto"/>
        <w:ind w:firstLine="374" w:firstLineChars="156"/>
        <w:jc w:val="center"/>
        <w:rPr>
          <w:rFonts w:hint="eastAsia" w:hAnsi="宋体" w:cs="宋体"/>
          <w:sz w:val="24"/>
          <w:szCs w:val="24"/>
        </w:rPr>
      </w:pPr>
      <w:r>
        <w:rPr>
          <w:rFonts w:hint="eastAsia" w:hAnsi="宋体" w:cs="宋体"/>
          <w:sz w:val="24"/>
          <w:szCs w:val="24"/>
        </w:rPr>
        <w:t>————————————————————-----------</w:t>
      </w:r>
    </w:p>
    <w:p>
      <w:pPr>
        <w:pStyle w:val="15"/>
        <w:spacing w:line="360" w:lineRule="auto"/>
        <w:ind w:firstLine="374" w:firstLineChars="156"/>
        <w:jc w:val="center"/>
        <w:rPr>
          <w:rFonts w:hint="eastAsia" w:hAnsi="宋体" w:cs="宋体"/>
          <w:sz w:val="24"/>
          <w:szCs w:val="24"/>
        </w:rPr>
      </w:pPr>
    </w:p>
    <w:p>
      <w:pPr>
        <w:pStyle w:val="15"/>
        <w:spacing w:line="360" w:lineRule="auto"/>
        <w:ind w:firstLine="374" w:firstLineChars="156"/>
        <w:jc w:val="center"/>
        <w:rPr>
          <w:rFonts w:hint="eastAsia" w:hAnsi="宋体" w:cs="宋体"/>
          <w:sz w:val="24"/>
          <w:szCs w:val="24"/>
        </w:rPr>
      </w:pPr>
      <w:r>
        <w:rPr>
          <w:rFonts w:hint="eastAsia" w:hAnsi="宋体" w:cs="宋体"/>
          <w:sz w:val="24"/>
          <w:szCs w:val="24"/>
        </w:rPr>
        <w:t>授权代理人有效身份证明</w:t>
      </w:r>
    </w:p>
    <w:p>
      <w:pPr>
        <w:snapToGrid w:val="0"/>
        <w:spacing w:before="120" w:beforeLines="50" w:after="50"/>
        <w:rPr>
          <w:rFonts w:hint="eastAsia" w:ascii="宋体" w:hAnsi="宋体" w:cs="宋体"/>
          <w:sz w:val="24"/>
        </w:rPr>
      </w:pPr>
    </w:p>
    <w:p>
      <w:pPr>
        <w:snapToGrid w:val="0"/>
        <w:spacing w:before="120" w:beforeLines="50" w:after="50"/>
        <w:rPr>
          <w:rFonts w:hint="eastAsia" w:ascii="宋体" w:hAnsi="宋体" w:cs="宋体"/>
          <w:sz w:val="24"/>
        </w:rPr>
      </w:pPr>
    </w:p>
    <w:p>
      <w:pPr>
        <w:snapToGrid w:val="0"/>
        <w:spacing w:line="360" w:lineRule="auto"/>
        <w:ind w:firstLine="482" w:firstLineChars="200"/>
        <w:jc w:val="center"/>
        <w:rPr>
          <w:rFonts w:hint="eastAsia" w:ascii="宋体" w:hAnsi="宋体" w:cs="宋体"/>
          <w:b/>
          <w:sz w:val="24"/>
        </w:rPr>
      </w:pPr>
    </w:p>
    <w:p>
      <w:pPr>
        <w:snapToGrid w:val="0"/>
        <w:spacing w:line="360" w:lineRule="auto"/>
        <w:ind w:firstLine="482" w:firstLineChars="200"/>
        <w:jc w:val="center"/>
        <w:rPr>
          <w:rFonts w:hint="eastAsia" w:ascii="宋体" w:hAnsi="宋体" w:cs="宋体"/>
          <w:b/>
          <w:sz w:val="24"/>
        </w:rPr>
      </w:pPr>
    </w:p>
    <w:p>
      <w:pPr>
        <w:snapToGrid w:val="0"/>
        <w:spacing w:line="360" w:lineRule="auto"/>
        <w:ind w:firstLine="482" w:firstLineChars="200"/>
        <w:jc w:val="center"/>
        <w:rPr>
          <w:rFonts w:hint="eastAsia" w:ascii="宋体" w:hAnsi="宋体" w:cs="宋体"/>
          <w:b/>
          <w:sz w:val="24"/>
        </w:rPr>
      </w:pPr>
    </w:p>
    <w:p>
      <w:pPr>
        <w:snapToGrid w:val="0"/>
        <w:spacing w:line="360" w:lineRule="auto"/>
        <w:rPr>
          <w:rFonts w:hint="eastAsia" w:ascii="宋体" w:hAnsi="宋体" w:cs="宋体"/>
          <w:b/>
          <w:sz w:val="24"/>
        </w:rPr>
      </w:pPr>
    </w:p>
    <w:p>
      <w:pPr>
        <w:pStyle w:val="26"/>
        <w:ind w:firstLine="0" w:firstLineChars="0"/>
        <w:rPr>
          <w:rFonts w:hint="eastAsia" w:ascii="宋体" w:hAnsi="宋体" w:eastAsia="宋体" w:cs="宋体"/>
          <w:b/>
        </w:rPr>
      </w:pPr>
    </w:p>
    <w:p>
      <w:pPr>
        <w:rPr>
          <w:rFonts w:hint="eastAsia" w:ascii="宋体" w:hAnsi="宋体" w:cs="宋体"/>
          <w:b/>
          <w:sz w:val="24"/>
        </w:rPr>
      </w:pPr>
    </w:p>
    <w:p>
      <w:pPr>
        <w:pStyle w:val="26"/>
        <w:ind w:firstLine="240"/>
        <w:rPr>
          <w:rFonts w:hint="eastAsia" w:ascii="宋体" w:hAnsi="宋体" w:eastAsia="宋体" w:cs="宋体"/>
        </w:rPr>
      </w:pPr>
    </w:p>
    <w:p>
      <w:pPr>
        <w:snapToGrid w:val="0"/>
        <w:spacing w:line="360" w:lineRule="auto"/>
        <w:ind w:left="420" w:leftChars="200"/>
        <w:jc w:val="center"/>
        <w:rPr>
          <w:rFonts w:hint="eastAsia" w:ascii="宋体" w:hAnsi="宋体" w:cs="宋体"/>
          <w:b/>
          <w:bCs/>
          <w:sz w:val="24"/>
        </w:rPr>
      </w:pPr>
      <w:r>
        <w:rPr>
          <w:rFonts w:hint="eastAsia" w:ascii="宋体" w:hAnsi="宋体" w:cs="宋体"/>
          <w:b/>
          <w:bCs/>
          <w:sz w:val="24"/>
        </w:rPr>
        <w:t>（3）授权代理人最近三个月任意一个月的社保证明；</w:t>
      </w:r>
    </w:p>
    <w:p>
      <w:pPr>
        <w:pStyle w:val="25"/>
        <w:ind w:left="420" w:leftChars="200"/>
        <w:rPr>
          <w:rFonts w:hint="eastAsia" w:ascii="宋体" w:eastAsia="宋体" w:cs="宋体"/>
        </w:rPr>
      </w:pPr>
    </w:p>
    <w:p>
      <w:pPr>
        <w:rPr>
          <w:rFonts w:hint="eastAsia" w:ascii="宋体" w:hAnsi="宋体" w:cs="宋体"/>
        </w:rPr>
      </w:pPr>
    </w:p>
    <w:p>
      <w:pPr>
        <w:pStyle w:val="25"/>
        <w:rPr>
          <w:rFonts w:hint="eastAsia" w:ascii="宋体" w:eastAsia="宋体" w:cs="宋体"/>
        </w:rPr>
      </w:pPr>
    </w:p>
    <w:p>
      <w:pPr>
        <w:rPr>
          <w:rFonts w:hint="eastAsia" w:ascii="宋体" w:hAnsi="宋体" w:cs="宋体"/>
        </w:rPr>
      </w:pPr>
    </w:p>
    <w:p>
      <w:pPr>
        <w:pStyle w:val="25"/>
        <w:rPr>
          <w:rFonts w:hint="eastAsia" w:ascii="宋体" w:eastAsia="宋体" w:cs="宋体"/>
        </w:rPr>
      </w:pPr>
    </w:p>
    <w:p>
      <w:pPr>
        <w:rPr>
          <w:rFonts w:hint="eastAsia" w:ascii="宋体" w:hAnsi="宋体" w:cs="宋体"/>
        </w:rPr>
      </w:pPr>
    </w:p>
    <w:p>
      <w:pPr>
        <w:pStyle w:val="25"/>
        <w:rPr>
          <w:rFonts w:hint="eastAsia" w:ascii="宋体" w:eastAsia="宋体" w:cs="宋体"/>
        </w:rPr>
      </w:pPr>
    </w:p>
    <w:p>
      <w:pPr>
        <w:pStyle w:val="25"/>
        <w:rPr>
          <w:rFonts w:hint="eastAsia" w:ascii="宋体" w:eastAsia="宋体" w:cs="宋体"/>
        </w:rPr>
      </w:pPr>
    </w:p>
    <w:p>
      <w:pPr>
        <w:rPr>
          <w:rFonts w:hint="eastAsia" w:ascii="宋体" w:hAnsi="宋体" w:cs="宋体"/>
        </w:rPr>
      </w:pPr>
    </w:p>
    <w:p>
      <w:pPr>
        <w:pStyle w:val="25"/>
        <w:rPr>
          <w:rFonts w:hint="eastAsia" w:ascii="宋体" w:eastAsia="宋体" w:cs="宋体"/>
        </w:rPr>
      </w:pPr>
    </w:p>
    <w:p>
      <w:pPr>
        <w:pStyle w:val="34"/>
        <w:spacing w:line="360" w:lineRule="auto"/>
        <w:ind w:left="420" w:leftChars="200"/>
        <w:jc w:val="center"/>
        <w:rPr>
          <w:rFonts w:hint="eastAsia" w:hAnsi="宋体" w:cs="宋体"/>
          <w:sz w:val="24"/>
        </w:rPr>
      </w:pPr>
      <w:r>
        <w:rPr>
          <w:rFonts w:hint="eastAsia" w:hAnsi="宋体" w:cs="宋体"/>
          <w:b/>
          <w:bCs/>
          <w:sz w:val="24"/>
        </w:rPr>
        <w:t>（4）最近三个月供应商依法缴纳税收和社保费的证明[税费凭证复印件，或者依法缴纳税费或依法免缴税费的证明]；</w:t>
      </w:r>
    </w:p>
    <w:p>
      <w:pPr>
        <w:pStyle w:val="34"/>
        <w:spacing w:line="360" w:lineRule="auto"/>
        <w:jc w:val="center"/>
        <w:rPr>
          <w:rFonts w:hint="eastAsia" w:hAnsi="宋体" w:cs="宋体"/>
          <w:b/>
          <w:bCs/>
          <w:sz w:val="24"/>
        </w:rPr>
      </w:pPr>
    </w:p>
    <w:p>
      <w:pPr>
        <w:pStyle w:val="34"/>
        <w:spacing w:line="360" w:lineRule="auto"/>
        <w:jc w:val="center"/>
        <w:rPr>
          <w:rFonts w:hint="eastAsia" w:hAnsi="宋体" w:cs="宋体"/>
          <w:b/>
          <w:bCs/>
          <w:sz w:val="24"/>
        </w:rPr>
      </w:pPr>
    </w:p>
    <w:p>
      <w:pPr>
        <w:pStyle w:val="34"/>
        <w:spacing w:line="360" w:lineRule="auto"/>
        <w:jc w:val="center"/>
        <w:rPr>
          <w:rFonts w:hint="eastAsia" w:hAnsi="宋体" w:cs="宋体"/>
          <w:b/>
          <w:bCs/>
          <w:sz w:val="24"/>
        </w:rPr>
      </w:pPr>
    </w:p>
    <w:p>
      <w:pPr>
        <w:pStyle w:val="34"/>
        <w:spacing w:line="360" w:lineRule="auto"/>
        <w:jc w:val="center"/>
        <w:rPr>
          <w:rFonts w:hint="eastAsia" w:hAnsi="宋体" w:cs="宋体"/>
          <w:b/>
          <w:bCs/>
          <w:sz w:val="24"/>
        </w:rPr>
      </w:pPr>
    </w:p>
    <w:p>
      <w:pPr>
        <w:pStyle w:val="34"/>
        <w:spacing w:line="360" w:lineRule="auto"/>
        <w:jc w:val="center"/>
        <w:rPr>
          <w:rFonts w:hint="eastAsia" w:hAnsi="宋体" w:cs="宋体"/>
          <w:b/>
          <w:bCs/>
          <w:sz w:val="24"/>
        </w:rPr>
      </w:pPr>
    </w:p>
    <w:p>
      <w:pPr>
        <w:pStyle w:val="34"/>
        <w:spacing w:line="360" w:lineRule="auto"/>
        <w:jc w:val="center"/>
        <w:rPr>
          <w:rFonts w:hint="eastAsia" w:hAnsi="宋体" w:cs="宋体"/>
          <w:b/>
          <w:bCs/>
          <w:sz w:val="24"/>
        </w:rPr>
      </w:pPr>
    </w:p>
    <w:p>
      <w:pPr>
        <w:pStyle w:val="34"/>
        <w:spacing w:line="360" w:lineRule="auto"/>
        <w:ind w:firstLine="482" w:firstLineChars="200"/>
        <w:jc w:val="center"/>
        <w:rPr>
          <w:rFonts w:hint="eastAsia" w:hAnsi="宋体" w:cs="宋体"/>
          <w:b/>
          <w:bCs/>
          <w:sz w:val="24"/>
        </w:rPr>
      </w:pPr>
      <w:r>
        <w:rPr>
          <w:rFonts w:hint="eastAsia" w:hAnsi="宋体" w:cs="宋体"/>
          <w:b/>
          <w:bCs/>
          <w:sz w:val="24"/>
        </w:rPr>
        <w:t>（5）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snapToGrid w:val="0"/>
        <w:spacing w:before="120" w:beforeLines="50" w:after="50"/>
        <w:rPr>
          <w:rFonts w:hint="eastAsia" w:ascii="宋体" w:hAnsi="宋体" w:cs="宋体"/>
          <w:b/>
          <w:sz w:val="30"/>
        </w:rPr>
      </w:pPr>
    </w:p>
    <w:p>
      <w:pPr>
        <w:pStyle w:val="55"/>
        <w:spacing w:line="360" w:lineRule="auto"/>
        <w:jc w:val="center"/>
        <w:rPr>
          <w:rFonts w:hint="eastAsia" w:ascii="宋体" w:hAnsi="宋体" w:cs="宋体"/>
          <w:b/>
          <w:bCs/>
          <w:sz w:val="24"/>
        </w:rPr>
      </w:pPr>
    </w:p>
    <w:p>
      <w:pPr>
        <w:pStyle w:val="55"/>
        <w:spacing w:line="360" w:lineRule="auto"/>
        <w:jc w:val="center"/>
        <w:rPr>
          <w:rFonts w:hint="eastAsia" w:ascii="宋体" w:hAnsi="宋体" w:cs="宋体"/>
          <w:b/>
          <w:bCs/>
          <w:sz w:val="24"/>
        </w:rPr>
      </w:pPr>
    </w:p>
    <w:p>
      <w:pPr>
        <w:pStyle w:val="55"/>
        <w:spacing w:line="360" w:lineRule="auto"/>
        <w:jc w:val="center"/>
        <w:rPr>
          <w:rFonts w:hint="eastAsia" w:ascii="宋体" w:hAnsi="宋体" w:cs="宋体"/>
          <w:b/>
          <w:bCs/>
          <w:sz w:val="24"/>
        </w:rPr>
      </w:pPr>
    </w:p>
    <w:p>
      <w:pPr>
        <w:pStyle w:val="55"/>
        <w:spacing w:line="360" w:lineRule="auto"/>
        <w:ind w:firstLine="482" w:firstLineChars="200"/>
        <w:jc w:val="center"/>
        <w:rPr>
          <w:rFonts w:hint="eastAsia" w:ascii="宋体" w:hAnsi="宋体" w:cs="宋体"/>
          <w:b/>
          <w:bCs/>
          <w:sz w:val="24"/>
        </w:rPr>
        <w:sectPr>
          <w:pgSz w:w="11906" w:h="16838"/>
          <w:pgMar w:top="1474" w:right="1531" w:bottom="1474" w:left="1531" w:header="907" w:footer="907" w:gutter="0"/>
          <w:cols w:space="720" w:num="1"/>
          <w:docGrid w:linePitch="312" w:charSpace="0"/>
        </w:sectPr>
      </w:pPr>
    </w:p>
    <w:p>
      <w:pPr>
        <w:pStyle w:val="55"/>
        <w:spacing w:line="360" w:lineRule="auto"/>
        <w:ind w:firstLine="482" w:firstLineChars="200"/>
        <w:jc w:val="center"/>
        <w:rPr>
          <w:rFonts w:hint="eastAsia" w:ascii="宋体" w:hAnsi="宋体" w:cs="宋体"/>
          <w:b/>
          <w:bCs/>
          <w:sz w:val="24"/>
        </w:rPr>
      </w:pPr>
    </w:p>
    <w:p>
      <w:pPr>
        <w:pStyle w:val="55"/>
        <w:spacing w:line="360" w:lineRule="auto"/>
        <w:ind w:firstLine="482" w:firstLineChars="200"/>
        <w:jc w:val="center"/>
        <w:rPr>
          <w:rFonts w:hint="eastAsia" w:ascii="宋体" w:hAnsi="宋体" w:cs="宋体"/>
          <w:b/>
          <w:bCs/>
          <w:sz w:val="24"/>
        </w:rPr>
      </w:pPr>
      <w:r>
        <w:rPr>
          <w:rFonts w:hint="eastAsia" w:ascii="宋体" w:hAnsi="宋体" w:cs="宋体"/>
          <w:b/>
          <w:bCs/>
          <w:sz w:val="24"/>
        </w:rPr>
        <w:t>（6）信用承诺书。</w:t>
      </w:r>
    </w:p>
    <w:p>
      <w:pPr>
        <w:pStyle w:val="26"/>
        <w:ind w:firstLine="0" w:firstLineChars="0"/>
        <w:rPr>
          <w:rFonts w:hint="eastAsia" w:ascii="宋体" w:hAnsi="宋体" w:eastAsia="宋体" w:cs="宋体"/>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（投标单位）         </w:t>
      </w:r>
      <w:r>
        <w:rPr>
          <w:rFonts w:hint="eastAsia" w:ascii="宋体" w:hAnsi="宋体" w:cs="宋体"/>
          <w:sz w:val="24"/>
        </w:rPr>
        <w:t xml:space="preserve"> 现参加</w:t>
      </w:r>
      <w:r>
        <w:rPr>
          <w:rFonts w:hint="eastAsia" w:ascii="宋体" w:hAnsi="宋体" w:cs="宋体"/>
          <w:sz w:val="24"/>
          <w:u w:val="single"/>
        </w:rPr>
        <w:t xml:space="preserve">（采购项目）     </w:t>
      </w:r>
      <w:r>
        <w:rPr>
          <w:rFonts w:hint="eastAsia" w:ascii="宋体" w:hAnsi="宋体" w:cs="宋体"/>
          <w:sz w:val="24"/>
        </w:rPr>
        <w:t>政府采购活动，郑重承诺如下：</w:t>
      </w:r>
    </w:p>
    <w:p>
      <w:pPr>
        <w:spacing w:line="360" w:lineRule="auto"/>
        <w:ind w:firstLine="480" w:firstLineChars="200"/>
        <w:rPr>
          <w:rFonts w:hint="eastAsia" w:ascii="宋体" w:hAnsi="宋体" w:cs="宋体"/>
          <w:sz w:val="24"/>
        </w:rPr>
      </w:pPr>
      <w:r>
        <w:rPr>
          <w:rFonts w:hint="eastAsia" w:ascii="宋体" w:hAnsi="宋体" w:cs="宋体"/>
          <w:sz w:val="24"/>
        </w:rPr>
        <w:t>对所提供的资料合法性、真实性、准确性和有效性负责；</w:t>
      </w:r>
    </w:p>
    <w:p>
      <w:pPr>
        <w:spacing w:line="360" w:lineRule="auto"/>
        <w:ind w:firstLine="480" w:firstLineChars="200"/>
        <w:rPr>
          <w:rFonts w:hint="eastAsia" w:ascii="宋体" w:hAnsi="宋体" w:cs="宋体"/>
          <w:sz w:val="24"/>
        </w:rPr>
      </w:pPr>
      <w:r>
        <w:rPr>
          <w:rFonts w:hint="eastAsia" w:ascii="宋体" w:hAnsi="宋体" w:cs="宋体"/>
          <w:sz w:val="24"/>
        </w:rPr>
        <w:t>严格按照国家法律、法规和规章，依法开展相关经济活动，全面履行应尽的责任和义务；</w:t>
      </w:r>
    </w:p>
    <w:p>
      <w:pPr>
        <w:spacing w:line="360" w:lineRule="auto"/>
        <w:ind w:firstLine="480" w:firstLineChars="200"/>
        <w:rPr>
          <w:rFonts w:hint="eastAsia" w:ascii="宋体" w:hAnsi="宋体" w:cs="宋体"/>
          <w:sz w:val="24"/>
        </w:rPr>
      </w:pPr>
      <w:r>
        <w:rPr>
          <w:rFonts w:hint="eastAsia" w:ascii="宋体" w:hAnsi="宋体" w:cs="宋体"/>
          <w:sz w:val="24"/>
        </w:rPr>
        <w:t>加强自我约束、自我规范、自我管理，不制假售假、不虚假宣传、不违约毁约、不恶意逃债、不偷税漏税，诚信依法经营；</w:t>
      </w:r>
    </w:p>
    <w:p>
      <w:pPr>
        <w:spacing w:line="360" w:lineRule="auto"/>
        <w:ind w:firstLine="480" w:firstLineChars="200"/>
        <w:rPr>
          <w:rFonts w:hint="eastAsia" w:ascii="宋体" w:hAnsi="宋体" w:cs="宋体"/>
          <w:sz w:val="24"/>
        </w:rPr>
      </w:pPr>
      <w:r>
        <w:rPr>
          <w:rFonts w:hint="eastAsia" w:ascii="宋体" w:hAnsi="宋体" w:cs="宋体"/>
          <w:sz w:val="24"/>
        </w:rPr>
        <w:t>自愿接受行政主管部门的依法检查、违背承诺约定将自愿承担违约责任，并接受法律法规和相关部门规章制度的惩戒和约束；</w:t>
      </w:r>
    </w:p>
    <w:p>
      <w:pPr>
        <w:spacing w:line="360" w:lineRule="auto"/>
        <w:ind w:firstLine="360" w:firstLineChars="150"/>
        <w:rPr>
          <w:rFonts w:hint="eastAsia" w:ascii="宋体" w:hAnsi="宋体" w:cs="宋体"/>
          <w:sz w:val="24"/>
        </w:rPr>
      </w:pPr>
      <w:r>
        <w:rPr>
          <w:rFonts w:hint="eastAsia" w:ascii="宋体" w:hAnsi="宋体" w:cs="宋体"/>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统一社会信用代码：</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承诺单位/个人（盖章）</w:t>
      </w:r>
    </w:p>
    <w:p>
      <w:pPr>
        <w:spacing w:line="360" w:lineRule="auto"/>
        <w:rPr>
          <w:rFonts w:hint="eastAsia" w:ascii="宋体" w:hAnsi="宋体" w:cs="宋体"/>
        </w:rPr>
      </w:pPr>
      <w:r>
        <w:rPr>
          <w:rFonts w:hint="eastAsia" w:ascii="宋体" w:hAnsi="宋体" w:cs="宋体"/>
          <w:sz w:val="24"/>
        </w:rPr>
        <w:t>时间：2022年  月  日</w:t>
      </w:r>
    </w:p>
    <w:p>
      <w:pPr>
        <w:pStyle w:val="55"/>
        <w:spacing w:line="360" w:lineRule="auto"/>
        <w:jc w:val="center"/>
        <w:rPr>
          <w:rFonts w:hint="eastAsia" w:ascii="宋体" w:hAnsi="宋体" w:cs="宋体"/>
          <w:b/>
          <w:bCs/>
          <w:sz w:val="24"/>
        </w:rPr>
      </w:pPr>
    </w:p>
    <w:p>
      <w:pPr>
        <w:pStyle w:val="55"/>
        <w:spacing w:line="360" w:lineRule="auto"/>
        <w:jc w:val="center"/>
        <w:rPr>
          <w:rFonts w:hint="eastAsia" w:ascii="宋体" w:hAnsi="宋体" w:cs="宋体"/>
          <w:b/>
          <w:bCs/>
          <w:sz w:val="24"/>
        </w:rPr>
      </w:pPr>
    </w:p>
    <w:p>
      <w:pPr>
        <w:pStyle w:val="55"/>
        <w:spacing w:line="360" w:lineRule="auto"/>
        <w:rPr>
          <w:rFonts w:hint="eastAsia" w:ascii="宋体" w:hAnsi="宋体" w:cs="宋体"/>
          <w:b/>
          <w:bCs/>
          <w:sz w:val="24"/>
        </w:rPr>
        <w:sectPr>
          <w:pgSz w:w="11906" w:h="16838"/>
          <w:pgMar w:top="1474" w:right="1531" w:bottom="1474" w:left="1531" w:header="907" w:footer="907" w:gutter="0"/>
          <w:cols w:space="720" w:num="1"/>
          <w:docGrid w:linePitch="312" w:charSpace="0"/>
        </w:sect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r>
        <w:rPr>
          <w:rFonts w:hint="eastAsia" w:ascii="宋体" w:hAnsi="宋体" w:cs="宋体"/>
          <w:b/>
          <w:sz w:val="30"/>
        </w:rPr>
        <w:t>2、技术、商务、资信及其他文件目录</w:t>
      </w:r>
    </w:p>
    <w:p>
      <w:pPr>
        <w:snapToGrid w:val="0"/>
        <w:spacing w:before="120" w:beforeLines="50" w:after="50"/>
        <w:rPr>
          <w:rFonts w:hint="eastAsia" w:ascii="宋体" w:hAnsi="宋体" w:cs="宋体"/>
          <w:b/>
          <w:sz w:val="30"/>
        </w:rPr>
      </w:pPr>
    </w:p>
    <w:p>
      <w:pPr>
        <w:pStyle w:val="55"/>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1）评分索引表（格式见附件，主要用于评审委员会对应评分内容，包括商务部分、技术部分）；</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（2）对项目总体要求的理解；</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）技术方案；</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系统测试方案</w:t>
      </w:r>
      <w:r>
        <w:rPr>
          <w:rFonts w:hint="eastAsia" w:ascii="宋体" w:hAnsi="宋体" w:cs="宋体"/>
          <w:sz w:val="24"/>
        </w:rPr>
        <w:t>；</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）项目进度计划和保障措施；</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）项目人员</w:t>
      </w:r>
      <w:r>
        <w:rPr>
          <w:rFonts w:hint="eastAsia" w:ascii="宋体" w:hAnsi="宋体" w:cs="宋体"/>
          <w:sz w:val="24"/>
          <w:lang w:eastAsia="zh-CN"/>
        </w:rPr>
        <w:t>配备</w:t>
      </w:r>
      <w:r>
        <w:rPr>
          <w:rFonts w:hint="eastAsia" w:ascii="宋体" w:hAnsi="宋体" w:cs="宋体"/>
          <w:sz w:val="24"/>
        </w:rPr>
        <w:t>；</w:t>
      </w:r>
    </w:p>
    <w:p>
      <w:pPr>
        <w:pStyle w:val="55"/>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视频演示</w:t>
      </w:r>
      <w:r>
        <w:rPr>
          <w:rFonts w:hint="eastAsia" w:ascii="宋体" w:hAnsi="宋体" w:cs="宋体"/>
          <w:sz w:val="24"/>
          <w:lang w:eastAsia="zh-CN"/>
        </w:rPr>
        <w:t>；</w:t>
      </w:r>
    </w:p>
    <w:p>
      <w:pPr>
        <w:pStyle w:val="55"/>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b w:val="0"/>
          <w:bCs w:val="0"/>
          <w:sz w:val="24"/>
          <w:lang w:eastAsia="zh-CN"/>
        </w:rPr>
        <w:t>）</w:t>
      </w:r>
      <w:r>
        <w:rPr>
          <w:rFonts w:hint="eastAsia" w:ascii="宋体" w:hAnsi="宋体" w:cs="宋体"/>
          <w:b w:val="0"/>
          <w:bCs w:val="0"/>
          <w:sz w:val="24"/>
        </w:rPr>
        <w:t>服务保障及培训方案</w:t>
      </w:r>
      <w:r>
        <w:rPr>
          <w:rFonts w:hint="eastAsia" w:ascii="宋体" w:hAnsi="宋体" w:cs="宋体"/>
          <w:b w:val="0"/>
          <w:bCs w:val="0"/>
          <w:sz w:val="24"/>
          <w:lang w:eastAsia="zh-CN"/>
        </w:rPr>
        <w:t>；</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）商务响应表（格式见附件）；</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）投标供应商情况介绍；</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）投标声明书；</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）企业</w:t>
      </w:r>
      <w:r>
        <w:rPr>
          <w:rFonts w:hint="eastAsia" w:ascii="宋体" w:hAnsi="宋体" w:cs="宋体"/>
          <w:sz w:val="24"/>
          <w:lang w:eastAsia="zh-CN"/>
        </w:rPr>
        <w:t>综合</w:t>
      </w:r>
      <w:r>
        <w:rPr>
          <w:rFonts w:hint="eastAsia" w:ascii="宋体" w:hAnsi="宋体" w:cs="宋体"/>
          <w:sz w:val="24"/>
        </w:rPr>
        <w:t>实力；</w:t>
      </w:r>
    </w:p>
    <w:p>
      <w:pPr>
        <w:pStyle w:val="55"/>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）企业业绩；</w:t>
      </w:r>
    </w:p>
    <w:p>
      <w:pPr>
        <w:snapToGrid w:val="0"/>
        <w:spacing w:line="420" w:lineRule="exact"/>
        <w:ind w:firstLine="470" w:firstLineChars="196"/>
        <w:jc w:val="left"/>
        <w:rPr>
          <w:rFonts w:hint="eastAsia" w:ascii="宋体" w:hAnsi="宋体" w:cs="宋体"/>
          <w:color w:val="000000"/>
          <w:sz w:val="24"/>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snapToGrid w:val="0"/>
        <w:spacing w:before="120" w:beforeLines="50" w:after="50"/>
        <w:rPr>
          <w:rFonts w:hint="eastAsia" w:ascii="宋体" w:hAnsi="宋体" w:cs="宋体"/>
          <w:b/>
          <w:sz w:val="30"/>
        </w:rPr>
      </w:pPr>
    </w:p>
    <w:p>
      <w:pPr>
        <w:pStyle w:val="26"/>
        <w:ind w:left="0" w:leftChars="0" w:firstLine="0" w:firstLineChars="0"/>
        <w:rPr>
          <w:rFonts w:hint="eastAsia" w:ascii="宋体" w:hAnsi="宋体" w:eastAsia="宋体" w:cs="宋体"/>
          <w:b/>
        </w:rPr>
      </w:pPr>
    </w:p>
    <w:p>
      <w:pPr>
        <w:rPr>
          <w:rFonts w:hint="eastAsia"/>
        </w:rPr>
      </w:pPr>
    </w:p>
    <w:p>
      <w:pPr>
        <w:pStyle w:val="26"/>
        <w:ind w:firstLine="0" w:firstLineChars="0"/>
        <w:rPr>
          <w:rFonts w:hint="eastAsia" w:ascii="宋体" w:hAnsi="宋体" w:eastAsia="宋体" w:cs="宋体"/>
          <w:b/>
        </w:rPr>
      </w:pPr>
    </w:p>
    <w:p>
      <w:pPr>
        <w:pStyle w:val="18"/>
        <w:snapToGrid w:val="0"/>
        <w:jc w:val="center"/>
        <w:rPr>
          <w:rFonts w:hint="eastAsia" w:ascii="宋体" w:hAnsi="宋体" w:eastAsia="宋体" w:cs="宋体"/>
          <w:b/>
          <w:sz w:val="24"/>
        </w:rPr>
      </w:pPr>
      <w:r>
        <w:rPr>
          <w:rFonts w:hint="eastAsia" w:ascii="宋体" w:hAnsi="宋体" w:eastAsia="宋体" w:cs="宋体"/>
          <w:b/>
          <w:sz w:val="24"/>
        </w:rPr>
        <w:t>（1）评分索引表</w:t>
      </w:r>
    </w:p>
    <w:p>
      <w:pPr>
        <w:pStyle w:val="18"/>
        <w:snapToGrid w:val="0"/>
        <w:rPr>
          <w:rFonts w:hint="eastAsia" w:ascii="宋体" w:hAnsi="宋体" w:eastAsia="宋体" w:cs="宋体"/>
          <w:sz w:val="24"/>
          <w:szCs w:val="24"/>
        </w:rPr>
      </w:pPr>
      <w:r>
        <w:rPr>
          <w:rFonts w:hint="eastAsia" w:ascii="宋体" w:hAnsi="宋体" w:eastAsia="宋体" w:cs="宋体"/>
          <w:sz w:val="24"/>
          <w:szCs w:val="24"/>
        </w:rPr>
        <w:t xml:space="preserve"> 投标供应商全称（公章）：              </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340"/>
        <w:gridCol w:w="3081"/>
        <w:gridCol w:w="1317"/>
        <w:gridCol w:w="1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r>
              <w:rPr>
                <w:rFonts w:hint="eastAsia" w:ascii="宋体" w:hAnsi="宋体" w:cs="宋体"/>
                <w:sz w:val="24"/>
              </w:rPr>
              <w:t>评分项目</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r>
              <w:rPr>
                <w:rFonts w:hint="eastAsia" w:ascii="宋体" w:hAnsi="宋体" w:cs="宋体"/>
                <w:sz w:val="24"/>
              </w:rPr>
              <w:t>投标文件对应资料</w:t>
            </w: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sz w:val="24"/>
              </w:rPr>
            </w:pPr>
            <w:r>
              <w:rPr>
                <w:rFonts w:hint="eastAsia" w:ascii="宋体" w:hAnsi="宋体" w:cs="宋体"/>
                <w:sz w:val="24"/>
              </w:rPr>
              <w:t>自评分</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r>
              <w:rPr>
                <w:rFonts w:hint="eastAsia" w:ascii="宋体" w:hAnsi="宋体" w:cs="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sz w:val="24"/>
              </w:rPr>
            </w:pPr>
            <w:r>
              <w:rPr>
                <w:rFonts w:hint="eastAsia" w:ascii="宋体" w:hAnsi="宋体" w:cs="宋体"/>
                <w:sz w:val="24"/>
              </w:rPr>
              <w:t>对应第四章评分办法及评分标准（报价除外）</w:t>
            </w:r>
          </w:p>
        </w:tc>
        <w:tc>
          <w:tcPr>
            <w:tcW w:w="3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sz w:val="24"/>
              </w:rPr>
            </w:pPr>
            <w:r>
              <w:rPr>
                <w:rFonts w:hint="eastAsia" w:ascii="宋体" w:hAnsi="宋体" w:cs="宋体"/>
                <w:sz w:val="24"/>
              </w:rPr>
              <w:t>……</w:t>
            </w:r>
          </w:p>
        </w:tc>
        <w:tc>
          <w:tcPr>
            <w:tcW w:w="3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sz w:val="24"/>
              </w:rPr>
            </w:pPr>
          </w:p>
        </w:tc>
        <w:tc>
          <w:tcPr>
            <w:tcW w:w="3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sz w:val="24"/>
              </w:rPr>
            </w:pPr>
          </w:p>
        </w:tc>
        <w:tc>
          <w:tcPr>
            <w:tcW w:w="3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sz w:val="24"/>
              </w:rPr>
            </w:pPr>
          </w:p>
        </w:tc>
        <w:tc>
          <w:tcPr>
            <w:tcW w:w="3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sz w:val="24"/>
              </w:rPr>
            </w:pPr>
          </w:p>
        </w:tc>
        <w:tc>
          <w:tcPr>
            <w:tcW w:w="3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sz w:val="24"/>
              </w:rPr>
            </w:pPr>
          </w:p>
        </w:tc>
        <w:tc>
          <w:tcPr>
            <w:tcW w:w="3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sz w:val="24"/>
              </w:rPr>
            </w:pPr>
          </w:p>
        </w:tc>
        <w:tc>
          <w:tcPr>
            <w:tcW w:w="3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4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sz w:val="24"/>
              </w:rPr>
            </w:pPr>
          </w:p>
        </w:tc>
        <w:tc>
          <w:tcPr>
            <w:tcW w:w="308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sz w:val="24"/>
              </w:rPr>
            </w:pPr>
          </w:p>
        </w:tc>
      </w:tr>
    </w:tbl>
    <w:p>
      <w:pPr>
        <w:snapToGrid w:val="0"/>
        <w:spacing w:before="120" w:beforeLines="50"/>
        <w:rPr>
          <w:rFonts w:hint="eastAsia" w:ascii="宋体" w:hAnsi="宋体" w:cs="宋体"/>
          <w:sz w:val="24"/>
        </w:rPr>
      </w:pPr>
      <w:r>
        <w:rPr>
          <w:rFonts w:hint="eastAsia" w:ascii="宋体" w:hAnsi="宋体" w:cs="宋体"/>
          <w:sz w:val="24"/>
        </w:rPr>
        <w:t xml:space="preserve">               日期：</w:t>
      </w:r>
    </w:p>
    <w:p>
      <w:pPr>
        <w:spacing w:line="360" w:lineRule="auto"/>
        <w:ind w:firstLine="482" w:firstLineChars="200"/>
        <w:jc w:val="center"/>
        <w:rPr>
          <w:rFonts w:hint="eastAsia" w:ascii="宋体" w:hAnsi="宋体" w:cs="宋体"/>
          <w:b/>
          <w:sz w:val="24"/>
        </w:rPr>
      </w:pPr>
    </w:p>
    <w:p>
      <w:pPr>
        <w:pStyle w:val="26"/>
        <w:ind w:firstLine="240"/>
        <w:rPr>
          <w:rFonts w:hint="eastAsia" w:ascii="宋体" w:hAnsi="宋体" w:eastAsia="宋体" w:cs="宋体"/>
        </w:rPr>
      </w:pPr>
    </w:p>
    <w:p>
      <w:pPr>
        <w:pStyle w:val="26"/>
        <w:ind w:firstLine="240"/>
        <w:rPr>
          <w:rFonts w:hint="eastAsia" w:ascii="宋体" w:hAnsi="宋体" w:eastAsia="宋体" w:cs="宋体"/>
        </w:rPr>
      </w:pPr>
    </w:p>
    <w:p>
      <w:pPr>
        <w:pStyle w:val="15"/>
        <w:spacing w:line="360" w:lineRule="auto"/>
        <w:ind w:firstLine="0"/>
        <w:rPr>
          <w:rFonts w:hint="eastAsia" w:hAnsi="宋体" w:cs="宋体"/>
          <w:sz w:val="24"/>
          <w:szCs w:val="24"/>
        </w:rPr>
      </w:pPr>
      <w:r>
        <w:rPr>
          <w:rFonts w:hint="eastAsia" w:hAnsi="宋体" w:cs="宋体"/>
          <w:spacing w:val="20"/>
          <w:sz w:val="24"/>
        </w:rPr>
        <w:t>投标供应商（盖章）：</w:t>
      </w:r>
      <w:r>
        <w:rPr>
          <w:rFonts w:hint="eastAsia" w:hAnsi="宋体" w:cs="宋体"/>
          <w:spacing w:val="20"/>
          <w:sz w:val="24"/>
          <w:u w:val="single"/>
        </w:rPr>
        <w:t xml:space="preserve">            </w:t>
      </w:r>
    </w:p>
    <w:p>
      <w:pPr>
        <w:pStyle w:val="15"/>
        <w:spacing w:line="360" w:lineRule="auto"/>
        <w:ind w:firstLine="0"/>
        <w:rPr>
          <w:rFonts w:hint="eastAsia" w:hAnsi="宋体" w:cs="宋体"/>
          <w:spacing w:val="20"/>
          <w:sz w:val="24"/>
          <w:u w:val="single"/>
        </w:rPr>
      </w:pPr>
      <w:r>
        <w:rPr>
          <w:rFonts w:hint="eastAsia" w:hAnsi="宋体" w:cs="宋体"/>
          <w:sz w:val="24"/>
          <w:szCs w:val="24"/>
        </w:rPr>
        <w:t>法定代表人或其授权代表</w:t>
      </w:r>
      <w:r>
        <w:rPr>
          <w:rFonts w:hint="eastAsia" w:hAnsi="宋体" w:cs="宋体"/>
          <w:sz w:val="24"/>
        </w:rPr>
        <w:t>（签字或盖章）</w:t>
      </w:r>
      <w:r>
        <w:rPr>
          <w:rFonts w:hint="eastAsia" w:hAnsi="宋体" w:cs="宋体"/>
          <w:spacing w:val="20"/>
          <w:sz w:val="24"/>
        </w:rPr>
        <w:t>：</w:t>
      </w:r>
      <w:r>
        <w:rPr>
          <w:rFonts w:hint="eastAsia" w:hAnsi="宋体" w:cs="宋体"/>
          <w:spacing w:val="20"/>
          <w:sz w:val="24"/>
          <w:u w:val="single"/>
        </w:rPr>
        <w:t xml:space="preserve">            </w:t>
      </w:r>
    </w:p>
    <w:p>
      <w:pPr>
        <w:spacing w:line="360" w:lineRule="auto"/>
        <w:rPr>
          <w:rFonts w:hint="eastAsia" w:ascii="宋体" w:hAnsi="宋体" w:cs="宋体"/>
          <w:spacing w:val="20"/>
          <w:sz w:val="24"/>
        </w:rPr>
      </w:pPr>
      <w:r>
        <w:rPr>
          <w:rFonts w:hint="eastAsia" w:ascii="宋体" w:hAnsi="宋体" w:cs="宋体"/>
          <w:spacing w:val="20"/>
          <w:sz w:val="24"/>
        </w:rPr>
        <w:t xml:space="preserve">          </w:t>
      </w:r>
    </w:p>
    <w:p>
      <w:pPr>
        <w:spacing w:line="360" w:lineRule="auto"/>
        <w:ind w:firstLine="5740" w:firstLineChars="2050"/>
        <w:rPr>
          <w:rFonts w:hint="eastAsia" w:ascii="宋体" w:hAnsi="宋体" w:cs="宋体"/>
          <w:b/>
          <w:bCs/>
          <w:sz w:val="24"/>
        </w:rPr>
      </w:pPr>
      <w:r>
        <w:rPr>
          <w:rFonts w:hint="eastAsia" w:ascii="宋体" w:hAnsi="宋体" w:cs="宋体"/>
          <w:spacing w:val="20"/>
          <w:sz w:val="24"/>
        </w:rPr>
        <w:t xml:space="preserve">  年  月  日</w:t>
      </w:r>
    </w:p>
    <w:p>
      <w:pPr>
        <w:pStyle w:val="26"/>
        <w:ind w:firstLine="240"/>
        <w:rPr>
          <w:rFonts w:hint="eastAsia" w:ascii="宋体" w:hAnsi="宋体" w:eastAsia="宋体" w:cs="宋体"/>
        </w:rPr>
      </w:pPr>
    </w:p>
    <w:p>
      <w:pPr>
        <w:spacing w:line="360" w:lineRule="auto"/>
        <w:ind w:left="2" w:firstLine="480" w:firstLineChars="200"/>
        <w:rPr>
          <w:rFonts w:hint="eastAsia" w:ascii="宋体" w:hAnsi="宋体" w:cs="宋体"/>
          <w:sz w:val="24"/>
        </w:rPr>
      </w:pPr>
    </w:p>
    <w:p>
      <w:pPr>
        <w:spacing w:line="360" w:lineRule="auto"/>
        <w:ind w:left="2" w:firstLine="480" w:firstLineChars="200"/>
        <w:rPr>
          <w:rFonts w:hint="eastAsia" w:ascii="宋体" w:hAnsi="宋体" w:cs="宋体"/>
          <w:sz w:val="24"/>
        </w:rPr>
      </w:pPr>
    </w:p>
    <w:p>
      <w:pPr>
        <w:spacing w:line="360" w:lineRule="auto"/>
        <w:ind w:left="2" w:firstLine="480" w:firstLineChars="200"/>
        <w:rPr>
          <w:rFonts w:hint="eastAsia" w:ascii="宋体" w:hAnsi="宋体" w:cs="宋体"/>
          <w:sz w:val="24"/>
        </w:rPr>
      </w:pPr>
    </w:p>
    <w:p>
      <w:pPr>
        <w:pStyle w:val="55"/>
        <w:spacing w:line="360" w:lineRule="auto"/>
        <w:jc w:val="both"/>
        <w:rPr>
          <w:rFonts w:hint="eastAsia" w:ascii="宋体" w:hAnsi="宋体" w:eastAsia="宋体" w:cs="宋体"/>
          <w:b/>
          <w:bCs/>
          <w:sz w:val="24"/>
        </w:rPr>
      </w:pPr>
    </w:p>
    <w:p>
      <w:pPr>
        <w:pStyle w:val="55"/>
        <w:spacing w:line="360" w:lineRule="auto"/>
        <w:jc w:val="both"/>
        <w:rPr>
          <w:rFonts w:hint="eastAsia" w:ascii="宋体" w:hAnsi="宋体" w:eastAsia="宋体" w:cs="宋体"/>
          <w:b/>
          <w:bCs/>
          <w:sz w:val="24"/>
        </w:rPr>
      </w:pPr>
      <w:r>
        <w:rPr>
          <w:rFonts w:hint="eastAsia" w:ascii="宋体" w:hAnsi="宋体" w:eastAsia="宋体" w:cs="宋体"/>
          <w:b/>
          <w:bCs/>
          <w:sz w:val="24"/>
        </w:rPr>
        <w:t>（2）对项目总体要求的理解；</w:t>
      </w:r>
    </w:p>
    <w:p>
      <w:pPr>
        <w:pStyle w:val="55"/>
        <w:spacing w:line="360" w:lineRule="auto"/>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（3）技术方案；</w:t>
      </w:r>
    </w:p>
    <w:p>
      <w:pPr>
        <w:pStyle w:val="55"/>
        <w:spacing w:line="360" w:lineRule="auto"/>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（4）系统测试方案；</w:t>
      </w:r>
    </w:p>
    <w:p>
      <w:pPr>
        <w:pStyle w:val="55"/>
        <w:spacing w:line="360" w:lineRule="auto"/>
        <w:jc w:val="both"/>
        <w:rPr>
          <w:rFonts w:hint="eastAsia" w:ascii="宋体" w:hAnsi="宋体" w:eastAsia="宋体" w:cs="宋体"/>
          <w:b/>
          <w:bCs/>
          <w:sz w:val="24"/>
        </w:rPr>
      </w:pPr>
      <w:r>
        <w:rPr>
          <w:rFonts w:hint="eastAsia" w:ascii="宋体" w:hAnsi="宋体" w:eastAsia="宋体" w:cs="宋体"/>
          <w:b/>
          <w:bCs/>
          <w:sz w:val="24"/>
          <w:lang w:val="en-US" w:eastAsia="zh-CN"/>
        </w:rPr>
        <w:t>（5）项目进度计划和保障措施；</w:t>
      </w:r>
    </w:p>
    <w:p>
      <w:pPr>
        <w:pStyle w:val="55"/>
        <w:spacing w:line="360" w:lineRule="auto"/>
        <w:jc w:val="both"/>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6</w:t>
      </w:r>
      <w:r>
        <w:rPr>
          <w:rFonts w:hint="eastAsia" w:ascii="宋体" w:hAnsi="宋体" w:eastAsia="宋体" w:cs="宋体"/>
          <w:b/>
          <w:bCs/>
          <w:sz w:val="24"/>
        </w:rPr>
        <w:t>）项目人员</w:t>
      </w:r>
      <w:r>
        <w:rPr>
          <w:rFonts w:hint="eastAsia" w:ascii="宋体" w:hAnsi="宋体" w:eastAsia="宋体" w:cs="宋体"/>
          <w:b/>
          <w:bCs/>
          <w:sz w:val="24"/>
          <w:lang w:eastAsia="zh-CN"/>
        </w:rPr>
        <w:t>配备</w:t>
      </w:r>
      <w:r>
        <w:rPr>
          <w:rFonts w:hint="eastAsia" w:ascii="宋体" w:hAnsi="宋体" w:eastAsia="宋体" w:cs="宋体"/>
          <w:b/>
          <w:bCs/>
          <w:sz w:val="24"/>
        </w:rPr>
        <w:t>；</w:t>
      </w:r>
    </w:p>
    <w:p>
      <w:pPr>
        <w:pStyle w:val="55"/>
        <w:spacing w:line="360" w:lineRule="auto"/>
        <w:jc w:val="center"/>
        <w:rPr>
          <w:rFonts w:hint="eastAsia" w:ascii="宋体" w:hAnsi="宋体" w:cs="宋体"/>
          <w:sz w:val="24"/>
        </w:rPr>
      </w:pPr>
      <w:r>
        <w:rPr>
          <w:rFonts w:hint="eastAsia" w:ascii="宋体" w:hAnsi="宋体" w:cs="宋体"/>
          <w:b/>
          <w:bCs/>
          <w:sz w:val="24"/>
        </w:rPr>
        <w:t>项目实施人员一览表</w:t>
      </w:r>
    </w:p>
    <w:p>
      <w:pPr>
        <w:spacing w:line="360" w:lineRule="auto"/>
        <w:jc w:val="left"/>
        <w:rPr>
          <w:rFonts w:hint="eastAsia" w:ascii="宋体" w:hAnsi="宋体" w:cs="宋体"/>
          <w:sz w:val="24"/>
        </w:rPr>
      </w:pPr>
      <w:r>
        <w:rPr>
          <w:rFonts w:hint="eastAsia" w:ascii="宋体" w:hAnsi="宋体" w:cs="宋体"/>
          <w:sz w:val="24"/>
        </w:rPr>
        <w:t>项目编号：</w:t>
      </w:r>
    </w:p>
    <w:tbl>
      <w:tblPr>
        <w:tblStyle w:val="62"/>
        <w:tblW w:w="92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8"/>
        <w:gridCol w:w="1986"/>
        <w:gridCol w:w="2156"/>
        <w:gridCol w:w="1556"/>
        <w:gridCol w:w="2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姓名</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拟任本项目职务</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持何种资格证件</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发证时间</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21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21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2156"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beforeLines="50" w:after="50" w:line="360" w:lineRule="auto"/>
              <w:ind w:left="5250"/>
              <w:rPr>
                <w:rFonts w:hint="eastAsia" w:ascii="宋体" w:hAnsi="宋体" w:cs="宋体"/>
                <w:szCs w:val="24"/>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21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rPr>
            </w:pPr>
          </w:p>
        </w:tc>
      </w:tr>
    </w:tbl>
    <w:p>
      <w:pPr>
        <w:snapToGrid w:val="0"/>
        <w:spacing w:before="50" w:after="120" w:afterLines="50" w:line="360" w:lineRule="auto"/>
        <w:rPr>
          <w:rFonts w:hint="eastAsia" w:ascii="宋体" w:hAnsi="宋体" w:cs="宋体"/>
          <w:spacing w:val="20"/>
          <w:sz w:val="24"/>
        </w:rPr>
      </w:pPr>
      <w:r>
        <w:rPr>
          <w:rFonts w:hint="eastAsia" w:ascii="宋体" w:hAnsi="宋体" w:cs="宋体"/>
          <w:sz w:val="24"/>
        </w:rPr>
        <w:t>注： 在填写时，如本表格不适合投标单位的实际情况，可根据本表格式自行划表填写。</w:t>
      </w:r>
      <w:r>
        <w:rPr>
          <w:rFonts w:hint="eastAsia" w:ascii="宋体" w:hAnsi="宋体" w:cs="宋体"/>
          <w:spacing w:val="20"/>
          <w:sz w:val="24"/>
        </w:rPr>
        <w:t>附人员证书、社保证明等相关材料。</w:t>
      </w:r>
    </w:p>
    <w:p>
      <w:pPr>
        <w:pStyle w:val="15"/>
        <w:spacing w:line="360" w:lineRule="auto"/>
        <w:ind w:firstLine="0"/>
        <w:rPr>
          <w:rFonts w:hint="eastAsia" w:hAnsi="宋体" w:cs="宋体"/>
          <w:spacing w:val="20"/>
          <w:sz w:val="24"/>
        </w:rPr>
      </w:pPr>
    </w:p>
    <w:p>
      <w:pPr>
        <w:pStyle w:val="15"/>
        <w:spacing w:line="360" w:lineRule="auto"/>
        <w:ind w:firstLine="0"/>
        <w:rPr>
          <w:rFonts w:hint="eastAsia" w:hAnsi="宋体" w:cs="宋体"/>
          <w:sz w:val="24"/>
          <w:szCs w:val="24"/>
        </w:rPr>
      </w:pPr>
      <w:r>
        <w:rPr>
          <w:rFonts w:hint="eastAsia" w:hAnsi="宋体" w:cs="宋体"/>
          <w:spacing w:val="20"/>
          <w:sz w:val="24"/>
        </w:rPr>
        <w:t>投标供应商（盖章）：</w:t>
      </w:r>
      <w:r>
        <w:rPr>
          <w:rFonts w:hint="eastAsia" w:hAnsi="宋体" w:cs="宋体"/>
          <w:spacing w:val="20"/>
          <w:sz w:val="24"/>
          <w:u w:val="single"/>
        </w:rPr>
        <w:t xml:space="preserve">            </w:t>
      </w:r>
    </w:p>
    <w:p>
      <w:pPr>
        <w:pStyle w:val="15"/>
        <w:spacing w:line="360" w:lineRule="auto"/>
        <w:ind w:firstLine="0"/>
        <w:rPr>
          <w:rFonts w:hint="eastAsia" w:hAnsi="宋体" w:cs="宋体"/>
          <w:spacing w:val="20"/>
          <w:sz w:val="24"/>
          <w:u w:val="single"/>
        </w:rPr>
      </w:pPr>
      <w:r>
        <w:rPr>
          <w:rFonts w:hint="eastAsia" w:hAnsi="宋体" w:cs="宋体"/>
          <w:sz w:val="24"/>
          <w:szCs w:val="24"/>
        </w:rPr>
        <w:t>法定代表人或其授权代表</w:t>
      </w:r>
      <w:r>
        <w:rPr>
          <w:rFonts w:hint="eastAsia" w:hAnsi="宋体" w:cs="宋体"/>
          <w:sz w:val="24"/>
        </w:rPr>
        <w:t>（签字或盖章）</w:t>
      </w:r>
      <w:r>
        <w:rPr>
          <w:rFonts w:hint="eastAsia" w:hAnsi="宋体" w:cs="宋体"/>
          <w:spacing w:val="20"/>
          <w:sz w:val="24"/>
        </w:rPr>
        <w:t>：</w:t>
      </w:r>
      <w:r>
        <w:rPr>
          <w:rFonts w:hint="eastAsia" w:hAnsi="宋体" w:cs="宋体"/>
          <w:spacing w:val="20"/>
          <w:sz w:val="24"/>
          <w:u w:val="single"/>
        </w:rPr>
        <w:t xml:space="preserve">            </w:t>
      </w:r>
    </w:p>
    <w:p>
      <w:pPr>
        <w:spacing w:line="360" w:lineRule="auto"/>
        <w:rPr>
          <w:rFonts w:hint="eastAsia" w:ascii="宋体" w:hAnsi="宋体" w:cs="宋体"/>
          <w:spacing w:val="20"/>
          <w:sz w:val="24"/>
        </w:rPr>
      </w:pPr>
      <w:r>
        <w:rPr>
          <w:rFonts w:hint="eastAsia" w:ascii="宋体" w:hAnsi="宋体" w:cs="宋体"/>
          <w:spacing w:val="20"/>
          <w:sz w:val="24"/>
        </w:rPr>
        <w:t xml:space="preserve">          </w:t>
      </w:r>
    </w:p>
    <w:p>
      <w:pPr>
        <w:spacing w:line="360" w:lineRule="auto"/>
        <w:ind w:firstLine="5740" w:firstLineChars="2050"/>
        <w:rPr>
          <w:rFonts w:hint="eastAsia" w:ascii="宋体" w:hAnsi="宋体" w:cs="宋体"/>
          <w:sz w:val="24"/>
        </w:rPr>
      </w:pPr>
      <w:r>
        <w:rPr>
          <w:rFonts w:hint="eastAsia" w:ascii="宋体" w:hAnsi="宋体" w:cs="宋体"/>
          <w:spacing w:val="20"/>
          <w:sz w:val="24"/>
        </w:rPr>
        <w:t xml:space="preserve">  年  月  日</w:t>
      </w:r>
    </w:p>
    <w:p>
      <w:pPr>
        <w:pStyle w:val="55"/>
        <w:spacing w:line="360" w:lineRule="auto"/>
        <w:jc w:val="both"/>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7</w:t>
      </w:r>
      <w:r>
        <w:rPr>
          <w:rFonts w:hint="eastAsia" w:ascii="宋体" w:hAnsi="宋体" w:cs="宋体"/>
          <w:b/>
          <w:bCs/>
          <w:sz w:val="24"/>
        </w:rPr>
        <w:t>）视频演示；</w:t>
      </w:r>
    </w:p>
    <w:p>
      <w:pPr>
        <w:rPr>
          <w:rFonts w:hint="eastAsia" w:ascii="宋体" w:hAnsi="宋体" w:cs="宋体"/>
          <w:sz w:val="24"/>
        </w:rPr>
      </w:pPr>
    </w:p>
    <w:p>
      <w:pPr>
        <w:pStyle w:val="55"/>
        <w:spacing w:line="360" w:lineRule="auto"/>
        <w:jc w:val="both"/>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8</w:t>
      </w:r>
      <w:r>
        <w:rPr>
          <w:rFonts w:hint="eastAsia" w:ascii="宋体" w:hAnsi="宋体" w:cs="宋体"/>
          <w:b/>
          <w:bCs/>
          <w:sz w:val="24"/>
        </w:rPr>
        <w:t>）服务保障及培训方案；</w:t>
      </w:r>
    </w:p>
    <w:p>
      <w:pPr>
        <w:pStyle w:val="55"/>
        <w:spacing w:line="360" w:lineRule="auto"/>
        <w:ind w:firstLine="482" w:firstLineChars="200"/>
        <w:jc w:val="center"/>
        <w:rPr>
          <w:rFonts w:hint="eastAsia" w:ascii="宋体" w:hAnsi="宋体" w:cs="宋体"/>
          <w:b/>
          <w:bCs/>
          <w:sz w:val="24"/>
        </w:rPr>
      </w:pPr>
    </w:p>
    <w:p>
      <w:pPr>
        <w:pStyle w:val="55"/>
        <w:spacing w:line="360" w:lineRule="auto"/>
        <w:ind w:firstLine="482" w:firstLineChars="200"/>
        <w:jc w:val="center"/>
        <w:rPr>
          <w:rFonts w:hint="eastAsia" w:ascii="宋体" w:hAnsi="宋体" w:cs="宋体"/>
          <w:spacing w:val="20"/>
          <w:sz w:val="24"/>
        </w:rPr>
      </w:pPr>
      <w:r>
        <w:rPr>
          <w:rFonts w:hint="eastAsia" w:ascii="宋体" w:hAnsi="宋体" w:cs="宋体"/>
          <w:b/>
          <w:bCs/>
          <w:sz w:val="24"/>
        </w:rPr>
        <w:br w:type="page"/>
      </w:r>
      <w:r>
        <w:rPr>
          <w:rFonts w:hint="eastAsia" w:ascii="宋体" w:hAnsi="宋体" w:cs="宋体"/>
          <w:b/>
          <w:bCs/>
          <w:sz w:val="24"/>
        </w:rPr>
        <w:t>（</w:t>
      </w:r>
      <w:r>
        <w:rPr>
          <w:rFonts w:hint="eastAsia" w:ascii="宋体" w:hAnsi="宋体" w:cs="宋体"/>
          <w:b/>
          <w:bCs/>
          <w:sz w:val="24"/>
          <w:lang w:val="en-US" w:eastAsia="zh-CN"/>
        </w:rPr>
        <w:t>9</w:t>
      </w:r>
      <w:r>
        <w:rPr>
          <w:rFonts w:hint="eastAsia" w:ascii="宋体" w:hAnsi="宋体" w:cs="宋体"/>
          <w:b/>
          <w:bCs/>
          <w:sz w:val="24"/>
        </w:rPr>
        <w:t>）商务响应表</w:t>
      </w:r>
    </w:p>
    <w:p>
      <w:pPr>
        <w:pStyle w:val="55"/>
        <w:spacing w:line="360" w:lineRule="auto"/>
        <w:ind w:left="420" w:leftChars="200"/>
        <w:rPr>
          <w:rFonts w:hint="eastAsia" w:ascii="宋体" w:hAnsi="宋体" w:cs="宋体"/>
          <w:b/>
          <w:bCs/>
          <w:sz w:val="24"/>
        </w:rPr>
      </w:pPr>
      <w:r>
        <w:rPr>
          <w:rFonts w:hint="eastAsia" w:ascii="宋体" w:hAnsi="宋体" w:cs="宋体"/>
          <w:b/>
          <w:bCs/>
          <w:sz w:val="24"/>
        </w:rPr>
        <w:t>项目名称：                                项目编号：</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9"/>
        <w:gridCol w:w="4884"/>
        <w:gridCol w:w="1215"/>
        <w:gridCol w:w="15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cs="宋体"/>
                <w:sz w:val="24"/>
                <w:szCs w:val="20"/>
              </w:rPr>
            </w:pPr>
            <w:r>
              <w:rPr>
                <w:rFonts w:hint="eastAsia" w:ascii="宋体" w:hAnsi="宋体" w:cs="宋体"/>
                <w:sz w:val="24"/>
              </w:rPr>
              <w:t>项目</w:t>
            </w:r>
          </w:p>
        </w:tc>
        <w:tc>
          <w:tcPr>
            <w:tcW w:w="4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hint="eastAsia" w:ascii="宋体" w:hAnsi="宋体" w:cs="宋体"/>
                <w:sz w:val="24"/>
                <w:szCs w:val="20"/>
              </w:rPr>
            </w:pPr>
            <w:r>
              <w:rPr>
                <w:rFonts w:hint="eastAsia" w:ascii="宋体" w:hAnsi="宋体" w:cs="宋体"/>
                <w:sz w:val="24"/>
              </w:rPr>
              <w:t>采购文件要求</w:t>
            </w:r>
          </w:p>
        </w:tc>
        <w:tc>
          <w:tcPr>
            <w:tcW w:w="12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hint="eastAsia" w:ascii="宋体" w:hAnsi="宋体" w:cs="宋体"/>
                <w:sz w:val="24"/>
                <w:szCs w:val="20"/>
              </w:rPr>
            </w:pPr>
            <w:r>
              <w:rPr>
                <w:rFonts w:hint="eastAsia" w:ascii="宋体" w:hAnsi="宋体" w:cs="宋体"/>
                <w:sz w:val="24"/>
              </w:rPr>
              <w:t>是否响应</w:t>
            </w:r>
          </w:p>
        </w:tc>
        <w:tc>
          <w:tcPr>
            <w:tcW w:w="15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jc w:val="center"/>
              <w:textAlignment w:val="auto"/>
              <w:rPr>
                <w:rFonts w:hint="eastAsia" w:ascii="宋体" w:hAnsi="宋体" w:cs="宋体"/>
                <w:sz w:val="24"/>
                <w:szCs w:val="20"/>
              </w:rPr>
            </w:pPr>
            <w:r>
              <w:rPr>
                <w:rFonts w:hint="eastAsia" w:ascii="宋体" w:hAnsi="宋体" w:cs="宋体"/>
                <w:sz w:val="24"/>
              </w:rPr>
              <w:t>投标供应商的承诺或说明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sz w:val="24"/>
                <w:szCs w:val="20"/>
                <w:lang w:eastAsia="zh-CN"/>
              </w:rPr>
            </w:pPr>
            <w:r>
              <w:rPr>
                <w:rFonts w:hint="eastAsia" w:ascii="宋体" w:hAnsi="宋体" w:cs="宋体"/>
                <w:sz w:val="24"/>
                <w:szCs w:val="20"/>
                <w:lang w:eastAsia="zh-CN"/>
              </w:rPr>
              <w:t>工期</w:t>
            </w:r>
          </w:p>
        </w:tc>
        <w:tc>
          <w:tcPr>
            <w:tcW w:w="488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val="0"/>
              <w:snapToGrid/>
              <w:spacing w:line="320" w:lineRule="exact"/>
              <w:ind w:firstLine="465"/>
              <w:textAlignment w:val="auto"/>
              <w:rPr>
                <w:rFonts w:hAnsi="宋体" w:cs="宋体"/>
                <w:spacing w:val="-4"/>
                <w:kern w:val="21"/>
                <w:sz w:val="24"/>
                <w:szCs w:val="24"/>
                <w:highlight w:val="none"/>
              </w:rPr>
            </w:pPr>
            <w:r>
              <w:rPr>
                <w:rFonts w:hint="eastAsia" w:hAnsi="宋体" w:cs="宋体"/>
                <w:spacing w:val="-4"/>
                <w:kern w:val="21"/>
                <w:sz w:val="24"/>
                <w:szCs w:val="24"/>
                <w:highlight w:val="none"/>
              </w:rPr>
              <w:t>从项目合同签订后开始计算，建设周期预计为6个月，初定于2022年11月至2023年5月完成项目建设。</w:t>
            </w:r>
          </w:p>
          <w:p>
            <w:pPr>
              <w:pStyle w:val="15"/>
              <w:keepNext w:val="0"/>
              <w:keepLines w:val="0"/>
              <w:pageBreakBefore w:val="0"/>
              <w:widowControl w:val="0"/>
              <w:kinsoku/>
              <w:wordWrap/>
              <w:overflowPunct/>
              <w:topLinePunct w:val="0"/>
              <w:autoSpaceDE/>
              <w:autoSpaceDN/>
              <w:bidi w:val="0"/>
              <w:adjustRightInd w:val="0"/>
              <w:snapToGrid/>
              <w:spacing w:line="320" w:lineRule="exact"/>
              <w:ind w:firstLine="465"/>
              <w:textAlignment w:val="auto"/>
              <w:rPr>
                <w:rFonts w:hAnsi="宋体" w:cs="宋体"/>
                <w:spacing w:val="-4"/>
                <w:kern w:val="21"/>
                <w:sz w:val="24"/>
                <w:szCs w:val="24"/>
                <w:highlight w:val="none"/>
              </w:rPr>
            </w:pPr>
            <w:r>
              <w:rPr>
                <w:rFonts w:hint="eastAsia" w:hAnsi="宋体" w:cs="宋体"/>
                <w:spacing w:val="-4"/>
                <w:kern w:val="21"/>
                <w:sz w:val="24"/>
                <w:szCs w:val="24"/>
                <w:highlight w:val="none"/>
              </w:rPr>
              <w:t>（1）2022年11月，完成合同签订；</w:t>
            </w:r>
          </w:p>
          <w:p>
            <w:pPr>
              <w:pStyle w:val="15"/>
              <w:keepNext w:val="0"/>
              <w:keepLines w:val="0"/>
              <w:pageBreakBefore w:val="0"/>
              <w:widowControl w:val="0"/>
              <w:kinsoku/>
              <w:wordWrap/>
              <w:overflowPunct/>
              <w:topLinePunct w:val="0"/>
              <w:autoSpaceDE/>
              <w:autoSpaceDN/>
              <w:bidi w:val="0"/>
              <w:adjustRightInd w:val="0"/>
              <w:snapToGrid/>
              <w:spacing w:line="320" w:lineRule="exact"/>
              <w:ind w:firstLine="465"/>
              <w:textAlignment w:val="auto"/>
              <w:rPr>
                <w:rFonts w:hAnsi="宋体" w:cs="宋体"/>
                <w:spacing w:val="-4"/>
                <w:kern w:val="21"/>
                <w:sz w:val="24"/>
                <w:szCs w:val="24"/>
                <w:highlight w:val="none"/>
              </w:rPr>
            </w:pPr>
            <w:r>
              <w:rPr>
                <w:rFonts w:hint="eastAsia" w:hAnsi="宋体" w:cs="宋体"/>
                <w:spacing w:val="-4"/>
                <w:kern w:val="21"/>
                <w:sz w:val="24"/>
                <w:szCs w:val="24"/>
                <w:highlight w:val="none"/>
              </w:rPr>
              <w:t>（2）2022年12月，完成项目初验，系统开始上线试运行；</w:t>
            </w:r>
          </w:p>
          <w:p>
            <w:pPr>
              <w:pStyle w:val="15"/>
              <w:keepNext w:val="0"/>
              <w:keepLines w:val="0"/>
              <w:pageBreakBefore w:val="0"/>
              <w:widowControl w:val="0"/>
              <w:kinsoku/>
              <w:wordWrap/>
              <w:overflowPunct/>
              <w:topLinePunct w:val="0"/>
              <w:autoSpaceDE/>
              <w:autoSpaceDN/>
              <w:bidi w:val="0"/>
              <w:adjustRightInd w:val="0"/>
              <w:snapToGrid/>
              <w:spacing w:line="320" w:lineRule="exact"/>
              <w:ind w:firstLine="465"/>
              <w:textAlignment w:val="auto"/>
              <w:rPr>
                <w:rFonts w:hAnsi="宋体" w:cs="宋体"/>
                <w:spacing w:val="-4"/>
                <w:kern w:val="21"/>
                <w:sz w:val="24"/>
                <w:szCs w:val="24"/>
                <w:highlight w:val="none"/>
              </w:rPr>
            </w:pPr>
            <w:r>
              <w:rPr>
                <w:rFonts w:hint="eastAsia" w:hAnsi="宋体" w:cs="宋体"/>
                <w:spacing w:val="-4"/>
                <w:kern w:val="21"/>
                <w:sz w:val="24"/>
                <w:szCs w:val="24"/>
                <w:highlight w:val="none"/>
              </w:rPr>
              <w:t>（3）2023年4月，系统上线试运行三个月后，运行稳定，无故障，结束试运行；</w:t>
            </w:r>
          </w:p>
          <w:p>
            <w:pPr>
              <w:pStyle w:val="15"/>
              <w:keepNext w:val="0"/>
              <w:keepLines w:val="0"/>
              <w:pageBreakBefore w:val="0"/>
              <w:widowControl w:val="0"/>
              <w:kinsoku/>
              <w:wordWrap/>
              <w:overflowPunct/>
              <w:topLinePunct w:val="0"/>
              <w:autoSpaceDE/>
              <w:autoSpaceDN/>
              <w:bidi w:val="0"/>
              <w:adjustRightInd w:val="0"/>
              <w:snapToGrid/>
              <w:spacing w:line="320" w:lineRule="exact"/>
              <w:ind w:firstLine="465"/>
              <w:textAlignment w:val="auto"/>
              <w:rPr>
                <w:rFonts w:hint="eastAsia" w:ascii="宋体" w:hAnsi="宋体" w:cs="宋体"/>
                <w:sz w:val="24"/>
              </w:rPr>
            </w:pPr>
            <w:r>
              <w:rPr>
                <w:rFonts w:hint="eastAsia" w:hAnsi="宋体" w:cs="宋体"/>
                <w:spacing w:val="-4"/>
                <w:kern w:val="21"/>
                <w:sz w:val="24"/>
                <w:szCs w:val="24"/>
                <w:highlight w:val="none"/>
              </w:rPr>
              <w:t>（4）2023年5月，完成项目终验。</w:t>
            </w:r>
          </w:p>
        </w:tc>
        <w:tc>
          <w:tcPr>
            <w:tcW w:w="12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cs="宋体"/>
                <w:sz w:val="24"/>
                <w:szCs w:val="20"/>
              </w:rPr>
            </w:pPr>
          </w:p>
        </w:tc>
        <w:tc>
          <w:tcPr>
            <w:tcW w:w="154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eastAsia="宋体" w:cs="宋体"/>
                <w:sz w:val="24"/>
                <w:szCs w:val="20"/>
                <w:lang w:eastAsia="zh-CN"/>
              </w:rPr>
            </w:pPr>
            <w:r>
              <w:rPr>
                <w:rFonts w:hint="eastAsia" w:ascii="宋体" w:hAnsi="宋体" w:cs="宋体"/>
                <w:sz w:val="24"/>
                <w:szCs w:val="20"/>
                <w:lang w:eastAsia="zh-CN"/>
              </w:rPr>
              <w:t>付款</w:t>
            </w:r>
          </w:p>
        </w:tc>
        <w:tc>
          <w:tcPr>
            <w:tcW w:w="48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cs="宋体"/>
                <w:bCs/>
                <w:sz w:val="24"/>
              </w:rPr>
            </w:pPr>
            <w:r>
              <w:rPr>
                <w:rFonts w:hint="eastAsia" w:ascii="宋体" w:hAnsi="宋体" w:cs="宋体"/>
                <w:bCs/>
                <w:sz w:val="24"/>
              </w:rPr>
              <w:t>根据省财政厅《关于进一步发挥政府采购政策功能全力推动经济稳进提质的通知》（浙财采监【2022】3号）要求，制定如下付款方式：</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b/>
                <w:bCs/>
                <w:sz w:val="24"/>
                <w:highlight w:val="none"/>
              </w:rPr>
            </w:pPr>
            <w:r>
              <w:rPr>
                <w:rFonts w:hint="eastAsia"/>
                <w:b/>
                <w:bCs/>
                <w:sz w:val="24"/>
                <w:highlight w:val="none"/>
              </w:rPr>
              <w:t>合同签订后7 个工作日内，支付合同总价款的40%，完成项目初验后7 个工作日内支付合同总价款的40%，项目通过最终验收后7 个工作日内支付合同总价款的20%。</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b/>
                <w:bCs/>
                <w:sz w:val="24"/>
              </w:rPr>
            </w:pPr>
            <w:r>
              <w:rPr>
                <w:rFonts w:hint="eastAsia"/>
                <w:b/>
                <w:bCs/>
                <w:sz w:val="24"/>
              </w:rPr>
              <w:t>注：1）中标供应商根据采购人每期的支付金额提供正规发票；</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b/>
                <w:bCs/>
                <w:sz w:val="24"/>
              </w:rPr>
            </w:pPr>
            <w:r>
              <w:rPr>
                <w:rFonts w:hint="eastAsia"/>
                <w:b/>
                <w:bCs/>
                <w:sz w:val="24"/>
              </w:rPr>
              <w:t>2）税费：本服务执行中相关的一切税费均由中标供应商负担；</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cs="宋体"/>
                <w:sz w:val="24"/>
              </w:rPr>
            </w:pPr>
            <w:r>
              <w:rPr>
                <w:rFonts w:hint="eastAsia"/>
                <w:b/>
                <w:bCs/>
                <w:sz w:val="24"/>
              </w:rPr>
              <w:t>3）若中标供应商明确表示无需预付款或者主动要求降低预付款比例的，采购人可不适用前述规定。</w:t>
            </w:r>
          </w:p>
        </w:tc>
        <w:tc>
          <w:tcPr>
            <w:tcW w:w="12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cs="宋体"/>
                <w:sz w:val="24"/>
                <w:szCs w:val="20"/>
              </w:rPr>
            </w:pPr>
          </w:p>
        </w:tc>
        <w:tc>
          <w:tcPr>
            <w:tcW w:w="154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cs="宋体"/>
                <w:sz w:val="24"/>
              </w:rPr>
            </w:pPr>
            <w:r>
              <w:rPr>
                <w:rFonts w:hint="eastAsia" w:ascii="宋体" w:hAnsi="宋体" w:cs="宋体"/>
                <w:bCs/>
                <w:sz w:val="24"/>
              </w:rPr>
              <w:t>售后服务</w:t>
            </w:r>
          </w:p>
        </w:tc>
        <w:tc>
          <w:tcPr>
            <w:tcW w:w="48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r>
              <w:rPr>
                <w:rFonts w:hint="eastAsia" w:ascii="宋体" w:hAnsi="宋体" w:cs="宋体"/>
                <w:bCs/>
                <w:sz w:val="24"/>
              </w:rPr>
              <w:t>提供3年的免费运维服务（自项目验收合格之日算起）。</w:t>
            </w:r>
          </w:p>
        </w:tc>
        <w:tc>
          <w:tcPr>
            <w:tcW w:w="12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cs="宋体"/>
                <w:sz w:val="24"/>
                <w:szCs w:val="20"/>
              </w:rPr>
            </w:pPr>
          </w:p>
        </w:tc>
        <w:tc>
          <w:tcPr>
            <w:tcW w:w="154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cs="宋体"/>
                <w:sz w:val="24"/>
                <w:szCs w:val="20"/>
              </w:rPr>
            </w:pPr>
          </w:p>
        </w:tc>
        <w:tc>
          <w:tcPr>
            <w:tcW w:w="4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cs="宋体"/>
                <w:sz w:val="24"/>
                <w:szCs w:val="2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cs="宋体"/>
                <w:sz w:val="24"/>
                <w:szCs w:val="20"/>
              </w:rPr>
            </w:pPr>
          </w:p>
        </w:tc>
        <w:tc>
          <w:tcPr>
            <w:tcW w:w="154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宋体" w:hAnsi="宋体" w:cs="宋体"/>
                <w:sz w:val="24"/>
                <w:szCs w:val="20"/>
              </w:rPr>
            </w:pPr>
          </w:p>
        </w:tc>
      </w:tr>
    </w:tbl>
    <w:p>
      <w:pPr>
        <w:pStyle w:val="15"/>
        <w:spacing w:line="360" w:lineRule="auto"/>
        <w:ind w:firstLine="0"/>
        <w:rPr>
          <w:rFonts w:hint="eastAsia" w:hAnsi="宋体" w:cs="宋体"/>
          <w:spacing w:val="20"/>
          <w:sz w:val="24"/>
        </w:rPr>
      </w:pPr>
    </w:p>
    <w:p>
      <w:pPr>
        <w:pStyle w:val="15"/>
        <w:spacing w:line="360" w:lineRule="auto"/>
        <w:ind w:firstLine="0"/>
        <w:rPr>
          <w:rFonts w:hint="eastAsia" w:hAnsi="宋体" w:cs="宋体"/>
          <w:sz w:val="24"/>
          <w:szCs w:val="24"/>
        </w:rPr>
      </w:pPr>
      <w:r>
        <w:rPr>
          <w:rFonts w:hint="eastAsia" w:hAnsi="宋体" w:cs="宋体"/>
          <w:spacing w:val="20"/>
          <w:sz w:val="24"/>
        </w:rPr>
        <w:t>投标供应商（盖章）：</w:t>
      </w:r>
      <w:r>
        <w:rPr>
          <w:rFonts w:hint="eastAsia" w:hAnsi="宋体" w:cs="宋体"/>
          <w:spacing w:val="20"/>
          <w:sz w:val="24"/>
          <w:u w:val="single"/>
        </w:rPr>
        <w:t xml:space="preserve">            </w:t>
      </w:r>
    </w:p>
    <w:p>
      <w:pPr>
        <w:pStyle w:val="15"/>
        <w:spacing w:line="360" w:lineRule="auto"/>
        <w:ind w:firstLine="0"/>
        <w:rPr>
          <w:rFonts w:hint="eastAsia" w:hAnsi="宋体" w:cs="宋体"/>
          <w:spacing w:val="20"/>
          <w:sz w:val="24"/>
        </w:rPr>
      </w:pPr>
      <w:r>
        <w:rPr>
          <w:rFonts w:hint="eastAsia" w:hAnsi="宋体" w:cs="宋体"/>
          <w:sz w:val="24"/>
          <w:szCs w:val="24"/>
        </w:rPr>
        <w:t>法定代表人或其授权代表</w:t>
      </w:r>
      <w:r>
        <w:rPr>
          <w:rFonts w:hint="eastAsia" w:hAnsi="宋体" w:cs="宋体"/>
          <w:sz w:val="24"/>
        </w:rPr>
        <w:t>（签字或盖章）</w:t>
      </w:r>
      <w:r>
        <w:rPr>
          <w:rFonts w:hint="eastAsia" w:hAnsi="宋体" w:cs="宋体"/>
          <w:spacing w:val="20"/>
          <w:sz w:val="24"/>
        </w:rPr>
        <w:t>：</w:t>
      </w:r>
      <w:r>
        <w:rPr>
          <w:rFonts w:hint="eastAsia" w:hAnsi="宋体" w:cs="宋体"/>
          <w:spacing w:val="20"/>
          <w:sz w:val="24"/>
          <w:u w:val="single"/>
        </w:rPr>
        <w:t xml:space="preserve">            </w:t>
      </w:r>
      <w:r>
        <w:rPr>
          <w:rFonts w:hint="eastAsia" w:hAnsi="宋体" w:cs="宋体"/>
          <w:spacing w:val="20"/>
          <w:sz w:val="24"/>
        </w:rPr>
        <w:t xml:space="preserve">         </w:t>
      </w:r>
    </w:p>
    <w:p>
      <w:pPr>
        <w:spacing w:line="360" w:lineRule="auto"/>
        <w:ind w:firstLine="5740" w:firstLineChars="2050"/>
        <w:rPr>
          <w:rFonts w:hint="eastAsia" w:ascii="宋体" w:hAnsi="宋体" w:cs="宋体"/>
          <w:spacing w:val="20"/>
          <w:sz w:val="24"/>
        </w:rPr>
      </w:pPr>
      <w:r>
        <w:rPr>
          <w:rFonts w:hint="eastAsia" w:ascii="宋体" w:hAnsi="宋体" w:cs="宋体"/>
          <w:spacing w:val="20"/>
          <w:sz w:val="24"/>
        </w:rPr>
        <w:t xml:space="preserve">  年  月  日</w:t>
      </w:r>
    </w:p>
    <w:p>
      <w:pPr>
        <w:spacing w:line="360" w:lineRule="auto"/>
        <w:ind w:firstLine="482" w:firstLineChars="200"/>
        <w:jc w:val="center"/>
        <w:rPr>
          <w:rFonts w:hint="eastAsia" w:ascii="宋体" w:hAnsi="宋体" w:cs="宋体"/>
          <w:b/>
          <w:bCs/>
          <w:sz w:val="24"/>
        </w:rPr>
      </w:pPr>
    </w:p>
    <w:p>
      <w:pPr>
        <w:pStyle w:val="55"/>
        <w:spacing w:line="360" w:lineRule="auto"/>
        <w:jc w:val="both"/>
        <w:rPr>
          <w:rFonts w:hint="eastAsia" w:ascii="宋体" w:hAnsi="宋体" w:cs="宋体"/>
          <w:b/>
          <w:bCs/>
          <w:sz w:val="24"/>
        </w:rPr>
      </w:pPr>
    </w:p>
    <w:p>
      <w:pPr>
        <w:pStyle w:val="55"/>
        <w:spacing w:line="360" w:lineRule="auto"/>
        <w:jc w:val="center"/>
        <w:rPr>
          <w:rFonts w:hint="eastAsia"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0</w:t>
      </w:r>
      <w:r>
        <w:rPr>
          <w:rFonts w:hint="eastAsia" w:ascii="宋体" w:hAnsi="宋体" w:cs="宋体"/>
          <w:b/>
          <w:bCs/>
          <w:sz w:val="24"/>
        </w:rPr>
        <w:t>）投标供应商情况介绍；</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152"/>
        <w:gridCol w:w="1143"/>
        <w:gridCol w:w="926"/>
        <w:gridCol w:w="217"/>
        <w:gridCol w:w="971"/>
        <w:gridCol w:w="174"/>
        <w:gridCol w:w="551"/>
        <w:gridCol w:w="953"/>
        <w:gridCol w:w="202"/>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060" w:type="dxa"/>
            <w:gridSpan w:val="11"/>
            <w:noWrap w:val="0"/>
            <w:vAlign w:val="center"/>
          </w:tcPr>
          <w:p>
            <w:pPr>
              <w:spacing w:line="480" w:lineRule="exact"/>
              <w:jc w:val="center"/>
              <w:rPr>
                <w:rFonts w:hint="eastAsia" w:ascii="宋体" w:hAnsi="宋体" w:cs="宋体"/>
                <w:sz w:val="24"/>
              </w:rPr>
            </w:pPr>
            <w:r>
              <w:rPr>
                <w:rFonts w:hint="eastAsia" w:ascii="宋体" w:hAnsi="宋体" w:cs="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712" w:type="dxa"/>
            <w:noWrap w:val="0"/>
            <w:vAlign w:val="center"/>
          </w:tcPr>
          <w:p>
            <w:pPr>
              <w:spacing w:line="480" w:lineRule="exact"/>
              <w:jc w:val="center"/>
              <w:rPr>
                <w:rFonts w:hint="eastAsia" w:ascii="宋体" w:hAnsi="宋体" w:cs="宋体"/>
                <w:sz w:val="24"/>
              </w:rPr>
            </w:pPr>
            <w:r>
              <w:rPr>
                <w:rFonts w:hint="eastAsia" w:ascii="宋体" w:hAnsi="宋体" w:cs="宋体"/>
                <w:sz w:val="24"/>
              </w:rPr>
              <w:t>单位名称</w:t>
            </w:r>
          </w:p>
        </w:tc>
        <w:tc>
          <w:tcPr>
            <w:tcW w:w="7348" w:type="dxa"/>
            <w:gridSpan w:val="10"/>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712" w:type="dxa"/>
            <w:noWrap w:val="0"/>
            <w:vAlign w:val="center"/>
          </w:tcPr>
          <w:p>
            <w:pPr>
              <w:spacing w:line="480" w:lineRule="exact"/>
              <w:jc w:val="center"/>
              <w:rPr>
                <w:rFonts w:hint="eastAsia" w:ascii="宋体" w:hAnsi="宋体" w:cs="宋体"/>
                <w:sz w:val="24"/>
              </w:rPr>
            </w:pPr>
            <w:r>
              <w:rPr>
                <w:rFonts w:hint="eastAsia" w:ascii="宋体" w:hAnsi="宋体" w:cs="宋体"/>
                <w:sz w:val="24"/>
              </w:rPr>
              <w:t>地  址</w:t>
            </w:r>
          </w:p>
        </w:tc>
        <w:tc>
          <w:tcPr>
            <w:tcW w:w="4409" w:type="dxa"/>
            <w:gridSpan w:val="5"/>
            <w:noWrap w:val="0"/>
            <w:vAlign w:val="center"/>
          </w:tcPr>
          <w:p>
            <w:pPr>
              <w:spacing w:line="480" w:lineRule="exact"/>
              <w:jc w:val="center"/>
              <w:rPr>
                <w:rFonts w:hint="eastAsia" w:ascii="宋体" w:hAnsi="宋体" w:cs="宋体"/>
                <w:sz w:val="24"/>
              </w:rPr>
            </w:pPr>
          </w:p>
        </w:tc>
        <w:tc>
          <w:tcPr>
            <w:tcW w:w="1678" w:type="dxa"/>
            <w:gridSpan w:val="3"/>
            <w:noWrap w:val="0"/>
            <w:vAlign w:val="center"/>
          </w:tcPr>
          <w:p>
            <w:pPr>
              <w:spacing w:line="480" w:lineRule="exact"/>
              <w:jc w:val="center"/>
              <w:rPr>
                <w:rFonts w:hint="eastAsia" w:ascii="宋体" w:hAnsi="宋体" w:cs="宋体"/>
                <w:sz w:val="24"/>
              </w:rPr>
            </w:pPr>
            <w:r>
              <w:rPr>
                <w:rFonts w:hint="eastAsia" w:ascii="宋体" w:hAnsi="宋体" w:cs="宋体"/>
                <w:sz w:val="24"/>
              </w:rPr>
              <w:t>法定代表人</w:t>
            </w:r>
          </w:p>
        </w:tc>
        <w:tc>
          <w:tcPr>
            <w:tcW w:w="1261" w:type="dxa"/>
            <w:gridSpan w:val="2"/>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712" w:type="dxa"/>
            <w:noWrap w:val="0"/>
            <w:vAlign w:val="center"/>
          </w:tcPr>
          <w:p>
            <w:pPr>
              <w:spacing w:line="480" w:lineRule="exact"/>
              <w:jc w:val="center"/>
              <w:rPr>
                <w:rFonts w:hint="eastAsia" w:ascii="宋体" w:hAnsi="宋体" w:cs="宋体"/>
                <w:sz w:val="24"/>
              </w:rPr>
            </w:pPr>
            <w:r>
              <w:rPr>
                <w:rFonts w:hint="eastAsia" w:ascii="宋体" w:hAnsi="宋体" w:cs="宋体"/>
                <w:sz w:val="24"/>
              </w:rPr>
              <w:t>成立时间</w:t>
            </w:r>
          </w:p>
        </w:tc>
        <w:tc>
          <w:tcPr>
            <w:tcW w:w="4409" w:type="dxa"/>
            <w:gridSpan w:val="5"/>
            <w:noWrap w:val="0"/>
            <w:vAlign w:val="center"/>
          </w:tcPr>
          <w:p>
            <w:pPr>
              <w:spacing w:line="480" w:lineRule="exact"/>
              <w:jc w:val="center"/>
              <w:rPr>
                <w:rFonts w:hint="eastAsia" w:ascii="宋体" w:hAnsi="宋体" w:cs="宋体"/>
                <w:sz w:val="24"/>
              </w:rPr>
            </w:pPr>
          </w:p>
        </w:tc>
        <w:tc>
          <w:tcPr>
            <w:tcW w:w="1678" w:type="dxa"/>
            <w:gridSpan w:val="3"/>
            <w:noWrap w:val="0"/>
            <w:vAlign w:val="center"/>
          </w:tcPr>
          <w:p>
            <w:pPr>
              <w:spacing w:line="480" w:lineRule="exact"/>
              <w:jc w:val="center"/>
              <w:rPr>
                <w:rFonts w:hint="eastAsia" w:ascii="宋体" w:hAnsi="宋体" w:cs="宋体"/>
                <w:sz w:val="24"/>
              </w:rPr>
            </w:pPr>
            <w:r>
              <w:rPr>
                <w:rFonts w:hint="eastAsia" w:ascii="宋体" w:hAnsi="宋体" w:cs="宋体"/>
                <w:sz w:val="24"/>
              </w:rPr>
              <w:t>注册资本</w:t>
            </w:r>
          </w:p>
        </w:tc>
        <w:tc>
          <w:tcPr>
            <w:tcW w:w="1261" w:type="dxa"/>
            <w:gridSpan w:val="2"/>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712" w:type="dxa"/>
            <w:noWrap w:val="0"/>
            <w:vAlign w:val="center"/>
          </w:tcPr>
          <w:p>
            <w:pPr>
              <w:spacing w:line="480" w:lineRule="exact"/>
              <w:jc w:val="center"/>
              <w:rPr>
                <w:rFonts w:hint="eastAsia" w:ascii="宋体" w:hAnsi="宋体" w:cs="宋体"/>
                <w:sz w:val="24"/>
              </w:rPr>
            </w:pPr>
            <w:r>
              <w:rPr>
                <w:rFonts w:hint="eastAsia" w:ascii="宋体" w:hAnsi="宋体" w:cs="宋体"/>
                <w:sz w:val="24"/>
              </w:rPr>
              <w:t>开户银行</w:t>
            </w:r>
          </w:p>
        </w:tc>
        <w:tc>
          <w:tcPr>
            <w:tcW w:w="3221" w:type="dxa"/>
            <w:gridSpan w:val="3"/>
            <w:noWrap w:val="0"/>
            <w:vAlign w:val="center"/>
          </w:tcPr>
          <w:p>
            <w:pPr>
              <w:spacing w:line="480" w:lineRule="exact"/>
              <w:jc w:val="center"/>
              <w:rPr>
                <w:rFonts w:hint="eastAsia" w:ascii="宋体" w:hAnsi="宋体" w:cs="宋体"/>
                <w:sz w:val="24"/>
              </w:rPr>
            </w:pPr>
          </w:p>
        </w:tc>
        <w:tc>
          <w:tcPr>
            <w:tcW w:w="1188" w:type="dxa"/>
            <w:gridSpan w:val="2"/>
            <w:noWrap w:val="0"/>
            <w:vAlign w:val="center"/>
          </w:tcPr>
          <w:p>
            <w:pPr>
              <w:spacing w:line="480" w:lineRule="exact"/>
              <w:jc w:val="center"/>
              <w:rPr>
                <w:rFonts w:hint="eastAsia" w:ascii="宋体" w:hAnsi="宋体" w:cs="宋体"/>
                <w:sz w:val="24"/>
              </w:rPr>
            </w:pPr>
            <w:r>
              <w:rPr>
                <w:rFonts w:hint="eastAsia" w:ascii="宋体" w:hAnsi="宋体" w:cs="宋体"/>
                <w:sz w:val="24"/>
              </w:rPr>
              <w:t>帐  号</w:t>
            </w:r>
          </w:p>
        </w:tc>
        <w:tc>
          <w:tcPr>
            <w:tcW w:w="2939" w:type="dxa"/>
            <w:gridSpan w:val="5"/>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712" w:type="dxa"/>
            <w:noWrap w:val="0"/>
            <w:vAlign w:val="center"/>
          </w:tcPr>
          <w:p>
            <w:pPr>
              <w:spacing w:line="480" w:lineRule="exact"/>
              <w:jc w:val="center"/>
              <w:rPr>
                <w:rFonts w:hint="eastAsia" w:ascii="宋体" w:hAnsi="宋体" w:cs="宋体"/>
                <w:sz w:val="24"/>
              </w:rPr>
            </w:pPr>
            <w:r>
              <w:rPr>
                <w:rFonts w:hint="eastAsia" w:ascii="宋体" w:hAnsi="宋体" w:cs="宋体"/>
                <w:sz w:val="24"/>
              </w:rPr>
              <w:t>联系电话</w:t>
            </w:r>
          </w:p>
        </w:tc>
        <w:tc>
          <w:tcPr>
            <w:tcW w:w="7348" w:type="dxa"/>
            <w:gridSpan w:val="10"/>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712" w:type="dxa"/>
            <w:noWrap w:val="0"/>
            <w:vAlign w:val="center"/>
          </w:tcPr>
          <w:p>
            <w:pPr>
              <w:spacing w:line="480" w:lineRule="exact"/>
              <w:jc w:val="center"/>
              <w:rPr>
                <w:rFonts w:hint="eastAsia" w:ascii="宋体" w:hAnsi="宋体" w:cs="宋体"/>
                <w:sz w:val="24"/>
              </w:rPr>
            </w:pPr>
            <w:r>
              <w:rPr>
                <w:rFonts w:hint="eastAsia" w:ascii="宋体" w:hAnsi="宋体" w:cs="宋体"/>
                <w:sz w:val="24"/>
              </w:rPr>
              <w:t>企业总人数</w:t>
            </w:r>
          </w:p>
        </w:tc>
        <w:tc>
          <w:tcPr>
            <w:tcW w:w="1152" w:type="dxa"/>
            <w:noWrap w:val="0"/>
            <w:vAlign w:val="center"/>
          </w:tcPr>
          <w:p>
            <w:pPr>
              <w:spacing w:line="480" w:lineRule="exact"/>
              <w:jc w:val="center"/>
              <w:rPr>
                <w:rFonts w:hint="eastAsia" w:ascii="宋体" w:hAnsi="宋体" w:cs="宋体"/>
                <w:sz w:val="24"/>
              </w:rPr>
            </w:pPr>
          </w:p>
        </w:tc>
        <w:tc>
          <w:tcPr>
            <w:tcW w:w="1143" w:type="dxa"/>
            <w:noWrap w:val="0"/>
            <w:vAlign w:val="center"/>
          </w:tcPr>
          <w:p>
            <w:pPr>
              <w:spacing w:line="480" w:lineRule="exact"/>
              <w:jc w:val="center"/>
              <w:rPr>
                <w:rFonts w:hint="eastAsia" w:ascii="宋体" w:hAnsi="宋体" w:cs="宋体"/>
                <w:sz w:val="24"/>
              </w:rPr>
            </w:pPr>
            <w:r>
              <w:rPr>
                <w:rFonts w:hint="eastAsia" w:ascii="宋体" w:hAnsi="宋体" w:cs="宋体"/>
                <w:sz w:val="24"/>
              </w:rPr>
              <w:t>管理</w:t>
            </w:r>
          </w:p>
          <w:p>
            <w:pPr>
              <w:spacing w:line="480" w:lineRule="exact"/>
              <w:jc w:val="center"/>
              <w:rPr>
                <w:rFonts w:hint="eastAsia" w:ascii="宋体" w:hAnsi="宋体" w:cs="宋体"/>
                <w:sz w:val="24"/>
              </w:rPr>
            </w:pPr>
            <w:r>
              <w:rPr>
                <w:rFonts w:hint="eastAsia" w:ascii="宋体" w:hAnsi="宋体" w:cs="宋体"/>
                <w:sz w:val="24"/>
              </w:rPr>
              <w:t>人员</w:t>
            </w:r>
          </w:p>
        </w:tc>
        <w:tc>
          <w:tcPr>
            <w:tcW w:w="1143" w:type="dxa"/>
            <w:gridSpan w:val="2"/>
            <w:noWrap w:val="0"/>
            <w:vAlign w:val="center"/>
          </w:tcPr>
          <w:p>
            <w:pPr>
              <w:spacing w:line="480" w:lineRule="exact"/>
              <w:jc w:val="center"/>
              <w:rPr>
                <w:rFonts w:hint="eastAsia" w:ascii="宋体" w:hAnsi="宋体" w:cs="宋体"/>
                <w:sz w:val="24"/>
              </w:rPr>
            </w:pPr>
          </w:p>
        </w:tc>
        <w:tc>
          <w:tcPr>
            <w:tcW w:w="1145" w:type="dxa"/>
            <w:gridSpan w:val="2"/>
            <w:noWrap w:val="0"/>
            <w:vAlign w:val="center"/>
          </w:tcPr>
          <w:p>
            <w:pPr>
              <w:spacing w:line="480" w:lineRule="exact"/>
              <w:jc w:val="center"/>
              <w:rPr>
                <w:rFonts w:hint="eastAsia" w:ascii="宋体" w:hAnsi="宋体" w:cs="宋体"/>
                <w:sz w:val="24"/>
              </w:rPr>
            </w:pPr>
            <w:r>
              <w:rPr>
                <w:rFonts w:hint="eastAsia" w:ascii="宋体" w:hAnsi="宋体" w:cs="宋体"/>
                <w:sz w:val="24"/>
              </w:rPr>
              <w:t>技术</w:t>
            </w:r>
          </w:p>
          <w:p>
            <w:pPr>
              <w:spacing w:line="480" w:lineRule="exact"/>
              <w:jc w:val="center"/>
              <w:rPr>
                <w:rFonts w:hint="eastAsia" w:ascii="宋体" w:hAnsi="宋体" w:cs="宋体"/>
                <w:sz w:val="24"/>
              </w:rPr>
            </w:pPr>
            <w:r>
              <w:rPr>
                <w:rFonts w:hint="eastAsia" w:ascii="宋体" w:hAnsi="宋体" w:cs="宋体"/>
                <w:sz w:val="24"/>
              </w:rPr>
              <w:t>人员</w:t>
            </w:r>
          </w:p>
        </w:tc>
        <w:tc>
          <w:tcPr>
            <w:tcW w:w="551" w:type="dxa"/>
            <w:noWrap w:val="0"/>
            <w:vAlign w:val="center"/>
          </w:tcPr>
          <w:p>
            <w:pPr>
              <w:spacing w:line="480" w:lineRule="exact"/>
              <w:jc w:val="center"/>
              <w:rPr>
                <w:rFonts w:hint="eastAsia" w:ascii="宋体" w:hAnsi="宋体" w:cs="宋体"/>
                <w:sz w:val="24"/>
              </w:rPr>
            </w:pPr>
          </w:p>
        </w:tc>
        <w:tc>
          <w:tcPr>
            <w:tcW w:w="1155" w:type="dxa"/>
            <w:gridSpan w:val="2"/>
            <w:noWrap w:val="0"/>
            <w:vAlign w:val="center"/>
          </w:tcPr>
          <w:p>
            <w:pPr>
              <w:spacing w:line="480" w:lineRule="exact"/>
              <w:jc w:val="center"/>
              <w:rPr>
                <w:rFonts w:hint="eastAsia" w:ascii="宋体" w:hAnsi="宋体" w:cs="宋体"/>
                <w:sz w:val="24"/>
              </w:rPr>
            </w:pPr>
            <w:r>
              <w:rPr>
                <w:rFonts w:hint="eastAsia" w:ascii="宋体" w:hAnsi="宋体" w:cs="宋体"/>
                <w:sz w:val="24"/>
              </w:rPr>
              <w:t>职工</w:t>
            </w:r>
          </w:p>
          <w:p>
            <w:pPr>
              <w:spacing w:line="480" w:lineRule="exact"/>
              <w:jc w:val="center"/>
              <w:rPr>
                <w:rFonts w:hint="eastAsia" w:ascii="宋体" w:hAnsi="宋体" w:cs="宋体"/>
                <w:sz w:val="24"/>
              </w:rPr>
            </w:pPr>
            <w:r>
              <w:rPr>
                <w:rFonts w:hint="eastAsia" w:ascii="宋体" w:hAnsi="宋体" w:cs="宋体"/>
                <w:sz w:val="24"/>
              </w:rPr>
              <w:t>人员</w:t>
            </w:r>
          </w:p>
        </w:tc>
        <w:tc>
          <w:tcPr>
            <w:tcW w:w="1059" w:type="dxa"/>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712" w:type="dxa"/>
            <w:noWrap w:val="0"/>
            <w:vAlign w:val="center"/>
          </w:tcPr>
          <w:p>
            <w:pPr>
              <w:spacing w:line="480" w:lineRule="exact"/>
              <w:rPr>
                <w:rFonts w:hint="eastAsia" w:ascii="宋体" w:hAnsi="宋体" w:cs="宋体"/>
                <w:sz w:val="24"/>
              </w:rPr>
            </w:pPr>
            <w:r>
              <w:rPr>
                <w:rFonts w:hint="eastAsia" w:ascii="宋体" w:hAnsi="宋体" w:cs="宋体"/>
                <w:sz w:val="24"/>
              </w:rPr>
              <w:t>经营范围</w:t>
            </w:r>
          </w:p>
        </w:tc>
        <w:tc>
          <w:tcPr>
            <w:tcW w:w="7348" w:type="dxa"/>
            <w:gridSpan w:val="10"/>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712" w:type="dxa"/>
            <w:tcBorders>
              <w:bottom w:val="single" w:color="auto" w:sz="4" w:space="0"/>
            </w:tcBorders>
            <w:noWrap w:val="0"/>
            <w:vAlign w:val="center"/>
          </w:tcPr>
          <w:p>
            <w:pPr>
              <w:spacing w:line="480" w:lineRule="exact"/>
              <w:jc w:val="center"/>
              <w:rPr>
                <w:rFonts w:hint="eastAsia" w:ascii="宋体" w:hAnsi="宋体" w:cs="宋体"/>
                <w:sz w:val="24"/>
              </w:rPr>
            </w:pPr>
            <w:r>
              <w:rPr>
                <w:rFonts w:hint="eastAsia" w:ascii="宋体" w:hAnsi="宋体" w:cs="宋体"/>
                <w:sz w:val="24"/>
              </w:rPr>
              <w:t>企业现有的资质证书</w:t>
            </w:r>
          </w:p>
        </w:tc>
        <w:tc>
          <w:tcPr>
            <w:tcW w:w="7348" w:type="dxa"/>
            <w:gridSpan w:val="10"/>
            <w:tcBorders>
              <w:bottom w:val="single" w:color="auto" w:sz="4" w:space="0"/>
            </w:tcBorders>
            <w:noWrap w:val="0"/>
            <w:vAlign w:val="center"/>
          </w:tcPr>
          <w:p>
            <w:pPr>
              <w:spacing w:line="480" w:lineRule="exact"/>
              <w:jc w:val="center"/>
              <w:rPr>
                <w:rFonts w:hint="eastAsia" w:ascii="宋体" w:hAnsi="宋体" w:cs="宋体"/>
                <w:sz w:val="24"/>
              </w:rPr>
            </w:pPr>
          </w:p>
        </w:tc>
      </w:tr>
    </w:tbl>
    <w:p>
      <w:pPr>
        <w:pStyle w:val="55"/>
        <w:spacing w:line="360" w:lineRule="auto"/>
        <w:ind w:firstLine="482" w:firstLineChars="200"/>
        <w:jc w:val="center"/>
        <w:rPr>
          <w:rFonts w:hint="eastAsia" w:ascii="宋体" w:hAnsi="宋体" w:cs="宋体"/>
          <w:b/>
          <w:bCs/>
          <w:sz w:val="24"/>
        </w:rPr>
      </w:pPr>
    </w:p>
    <w:p>
      <w:pPr>
        <w:spacing w:line="480" w:lineRule="exact"/>
        <w:rPr>
          <w:rFonts w:hint="eastAsia" w:ascii="宋体" w:hAnsi="宋体" w:cs="宋体"/>
          <w:sz w:val="24"/>
        </w:rPr>
      </w:pPr>
      <w:r>
        <w:rPr>
          <w:rFonts w:hint="eastAsia" w:ascii="宋体" w:hAnsi="宋体" w:cs="宋体"/>
          <w:sz w:val="24"/>
        </w:rPr>
        <w:t>注：表格不能满足时可自行增加。</w:t>
      </w:r>
    </w:p>
    <w:p>
      <w:pPr>
        <w:snapToGrid w:val="0"/>
        <w:spacing w:before="120" w:beforeLines="50"/>
        <w:rPr>
          <w:rFonts w:hint="eastAsia" w:ascii="宋体" w:hAnsi="宋体" w:cs="宋体"/>
          <w:b/>
          <w:bCs/>
          <w:sz w:val="32"/>
        </w:rPr>
      </w:pPr>
    </w:p>
    <w:p>
      <w:pPr>
        <w:pStyle w:val="15"/>
        <w:spacing w:line="360" w:lineRule="auto"/>
        <w:ind w:firstLine="0"/>
        <w:rPr>
          <w:rFonts w:hint="eastAsia" w:hAnsi="宋体" w:cs="宋体"/>
          <w:sz w:val="24"/>
          <w:szCs w:val="24"/>
        </w:rPr>
      </w:pPr>
      <w:r>
        <w:rPr>
          <w:rFonts w:hint="eastAsia" w:hAnsi="宋体" w:cs="宋体"/>
          <w:spacing w:val="20"/>
          <w:sz w:val="24"/>
        </w:rPr>
        <w:t>投标供应商（盖章）：</w:t>
      </w:r>
      <w:r>
        <w:rPr>
          <w:rFonts w:hint="eastAsia" w:hAnsi="宋体" w:cs="宋体"/>
          <w:spacing w:val="20"/>
          <w:sz w:val="24"/>
          <w:u w:val="single"/>
        </w:rPr>
        <w:t xml:space="preserve">            </w:t>
      </w:r>
    </w:p>
    <w:p>
      <w:pPr>
        <w:pStyle w:val="15"/>
        <w:spacing w:line="360" w:lineRule="auto"/>
        <w:ind w:firstLine="0"/>
        <w:rPr>
          <w:rFonts w:hint="eastAsia" w:hAnsi="宋体" w:cs="宋体"/>
          <w:spacing w:val="20"/>
          <w:sz w:val="24"/>
          <w:u w:val="single"/>
        </w:rPr>
      </w:pPr>
      <w:r>
        <w:rPr>
          <w:rFonts w:hint="eastAsia" w:hAnsi="宋体" w:cs="宋体"/>
          <w:sz w:val="24"/>
          <w:szCs w:val="24"/>
        </w:rPr>
        <w:t>法定代表人或其授权代表</w:t>
      </w:r>
      <w:r>
        <w:rPr>
          <w:rFonts w:hint="eastAsia" w:hAnsi="宋体" w:cs="宋体"/>
          <w:sz w:val="24"/>
        </w:rPr>
        <w:t>（签字或盖章）</w:t>
      </w:r>
      <w:r>
        <w:rPr>
          <w:rFonts w:hint="eastAsia" w:hAnsi="宋体" w:cs="宋体"/>
          <w:spacing w:val="20"/>
          <w:sz w:val="24"/>
        </w:rPr>
        <w:t>：</w:t>
      </w:r>
      <w:r>
        <w:rPr>
          <w:rFonts w:hint="eastAsia" w:hAnsi="宋体" w:cs="宋体"/>
          <w:spacing w:val="20"/>
          <w:sz w:val="24"/>
          <w:u w:val="single"/>
        </w:rPr>
        <w:t xml:space="preserve">            </w:t>
      </w:r>
    </w:p>
    <w:p>
      <w:pPr>
        <w:spacing w:line="360" w:lineRule="auto"/>
        <w:rPr>
          <w:rFonts w:hint="eastAsia" w:ascii="宋体" w:hAnsi="宋体" w:cs="宋体"/>
          <w:spacing w:val="20"/>
          <w:sz w:val="24"/>
        </w:rPr>
      </w:pPr>
      <w:r>
        <w:rPr>
          <w:rFonts w:hint="eastAsia" w:ascii="宋体" w:hAnsi="宋体" w:cs="宋体"/>
          <w:spacing w:val="20"/>
          <w:sz w:val="24"/>
        </w:rPr>
        <w:t xml:space="preserve">          </w:t>
      </w:r>
    </w:p>
    <w:p>
      <w:pPr>
        <w:spacing w:line="360" w:lineRule="auto"/>
        <w:ind w:firstLine="5740" w:firstLineChars="2050"/>
        <w:rPr>
          <w:rFonts w:hint="eastAsia" w:ascii="宋体" w:hAnsi="宋体" w:cs="宋体"/>
          <w:spacing w:val="20"/>
          <w:sz w:val="24"/>
        </w:rPr>
      </w:pPr>
      <w:r>
        <w:rPr>
          <w:rFonts w:hint="eastAsia" w:ascii="宋体" w:hAnsi="宋体" w:cs="宋体"/>
          <w:spacing w:val="20"/>
          <w:sz w:val="24"/>
        </w:rPr>
        <w:t xml:space="preserve">  年  月  日</w:t>
      </w:r>
    </w:p>
    <w:p>
      <w:pPr>
        <w:pStyle w:val="55"/>
        <w:spacing w:line="360" w:lineRule="auto"/>
        <w:ind w:firstLine="482" w:firstLineChars="200"/>
        <w:jc w:val="center"/>
        <w:rPr>
          <w:rFonts w:hint="eastAsia" w:ascii="宋体" w:hAnsi="宋体" w:cs="宋体"/>
          <w:b/>
          <w:bCs/>
          <w:sz w:val="24"/>
        </w:rPr>
      </w:pPr>
    </w:p>
    <w:p>
      <w:pPr>
        <w:pStyle w:val="55"/>
        <w:spacing w:line="360" w:lineRule="auto"/>
        <w:ind w:firstLine="482" w:firstLineChars="200"/>
        <w:jc w:val="center"/>
        <w:rPr>
          <w:rFonts w:hint="eastAsia" w:ascii="宋体" w:hAnsi="宋体" w:cs="宋体"/>
          <w:b/>
          <w:bCs/>
          <w:sz w:val="24"/>
        </w:rPr>
      </w:pPr>
    </w:p>
    <w:p>
      <w:pPr>
        <w:pStyle w:val="55"/>
        <w:spacing w:line="360" w:lineRule="auto"/>
        <w:ind w:firstLine="482" w:firstLineChars="200"/>
        <w:jc w:val="center"/>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11</w:t>
      </w:r>
      <w:r>
        <w:rPr>
          <w:rFonts w:hint="eastAsia" w:ascii="宋体" w:hAnsi="宋体" w:cs="宋体"/>
          <w:b/>
          <w:bCs/>
          <w:sz w:val="24"/>
        </w:rPr>
        <w:t>）投标声明书；</w:t>
      </w:r>
    </w:p>
    <w:p>
      <w:pPr>
        <w:snapToGrid w:val="0"/>
        <w:spacing w:line="360" w:lineRule="auto"/>
        <w:rPr>
          <w:rFonts w:hint="eastAsia" w:ascii="宋体" w:hAnsi="宋体" w:cs="宋体"/>
          <w:sz w:val="24"/>
          <w:szCs w:val="20"/>
        </w:rPr>
      </w:pPr>
      <w:r>
        <w:rPr>
          <w:rFonts w:hint="eastAsia" w:ascii="宋体" w:hAnsi="宋体" w:cs="宋体"/>
          <w:sz w:val="24"/>
        </w:rPr>
        <w:t>致：______</w:t>
      </w:r>
      <w:r>
        <w:rPr>
          <w:rFonts w:hint="eastAsia" w:ascii="宋体" w:hAnsi="宋体" w:cs="宋体"/>
          <w:sz w:val="24"/>
          <w:u w:val="single"/>
        </w:rPr>
        <w:t>_     _</w:t>
      </w:r>
      <w:r>
        <w:rPr>
          <w:rFonts w:hint="eastAsia" w:ascii="宋体" w:hAnsi="宋体" w:cs="宋体"/>
          <w:sz w:val="24"/>
        </w:rPr>
        <w:t>_（招标代理机构名称）：</w:t>
      </w:r>
    </w:p>
    <w:p>
      <w:pPr>
        <w:snapToGrid w:val="0"/>
        <w:spacing w:line="360" w:lineRule="auto"/>
        <w:ind w:firstLine="720" w:firstLineChars="300"/>
        <w:rPr>
          <w:rFonts w:hint="eastAsia" w:ascii="宋体" w:hAnsi="宋体" w:cs="宋体"/>
          <w:sz w:val="24"/>
          <w:szCs w:val="20"/>
        </w:rPr>
      </w:pPr>
      <w:r>
        <w:rPr>
          <w:rFonts w:hint="eastAsia" w:ascii="宋体" w:hAnsi="宋体" w:cs="宋体"/>
          <w:sz w:val="24"/>
        </w:rPr>
        <w:t>______</w:t>
      </w:r>
      <w:r>
        <w:rPr>
          <w:rFonts w:hint="eastAsia" w:ascii="宋体" w:hAnsi="宋体" w:cs="宋体"/>
          <w:sz w:val="24"/>
          <w:u w:val="single"/>
        </w:rPr>
        <w:t>_     _</w:t>
      </w:r>
      <w:r>
        <w:rPr>
          <w:rFonts w:hint="eastAsia" w:ascii="宋体" w:hAnsi="宋体" w:cs="宋体"/>
          <w:sz w:val="24"/>
        </w:rPr>
        <w:t>_（投标供应商名称）系中华人民共和国合法企业，经营地址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645"/>
        <w:rPr>
          <w:rFonts w:hint="eastAsia" w:ascii="宋体" w:hAnsi="宋体" w:cs="宋体"/>
          <w:sz w:val="24"/>
          <w:szCs w:val="20"/>
        </w:rPr>
      </w:pPr>
      <w:r>
        <w:rPr>
          <w:rFonts w:hint="eastAsia" w:ascii="宋体" w:hAnsi="宋体" w:cs="宋体"/>
          <w:sz w:val="24"/>
        </w:rPr>
        <w:t>我___</w:t>
      </w:r>
      <w:r>
        <w:rPr>
          <w:rFonts w:hint="eastAsia" w:ascii="宋体" w:hAnsi="宋体" w:cs="宋体"/>
          <w:sz w:val="24"/>
          <w:u w:val="single"/>
        </w:rPr>
        <w:t xml:space="preserve">    _</w:t>
      </w:r>
      <w:r>
        <w:rPr>
          <w:rFonts w:hint="eastAsia" w:ascii="宋体" w:hAnsi="宋体" w:cs="宋体"/>
          <w:sz w:val="24"/>
        </w:rPr>
        <w:t>_（姓名）系______</w:t>
      </w:r>
      <w:r>
        <w:rPr>
          <w:rFonts w:hint="eastAsia" w:ascii="宋体" w:hAnsi="宋体" w:cs="宋体"/>
          <w:sz w:val="24"/>
          <w:u w:val="single"/>
        </w:rPr>
        <w:t>_     _</w:t>
      </w:r>
      <w:r>
        <w:rPr>
          <w:rFonts w:hint="eastAsia" w:ascii="宋体" w:hAnsi="宋体" w:cs="宋体"/>
          <w:sz w:val="24"/>
        </w:rPr>
        <w:t>_（投标供应商名称）的法定代表人，我方愿意参加贵方组织的_____</w:t>
      </w:r>
      <w:r>
        <w:rPr>
          <w:rFonts w:hint="eastAsia" w:ascii="宋体" w:hAnsi="宋体" w:cs="宋体"/>
          <w:sz w:val="24"/>
          <w:u w:val="single"/>
        </w:rPr>
        <w:t>_              _     _</w:t>
      </w:r>
      <w:r>
        <w:rPr>
          <w:rFonts w:hint="eastAsia" w:ascii="宋体" w:hAnsi="宋体" w:cs="宋体"/>
          <w:sz w:val="24"/>
        </w:rPr>
        <w:t>_项目的投标，为便于贵方公正、择优地确定中标供应商及其投标产品和服务，我方就本次投标有关事项郑重声明如下：</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1.我方向贵方提交的所有投标文件、资料都是准确的和真实的。</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hint="eastAsia" w:ascii="宋体" w:hAnsi="宋体" w:cs="宋体"/>
          <w:sz w:val="24"/>
        </w:rPr>
      </w:pPr>
      <w:r>
        <w:rPr>
          <w:rFonts w:hint="eastAsia" w:ascii="宋体" w:hAnsi="宋体" w:cs="宋体"/>
          <w:sz w:val="24"/>
        </w:rPr>
        <w:t>3.我方此次向贵方提供的服务为：</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 xml:space="preserve"> 4.我方诚意提请贵方关注：近期有关重大决策和事项有：</w:t>
      </w:r>
    </w:p>
    <w:p>
      <w:pPr>
        <w:snapToGrid w:val="0"/>
        <w:spacing w:line="360" w:lineRule="auto"/>
        <w:ind w:firstLine="480" w:firstLineChars="200"/>
        <w:rPr>
          <w:rFonts w:hint="eastAsia" w:ascii="宋体" w:hAnsi="宋体" w:cs="宋体"/>
          <w:sz w:val="24"/>
          <w:szCs w:val="20"/>
          <w:u w:val="single"/>
        </w:rPr>
      </w:pPr>
      <w:r>
        <w:rPr>
          <w:rFonts w:hint="eastAsia" w:ascii="宋体" w:hAnsi="宋体" w:cs="宋体"/>
          <w:sz w:val="24"/>
          <w:u w:val="single"/>
        </w:rPr>
        <w:t>　　　　　　　　　　　　　　　　　　　　　　　　　　　</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u w:val="single"/>
        </w:rPr>
        <w:t>　　　　　　　　　　　　　　　　　　　　　　　　　　　</w:t>
      </w:r>
    </w:p>
    <w:p>
      <w:pPr>
        <w:pStyle w:val="16"/>
        <w:tabs>
          <w:tab w:val="left" w:pos="0"/>
          <w:tab w:val="left" w:pos="993"/>
          <w:tab w:val="left" w:pos="1134"/>
        </w:tabs>
        <w:snapToGrid w:val="0"/>
        <w:spacing w:line="360" w:lineRule="auto"/>
        <w:ind w:firstLine="480"/>
        <w:rPr>
          <w:rFonts w:hint="eastAsia" w:hAnsi="宋体" w:cs="宋体"/>
          <w:sz w:val="24"/>
        </w:rPr>
      </w:pPr>
      <w:r>
        <w:rPr>
          <w:rFonts w:hint="eastAsia" w:hAnsi="宋体" w:cs="宋体"/>
          <w:sz w:val="24"/>
        </w:rPr>
        <w:t>5.我方及由本人担任法定代表人的其他机构最近三年内（以法院判决日期为准）被通报（包括被处罚、行贿犯罪）的违法行为有：</w:t>
      </w:r>
    </w:p>
    <w:p>
      <w:pPr>
        <w:snapToGrid w:val="0"/>
        <w:spacing w:line="360" w:lineRule="auto"/>
        <w:ind w:firstLine="480" w:firstLineChars="200"/>
        <w:rPr>
          <w:rFonts w:hint="eastAsia" w:ascii="宋体" w:hAnsi="宋体" w:cs="宋体"/>
          <w:sz w:val="24"/>
          <w:szCs w:val="20"/>
          <w:u w:val="single"/>
        </w:rPr>
      </w:pPr>
      <w:r>
        <w:rPr>
          <w:rFonts w:hint="eastAsia" w:ascii="宋体" w:hAnsi="宋体" w:cs="宋体"/>
          <w:sz w:val="24"/>
          <w:u w:val="single"/>
        </w:rPr>
        <w:t>　　　　　　　　　　　　　　　　　　　　　　　　　　　</w:t>
      </w:r>
    </w:p>
    <w:p>
      <w:pPr>
        <w:snapToGrid w:val="0"/>
        <w:spacing w:line="360" w:lineRule="auto"/>
        <w:ind w:firstLine="480" w:firstLineChars="200"/>
        <w:rPr>
          <w:rFonts w:hint="eastAsia" w:ascii="宋体" w:hAnsi="宋体" w:cs="宋体"/>
          <w:sz w:val="24"/>
          <w:szCs w:val="20"/>
          <w:u w:val="single"/>
        </w:rPr>
      </w:pPr>
      <w:r>
        <w:rPr>
          <w:rFonts w:hint="eastAsia" w:ascii="宋体" w:hAnsi="宋体" w:cs="宋体"/>
          <w:sz w:val="24"/>
          <w:u w:val="single"/>
        </w:rPr>
        <w:t>　　　　　　　　　　　　　　　　　　　　　　　　　　　</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6.以上事项如有虚假或隐瞒，我方愿意承担一切后果，并不再寻求任何旨在减轻或免除法律责任的辩解。</w:t>
      </w:r>
    </w:p>
    <w:p>
      <w:pPr>
        <w:pStyle w:val="28"/>
        <w:tabs>
          <w:tab w:val="left" w:pos="939"/>
        </w:tabs>
        <w:snapToGrid w:val="0"/>
        <w:ind w:left="773" w:leftChars="150" w:hanging="458" w:hangingChars="191"/>
        <w:rPr>
          <w:rFonts w:hint="eastAsia" w:ascii="宋体" w:hAnsi="宋体" w:cs="宋体"/>
          <w:sz w:val="24"/>
        </w:rPr>
      </w:pPr>
    </w:p>
    <w:p>
      <w:pPr>
        <w:pStyle w:val="15"/>
        <w:spacing w:line="360" w:lineRule="auto"/>
        <w:ind w:firstLine="0"/>
        <w:rPr>
          <w:rFonts w:hint="eastAsia" w:hAnsi="宋体" w:cs="宋体"/>
          <w:sz w:val="24"/>
          <w:szCs w:val="24"/>
        </w:rPr>
      </w:pPr>
      <w:r>
        <w:rPr>
          <w:rFonts w:hint="eastAsia" w:hAnsi="宋体" w:cs="宋体"/>
          <w:spacing w:val="20"/>
          <w:sz w:val="24"/>
        </w:rPr>
        <w:t>投标供应商（盖章）：</w:t>
      </w:r>
      <w:r>
        <w:rPr>
          <w:rFonts w:hint="eastAsia" w:hAnsi="宋体" w:cs="宋体"/>
          <w:spacing w:val="20"/>
          <w:sz w:val="24"/>
          <w:u w:val="single"/>
        </w:rPr>
        <w:t xml:space="preserve">            </w:t>
      </w:r>
    </w:p>
    <w:p>
      <w:pPr>
        <w:pStyle w:val="15"/>
        <w:spacing w:line="360" w:lineRule="auto"/>
        <w:ind w:firstLine="0"/>
        <w:rPr>
          <w:rFonts w:hint="eastAsia" w:hAnsi="宋体" w:cs="宋体"/>
          <w:spacing w:val="20"/>
          <w:sz w:val="24"/>
          <w:u w:val="single"/>
        </w:rPr>
      </w:pPr>
      <w:r>
        <w:rPr>
          <w:rFonts w:hint="eastAsia" w:hAnsi="宋体" w:cs="宋体"/>
          <w:sz w:val="24"/>
          <w:szCs w:val="24"/>
        </w:rPr>
        <w:t>法定代表人或其授权代表</w:t>
      </w:r>
      <w:r>
        <w:rPr>
          <w:rFonts w:hint="eastAsia" w:hAnsi="宋体" w:cs="宋体"/>
          <w:sz w:val="24"/>
        </w:rPr>
        <w:t>（签字或盖章）</w:t>
      </w:r>
      <w:r>
        <w:rPr>
          <w:rFonts w:hint="eastAsia" w:hAnsi="宋体" w:cs="宋体"/>
          <w:spacing w:val="20"/>
          <w:sz w:val="24"/>
        </w:rPr>
        <w:t>：</w:t>
      </w:r>
      <w:r>
        <w:rPr>
          <w:rFonts w:hint="eastAsia" w:hAnsi="宋体" w:cs="宋体"/>
          <w:spacing w:val="20"/>
          <w:sz w:val="24"/>
          <w:u w:val="single"/>
        </w:rPr>
        <w:t xml:space="preserve">            </w:t>
      </w:r>
    </w:p>
    <w:p>
      <w:pPr>
        <w:spacing w:line="360" w:lineRule="auto"/>
        <w:rPr>
          <w:rFonts w:hint="eastAsia" w:ascii="宋体" w:hAnsi="宋体" w:cs="宋体"/>
          <w:spacing w:val="20"/>
          <w:sz w:val="24"/>
        </w:rPr>
      </w:pPr>
      <w:r>
        <w:rPr>
          <w:rFonts w:hint="eastAsia" w:ascii="宋体" w:hAnsi="宋体" w:cs="宋体"/>
          <w:spacing w:val="20"/>
          <w:sz w:val="24"/>
        </w:rPr>
        <w:t xml:space="preserve">          </w:t>
      </w:r>
    </w:p>
    <w:p>
      <w:pPr>
        <w:spacing w:line="360" w:lineRule="auto"/>
        <w:ind w:firstLine="5740" w:firstLineChars="2050"/>
        <w:rPr>
          <w:rFonts w:hint="eastAsia" w:ascii="宋体" w:hAnsi="宋体" w:cs="宋体"/>
          <w:sz w:val="24"/>
          <w:szCs w:val="20"/>
          <w:u w:val="single"/>
        </w:rPr>
      </w:pPr>
      <w:r>
        <w:rPr>
          <w:rFonts w:hint="eastAsia" w:ascii="宋体" w:hAnsi="宋体" w:cs="宋体"/>
          <w:spacing w:val="20"/>
          <w:sz w:val="24"/>
        </w:rPr>
        <w:t xml:space="preserve">  年  月  日</w:t>
      </w:r>
    </w:p>
    <w:p>
      <w:pPr>
        <w:snapToGrid w:val="0"/>
        <w:spacing w:line="360" w:lineRule="auto"/>
        <w:ind w:firstLine="482" w:firstLineChars="200"/>
        <w:jc w:val="center"/>
        <w:rPr>
          <w:rFonts w:hint="eastAsia" w:ascii="宋体" w:hAnsi="宋体" w:cs="宋体"/>
          <w:b/>
          <w:bCs/>
          <w:sz w:val="24"/>
        </w:rPr>
      </w:pPr>
    </w:p>
    <w:p>
      <w:pPr>
        <w:pStyle w:val="55"/>
        <w:spacing w:line="360" w:lineRule="auto"/>
        <w:ind w:firstLine="482" w:firstLineChars="200"/>
        <w:jc w:val="center"/>
        <w:rPr>
          <w:rFonts w:hint="eastAsia" w:ascii="宋体" w:hAnsi="宋体" w:cs="宋体"/>
          <w:b/>
          <w:bCs/>
          <w:sz w:val="24"/>
        </w:rPr>
      </w:pPr>
    </w:p>
    <w:p>
      <w:pPr>
        <w:pStyle w:val="55"/>
        <w:spacing w:line="360" w:lineRule="auto"/>
        <w:ind w:firstLine="482" w:firstLineChars="200"/>
        <w:jc w:val="center"/>
        <w:rPr>
          <w:rFonts w:hint="eastAsia" w:ascii="宋体" w:hAnsi="宋体" w:cs="宋体"/>
          <w:b/>
          <w:bCs/>
          <w:sz w:val="24"/>
        </w:rPr>
      </w:pPr>
    </w:p>
    <w:p>
      <w:pPr>
        <w:pStyle w:val="55"/>
        <w:spacing w:line="360" w:lineRule="auto"/>
        <w:ind w:firstLine="482" w:firstLineChars="200"/>
        <w:jc w:val="center"/>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1</w:t>
      </w:r>
      <w:r>
        <w:rPr>
          <w:rFonts w:hint="eastAsia" w:ascii="宋体" w:hAnsi="宋体" w:cs="宋体"/>
          <w:b/>
          <w:bCs/>
          <w:sz w:val="24"/>
          <w:lang w:val="en-US" w:eastAsia="zh-CN"/>
        </w:rPr>
        <w:t>2</w:t>
      </w:r>
      <w:r>
        <w:rPr>
          <w:rFonts w:hint="eastAsia" w:ascii="宋体" w:hAnsi="宋体" w:cs="宋体"/>
          <w:b/>
          <w:bCs/>
          <w:sz w:val="24"/>
        </w:rPr>
        <w:t>）企业</w:t>
      </w:r>
      <w:r>
        <w:rPr>
          <w:rFonts w:hint="eastAsia" w:ascii="宋体" w:hAnsi="宋体" w:cs="宋体"/>
          <w:b/>
          <w:bCs/>
          <w:sz w:val="24"/>
          <w:lang w:eastAsia="zh-CN"/>
        </w:rPr>
        <w:t>综合</w:t>
      </w:r>
      <w:r>
        <w:rPr>
          <w:rFonts w:hint="eastAsia" w:ascii="宋体" w:hAnsi="宋体" w:cs="宋体"/>
          <w:b/>
          <w:bCs/>
          <w:sz w:val="24"/>
        </w:rPr>
        <w:t>实力；</w:t>
      </w:r>
    </w:p>
    <w:p>
      <w:pPr>
        <w:pStyle w:val="55"/>
        <w:spacing w:line="360" w:lineRule="auto"/>
        <w:ind w:firstLine="482" w:firstLineChars="200"/>
        <w:jc w:val="center"/>
        <w:rPr>
          <w:rFonts w:hint="eastAsia" w:ascii="宋体" w:hAnsi="宋体" w:cs="宋体"/>
          <w:b/>
          <w:bCs/>
          <w:sz w:val="24"/>
        </w:rPr>
      </w:pPr>
    </w:p>
    <w:p>
      <w:pPr>
        <w:pStyle w:val="55"/>
        <w:spacing w:line="360" w:lineRule="auto"/>
        <w:ind w:firstLine="482" w:firstLineChars="200"/>
        <w:jc w:val="center"/>
        <w:rPr>
          <w:rFonts w:hint="eastAsia" w:ascii="宋体" w:hAnsi="宋体" w:cs="宋体"/>
          <w:b/>
          <w:bCs/>
          <w:sz w:val="24"/>
        </w:rPr>
      </w:pPr>
    </w:p>
    <w:p>
      <w:pPr>
        <w:pStyle w:val="55"/>
        <w:spacing w:line="360" w:lineRule="auto"/>
        <w:ind w:firstLine="482" w:firstLineChars="200"/>
        <w:jc w:val="center"/>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13</w:t>
      </w:r>
      <w:r>
        <w:rPr>
          <w:rFonts w:hint="eastAsia" w:ascii="宋体" w:hAnsi="宋体" w:cs="宋体"/>
          <w:b/>
          <w:bCs/>
          <w:sz w:val="24"/>
        </w:rPr>
        <w:t>）企业业绩；</w:t>
      </w:r>
    </w:p>
    <w:p>
      <w:pPr>
        <w:spacing w:line="600" w:lineRule="exact"/>
        <w:rPr>
          <w:rFonts w:hint="eastAsia" w:ascii="宋体" w:hAnsi="宋体" w:cs="宋体"/>
          <w:sz w:val="24"/>
        </w:rPr>
      </w:pPr>
      <w:r>
        <w:rPr>
          <w:rFonts w:hint="eastAsia" w:ascii="宋体" w:hAnsi="宋体" w:cs="宋体"/>
          <w:sz w:val="24"/>
        </w:rPr>
        <w:t>供应商全称（加盖公章）：             招标文件编号：</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669"/>
        <w:gridCol w:w="1370"/>
        <w:gridCol w:w="1370"/>
        <w:gridCol w:w="1593"/>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600" w:lineRule="exact"/>
              <w:jc w:val="center"/>
              <w:rPr>
                <w:rFonts w:hint="eastAsia" w:ascii="宋体" w:hAnsi="宋体" w:cs="宋体"/>
                <w:bCs/>
                <w:sz w:val="24"/>
              </w:rPr>
            </w:pPr>
            <w:r>
              <w:rPr>
                <w:rFonts w:hint="eastAsia" w:ascii="宋体" w:hAnsi="宋体" w:cs="宋体"/>
                <w:bCs/>
                <w:sz w:val="24"/>
              </w:rPr>
              <w:t>序号</w:t>
            </w:r>
          </w:p>
        </w:tc>
        <w:tc>
          <w:tcPr>
            <w:tcW w:w="1669" w:type="dxa"/>
            <w:noWrap w:val="0"/>
            <w:vAlign w:val="top"/>
          </w:tcPr>
          <w:p>
            <w:pPr>
              <w:spacing w:line="600" w:lineRule="exact"/>
              <w:jc w:val="center"/>
              <w:rPr>
                <w:rFonts w:hint="eastAsia" w:ascii="宋体" w:hAnsi="宋体" w:cs="宋体"/>
                <w:bCs/>
                <w:sz w:val="24"/>
              </w:rPr>
            </w:pPr>
            <w:r>
              <w:rPr>
                <w:rFonts w:hint="eastAsia" w:ascii="宋体" w:hAnsi="宋体" w:cs="宋体"/>
                <w:bCs/>
                <w:sz w:val="24"/>
              </w:rPr>
              <w:t>使用方</w:t>
            </w:r>
          </w:p>
        </w:tc>
        <w:tc>
          <w:tcPr>
            <w:tcW w:w="1370" w:type="dxa"/>
            <w:noWrap w:val="0"/>
            <w:vAlign w:val="top"/>
          </w:tcPr>
          <w:p>
            <w:pPr>
              <w:spacing w:line="600" w:lineRule="exact"/>
              <w:jc w:val="center"/>
              <w:rPr>
                <w:rFonts w:hint="eastAsia" w:ascii="宋体" w:hAnsi="宋体" w:cs="宋体"/>
                <w:bCs/>
                <w:sz w:val="24"/>
              </w:rPr>
            </w:pPr>
            <w:r>
              <w:rPr>
                <w:rFonts w:hint="eastAsia" w:ascii="宋体" w:hAnsi="宋体" w:cs="宋体"/>
                <w:bCs/>
                <w:sz w:val="24"/>
              </w:rPr>
              <w:t>合同金额</w:t>
            </w:r>
          </w:p>
        </w:tc>
        <w:tc>
          <w:tcPr>
            <w:tcW w:w="1370" w:type="dxa"/>
            <w:noWrap w:val="0"/>
            <w:vAlign w:val="top"/>
          </w:tcPr>
          <w:p>
            <w:pPr>
              <w:spacing w:line="600" w:lineRule="exact"/>
              <w:jc w:val="center"/>
              <w:rPr>
                <w:rFonts w:hint="eastAsia" w:ascii="宋体" w:hAnsi="宋体" w:cs="宋体"/>
                <w:bCs/>
                <w:sz w:val="24"/>
              </w:rPr>
            </w:pPr>
            <w:r>
              <w:rPr>
                <w:rFonts w:hint="eastAsia" w:ascii="宋体" w:hAnsi="宋体" w:cs="宋体"/>
                <w:bCs/>
                <w:sz w:val="24"/>
              </w:rPr>
              <w:t>签订时间</w:t>
            </w:r>
          </w:p>
        </w:tc>
        <w:tc>
          <w:tcPr>
            <w:tcW w:w="1593" w:type="dxa"/>
            <w:noWrap w:val="0"/>
            <w:vAlign w:val="top"/>
          </w:tcPr>
          <w:p>
            <w:pPr>
              <w:spacing w:line="600" w:lineRule="exact"/>
              <w:ind w:left="-105" w:leftChars="-50" w:right="-105" w:rightChars="-50"/>
              <w:jc w:val="center"/>
              <w:rPr>
                <w:rFonts w:hint="eastAsia" w:ascii="宋体" w:hAnsi="宋体" w:cs="宋体"/>
                <w:bCs/>
                <w:sz w:val="24"/>
              </w:rPr>
            </w:pPr>
            <w:r>
              <w:rPr>
                <w:rFonts w:hint="eastAsia" w:ascii="宋体" w:hAnsi="宋体" w:cs="宋体"/>
                <w:bCs/>
                <w:sz w:val="24"/>
              </w:rPr>
              <w:t>使用方联系人</w:t>
            </w:r>
          </w:p>
        </w:tc>
        <w:tc>
          <w:tcPr>
            <w:tcW w:w="2225" w:type="dxa"/>
            <w:noWrap w:val="0"/>
            <w:vAlign w:val="top"/>
          </w:tcPr>
          <w:p>
            <w:pPr>
              <w:spacing w:line="600" w:lineRule="exact"/>
              <w:jc w:val="center"/>
              <w:rPr>
                <w:rFonts w:hint="eastAsia" w:ascii="宋体" w:hAnsi="宋体" w:cs="宋体"/>
                <w:bCs/>
                <w:sz w:val="24"/>
              </w:rPr>
            </w:pPr>
            <w:r>
              <w:rPr>
                <w:rFonts w:hint="eastAsia" w:ascii="宋体" w:hAnsi="宋体" w:cs="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600" w:lineRule="exact"/>
              <w:rPr>
                <w:rFonts w:hint="eastAsia" w:ascii="宋体" w:hAnsi="宋体" w:cs="宋体"/>
                <w:bCs/>
                <w:sz w:val="24"/>
              </w:rPr>
            </w:pPr>
          </w:p>
        </w:tc>
        <w:tc>
          <w:tcPr>
            <w:tcW w:w="1669"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593" w:type="dxa"/>
            <w:noWrap w:val="0"/>
            <w:vAlign w:val="top"/>
          </w:tcPr>
          <w:p>
            <w:pPr>
              <w:spacing w:line="600" w:lineRule="exact"/>
              <w:rPr>
                <w:rFonts w:hint="eastAsia" w:ascii="宋体" w:hAnsi="宋体" w:cs="宋体"/>
                <w:bCs/>
                <w:sz w:val="24"/>
              </w:rPr>
            </w:pPr>
          </w:p>
        </w:tc>
        <w:tc>
          <w:tcPr>
            <w:tcW w:w="2225" w:type="dxa"/>
            <w:noWrap w:val="0"/>
            <w:vAlign w:val="top"/>
          </w:tcPr>
          <w:p>
            <w:pPr>
              <w:spacing w:line="6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600" w:lineRule="exact"/>
              <w:rPr>
                <w:rFonts w:hint="eastAsia" w:ascii="宋体" w:hAnsi="宋体" w:cs="宋体"/>
                <w:bCs/>
                <w:sz w:val="24"/>
              </w:rPr>
            </w:pPr>
          </w:p>
        </w:tc>
        <w:tc>
          <w:tcPr>
            <w:tcW w:w="1669"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593" w:type="dxa"/>
            <w:noWrap w:val="0"/>
            <w:vAlign w:val="top"/>
          </w:tcPr>
          <w:p>
            <w:pPr>
              <w:spacing w:line="600" w:lineRule="exact"/>
              <w:rPr>
                <w:rFonts w:hint="eastAsia" w:ascii="宋体" w:hAnsi="宋体" w:cs="宋体"/>
                <w:bCs/>
                <w:sz w:val="24"/>
              </w:rPr>
            </w:pPr>
          </w:p>
        </w:tc>
        <w:tc>
          <w:tcPr>
            <w:tcW w:w="2225" w:type="dxa"/>
            <w:noWrap w:val="0"/>
            <w:vAlign w:val="top"/>
          </w:tcPr>
          <w:p>
            <w:pPr>
              <w:spacing w:line="6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600" w:lineRule="exact"/>
              <w:rPr>
                <w:rFonts w:hint="eastAsia" w:ascii="宋体" w:hAnsi="宋体" w:cs="宋体"/>
                <w:bCs/>
                <w:sz w:val="24"/>
              </w:rPr>
            </w:pPr>
          </w:p>
        </w:tc>
        <w:tc>
          <w:tcPr>
            <w:tcW w:w="1669"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593" w:type="dxa"/>
            <w:noWrap w:val="0"/>
            <w:vAlign w:val="top"/>
          </w:tcPr>
          <w:p>
            <w:pPr>
              <w:spacing w:line="600" w:lineRule="exact"/>
              <w:rPr>
                <w:rFonts w:hint="eastAsia" w:ascii="宋体" w:hAnsi="宋体" w:cs="宋体"/>
                <w:bCs/>
                <w:sz w:val="24"/>
              </w:rPr>
            </w:pPr>
          </w:p>
        </w:tc>
        <w:tc>
          <w:tcPr>
            <w:tcW w:w="2225" w:type="dxa"/>
            <w:noWrap w:val="0"/>
            <w:vAlign w:val="top"/>
          </w:tcPr>
          <w:p>
            <w:pPr>
              <w:spacing w:line="6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600" w:lineRule="exact"/>
              <w:rPr>
                <w:rFonts w:hint="eastAsia" w:ascii="宋体" w:hAnsi="宋体" w:cs="宋体"/>
                <w:bCs/>
                <w:sz w:val="24"/>
              </w:rPr>
            </w:pPr>
          </w:p>
        </w:tc>
        <w:tc>
          <w:tcPr>
            <w:tcW w:w="1669"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593" w:type="dxa"/>
            <w:noWrap w:val="0"/>
            <w:vAlign w:val="top"/>
          </w:tcPr>
          <w:p>
            <w:pPr>
              <w:spacing w:line="600" w:lineRule="exact"/>
              <w:rPr>
                <w:rFonts w:hint="eastAsia" w:ascii="宋体" w:hAnsi="宋体" w:cs="宋体"/>
                <w:bCs/>
                <w:sz w:val="24"/>
              </w:rPr>
            </w:pPr>
          </w:p>
        </w:tc>
        <w:tc>
          <w:tcPr>
            <w:tcW w:w="2225" w:type="dxa"/>
            <w:noWrap w:val="0"/>
            <w:vAlign w:val="top"/>
          </w:tcPr>
          <w:p>
            <w:pPr>
              <w:spacing w:line="6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600" w:lineRule="exact"/>
              <w:rPr>
                <w:rFonts w:hint="eastAsia" w:ascii="宋体" w:hAnsi="宋体" w:cs="宋体"/>
                <w:bCs/>
                <w:sz w:val="24"/>
              </w:rPr>
            </w:pPr>
          </w:p>
        </w:tc>
        <w:tc>
          <w:tcPr>
            <w:tcW w:w="1669"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593" w:type="dxa"/>
            <w:noWrap w:val="0"/>
            <w:vAlign w:val="top"/>
          </w:tcPr>
          <w:p>
            <w:pPr>
              <w:spacing w:line="600" w:lineRule="exact"/>
              <w:rPr>
                <w:rFonts w:hint="eastAsia" w:ascii="宋体" w:hAnsi="宋体" w:cs="宋体"/>
                <w:bCs/>
                <w:sz w:val="24"/>
              </w:rPr>
            </w:pPr>
          </w:p>
        </w:tc>
        <w:tc>
          <w:tcPr>
            <w:tcW w:w="2225" w:type="dxa"/>
            <w:noWrap w:val="0"/>
            <w:vAlign w:val="top"/>
          </w:tcPr>
          <w:p>
            <w:pPr>
              <w:spacing w:line="6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600" w:lineRule="exact"/>
              <w:rPr>
                <w:rFonts w:hint="eastAsia" w:ascii="宋体" w:hAnsi="宋体" w:cs="宋体"/>
                <w:bCs/>
                <w:sz w:val="24"/>
              </w:rPr>
            </w:pPr>
          </w:p>
        </w:tc>
        <w:tc>
          <w:tcPr>
            <w:tcW w:w="1669"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593" w:type="dxa"/>
            <w:noWrap w:val="0"/>
            <w:vAlign w:val="top"/>
          </w:tcPr>
          <w:p>
            <w:pPr>
              <w:spacing w:line="600" w:lineRule="exact"/>
              <w:rPr>
                <w:rFonts w:hint="eastAsia" w:ascii="宋体" w:hAnsi="宋体" w:cs="宋体"/>
                <w:bCs/>
                <w:sz w:val="24"/>
              </w:rPr>
            </w:pPr>
          </w:p>
        </w:tc>
        <w:tc>
          <w:tcPr>
            <w:tcW w:w="2225" w:type="dxa"/>
            <w:noWrap w:val="0"/>
            <w:vAlign w:val="top"/>
          </w:tcPr>
          <w:p>
            <w:pPr>
              <w:spacing w:line="60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600" w:lineRule="exact"/>
              <w:rPr>
                <w:rFonts w:hint="eastAsia" w:ascii="宋体" w:hAnsi="宋体" w:cs="宋体"/>
                <w:bCs/>
                <w:sz w:val="24"/>
              </w:rPr>
            </w:pPr>
          </w:p>
        </w:tc>
        <w:tc>
          <w:tcPr>
            <w:tcW w:w="1669"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370" w:type="dxa"/>
            <w:noWrap w:val="0"/>
            <w:vAlign w:val="top"/>
          </w:tcPr>
          <w:p>
            <w:pPr>
              <w:spacing w:line="600" w:lineRule="exact"/>
              <w:rPr>
                <w:rFonts w:hint="eastAsia" w:ascii="宋体" w:hAnsi="宋体" w:cs="宋体"/>
                <w:bCs/>
                <w:sz w:val="24"/>
              </w:rPr>
            </w:pPr>
          </w:p>
        </w:tc>
        <w:tc>
          <w:tcPr>
            <w:tcW w:w="1593" w:type="dxa"/>
            <w:noWrap w:val="0"/>
            <w:vAlign w:val="top"/>
          </w:tcPr>
          <w:p>
            <w:pPr>
              <w:spacing w:line="600" w:lineRule="exact"/>
              <w:rPr>
                <w:rFonts w:hint="eastAsia" w:ascii="宋体" w:hAnsi="宋体" w:cs="宋体"/>
                <w:bCs/>
                <w:sz w:val="24"/>
              </w:rPr>
            </w:pPr>
          </w:p>
        </w:tc>
        <w:tc>
          <w:tcPr>
            <w:tcW w:w="2225" w:type="dxa"/>
            <w:noWrap w:val="0"/>
            <w:vAlign w:val="top"/>
          </w:tcPr>
          <w:p>
            <w:pPr>
              <w:spacing w:line="600" w:lineRule="exact"/>
              <w:rPr>
                <w:rFonts w:hint="eastAsia" w:ascii="宋体" w:hAnsi="宋体" w:cs="宋体"/>
                <w:bCs/>
                <w:sz w:val="24"/>
              </w:rPr>
            </w:pPr>
          </w:p>
        </w:tc>
      </w:tr>
    </w:tbl>
    <w:p>
      <w:pPr>
        <w:spacing w:line="600" w:lineRule="exact"/>
        <w:rPr>
          <w:rFonts w:hint="eastAsia" w:ascii="宋体" w:hAnsi="宋体" w:cs="宋体"/>
          <w:sz w:val="24"/>
        </w:rPr>
      </w:pPr>
      <w:r>
        <w:rPr>
          <w:rFonts w:hint="eastAsia" w:ascii="宋体" w:hAnsi="宋体" w:cs="宋体"/>
          <w:sz w:val="24"/>
        </w:rPr>
        <w:t>法定代表人或其授权代理人（签字或盖章）：</w:t>
      </w:r>
    </w:p>
    <w:p>
      <w:pPr>
        <w:spacing w:line="600" w:lineRule="exact"/>
        <w:rPr>
          <w:rFonts w:hint="eastAsia" w:ascii="宋体" w:hAnsi="宋体" w:cs="宋体"/>
          <w:sz w:val="24"/>
        </w:rPr>
      </w:pPr>
      <w:r>
        <w:rPr>
          <w:rFonts w:hint="eastAsia" w:ascii="宋体" w:hAnsi="宋体" w:cs="宋体"/>
          <w:sz w:val="24"/>
        </w:rPr>
        <w:t>日期：    年   月  日</w:t>
      </w:r>
    </w:p>
    <w:p>
      <w:pPr>
        <w:spacing w:line="600" w:lineRule="exact"/>
        <w:ind w:firstLine="480" w:firstLineChars="200"/>
        <w:rPr>
          <w:rFonts w:hint="eastAsia" w:ascii="宋体" w:hAnsi="宋体" w:cs="宋体"/>
          <w:bCs/>
          <w:sz w:val="24"/>
        </w:rPr>
      </w:pPr>
      <w:r>
        <w:rPr>
          <w:rFonts w:hint="eastAsia" w:ascii="宋体" w:hAnsi="宋体" w:cs="宋体"/>
          <w:sz w:val="24"/>
        </w:rPr>
        <w:t>注：1、</w:t>
      </w:r>
      <w:r>
        <w:rPr>
          <w:rFonts w:hint="eastAsia" w:ascii="宋体" w:hAnsi="宋体" w:cs="宋体"/>
          <w:bCs/>
          <w:sz w:val="24"/>
        </w:rPr>
        <w:t>企业业绩是指供应商2019年1月1日至今，提供同类项目</w:t>
      </w:r>
      <w:r>
        <w:rPr>
          <w:rFonts w:hint="eastAsia" w:ascii="宋体" w:hAnsi="宋体" w:cs="宋体"/>
          <w:b/>
          <w:bCs/>
          <w:sz w:val="24"/>
        </w:rPr>
        <w:t>合同或中标通知书复印件（或扫描件）并加盖单位公章。</w:t>
      </w:r>
    </w:p>
    <w:p>
      <w:pPr>
        <w:spacing w:line="600" w:lineRule="exact"/>
        <w:ind w:firstLine="360" w:firstLineChars="150"/>
        <w:rPr>
          <w:rFonts w:hint="eastAsia" w:ascii="宋体" w:hAnsi="宋体" w:cs="宋体"/>
          <w:sz w:val="24"/>
        </w:rPr>
      </w:pPr>
      <w:r>
        <w:rPr>
          <w:rFonts w:hint="eastAsia" w:ascii="宋体" w:hAnsi="宋体" w:cs="宋体"/>
          <w:sz w:val="24"/>
        </w:rPr>
        <w:t>2、此表仅提供了表格形式，供应商应根据需要准备足够数量的表格来填写。</w:t>
      </w:r>
    </w:p>
    <w:p>
      <w:pPr>
        <w:pStyle w:val="55"/>
        <w:spacing w:line="360" w:lineRule="auto"/>
        <w:ind w:firstLine="482" w:firstLineChars="200"/>
        <w:jc w:val="center"/>
        <w:rPr>
          <w:rFonts w:hint="eastAsia" w:ascii="宋体" w:hAnsi="宋体" w:cs="宋体"/>
          <w:b/>
          <w:bCs/>
          <w:sz w:val="24"/>
        </w:rPr>
      </w:pPr>
    </w:p>
    <w:p>
      <w:pPr>
        <w:pStyle w:val="55"/>
        <w:spacing w:line="360" w:lineRule="auto"/>
        <w:rPr>
          <w:rFonts w:hint="eastAsia" w:ascii="宋体" w:hAnsi="宋体" w:cs="宋体"/>
          <w:b/>
          <w:bCs/>
          <w:sz w:val="24"/>
        </w:rPr>
      </w:pPr>
    </w:p>
    <w:p>
      <w:pPr>
        <w:snapToGrid w:val="0"/>
        <w:spacing w:before="50" w:after="120" w:afterLines="50"/>
        <w:jc w:val="left"/>
        <w:rPr>
          <w:rFonts w:hint="eastAsia" w:ascii="宋体" w:hAnsi="宋体" w:cs="宋体"/>
          <w:b/>
          <w:sz w:val="30"/>
          <w:szCs w:val="30"/>
        </w:rPr>
      </w:pPr>
    </w:p>
    <w:p>
      <w:pPr>
        <w:pStyle w:val="2"/>
        <w:rPr>
          <w:rFonts w:hint="eastAsia"/>
        </w:rPr>
      </w:pPr>
    </w:p>
    <w:p>
      <w:pPr>
        <w:snapToGrid w:val="0"/>
        <w:spacing w:before="50" w:after="120" w:afterLines="50"/>
        <w:jc w:val="left"/>
        <w:rPr>
          <w:rFonts w:hint="eastAsia" w:ascii="宋体" w:hAnsi="宋体" w:cs="宋体"/>
          <w:b/>
          <w:sz w:val="30"/>
          <w:szCs w:val="30"/>
        </w:rPr>
      </w:pPr>
      <w:r>
        <w:rPr>
          <w:rFonts w:hint="eastAsia" w:ascii="宋体" w:hAnsi="宋体" w:cs="宋体"/>
          <w:b/>
          <w:sz w:val="30"/>
          <w:szCs w:val="30"/>
        </w:rPr>
        <w:t>3、报价文件目录</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（1) 投标函；</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（2) 开标一览表（格式见附件）；</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（3）报价明细表（格式见附件）；</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（4）中小企业声明函；</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（5）招标代理服务费承诺函；</w:t>
      </w:r>
    </w:p>
    <w:p>
      <w:pPr>
        <w:tabs>
          <w:tab w:val="left" w:pos="720"/>
        </w:tabs>
        <w:spacing w:line="360" w:lineRule="auto"/>
        <w:ind w:left="-2" w:leftChars="-1" w:firstLine="410" w:firstLineChars="171"/>
        <w:rPr>
          <w:rFonts w:hint="eastAsia" w:ascii="宋体" w:hAnsi="宋体" w:cs="宋体"/>
          <w:sz w:val="24"/>
        </w:rPr>
      </w:pPr>
      <w:r>
        <w:rPr>
          <w:rFonts w:hint="eastAsia" w:ascii="宋体" w:hAnsi="宋体" w:cs="宋体"/>
          <w:sz w:val="24"/>
        </w:rPr>
        <w:t>（6）其他投标供应商认为有必要提供的资料。</w:t>
      </w: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snapToGrid w:val="0"/>
        <w:spacing w:before="50" w:after="120" w:afterLines="50"/>
        <w:ind w:firstLine="480" w:firstLineChars="200"/>
        <w:rPr>
          <w:rFonts w:hint="eastAsia" w:ascii="宋体" w:hAnsi="宋体" w:cs="宋体"/>
          <w:sz w:val="24"/>
        </w:rPr>
      </w:pPr>
    </w:p>
    <w:p>
      <w:pPr>
        <w:rPr>
          <w:rFonts w:hint="eastAsia" w:ascii="宋体" w:hAnsi="宋体" w:cs="宋体"/>
        </w:rPr>
      </w:pPr>
    </w:p>
    <w:p>
      <w:pPr>
        <w:tabs>
          <w:tab w:val="left" w:pos="720"/>
        </w:tabs>
        <w:spacing w:line="360" w:lineRule="auto"/>
        <w:ind w:left="-2" w:leftChars="-1" w:firstLine="412" w:firstLineChars="171"/>
        <w:jc w:val="center"/>
        <w:rPr>
          <w:rFonts w:hint="eastAsia" w:ascii="宋体" w:hAnsi="宋体" w:cs="宋体"/>
          <w:b/>
          <w:sz w:val="24"/>
        </w:rPr>
        <w:sectPr>
          <w:pgSz w:w="11906" w:h="16838"/>
          <w:pgMar w:top="1474" w:right="1531" w:bottom="1474" w:left="1531" w:header="907" w:footer="907" w:gutter="0"/>
          <w:cols w:space="720" w:num="1"/>
          <w:docGrid w:linePitch="312" w:charSpace="0"/>
        </w:sectPr>
      </w:pPr>
    </w:p>
    <w:p>
      <w:pPr>
        <w:tabs>
          <w:tab w:val="left" w:pos="720"/>
        </w:tabs>
        <w:spacing w:line="360" w:lineRule="auto"/>
        <w:ind w:left="-2" w:leftChars="-1" w:firstLine="412" w:firstLineChars="171"/>
        <w:jc w:val="center"/>
        <w:rPr>
          <w:rFonts w:hint="eastAsia" w:ascii="宋体" w:hAnsi="宋体" w:cs="宋体"/>
          <w:b/>
          <w:sz w:val="24"/>
        </w:rPr>
      </w:pPr>
    </w:p>
    <w:p>
      <w:pPr>
        <w:tabs>
          <w:tab w:val="left" w:pos="720"/>
        </w:tabs>
        <w:spacing w:line="360" w:lineRule="auto"/>
        <w:ind w:left="-2" w:leftChars="-1" w:firstLine="412" w:firstLineChars="171"/>
        <w:jc w:val="center"/>
        <w:rPr>
          <w:rFonts w:hint="eastAsia" w:ascii="宋体" w:hAnsi="宋体" w:cs="宋体"/>
          <w:b/>
          <w:sz w:val="24"/>
        </w:rPr>
      </w:pPr>
      <w:r>
        <w:rPr>
          <w:rFonts w:hint="eastAsia" w:ascii="宋体" w:hAnsi="宋体" w:cs="宋体"/>
          <w:b/>
          <w:sz w:val="24"/>
        </w:rPr>
        <w:t>（1) 投标函</w:t>
      </w:r>
    </w:p>
    <w:p>
      <w:pPr>
        <w:snapToGrid w:val="0"/>
        <w:spacing w:line="360" w:lineRule="auto"/>
        <w:jc w:val="left"/>
        <w:rPr>
          <w:rFonts w:hint="eastAsia" w:ascii="宋体" w:hAnsi="宋体" w:cs="宋体"/>
          <w:sz w:val="24"/>
        </w:rPr>
      </w:pPr>
      <w:r>
        <w:rPr>
          <w:rFonts w:hint="eastAsia" w:ascii="宋体" w:hAnsi="宋体" w:cs="宋体"/>
          <w:sz w:val="24"/>
        </w:rPr>
        <w:t>致：______</w:t>
      </w:r>
      <w:r>
        <w:rPr>
          <w:rFonts w:hint="eastAsia" w:ascii="宋体" w:hAnsi="宋体" w:cs="宋体"/>
          <w:sz w:val="24"/>
          <w:u w:val="single"/>
        </w:rPr>
        <w:t>_     _</w:t>
      </w:r>
      <w:r>
        <w:rPr>
          <w:rFonts w:hint="eastAsia" w:ascii="宋体" w:hAnsi="宋体" w:cs="宋体"/>
          <w:sz w:val="24"/>
        </w:rPr>
        <w:t>_（采购代理机构名称）：</w:t>
      </w:r>
    </w:p>
    <w:p>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rPr>
        <w:t>_____</w:t>
      </w:r>
      <w:r>
        <w:rPr>
          <w:rFonts w:hint="eastAsia" w:ascii="宋体" w:hAnsi="宋体" w:cs="宋体"/>
          <w:sz w:val="24"/>
          <w:u w:val="single"/>
        </w:rPr>
        <w:t>_     _</w:t>
      </w:r>
      <w:r>
        <w:rPr>
          <w:rFonts w:hint="eastAsia" w:ascii="宋体" w:hAnsi="宋体" w:cs="宋体"/>
          <w:sz w:val="24"/>
        </w:rPr>
        <w:t>_</w:t>
      </w:r>
      <w:r>
        <w:rPr>
          <w:rFonts w:hint="eastAsia" w:ascii="宋体" w:hAnsi="宋体" w:cs="宋体"/>
          <w:sz w:val="24"/>
          <w:lang w:val="zh-CN"/>
        </w:rPr>
        <w:t xml:space="preserve">（供应商全称）授权 </w:t>
      </w:r>
      <w:r>
        <w:rPr>
          <w:rFonts w:hint="eastAsia" w:ascii="宋体" w:hAnsi="宋体" w:cs="宋体"/>
          <w:sz w:val="24"/>
        </w:rPr>
        <w:t>_____</w:t>
      </w:r>
      <w:r>
        <w:rPr>
          <w:rFonts w:hint="eastAsia" w:ascii="宋体" w:hAnsi="宋体" w:cs="宋体"/>
          <w:sz w:val="24"/>
          <w:u w:val="single"/>
        </w:rPr>
        <w:t>_     _</w:t>
      </w:r>
      <w:r>
        <w:rPr>
          <w:rFonts w:hint="eastAsia" w:ascii="宋体" w:hAnsi="宋体" w:cs="宋体"/>
          <w:sz w:val="24"/>
        </w:rPr>
        <w:t>_</w:t>
      </w:r>
      <w:r>
        <w:rPr>
          <w:rFonts w:hint="eastAsia" w:ascii="宋体" w:hAnsi="宋体" w:cs="宋体"/>
          <w:sz w:val="24"/>
          <w:lang w:val="zh-CN"/>
        </w:rPr>
        <w:t>（授权代表名称）</w:t>
      </w:r>
      <w:r>
        <w:rPr>
          <w:rFonts w:hint="eastAsia" w:ascii="宋体" w:hAnsi="宋体" w:cs="宋体"/>
          <w:sz w:val="24"/>
          <w:u w:val="single"/>
          <w:lang w:val="zh-CN"/>
        </w:rPr>
        <w:t xml:space="preserve">         </w:t>
      </w:r>
      <w:r>
        <w:rPr>
          <w:rFonts w:hint="eastAsia" w:ascii="宋体" w:hAnsi="宋体" w:cs="宋体"/>
          <w:sz w:val="24"/>
          <w:lang w:val="zh-CN"/>
        </w:rPr>
        <w:t>（职务、职称）为授权代表，参加贵方组织的</w:t>
      </w:r>
      <w:r>
        <w:rPr>
          <w:rFonts w:hint="eastAsia" w:ascii="宋体" w:hAnsi="宋体" w:cs="宋体"/>
          <w:sz w:val="24"/>
          <w:u w:val="single"/>
        </w:rPr>
        <w:t xml:space="preserve">          </w:t>
      </w:r>
      <w:r>
        <w:rPr>
          <w:rFonts w:hint="eastAsia" w:ascii="宋体" w:hAnsi="宋体" w:cs="宋体"/>
          <w:sz w:val="24"/>
          <w:lang w:val="zh-CN"/>
        </w:rPr>
        <w:t>（采购项目名称）（括号内填项目编号）采购的有关活动，并对</w:t>
      </w:r>
      <w:r>
        <w:rPr>
          <w:rFonts w:hint="eastAsia" w:ascii="宋体" w:hAnsi="宋体" w:cs="宋体"/>
          <w:sz w:val="24"/>
        </w:rPr>
        <w:t>_____</w:t>
      </w:r>
      <w:r>
        <w:rPr>
          <w:rFonts w:hint="eastAsia" w:ascii="宋体" w:hAnsi="宋体" w:cs="宋体"/>
          <w:sz w:val="24"/>
          <w:u w:val="single"/>
        </w:rPr>
        <w:t>_     _</w:t>
      </w:r>
      <w:r>
        <w:rPr>
          <w:rFonts w:hint="eastAsia" w:ascii="宋体" w:hAnsi="宋体" w:cs="宋体"/>
          <w:sz w:val="24"/>
        </w:rPr>
        <w:t>_</w:t>
      </w:r>
      <w:r>
        <w:rPr>
          <w:rFonts w:hint="eastAsia" w:ascii="宋体" w:hAnsi="宋体" w:cs="宋体"/>
          <w:sz w:val="24"/>
          <w:lang w:val="zh-CN"/>
        </w:rPr>
        <w:t xml:space="preserve">项目（采购项目名称）进行投标。为此：    </w:t>
      </w:r>
    </w:p>
    <w:p>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供应商须提供须知规定的全部投标文件（电子投标文件、数据电子备份投标文件（U盘）），包括《资格文件》、《技术、商务、资信及其他文件》、《报价文件》，其中数据电子备份投标文件（U盘）各   份，应与电子投标文件内容、格式一致；电子投标文件确认已上传</w:t>
      </w:r>
      <w:r>
        <w:rPr>
          <w:rFonts w:hint="eastAsia" w:ascii="宋体" w:hAnsi="宋体" w:cs="宋体"/>
          <w:sz w:val="24"/>
        </w:rPr>
        <w:t>。</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1.投标供应商已详细审查全部“采购文件”，包括修改文件（如有的话）以及全部参考资料和有关附件，已经了解我方对于采购文件、采购过程、采购结果有依法进行询问、质疑、投诉的权利及相关渠道和要求。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2.投标供应商在投标之前已经与贵方进行了充分的沟通，完全理解并接受采购文件的各项规定和要求，对采购文件的合理性、合法性不再有异议。</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3.本投标有效期自开标日起 ______个日。</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4.如中标，本投标文件至本项目合同履行完毕止均保持有效，本投标供应商将按“采购文件”及政府采购法律、法规的规定履行合同责任和义务。</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5.投标供应商同意按照贵方要求提供与投标有关的一切数据或资料。</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6.与本投标有关的一切正式往来信函请寄：</w:t>
      </w:r>
    </w:p>
    <w:p>
      <w:pPr>
        <w:snapToGrid w:val="0"/>
        <w:spacing w:line="360" w:lineRule="auto"/>
        <w:jc w:val="left"/>
        <w:rPr>
          <w:rFonts w:hint="eastAsia" w:ascii="宋体" w:hAnsi="宋体" w:cs="宋体"/>
          <w:sz w:val="24"/>
          <w:szCs w:val="20"/>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pPr>
        <w:snapToGrid w:val="0"/>
        <w:spacing w:line="360" w:lineRule="auto"/>
        <w:jc w:val="left"/>
        <w:rPr>
          <w:rFonts w:hint="eastAsia" w:ascii="宋体" w:hAnsi="宋体" w:cs="宋体"/>
          <w:sz w:val="24"/>
        </w:rPr>
      </w:pPr>
      <w:r>
        <w:rPr>
          <w:rFonts w:hint="eastAsia" w:ascii="宋体" w:hAnsi="宋体" w:cs="宋体"/>
          <w:sz w:val="24"/>
        </w:rPr>
        <w:t>传真：______________投标供应商代表姓名 ___________  职务：______</w:t>
      </w:r>
      <w:r>
        <w:rPr>
          <w:rFonts w:hint="eastAsia" w:ascii="宋体" w:hAnsi="宋体" w:cs="宋体"/>
          <w:sz w:val="24"/>
          <w:u w:val="single"/>
        </w:rPr>
        <w:t xml:space="preserve"> </w:t>
      </w:r>
      <w:r>
        <w:rPr>
          <w:rFonts w:hint="eastAsia" w:ascii="宋体" w:hAnsi="宋体" w:cs="宋体"/>
          <w:sz w:val="24"/>
        </w:rPr>
        <w:t>_______</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szCs w:val="20"/>
        </w:rPr>
      </w:pPr>
    </w:p>
    <w:p>
      <w:pPr>
        <w:snapToGrid w:val="0"/>
        <w:spacing w:before="120" w:beforeLines="50" w:line="360" w:lineRule="auto"/>
        <w:ind w:firstLine="3780"/>
        <w:jc w:val="left"/>
        <w:rPr>
          <w:rFonts w:hint="eastAsia" w:ascii="宋体" w:hAnsi="宋体" w:cs="宋体"/>
          <w:sz w:val="24"/>
        </w:rPr>
      </w:pPr>
      <w:r>
        <w:rPr>
          <w:rFonts w:hint="eastAsia" w:ascii="宋体" w:hAnsi="宋体" w:cs="宋体"/>
          <w:sz w:val="24"/>
        </w:rPr>
        <w:t>投标供应商全称（公章）：</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120" w:beforeLines="50" w:line="360" w:lineRule="auto"/>
        <w:ind w:firstLine="3780"/>
        <w:jc w:val="left"/>
        <w:rPr>
          <w:rFonts w:hint="eastAsia" w:ascii="宋体" w:hAnsi="宋体" w:cs="宋体"/>
          <w:sz w:val="24"/>
          <w:szCs w:val="20"/>
          <w:u w:val="single"/>
        </w:rPr>
      </w:pPr>
      <w:r>
        <w:rPr>
          <w:rFonts w:hint="eastAsia" w:ascii="宋体" w:hAnsi="宋体" w:cs="宋体"/>
          <w:sz w:val="24"/>
        </w:rPr>
        <w:t>法定代表人或委托代表人（签字或盖章）：</w:t>
      </w:r>
      <w:r>
        <w:rPr>
          <w:rFonts w:hint="eastAsia" w:ascii="宋体" w:hAnsi="宋体" w:cs="宋体"/>
          <w:sz w:val="24"/>
          <w:u w:val="single"/>
        </w:rPr>
        <w:t xml:space="preserve">             </w:t>
      </w:r>
    </w:p>
    <w:p>
      <w:pPr>
        <w:snapToGrid w:val="0"/>
        <w:spacing w:before="120" w:beforeLines="50" w:after="50" w:line="360" w:lineRule="auto"/>
        <w:ind w:firstLine="240" w:firstLineChars="100"/>
        <w:jc w:val="left"/>
        <w:rPr>
          <w:rFonts w:hint="eastAsia" w:ascii="宋体" w:hAnsi="宋体" w:cs="宋体"/>
          <w:sz w:val="24"/>
          <w:szCs w:val="20"/>
        </w:rPr>
      </w:pPr>
      <w:r>
        <w:rPr>
          <w:rFonts w:hint="eastAsia" w:ascii="宋体" w:hAnsi="宋体" w:cs="宋体"/>
          <w:sz w:val="24"/>
        </w:rPr>
        <w:t xml:space="preserve">                                             年    月    日</w:t>
      </w:r>
    </w:p>
    <w:p>
      <w:pPr>
        <w:pStyle w:val="34"/>
        <w:snapToGrid w:val="0"/>
        <w:spacing w:before="295" w:after="295"/>
        <w:jc w:val="center"/>
        <w:rPr>
          <w:rFonts w:hint="eastAsia" w:hAnsi="宋体" w:cs="宋体"/>
          <w:b/>
          <w:sz w:val="24"/>
          <w:szCs w:val="24"/>
        </w:rPr>
      </w:pPr>
    </w:p>
    <w:p>
      <w:pPr>
        <w:pStyle w:val="34"/>
        <w:snapToGrid w:val="0"/>
        <w:spacing w:before="295" w:after="295"/>
        <w:jc w:val="center"/>
        <w:rPr>
          <w:rFonts w:hint="eastAsia" w:hAnsi="宋体" w:cs="宋体"/>
          <w:sz w:val="24"/>
        </w:rPr>
      </w:pPr>
      <w:r>
        <w:rPr>
          <w:rFonts w:hint="eastAsia" w:hAnsi="宋体" w:cs="宋体"/>
          <w:b/>
          <w:sz w:val="24"/>
          <w:szCs w:val="24"/>
        </w:rPr>
        <w:t>（2）开标一览表</w:t>
      </w:r>
    </w:p>
    <w:p>
      <w:pPr>
        <w:snapToGrid w:val="0"/>
        <w:spacing w:before="50" w:after="120" w:line="500" w:lineRule="exact"/>
        <w:jc w:val="left"/>
        <w:rPr>
          <w:rFonts w:hint="eastAsia" w:ascii="宋体" w:hAnsi="宋体" w:cs="宋体"/>
          <w:sz w:val="24"/>
        </w:rPr>
      </w:pPr>
      <w:r>
        <w:rPr>
          <w:rFonts w:hint="eastAsia" w:ascii="宋体" w:hAnsi="宋体" w:cs="宋体"/>
          <w:sz w:val="24"/>
        </w:rPr>
        <w:t xml:space="preserve">项目编号：                                  </w:t>
      </w:r>
    </w:p>
    <w:tbl>
      <w:tblPr>
        <w:tblStyle w:val="62"/>
        <w:tblpPr w:leftFromText="180" w:rightFromText="180" w:vertAnchor="text" w:horzAnchor="page" w:tblpX="1412" w:tblpY="630"/>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2"/>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862" w:type="dxa"/>
            <w:noWrap w:val="0"/>
            <w:vAlign w:val="center"/>
          </w:tcPr>
          <w:p>
            <w:pPr>
              <w:pStyle w:val="34"/>
              <w:spacing w:before="120" w:after="120" w:line="500" w:lineRule="exact"/>
              <w:jc w:val="center"/>
              <w:rPr>
                <w:rFonts w:hint="eastAsia" w:hAnsi="宋体" w:cs="宋体"/>
                <w:sz w:val="24"/>
                <w:szCs w:val="24"/>
              </w:rPr>
            </w:pPr>
            <w:r>
              <w:rPr>
                <w:rFonts w:hint="eastAsia" w:hAnsi="宋体" w:cs="宋体"/>
                <w:sz w:val="24"/>
                <w:szCs w:val="24"/>
              </w:rPr>
              <w:t>项目名称</w:t>
            </w:r>
          </w:p>
        </w:tc>
        <w:tc>
          <w:tcPr>
            <w:tcW w:w="4652" w:type="dxa"/>
            <w:noWrap w:val="0"/>
            <w:vAlign w:val="center"/>
          </w:tcPr>
          <w:p>
            <w:pPr>
              <w:pStyle w:val="34"/>
              <w:spacing w:before="120" w:after="120" w:line="500" w:lineRule="exact"/>
              <w:jc w:val="center"/>
              <w:rPr>
                <w:rFonts w:hint="eastAsia" w:hAnsi="宋体" w:cs="宋体"/>
                <w:sz w:val="24"/>
                <w:szCs w:val="24"/>
              </w:rPr>
            </w:pPr>
            <w:r>
              <w:rPr>
                <w:rFonts w:hint="eastAsia" w:hAnsi="宋体" w:cs="宋体"/>
                <w:sz w:val="24"/>
                <w:szCs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4862" w:type="dxa"/>
            <w:vMerge w:val="restart"/>
            <w:noWrap w:val="0"/>
            <w:vAlign w:val="center"/>
          </w:tcPr>
          <w:p>
            <w:pPr>
              <w:pStyle w:val="34"/>
              <w:spacing w:before="120" w:after="120" w:line="500" w:lineRule="exact"/>
              <w:jc w:val="center"/>
              <w:rPr>
                <w:rFonts w:hint="eastAsia" w:hAnsi="宋体" w:cs="宋体"/>
                <w:kern w:val="0"/>
                <w:sz w:val="24"/>
                <w:szCs w:val="24"/>
              </w:rPr>
            </w:pPr>
            <w:r>
              <w:rPr>
                <w:rFonts w:hint="eastAsia" w:hAnsi="宋体" w:cs="宋体"/>
                <w:kern w:val="0"/>
                <w:sz w:val="24"/>
                <w:szCs w:val="24"/>
              </w:rPr>
              <w:t>平安风险预警预测防控应用项目</w:t>
            </w:r>
          </w:p>
        </w:tc>
        <w:tc>
          <w:tcPr>
            <w:tcW w:w="4652" w:type="dxa"/>
            <w:noWrap w:val="0"/>
            <w:vAlign w:val="center"/>
          </w:tcPr>
          <w:p>
            <w:pPr>
              <w:pStyle w:val="34"/>
              <w:spacing w:before="120" w:after="120" w:line="500" w:lineRule="exact"/>
              <w:rPr>
                <w:rFonts w:hint="eastAsia" w:hAnsi="宋体" w:cs="宋体"/>
                <w:sz w:val="24"/>
                <w:szCs w:val="24"/>
              </w:rPr>
            </w:pPr>
            <w:r>
              <w:rPr>
                <w:rFonts w:hint="eastAsia" w:hAnsi="宋体" w:cs="宋体"/>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4862" w:type="dxa"/>
            <w:vMerge w:val="continue"/>
            <w:noWrap w:val="0"/>
            <w:vAlign w:val="center"/>
          </w:tcPr>
          <w:p>
            <w:pPr>
              <w:pStyle w:val="34"/>
              <w:spacing w:before="120" w:after="120" w:line="500" w:lineRule="exact"/>
              <w:jc w:val="center"/>
              <w:rPr>
                <w:rFonts w:hint="eastAsia" w:hAnsi="宋体" w:cs="宋体"/>
                <w:kern w:val="0"/>
                <w:sz w:val="24"/>
                <w:szCs w:val="24"/>
              </w:rPr>
            </w:pPr>
          </w:p>
        </w:tc>
        <w:tc>
          <w:tcPr>
            <w:tcW w:w="4652" w:type="dxa"/>
            <w:noWrap w:val="0"/>
            <w:vAlign w:val="center"/>
          </w:tcPr>
          <w:p>
            <w:pPr>
              <w:pStyle w:val="34"/>
              <w:spacing w:before="120" w:after="120" w:line="500" w:lineRule="exact"/>
              <w:rPr>
                <w:rFonts w:hint="eastAsia" w:hAnsi="宋体" w:cs="宋体"/>
                <w:sz w:val="24"/>
                <w:szCs w:val="24"/>
              </w:rPr>
            </w:pPr>
            <w:r>
              <w:rPr>
                <w:rFonts w:hint="eastAsia" w:hAnsi="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4862" w:type="dxa"/>
            <w:noWrap w:val="0"/>
            <w:vAlign w:val="center"/>
          </w:tcPr>
          <w:p>
            <w:pPr>
              <w:adjustRightInd w:val="0"/>
              <w:snapToGrid w:val="0"/>
              <w:spacing w:line="440" w:lineRule="exact"/>
              <w:jc w:val="center"/>
              <w:rPr>
                <w:rFonts w:hint="eastAsia" w:hAnsi="宋体" w:cs="宋体"/>
                <w:kern w:val="0"/>
                <w:sz w:val="24"/>
              </w:rPr>
            </w:pPr>
            <w:r>
              <w:rPr>
                <w:rFonts w:hint="eastAsia"/>
                <w:bCs/>
                <w:sz w:val="24"/>
              </w:rPr>
              <w:t>是否符合小微企业价格扣除政策的情形</w:t>
            </w:r>
          </w:p>
        </w:tc>
        <w:tc>
          <w:tcPr>
            <w:tcW w:w="4652" w:type="dxa"/>
            <w:noWrap w:val="0"/>
            <w:vAlign w:val="top"/>
          </w:tcPr>
          <w:p>
            <w:pPr>
              <w:spacing w:line="480" w:lineRule="exact"/>
              <w:jc w:val="center"/>
              <w:rPr>
                <w:sz w:val="24"/>
              </w:rPr>
            </w:pPr>
            <w:r>
              <w:rPr>
                <w:rFonts w:hint="eastAsia"/>
                <w:sz w:val="24"/>
              </w:rPr>
              <w:t>是   □</w:t>
            </w:r>
          </w:p>
          <w:p>
            <w:pPr>
              <w:adjustRightInd w:val="0"/>
              <w:snapToGrid w:val="0"/>
              <w:spacing w:line="440" w:lineRule="exact"/>
              <w:jc w:val="center"/>
              <w:rPr>
                <w:rFonts w:hint="eastAsia" w:hAnsi="宋体" w:cs="宋体"/>
                <w:sz w:val="24"/>
              </w:rPr>
            </w:pPr>
            <w:r>
              <w:rPr>
                <w:rFonts w:hint="eastAsia"/>
                <w:sz w:val="24"/>
              </w:rPr>
              <w:t>否   □</w:t>
            </w:r>
          </w:p>
        </w:tc>
      </w:tr>
    </w:tbl>
    <w:p>
      <w:pPr>
        <w:snapToGrid w:val="0"/>
        <w:spacing w:before="50" w:after="50" w:line="500" w:lineRule="exact"/>
        <w:jc w:val="left"/>
        <w:rPr>
          <w:rFonts w:hint="eastAsia" w:ascii="宋体" w:hAnsi="宋体" w:cs="宋体"/>
          <w:sz w:val="24"/>
        </w:rPr>
      </w:pPr>
    </w:p>
    <w:p>
      <w:pPr>
        <w:pStyle w:val="34"/>
        <w:spacing w:before="120" w:after="120" w:line="500" w:lineRule="exact"/>
        <w:ind w:left="1063" w:hanging="1063" w:hangingChars="441"/>
        <w:rPr>
          <w:rFonts w:hint="eastAsia" w:hAnsi="宋体" w:cs="宋体"/>
          <w:b/>
          <w:sz w:val="24"/>
          <w:szCs w:val="24"/>
        </w:rPr>
      </w:pPr>
      <w:r>
        <w:rPr>
          <w:rFonts w:hint="eastAsia" w:hAnsi="宋体" w:cs="宋体"/>
          <w:b/>
          <w:sz w:val="24"/>
          <w:szCs w:val="24"/>
        </w:rPr>
        <w:t>注：1. 开标一览表中的报价为完成本项目的所有费用。</w:t>
      </w:r>
    </w:p>
    <w:p>
      <w:pPr>
        <w:pStyle w:val="34"/>
        <w:spacing w:before="120" w:after="120" w:line="500" w:lineRule="exact"/>
        <w:ind w:left="1063" w:hanging="1063" w:hangingChars="441"/>
        <w:rPr>
          <w:rFonts w:hint="eastAsia" w:hAnsi="宋体" w:cs="宋体"/>
          <w:b/>
          <w:sz w:val="24"/>
          <w:szCs w:val="24"/>
        </w:rPr>
      </w:pPr>
      <w:r>
        <w:rPr>
          <w:rFonts w:hint="eastAsia" w:hAnsi="宋体" w:cs="宋体"/>
          <w:b/>
          <w:sz w:val="24"/>
          <w:szCs w:val="24"/>
        </w:rPr>
        <w:t>2. 此栏内投标总价应与 “报价明细表”中汇总金额相一致。</w:t>
      </w:r>
    </w:p>
    <w:p>
      <w:pPr>
        <w:pStyle w:val="34"/>
        <w:spacing w:before="120" w:after="120" w:line="500" w:lineRule="exact"/>
        <w:rPr>
          <w:rFonts w:hint="eastAsia" w:hAnsi="宋体" w:cs="宋体"/>
          <w:b/>
          <w:sz w:val="24"/>
          <w:szCs w:val="24"/>
        </w:rPr>
      </w:pPr>
      <w:r>
        <w:rPr>
          <w:rFonts w:hint="eastAsia" w:hAnsi="宋体" w:cs="宋体"/>
          <w:b/>
          <w:sz w:val="24"/>
          <w:szCs w:val="24"/>
        </w:rPr>
        <w:t>3.报价一经涂改，应在涂改处加盖单位公章或者由法定代表人或授权委托人签字或盖章，否则其投标作无效投标处理。</w:t>
      </w:r>
    </w:p>
    <w:p>
      <w:pPr>
        <w:pStyle w:val="34"/>
        <w:spacing w:before="120" w:after="120" w:line="500" w:lineRule="exact"/>
        <w:ind w:left="1063" w:hanging="1063" w:hangingChars="441"/>
        <w:rPr>
          <w:rFonts w:hint="eastAsia" w:hAnsi="宋体" w:cs="宋体"/>
          <w:b/>
          <w:sz w:val="24"/>
          <w:szCs w:val="24"/>
        </w:rPr>
      </w:pPr>
    </w:p>
    <w:p>
      <w:pPr>
        <w:snapToGrid w:val="0"/>
        <w:spacing w:before="50" w:after="50" w:line="500" w:lineRule="exact"/>
        <w:ind w:firstLine="480" w:firstLineChars="200"/>
        <w:rPr>
          <w:rFonts w:hint="eastAsia" w:ascii="宋体" w:hAnsi="宋体" w:cs="宋体"/>
          <w:sz w:val="24"/>
        </w:rPr>
      </w:pPr>
    </w:p>
    <w:p>
      <w:pPr>
        <w:spacing w:line="360" w:lineRule="auto"/>
        <w:ind w:firstLine="480" w:firstLineChars="200"/>
        <w:jc w:val="left"/>
        <w:rPr>
          <w:rFonts w:hint="eastAsia" w:ascii="宋体" w:hAnsi="宋体" w:cs="宋体"/>
          <w:sz w:val="24"/>
        </w:rPr>
      </w:pPr>
      <w:r>
        <w:rPr>
          <w:rFonts w:hint="eastAsia" w:ascii="宋体" w:hAnsi="宋体" w:cs="宋体"/>
          <w:sz w:val="24"/>
        </w:rPr>
        <w:t>投标供应商全称（加盖公章）：</w:t>
      </w:r>
    </w:p>
    <w:p>
      <w:pPr>
        <w:spacing w:line="360" w:lineRule="auto"/>
        <w:ind w:firstLine="480" w:firstLineChars="200"/>
        <w:jc w:val="left"/>
        <w:rPr>
          <w:rFonts w:hint="eastAsia" w:ascii="宋体" w:hAnsi="宋体" w:cs="宋体"/>
          <w:sz w:val="24"/>
        </w:rPr>
      </w:pPr>
      <w:r>
        <w:rPr>
          <w:rFonts w:hint="eastAsia" w:ascii="宋体" w:hAnsi="宋体" w:cs="宋体"/>
          <w:sz w:val="24"/>
        </w:rPr>
        <w:t>法定代表人或其授权代理人（签字或盖章）：</w:t>
      </w:r>
    </w:p>
    <w:p>
      <w:pPr>
        <w:spacing w:line="360" w:lineRule="auto"/>
        <w:jc w:val="left"/>
        <w:rPr>
          <w:rFonts w:hint="eastAsia" w:ascii="宋体" w:hAnsi="宋体" w:cs="宋体"/>
          <w:sz w:val="24"/>
        </w:rPr>
      </w:pPr>
    </w:p>
    <w:p>
      <w:pPr>
        <w:spacing w:line="360" w:lineRule="auto"/>
        <w:jc w:val="left"/>
        <w:rPr>
          <w:rFonts w:hint="eastAsia" w:ascii="宋体" w:hAnsi="宋体" w:cs="宋体"/>
          <w:b/>
          <w:bCs/>
          <w:sz w:val="24"/>
        </w:rPr>
      </w:pPr>
      <w:r>
        <w:rPr>
          <w:rFonts w:hint="eastAsia" w:ascii="宋体" w:hAnsi="宋体" w:cs="宋体"/>
          <w:sz w:val="24"/>
        </w:rPr>
        <w:t xml:space="preserve">                                                日期：   年   月  日 </w:t>
      </w:r>
    </w:p>
    <w:p>
      <w:pPr>
        <w:pStyle w:val="15"/>
        <w:spacing w:line="540" w:lineRule="exact"/>
        <w:ind w:firstLine="0"/>
        <w:jc w:val="center"/>
        <w:rPr>
          <w:rFonts w:hint="eastAsia" w:hAnsi="宋体" w:cs="宋体"/>
          <w:b/>
          <w:sz w:val="24"/>
          <w:szCs w:val="30"/>
        </w:rPr>
      </w:pPr>
    </w:p>
    <w:p>
      <w:pPr>
        <w:pStyle w:val="15"/>
        <w:spacing w:line="540" w:lineRule="exact"/>
        <w:ind w:firstLine="0"/>
        <w:rPr>
          <w:rFonts w:hint="eastAsia" w:hAnsi="宋体" w:cs="宋体"/>
          <w:b/>
          <w:sz w:val="24"/>
          <w:szCs w:val="30"/>
        </w:rPr>
      </w:pPr>
    </w:p>
    <w:p>
      <w:pPr>
        <w:spacing w:line="560" w:lineRule="exact"/>
        <w:rPr>
          <w:rFonts w:hint="eastAsia" w:ascii="宋体" w:hAnsi="宋体" w:cs="宋体"/>
          <w:b/>
          <w:bCs/>
          <w:color w:val="000000"/>
          <w:sz w:val="24"/>
        </w:rPr>
      </w:pPr>
    </w:p>
    <w:p>
      <w:pPr>
        <w:spacing w:line="560" w:lineRule="exact"/>
        <w:jc w:val="center"/>
        <w:rPr>
          <w:rFonts w:hint="eastAsia" w:ascii="宋体" w:hAnsi="宋体" w:cs="宋体"/>
          <w:b/>
          <w:bCs/>
          <w:color w:val="000000"/>
          <w:sz w:val="24"/>
        </w:rPr>
      </w:pPr>
      <w:r>
        <w:rPr>
          <w:rFonts w:hint="eastAsia" w:ascii="宋体" w:hAnsi="宋体" w:cs="宋体"/>
          <w:b/>
          <w:bCs/>
          <w:color w:val="000000"/>
          <w:sz w:val="24"/>
        </w:rPr>
        <w:t>(3)报价明细表</w:t>
      </w:r>
    </w:p>
    <w:tbl>
      <w:tblPr>
        <w:tblStyle w:val="62"/>
        <w:tblpPr w:leftFromText="180" w:rightFromText="180" w:vertAnchor="text" w:horzAnchor="page" w:tblpX="1140" w:tblpY="394"/>
        <w:tblOverlap w:val="never"/>
        <w:tblW w:w="9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615"/>
        <w:gridCol w:w="1942"/>
        <w:gridCol w:w="1280"/>
        <w:gridCol w:w="793"/>
        <w:gridCol w:w="79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r>
              <w:rPr>
                <w:rFonts w:hint="eastAsia"/>
                <w:sz w:val="24"/>
              </w:rPr>
              <w:t>序号</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r>
              <w:rPr>
                <w:rFonts w:hint="eastAsia"/>
                <w:sz w:val="24"/>
              </w:rPr>
              <w:t>名称</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r>
              <w:rPr>
                <w:rFonts w:hint="eastAsia"/>
                <w:sz w:val="24"/>
              </w:rPr>
              <w:t>详细说明</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r>
              <w:rPr>
                <w:rFonts w:hint="eastAsia"/>
                <w:sz w:val="24"/>
              </w:rPr>
              <w:t>单价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r>
              <w:rPr>
                <w:rFonts w:hint="eastAsia"/>
                <w:sz w:val="24"/>
              </w:rPr>
              <w:t>数量</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r>
              <w:rPr>
                <w:rFonts w:hint="eastAsia"/>
                <w:sz w:val="24"/>
              </w:rPr>
              <w:t>单位</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r>
              <w:rPr>
                <w:rFonts w:hint="eastAsia"/>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tc>
        <w:tc>
          <w:tcPr>
            <w:tcW w:w="1942" w:type="dxa"/>
            <w:tcBorders>
              <w:top w:val="single" w:color="auto" w:sz="4" w:space="0"/>
              <w:left w:val="single" w:color="auto" w:sz="4" w:space="0"/>
              <w:bottom w:val="single" w:color="auto" w:sz="4" w:space="0"/>
              <w:right w:val="single" w:color="auto" w:sz="4" w:space="0"/>
            </w:tcBorders>
            <w:noWrap w:val="0"/>
            <w:vAlign w:val="center"/>
          </w:tcPr>
          <w:p/>
        </w:tc>
        <w:tc>
          <w:tcPr>
            <w:tcW w:w="1280" w:type="dxa"/>
            <w:tcBorders>
              <w:top w:val="single" w:color="auto" w:sz="4" w:space="0"/>
              <w:left w:val="single" w:color="auto" w:sz="4" w:space="0"/>
              <w:bottom w:val="single" w:color="auto" w:sz="4" w:space="0"/>
              <w:right w:val="single" w:color="auto" w:sz="4" w:space="0"/>
            </w:tcBorders>
            <w:noWrap w:val="0"/>
            <w:vAlign w:val="center"/>
          </w:tcPr>
          <w:p/>
        </w:tc>
        <w:tc>
          <w:tcPr>
            <w:tcW w:w="793" w:type="dxa"/>
            <w:tcBorders>
              <w:top w:val="single" w:color="auto" w:sz="4" w:space="0"/>
              <w:left w:val="single" w:color="auto" w:sz="4" w:space="0"/>
              <w:bottom w:val="single" w:color="auto" w:sz="4" w:space="0"/>
              <w:right w:val="single" w:color="auto" w:sz="4" w:space="0"/>
            </w:tcBorders>
            <w:noWrap w:val="0"/>
            <w:vAlign w:val="center"/>
          </w:tcPr>
          <w:p/>
        </w:tc>
        <w:tc>
          <w:tcPr>
            <w:tcW w:w="799" w:type="dxa"/>
            <w:tcBorders>
              <w:top w:val="single" w:color="auto" w:sz="4" w:space="0"/>
              <w:left w:val="single" w:color="auto" w:sz="4" w:space="0"/>
              <w:bottom w:val="single" w:color="auto" w:sz="4" w:space="0"/>
              <w:right w:val="single" w:color="auto" w:sz="4" w:space="0"/>
            </w:tcBorders>
            <w:noWrap w:val="0"/>
            <w:vAlign w:val="center"/>
          </w:tcPr>
          <w:p/>
        </w:tc>
        <w:tc>
          <w:tcPr>
            <w:tcW w:w="1256"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tc>
        <w:tc>
          <w:tcPr>
            <w:tcW w:w="1942" w:type="dxa"/>
            <w:tcBorders>
              <w:top w:val="single" w:color="auto" w:sz="4" w:space="0"/>
              <w:left w:val="single" w:color="auto" w:sz="4" w:space="0"/>
              <w:bottom w:val="single" w:color="auto" w:sz="4" w:space="0"/>
              <w:right w:val="single" w:color="auto" w:sz="4" w:space="0"/>
            </w:tcBorders>
            <w:noWrap w:val="0"/>
            <w:vAlign w:val="center"/>
          </w:tcPr>
          <w:p/>
        </w:tc>
        <w:tc>
          <w:tcPr>
            <w:tcW w:w="1280" w:type="dxa"/>
            <w:tcBorders>
              <w:top w:val="single" w:color="auto" w:sz="4" w:space="0"/>
              <w:left w:val="single" w:color="auto" w:sz="4" w:space="0"/>
              <w:bottom w:val="single" w:color="auto" w:sz="4" w:space="0"/>
              <w:right w:val="single" w:color="auto" w:sz="4" w:space="0"/>
            </w:tcBorders>
            <w:noWrap w:val="0"/>
            <w:vAlign w:val="center"/>
          </w:tcPr>
          <w:p/>
        </w:tc>
        <w:tc>
          <w:tcPr>
            <w:tcW w:w="793" w:type="dxa"/>
            <w:tcBorders>
              <w:top w:val="single" w:color="auto" w:sz="4" w:space="0"/>
              <w:left w:val="single" w:color="auto" w:sz="4" w:space="0"/>
              <w:bottom w:val="single" w:color="auto" w:sz="4" w:space="0"/>
              <w:right w:val="single" w:color="auto" w:sz="4" w:space="0"/>
            </w:tcBorders>
            <w:noWrap w:val="0"/>
            <w:vAlign w:val="center"/>
          </w:tcPr>
          <w:p/>
        </w:tc>
        <w:tc>
          <w:tcPr>
            <w:tcW w:w="799" w:type="dxa"/>
            <w:tcBorders>
              <w:top w:val="single" w:color="auto" w:sz="4" w:space="0"/>
              <w:left w:val="single" w:color="auto" w:sz="4" w:space="0"/>
              <w:bottom w:val="single" w:color="auto" w:sz="4" w:space="0"/>
              <w:right w:val="single" w:color="auto" w:sz="4" w:space="0"/>
            </w:tcBorders>
            <w:noWrap w:val="0"/>
            <w:vAlign w:val="center"/>
          </w:tcPr>
          <w:p/>
        </w:tc>
        <w:tc>
          <w:tcPr>
            <w:tcW w:w="1256"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tc>
        <w:tc>
          <w:tcPr>
            <w:tcW w:w="1942" w:type="dxa"/>
            <w:tcBorders>
              <w:top w:val="single" w:color="auto" w:sz="4" w:space="0"/>
              <w:left w:val="single" w:color="auto" w:sz="4" w:space="0"/>
              <w:bottom w:val="single" w:color="auto" w:sz="4" w:space="0"/>
              <w:right w:val="single" w:color="auto" w:sz="4" w:space="0"/>
            </w:tcBorders>
            <w:noWrap w:val="0"/>
            <w:vAlign w:val="center"/>
          </w:tcPr>
          <w:p/>
        </w:tc>
        <w:tc>
          <w:tcPr>
            <w:tcW w:w="1280" w:type="dxa"/>
            <w:tcBorders>
              <w:top w:val="single" w:color="auto" w:sz="4" w:space="0"/>
              <w:left w:val="single" w:color="auto" w:sz="4" w:space="0"/>
              <w:bottom w:val="single" w:color="auto" w:sz="4" w:space="0"/>
              <w:right w:val="single" w:color="auto" w:sz="4" w:space="0"/>
            </w:tcBorders>
            <w:noWrap w:val="0"/>
            <w:vAlign w:val="center"/>
          </w:tcPr>
          <w:p/>
        </w:tc>
        <w:tc>
          <w:tcPr>
            <w:tcW w:w="793" w:type="dxa"/>
            <w:tcBorders>
              <w:top w:val="single" w:color="auto" w:sz="4" w:space="0"/>
              <w:left w:val="single" w:color="auto" w:sz="4" w:space="0"/>
              <w:bottom w:val="single" w:color="auto" w:sz="4" w:space="0"/>
              <w:right w:val="single" w:color="auto" w:sz="4" w:space="0"/>
            </w:tcBorders>
            <w:noWrap w:val="0"/>
            <w:vAlign w:val="center"/>
          </w:tcPr>
          <w:p/>
        </w:tc>
        <w:tc>
          <w:tcPr>
            <w:tcW w:w="799" w:type="dxa"/>
            <w:tcBorders>
              <w:top w:val="single" w:color="auto" w:sz="4" w:space="0"/>
              <w:left w:val="single" w:color="auto" w:sz="4" w:space="0"/>
              <w:bottom w:val="single" w:color="auto" w:sz="4" w:space="0"/>
              <w:right w:val="single" w:color="auto" w:sz="4" w:space="0"/>
            </w:tcBorders>
            <w:noWrap w:val="0"/>
            <w:vAlign w:val="center"/>
          </w:tcPr>
          <w:p/>
        </w:tc>
        <w:tc>
          <w:tcPr>
            <w:tcW w:w="1256"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tc>
        <w:tc>
          <w:tcPr>
            <w:tcW w:w="1942" w:type="dxa"/>
            <w:tcBorders>
              <w:top w:val="single" w:color="auto" w:sz="4" w:space="0"/>
              <w:left w:val="single" w:color="auto" w:sz="4" w:space="0"/>
              <w:bottom w:val="single" w:color="auto" w:sz="4" w:space="0"/>
              <w:right w:val="single" w:color="auto" w:sz="4" w:space="0"/>
            </w:tcBorders>
            <w:noWrap w:val="0"/>
            <w:vAlign w:val="center"/>
          </w:tcPr>
          <w:p/>
        </w:tc>
        <w:tc>
          <w:tcPr>
            <w:tcW w:w="1280" w:type="dxa"/>
            <w:tcBorders>
              <w:top w:val="single" w:color="auto" w:sz="4" w:space="0"/>
              <w:left w:val="single" w:color="auto" w:sz="4" w:space="0"/>
              <w:bottom w:val="single" w:color="auto" w:sz="4" w:space="0"/>
              <w:right w:val="single" w:color="auto" w:sz="4" w:space="0"/>
            </w:tcBorders>
            <w:noWrap w:val="0"/>
            <w:vAlign w:val="center"/>
          </w:tcPr>
          <w:p/>
        </w:tc>
        <w:tc>
          <w:tcPr>
            <w:tcW w:w="793" w:type="dxa"/>
            <w:tcBorders>
              <w:top w:val="single" w:color="auto" w:sz="4" w:space="0"/>
              <w:left w:val="single" w:color="auto" w:sz="4" w:space="0"/>
              <w:bottom w:val="single" w:color="auto" w:sz="4" w:space="0"/>
              <w:right w:val="single" w:color="auto" w:sz="4" w:space="0"/>
            </w:tcBorders>
            <w:noWrap w:val="0"/>
            <w:vAlign w:val="center"/>
          </w:tcPr>
          <w:p/>
        </w:tc>
        <w:tc>
          <w:tcPr>
            <w:tcW w:w="799" w:type="dxa"/>
            <w:tcBorders>
              <w:top w:val="single" w:color="auto" w:sz="4" w:space="0"/>
              <w:left w:val="single" w:color="auto" w:sz="4" w:space="0"/>
              <w:bottom w:val="single" w:color="auto" w:sz="4" w:space="0"/>
              <w:right w:val="single" w:color="auto" w:sz="4" w:space="0"/>
            </w:tcBorders>
            <w:noWrap w:val="0"/>
            <w:vAlign w:val="center"/>
          </w:tcPr>
          <w:p/>
        </w:tc>
        <w:tc>
          <w:tcPr>
            <w:tcW w:w="1256"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tc>
        <w:tc>
          <w:tcPr>
            <w:tcW w:w="1942" w:type="dxa"/>
            <w:tcBorders>
              <w:top w:val="single" w:color="auto" w:sz="4" w:space="0"/>
              <w:left w:val="single" w:color="auto" w:sz="4" w:space="0"/>
              <w:bottom w:val="single" w:color="auto" w:sz="4" w:space="0"/>
              <w:right w:val="single" w:color="auto" w:sz="4" w:space="0"/>
            </w:tcBorders>
            <w:noWrap w:val="0"/>
            <w:vAlign w:val="center"/>
          </w:tcPr>
          <w:p/>
        </w:tc>
        <w:tc>
          <w:tcPr>
            <w:tcW w:w="1280" w:type="dxa"/>
            <w:tcBorders>
              <w:top w:val="single" w:color="auto" w:sz="4" w:space="0"/>
              <w:left w:val="single" w:color="auto" w:sz="4" w:space="0"/>
              <w:bottom w:val="single" w:color="auto" w:sz="4" w:space="0"/>
              <w:right w:val="single" w:color="auto" w:sz="4" w:space="0"/>
            </w:tcBorders>
            <w:noWrap w:val="0"/>
            <w:vAlign w:val="center"/>
          </w:tcPr>
          <w:p/>
        </w:tc>
        <w:tc>
          <w:tcPr>
            <w:tcW w:w="793" w:type="dxa"/>
            <w:tcBorders>
              <w:top w:val="single" w:color="auto" w:sz="4" w:space="0"/>
              <w:left w:val="single" w:color="auto" w:sz="4" w:space="0"/>
              <w:bottom w:val="single" w:color="auto" w:sz="4" w:space="0"/>
              <w:right w:val="single" w:color="auto" w:sz="4" w:space="0"/>
            </w:tcBorders>
            <w:noWrap w:val="0"/>
            <w:vAlign w:val="center"/>
          </w:tcPr>
          <w:p/>
        </w:tc>
        <w:tc>
          <w:tcPr>
            <w:tcW w:w="799" w:type="dxa"/>
            <w:tcBorders>
              <w:top w:val="single" w:color="auto" w:sz="4" w:space="0"/>
              <w:left w:val="single" w:color="auto" w:sz="4" w:space="0"/>
              <w:bottom w:val="single" w:color="auto" w:sz="4" w:space="0"/>
              <w:right w:val="single" w:color="auto" w:sz="4" w:space="0"/>
            </w:tcBorders>
            <w:noWrap w:val="0"/>
            <w:vAlign w:val="center"/>
          </w:tcPr>
          <w:p/>
        </w:tc>
        <w:tc>
          <w:tcPr>
            <w:tcW w:w="1256"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tc>
        <w:tc>
          <w:tcPr>
            <w:tcW w:w="1942" w:type="dxa"/>
            <w:tcBorders>
              <w:top w:val="single" w:color="auto" w:sz="4" w:space="0"/>
              <w:left w:val="single" w:color="auto" w:sz="4" w:space="0"/>
              <w:bottom w:val="single" w:color="auto" w:sz="4" w:space="0"/>
              <w:right w:val="single" w:color="auto" w:sz="4" w:space="0"/>
            </w:tcBorders>
            <w:noWrap w:val="0"/>
            <w:vAlign w:val="center"/>
          </w:tcPr>
          <w:p/>
        </w:tc>
        <w:tc>
          <w:tcPr>
            <w:tcW w:w="1280" w:type="dxa"/>
            <w:tcBorders>
              <w:top w:val="single" w:color="auto" w:sz="4" w:space="0"/>
              <w:left w:val="single" w:color="auto" w:sz="4" w:space="0"/>
              <w:bottom w:val="single" w:color="auto" w:sz="4" w:space="0"/>
              <w:right w:val="single" w:color="auto" w:sz="4" w:space="0"/>
            </w:tcBorders>
            <w:noWrap w:val="0"/>
            <w:vAlign w:val="center"/>
          </w:tcPr>
          <w:p/>
        </w:tc>
        <w:tc>
          <w:tcPr>
            <w:tcW w:w="793" w:type="dxa"/>
            <w:tcBorders>
              <w:top w:val="single" w:color="auto" w:sz="4" w:space="0"/>
              <w:left w:val="single" w:color="auto" w:sz="4" w:space="0"/>
              <w:bottom w:val="single" w:color="auto" w:sz="4" w:space="0"/>
              <w:right w:val="single" w:color="auto" w:sz="4" w:space="0"/>
            </w:tcBorders>
            <w:noWrap w:val="0"/>
            <w:vAlign w:val="center"/>
          </w:tcPr>
          <w:p/>
        </w:tc>
        <w:tc>
          <w:tcPr>
            <w:tcW w:w="799" w:type="dxa"/>
            <w:tcBorders>
              <w:top w:val="single" w:color="auto" w:sz="4" w:space="0"/>
              <w:left w:val="single" w:color="auto" w:sz="4" w:space="0"/>
              <w:bottom w:val="single" w:color="auto" w:sz="4" w:space="0"/>
              <w:right w:val="single" w:color="auto" w:sz="4" w:space="0"/>
            </w:tcBorders>
            <w:noWrap w:val="0"/>
            <w:vAlign w:val="center"/>
          </w:tcPr>
          <w:p/>
        </w:tc>
        <w:tc>
          <w:tcPr>
            <w:tcW w:w="1256"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455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r>
              <w:rPr>
                <w:rFonts w:hint="eastAsia"/>
                <w:sz w:val="24"/>
              </w:rPr>
              <w:t>总价</w:t>
            </w:r>
          </w:p>
        </w:tc>
        <w:tc>
          <w:tcPr>
            <w:tcW w:w="4128" w:type="dxa"/>
            <w:gridSpan w:val="4"/>
            <w:tcBorders>
              <w:top w:val="single" w:color="auto" w:sz="4" w:space="0"/>
              <w:left w:val="single" w:color="auto" w:sz="4" w:space="0"/>
              <w:bottom w:val="single" w:color="auto" w:sz="4" w:space="0"/>
              <w:right w:val="single" w:color="auto" w:sz="4" w:space="0"/>
            </w:tcBorders>
            <w:noWrap w:val="0"/>
            <w:vAlign w:val="center"/>
          </w:tcPr>
          <w:p>
            <w:pPr>
              <w:spacing w:before="240" w:line="360" w:lineRule="auto"/>
              <w:jc w:val="center"/>
              <w:rPr>
                <w:sz w:val="24"/>
              </w:rPr>
            </w:pPr>
            <w:r>
              <w:rPr>
                <w:rFonts w:hint="eastAsia"/>
                <w:sz w:val="24"/>
              </w:rPr>
              <w:t>人民币</w:t>
            </w:r>
            <w:r>
              <w:rPr>
                <w:sz w:val="24"/>
                <w:u w:val="single"/>
              </w:rPr>
              <w:t xml:space="preserve">         </w:t>
            </w:r>
            <w:r>
              <w:rPr>
                <w:rFonts w:hint="eastAsia"/>
                <w:sz w:val="24"/>
                <w:u w:val="single"/>
              </w:rPr>
              <w:t xml:space="preserve">      </w:t>
            </w:r>
            <w:r>
              <w:rPr>
                <w:sz w:val="24"/>
                <w:u w:val="single"/>
              </w:rPr>
              <w:t xml:space="preserve">    </w:t>
            </w:r>
            <w:r>
              <w:rPr>
                <w:rFonts w:hint="eastAsia"/>
                <w:sz w:val="24"/>
              </w:rPr>
              <w:t>元（￥</w:t>
            </w:r>
            <w:r>
              <w:rPr>
                <w:sz w:val="24"/>
                <w:u w:val="single"/>
              </w:rPr>
              <w:t xml:space="preserve">          </w:t>
            </w:r>
            <w:r>
              <w:rPr>
                <w:rFonts w:hint="eastAsia"/>
                <w:sz w:val="24"/>
              </w:rPr>
              <w:t>）</w:t>
            </w:r>
          </w:p>
        </w:tc>
      </w:tr>
    </w:tbl>
    <w:p>
      <w:pPr>
        <w:spacing w:line="400" w:lineRule="exact"/>
        <w:rPr>
          <w:rFonts w:hint="eastAsia" w:ascii="宋体" w:hAnsi="宋体" w:cs="宋体"/>
          <w:color w:val="000000"/>
          <w:sz w:val="24"/>
        </w:rPr>
      </w:pPr>
      <w:r>
        <w:rPr>
          <w:rFonts w:hint="eastAsia" w:ascii="宋体" w:hAnsi="宋体" w:cs="宋体"/>
          <w:color w:val="000000"/>
          <w:sz w:val="24"/>
        </w:rPr>
        <w:t>注：1、本表所列项目应根据实际情况填写，并</w:t>
      </w:r>
      <w:r>
        <w:rPr>
          <w:rFonts w:hint="eastAsia" w:ascii="宋体" w:hAnsi="宋体" w:cs="宋体"/>
          <w:b/>
          <w:color w:val="000000"/>
          <w:sz w:val="24"/>
        </w:rPr>
        <w:t>计入</w:t>
      </w:r>
      <w:r>
        <w:rPr>
          <w:rFonts w:hint="eastAsia" w:ascii="宋体" w:hAnsi="宋体" w:cs="宋体"/>
          <w:b/>
          <w:bCs/>
          <w:color w:val="000000"/>
          <w:sz w:val="24"/>
        </w:rPr>
        <w:t>投标总价</w:t>
      </w:r>
      <w:r>
        <w:rPr>
          <w:rFonts w:hint="eastAsia" w:ascii="宋体" w:hAnsi="宋体" w:cs="宋体"/>
          <w:color w:val="000000"/>
          <w:sz w:val="24"/>
        </w:rPr>
        <w:t>；</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2、此表仅提供了表格形式，供应商应根据需要准备足够数量的表格来填写；</w:t>
      </w:r>
    </w:p>
    <w:p>
      <w:pPr>
        <w:autoSpaceDE w:val="0"/>
        <w:autoSpaceDN w:val="0"/>
        <w:adjustRightInd w:val="0"/>
        <w:snapToGrid w:val="0"/>
        <w:spacing w:line="500" w:lineRule="exact"/>
        <w:ind w:firstLine="480" w:firstLineChars="200"/>
        <w:textAlignment w:val="bottom"/>
        <w:rPr>
          <w:rFonts w:hint="eastAsia" w:ascii="宋体" w:hAnsi="宋体" w:cs="宋体"/>
          <w:b/>
          <w:color w:val="000000"/>
          <w:sz w:val="24"/>
        </w:rPr>
      </w:pPr>
      <w:r>
        <w:rPr>
          <w:rFonts w:hint="eastAsia" w:ascii="宋体" w:hAnsi="宋体" w:cs="宋体"/>
          <w:color w:val="000000"/>
          <w:sz w:val="24"/>
        </w:rPr>
        <w:t>3、</w:t>
      </w:r>
      <w:r>
        <w:rPr>
          <w:rFonts w:hint="eastAsia" w:ascii="宋体" w:hAnsi="宋体" w:cs="宋体"/>
          <w:b/>
          <w:color w:val="000000"/>
          <w:sz w:val="24"/>
        </w:rPr>
        <w:t>报价明细表最终汇总金额应与开标一览表一致；</w:t>
      </w:r>
    </w:p>
    <w:p>
      <w:pPr>
        <w:snapToGrid w:val="0"/>
        <w:spacing w:before="50" w:after="50" w:line="540" w:lineRule="exact"/>
        <w:ind w:right="-105" w:rightChars="-50"/>
        <w:jc w:val="center"/>
        <w:rPr>
          <w:rFonts w:hint="eastAsia" w:ascii="宋体" w:hAnsi="宋体" w:cs="宋体"/>
          <w:b/>
          <w:sz w:val="24"/>
        </w:rPr>
      </w:pPr>
    </w:p>
    <w:p>
      <w:pPr>
        <w:snapToGrid w:val="0"/>
        <w:spacing w:before="50" w:after="50" w:line="540" w:lineRule="exact"/>
        <w:ind w:right="-105" w:rightChars="-50"/>
        <w:jc w:val="center"/>
        <w:rPr>
          <w:rFonts w:hint="eastAsia" w:ascii="宋体" w:hAnsi="宋体" w:cs="宋体"/>
          <w:b/>
          <w:sz w:val="24"/>
        </w:rPr>
      </w:pPr>
    </w:p>
    <w:p>
      <w:pPr>
        <w:spacing w:line="360" w:lineRule="auto"/>
        <w:ind w:firstLine="480" w:firstLineChars="200"/>
        <w:jc w:val="left"/>
        <w:rPr>
          <w:rFonts w:hint="eastAsia" w:ascii="宋体" w:hAnsi="宋体" w:cs="宋体"/>
          <w:sz w:val="24"/>
        </w:rPr>
      </w:pPr>
      <w:r>
        <w:rPr>
          <w:rFonts w:hint="eastAsia" w:ascii="宋体" w:hAnsi="宋体" w:cs="宋体"/>
          <w:sz w:val="24"/>
        </w:rPr>
        <w:t>投标供应商全称（加盖公章）：</w:t>
      </w:r>
    </w:p>
    <w:p>
      <w:pPr>
        <w:spacing w:line="360" w:lineRule="auto"/>
        <w:ind w:firstLine="480" w:firstLineChars="200"/>
        <w:jc w:val="left"/>
        <w:rPr>
          <w:rFonts w:hint="eastAsia" w:ascii="宋体" w:hAnsi="宋体" w:cs="宋体"/>
          <w:sz w:val="24"/>
        </w:rPr>
      </w:pPr>
      <w:r>
        <w:rPr>
          <w:rFonts w:hint="eastAsia" w:ascii="宋体" w:hAnsi="宋体" w:cs="宋体"/>
          <w:sz w:val="24"/>
        </w:rPr>
        <w:t>法定代表人或其授权代理人（签字或盖章）：</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sectPr>
          <w:pgSz w:w="11906" w:h="16838"/>
          <w:pgMar w:top="1474" w:right="1531" w:bottom="1474" w:left="1531" w:header="907" w:footer="907" w:gutter="0"/>
          <w:cols w:space="720" w:num="1"/>
          <w:docGrid w:linePitch="312" w:charSpace="0"/>
        </w:sectPr>
      </w:pPr>
      <w:r>
        <w:rPr>
          <w:rFonts w:hint="eastAsia" w:ascii="宋体" w:hAnsi="宋体" w:cs="宋体"/>
          <w:sz w:val="24"/>
        </w:rPr>
        <w:t xml:space="preserve">                                                日期：   年   月  日 </w:t>
      </w:r>
    </w:p>
    <w:p>
      <w:pPr>
        <w:pStyle w:val="34"/>
        <w:spacing w:line="360" w:lineRule="auto"/>
        <w:jc w:val="center"/>
        <w:rPr>
          <w:sz w:val="24"/>
          <w:szCs w:val="24"/>
        </w:rPr>
      </w:pPr>
      <w:r>
        <w:rPr>
          <w:rFonts w:hint="eastAsia" w:hAnsi="宋体"/>
          <w:b/>
          <w:bCs/>
          <w:sz w:val="24"/>
        </w:rPr>
        <w:t>（4）中小企业声明函</w:t>
      </w:r>
      <w:r>
        <w:rPr>
          <w:rFonts w:hint="eastAsia"/>
          <w:b/>
          <w:sz w:val="24"/>
          <w:szCs w:val="24"/>
        </w:rPr>
        <w:t>（工程、服务）</w:t>
      </w:r>
    </w:p>
    <w:p>
      <w:pPr>
        <w:spacing w:line="360" w:lineRule="auto"/>
        <w:rPr>
          <w:b/>
          <w:sz w:val="28"/>
          <w:szCs w:val="28"/>
        </w:rPr>
      </w:pPr>
    </w:p>
    <w:p>
      <w:pPr>
        <w:spacing w:line="360" w:lineRule="auto"/>
        <w:ind w:firstLine="480" w:firstLineChars="200"/>
        <w:rPr>
          <w:rFonts w:cs="仿宋"/>
          <w:sz w:val="24"/>
        </w:rPr>
      </w:pPr>
      <w:r>
        <w:rPr>
          <w:rFonts w:hint="eastAsia" w:cs="仿宋"/>
          <w:sz w:val="24"/>
        </w:rPr>
        <w:t>本公司（联合体）郑重声明，根据《政府采购促进中小企业发展管理办法》（财库﹝2020﹞46 号）的规定，本公司</w:t>
      </w:r>
    </w:p>
    <w:p>
      <w:pPr>
        <w:spacing w:line="360" w:lineRule="auto"/>
        <w:ind w:firstLine="480" w:firstLineChars="200"/>
        <w:rPr>
          <w:rFonts w:cs="仿宋"/>
          <w:sz w:val="24"/>
        </w:rPr>
      </w:pPr>
      <w:r>
        <w:rPr>
          <w:rFonts w:hint="eastAsia" w:cs="仿宋"/>
          <w:sz w:val="24"/>
        </w:rPr>
        <w:t>（联合体）参加</w:t>
      </w:r>
      <w:r>
        <w:rPr>
          <w:rFonts w:hint="eastAsia" w:cs="仿宋"/>
          <w:sz w:val="24"/>
          <w:u w:val="single"/>
        </w:rPr>
        <w:t>（单位名称）</w:t>
      </w:r>
      <w:r>
        <w:rPr>
          <w:rFonts w:hint="eastAsia" w:cs="仿宋"/>
          <w:sz w:val="24"/>
        </w:rPr>
        <w:t>的</w:t>
      </w:r>
      <w:r>
        <w:rPr>
          <w:rFonts w:hint="eastAsia" w:cs="仿宋"/>
          <w:sz w:val="24"/>
          <w:u w:val="single"/>
        </w:rPr>
        <w:t xml:space="preserve">（项目名称） </w:t>
      </w:r>
      <w:r>
        <w:rPr>
          <w:rFonts w:hint="eastAsia" w:cs="仿宋"/>
          <w:sz w:val="24"/>
        </w:rPr>
        <w:t>采购活动，工 程的施工单位全部为符合政策要求的中小企业（或者：服务全部由符合政策要求的中小企业承接）。相关企业（含联合 体中的中小企业、签订分包意向协议的中小企业）的具体情况如下：</w:t>
      </w:r>
    </w:p>
    <w:p>
      <w:pPr>
        <w:numPr>
          <w:ilvl w:val="0"/>
          <w:numId w:val="21"/>
        </w:numPr>
        <w:spacing w:line="360" w:lineRule="auto"/>
        <w:ind w:firstLine="480" w:firstLineChars="200"/>
        <w:rPr>
          <w:rFonts w:cs="仿宋"/>
          <w:sz w:val="24"/>
        </w:rPr>
      </w:pPr>
      <w:r>
        <w:rPr>
          <w:rFonts w:hint="eastAsia" w:cs="仿宋"/>
          <w:sz w:val="24"/>
          <w:u w:val="single"/>
        </w:rPr>
        <w:t xml:space="preserve">（标的名称）   </w:t>
      </w:r>
      <w:r>
        <w:rPr>
          <w:rFonts w:hint="eastAsia" w:cs="仿宋"/>
          <w:sz w:val="24"/>
        </w:rPr>
        <w:t>，属于</w:t>
      </w:r>
      <w:r>
        <w:rPr>
          <w:rFonts w:hint="eastAsia" w:cs="仿宋"/>
          <w:sz w:val="24"/>
          <w:u w:val="single"/>
        </w:rPr>
        <w:t xml:space="preserve">（采购文件中明确的所属行业）    </w:t>
      </w:r>
      <w:r>
        <w:rPr>
          <w:rFonts w:hint="eastAsia" w:cs="仿宋"/>
          <w:sz w:val="24"/>
        </w:rPr>
        <w:t>；</w:t>
      </w:r>
    </w:p>
    <w:p>
      <w:pPr>
        <w:spacing w:line="360" w:lineRule="auto"/>
        <w:ind w:firstLine="480" w:firstLineChars="200"/>
        <w:rPr>
          <w:rFonts w:cs="仿宋"/>
          <w:sz w:val="24"/>
        </w:rPr>
      </w:pPr>
      <w:r>
        <w:rPr>
          <w:rFonts w:hint="eastAsia" w:cs="仿宋"/>
          <w:sz w:val="24"/>
        </w:rPr>
        <w:t>承建（承接）企业为</w:t>
      </w:r>
      <w:r>
        <w:rPr>
          <w:rFonts w:hint="eastAsia" w:cs="仿宋"/>
          <w:sz w:val="24"/>
          <w:u w:val="single"/>
        </w:rPr>
        <w:t>（企业名称）</w:t>
      </w:r>
      <w:r>
        <w:rPr>
          <w:rFonts w:hint="eastAsia" w:cs="仿宋"/>
          <w:sz w:val="24"/>
        </w:rPr>
        <w:t>，从业人员</w:t>
      </w:r>
      <w:r>
        <w:rPr>
          <w:rFonts w:hint="eastAsia" w:cs="仿宋"/>
          <w:sz w:val="24"/>
          <w:u w:val="single"/>
        </w:rPr>
        <w:t xml:space="preserve"> </w:t>
      </w:r>
      <w:r>
        <w:rPr>
          <w:rFonts w:hint="eastAsia" w:cs="仿宋"/>
          <w:sz w:val="24"/>
          <w:u w:val="single"/>
        </w:rPr>
        <w:tab/>
      </w:r>
      <w:r>
        <w:rPr>
          <w:rFonts w:hint="eastAsia" w:cs="仿宋"/>
          <w:sz w:val="24"/>
          <w:u w:val="single"/>
        </w:rPr>
        <w:t xml:space="preserve">   </w:t>
      </w:r>
      <w:r>
        <w:rPr>
          <w:rFonts w:hint="eastAsia" w:cs="仿宋"/>
          <w:sz w:val="24"/>
        </w:rPr>
        <w:t>人，营业收入为</w:t>
      </w:r>
      <w:r>
        <w:rPr>
          <w:rFonts w:hint="eastAsia" w:cs="仿宋"/>
          <w:sz w:val="24"/>
          <w:u w:val="single"/>
        </w:rPr>
        <w:t xml:space="preserve"> </w:t>
      </w:r>
      <w:r>
        <w:rPr>
          <w:rFonts w:hint="eastAsia" w:cs="仿宋"/>
          <w:sz w:val="24"/>
          <w:u w:val="single"/>
        </w:rPr>
        <w:tab/>
      </w:r>
      <w:r>
        <w:rPr>
          <w:rFonts w:hint="eastAsia" w:cs="仿宋"/>
          <w:sz w:val="24"/>
          <w:u w:val="single"/>
        </w:rPr>
        <w:t xml:space="preserve"> </w:t>
      </w:r>
      <w:r>
        <w:rPr>
          <w:rFonts w:hint="eastAsia" w:cs="仿宋"/>
          <w:sz w:val="24"/>
        </w:rPr>
        <w:t xml:space="preserve">万元，资产总额为 </w:t>
      </w:r>
      <w:r>
        <w:rPr>
          <w:rFonts w:hint="eastAsia" w:cs="仿宋"/>
          <w:sz w:val="24"/>
          <w:u w:val="single"/>
        </w:rPr>
        <w:tab/>
      </w:r>
      <w:r>
        <w:rPr>
          <w:rFonts w:hint="eastAsia" w:cs="仿宋"/>
          <w:sz w:val="24"/>
          <w:u w:val="single"/>
        </w:rPr>
        <w:t xml:space="preserve">  </w:t>
      </w:r>
      <w:r>
        <w:rPr>
          <w:rFonts w:hint="eastAsia" w:cs="仿宋"/>
          <w:sz w:val="24"/>
        </w:rPr>
        <w:t>万元，属于</w:t>
      </w:r>
      <w:r>
        <w:rPr>
          <w:rFonts w:hint="eastAsia" w:cs="仿宋"/>
          <w:sz w:val="24"/>
          <w:u w:val="single"/>
        </w:rPr>
        <w:t>（中型企业、小型企业、微型企业）</w:t>
      </w:r>
      <w:r>
        <w:rPr>
          <w:rFonts w:hint="eastAsia" w:cs="仿宋"/>
          <w:sz w:val="24"/>
        </w:rPr>
        <w:t>；</w:t>
      </w:r>
    </w:p>
    <w:p>
      <w:pPr>
        <w:spacing w:line="360" w:lineRule="auto"/>
        <w:ind w:firstLine="480" w:firstLineChars="200"/>
        <w:rPr>
          <w:rFonts w:cs="仿宋"/>
          <w:sz w:val="24"/>
        </w:rPr>
      </w:pPr>
      <w:r>
        <w:rPr>
          <w:rFonts w:hint="eastAsia" w:cs="仿宋"/>
          <w:sz w:val="24"/>
        </w:rPr>
        <w:t>以上企业，不属于大企业的分支机构，不存在控股股东为大企业的情形，也不存在与大企业的负责人为同一人的情形。</w:t>
      </w:r>
    </w:p>
    <w:p>
      <w:pPr>
        <w:spacing w:line="360" w:lineRule="auto"/>
        <w:ind w:firstLine="480" w:firstLineChars="200"/>
        <w:rPr>
          <w:rFonts w:cs="仿宋"/>
          <w:sz w:val="24"/>
        </w:rPr>
      </w:pPr>
      <w:r>
        <w:rPr>
          <w:rFonts w:hint="eastAsia" w:cs="仿宋"/>
          <w:sz w:val="24"/>
        </w:rPr>
        <w:t>本企业对上述声明内容的真实性负责。如有虚假，将依法承担相应责任。</w:t>
      </w:r>
    </w:p>
    <w:p>
      <w:pPr>
        <w:spacing w:line="360" w:lineRule="auto"/>
        <w:ind w:firstLine="5640" w:firstLineChars="2350"/>
        <w:rPr>
          <w:rFonts w:cs="仿宋"/>
          <w:sz w:val="24"/>
        </w:rPr>
      </w:pPr>
    </w:p>
    <w:p>
      <w:pPr>
        <w:spacing w:line="360" w:lineRule="auto"/>
        <w:ind w:firstLine="5640" w:firstLineChars="2350"/>
        <w:rPr>
          <w:rFonts w:cs="仿宋"/>
          <w:sz w:val="24"/>
        </w:rPr>
      </w:pPr>
      <w:r>
        <w:rPr>
          <w:rFonts w:hint="eastAsia" w:cs="仿宋"/>
          <w:sz w:val="24"/>
        </w:rPr>
        <w:t>企业名称（盖章）：</w:t>
      </w:r>
    </w:p>
    <w:p>
      <w:pPr>
        <w:spacing w:line="360" w:lineRule="auto"/>
        <w:ind w:firstLine="5640" w:firstLineChars="2350"/>
        <w:rPr>
          <w:bCs/>
          <w:sz w:val="24"/>
        </w:rPr>
      </w:pPr>
      <w:r>
        <w:rPr>
          <w:rFonts w:hint="eastAsia" w:cs="仿宋"/>
          <w:sz w:val="24"/>
        </w:rPr>
        <w:t>日期：</w:t>
      </w:r>
    </w:p>
    <w:p>
      <w:pPr>
        <w:snapToGrid w:val="0"/>
        <w:spacing w:line="360" w:lineRule="auto"/>
        <w:rPr>
          <w:rFonts w:cs="仿宋"/>
          <w:sz w:val="24"/>
        </w:rPr>
      </w:pPr>
    </w:p>
    <w:p>
      <w:pPr>
        <w:pStyle w:val="15"/>
        <w:spacing w:line="240" w:lineRule="exact"/>
        <w:ind w:firstLine="0"/>
      </w:pPr>
    </w:p>
    <w:p>
      <w:pPr>
        <w:pStyle w:val="15"/>
        <w:spacing w:line="240" w:lineRule="exact"/>
        <w:ind w:firstLine="0"/>
      </w:pPr>
    </w:p>
    <w:p>
      <w:pPr>
        <w:pStyle w:val="15"/>
        <w:spacing w:line="240" w:lineRule="exact"/>
        <w:ind w:firstLine="0"/>
        <w:rPr>
          <w:sz w:val="22"/>
        </w:rPr>
      </w:pPr>
      <w:r>
        <w:rPr>
          <w:rFonts w:hint="eastAsia"/>
        </w:rPr>
        <w:t>注：</w:t>
      </w:r>
      <w:r>
        <w:rPr>
          <w:rFonts w:hint="eastAsia"/>
          <w:sz w:val="22"/>
        </w:rPr>
        <w:t>1.中小企业应当按照《政府采购促进中小企业发展管理办法》规定和《中小企业划型标准规定》（工信部联企业〔2011〕300号），如实填写并提交《中小企业声明函》。未按要求出具声明函的，投标报价不予扣减；</w:t>
      </w:r>
    </w:p>
    <w:p>
      <w:pPr>
        <w:pStyle w:val="15"/>
        <w:rPr>
          <w:sz w:val="22"/>
        </w:rPr>
      </w:pPr>
      <w:r>
        <w:rPr>
          <w:rFonts w:hint="eastAsia"/>
          <w:sz w:val="22"/>
        </w:rPr>
        <w:t>2.如中标，将在中标公告中将此中小企业声明函予以公示，接受社会监督；</w:t>
      </w:r>
    </w:p>
    <w:p>
      <w:pPr>
        <w:pStyle w:val="15"/>
        <w:rPr>
          <w:sz w:val="22"/>
        </w:rPr>
      </w:pPr>
      <w:r>
        <w:rPr>
          <w:rFonts w:hint="eastAsia"/>
          <w:sz w:val="22"/>
        </w:rPr>
        <w:t>3.中小企业对其声明内容的真实性负责，声明函内容不实的，属于提供虚假材料谋取中标、成交，依照《中华人民共和国政府采购法》等国家有关规定追究相应责任。</w:t>
      </w:r>
    </w:p>
    <w:p>
      <w:pPr>
        <w:pStyle w:val="25"/>
      </w:pPr>
    </w:p>
    <w:p>
      <w:pPr>
        <w:pStyle w:val="187"/>
      </w:pPr>
    </w:p>
    <w:p>
      <w:pPr>
        <w:pStyle w:val="15"/>
        <w:ind w:firstLine="0"/>
        <w:rPr>
          <w:sz w:val="22"/>
        </w:rPr>
      </w:pPr>
    </w:p>
    <w:p>
      <w:pPr>
        <w:pStyle w:val="15"/>
        <w:rPr>
          <w:sz w:val="22"/>
        </w:rPr>
      </w:pPr>
    </w:p>
    <w:p>
      <w:pPr>
        <w:snapToGrid w:val="0"/>
        <w:spacing w:line="360" w:lineRule="auto"/>
        <w:jc w:val="center"/>
        <w:rPr>
          <w:b/>
          <w:sz w:val="24"/>
        </w:rPr>
      </w:pPr>
    </w:p>
    <w:p>
      <w:pPr>
        <w:snapToGrid w:val="0"/>
        <w:spacing w:line="360" w:lineRule="auto"/>
        <w:jc w:val="center"/>
        <w:rPr>
          <w:b/>
          <w:sz w:val="24"/>
        </w:rPr>
      </w:pPr>
    </w:p>
    <w:p>
      <w:pPr>
        <w:snapToGrid w:val="0"/>
        <w:spacing w:line="360" w:lineRule="auto"/>
        <w:jc w:val="center"/>
        <w:rPr>
          <w:b/>
          <w:sz w:val="24"/>
        </w:rPr>
      </w:pPr>
    </w:p>
    <w:p>
      <w:pPr>
        <w:snapToGrid w:val="0"/>
        <w:spacing w:line="360" w:lineRule="auto"/>
        <w:jc w:val="center"/>
        <w:rPr>
          <w:b/>
          <w:sz w:val="24"/>
        </w:rPr>
      </w:pPr>
    </w:p>
    <w:p>
      <w:pPr>
        <w:pStyle w:val="263"/>
        <w:ind w:firstLine="482"/>
        <w:rPr>
          <w:b/>
          <w:sz w:val="24"/>
        </w:rPr>
      </w:pPr>
    </w:p>
    <w:p>
      <w:pPr>
        <w:pStyle w:val="263"/>
        <w:ind w:firstLine="482"/>
        <w:rPr>
          <w:b/>
          <w:sz w:val="24"/>
        </w:rPr>
      </w:pPr>
    </w:p>
    <w:p>
      <w:pPr>
        <w:snapToGrid w:val="0"/>
        <w:spacing w:line="360" w:lineRule="auto"/>
        <w:jc w:val="center"/>
        <w:rPr>
          <w:rFonts w:hint="eastAsia"/>
          <w:b/>
          <w:sz w:val="24"/>
        </w:rPr>
      </w:pPr>
    </w:p>
    <w:p>
      <w:pPr>
        <w:snapToGrid w:val="0"/>
        <w:spacing w:line="360" w:lineRule="auto"/>
        <w:jc w:val="center"/>
        <w:rPr>
          <w:rFonts w:hint="eastAsia"/>
          <w:b/>
          <w:sz w:val="24"/>
        </w:rPr>
      </w:pPr>
    </w:p>
    <w:p>
      <w:pPr>
        <w:snapToGrid w:val="0"/>
        <w:spacing w:line="360" w:lineRule="auto"/>
        <w:jc w:val="center"/>
        <w:rPr>
          <w:b/>
          <w:sz w:val="24"/>
        </w:rPr>
      </w:pPr>
      <w:r>
        <w:rPr>
          <w:rFonts w:hint="eastAsia"/>
          <w:b/>
          <w:sz w:val="24"/>
        </w:rPr>
        <w:t>残疾人福利企业声明函</w:t>
      </w:r>
    </w:p>
    <w:p>
      <w:pPr>
        <w:widowControl/>
        <w:spacing w:line="360" w:lineRule="auto"/>
        <w:jc w:val="center"/>
      </w:pPr>
      <w:r>
        <w:rPr>
          <w:rFonts w:hint="eastAsia"/>
          <w:color w:val="000000"/>
          <w:sz w:val="24"/>
        </w:rPr>
        <w:t>【非残疾人福利性单位不用提供】</w:t>
      </w:r>
    </w:p>
    <w:p>
      <w:pPr>
        <w:snapToGrid w:val="0"/>
        <w:spacing w:line="360" w:lineRule="auto"/>
        <w:ind w:firstLine="602" w:firstLineChars="250"/>
        <w:jc w:val="center"/>
        <w:rPr>
          <w:b/>
          <w:sz w:val="24"/>
        </w:rPr>
      </w:pPr>
    </w:p>
    <w:p>
      <w:pPr>
        <w:snapToGrid w:val="0"/>
        <w:spacing w:line="360" w:lineRule="auto"/>
        <w:ind w:firstLine="480" w:firstLineChars="20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 xml:space="preserve"> 141</w:t>
      </w:r>
      <w:r>
        <w:rPr>
          <w:rFonts w:hint="eastAsia"/>
          <w:sz w:val="24"/>
        </w:rPr>
        <w:t>号）的规定，本单位为符合条件的残疾人福利性单位，且本单位参加</w:t>
      </w:r>
      <w:r>
        <w:rPr>
          <w:sz w:val="24"/>
        </w:rPr>
        <w:t>______</w:t>
      </w:r>
      <w:r>
        <w:rPr>
          <w:rFonts w:hint="eastAsia"/>
          <w:sz w:val="24"/>
        </w:rPr>
        <w:t>单位的</w:t>
      </w:r>
      <w:r>
        <w:rPr>
          <w:sz w:val="24"/>
        </w:rPr>
        <w:t>______</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pPr>
        <w:snapToGrid w:val="0"/>
        <w:spacing w:line="360" w:lineRule="auto"/>
        <w:ind w:firstLine="480" w:firstLineChars="200"/>
        <w:rPr>
          <w:sz w:val="24"/>
        </w:rPr>
      </w:pPr>
      <w:r>
        <w:rPr>
          <w:rFonts w:hint="eastAsia"/>
          <w:sz w:val="24"/>
        </w:rPr>
        <w:t>本单位对上述声明的真实性负责。如有虚假，将依法承担相应责任。</w:t>
      </w:r>
    </w:p>
    <w:p>
      <w:pPr>
        <w:snapToGrid w:val="0"/>
        <w:spacing w:line="360" w:lineRule="auto"/>
        <w:ind w:firstLine="480" w:firstLineChars="200"/>
        <w:rPr>
          <w:sz w:val="24"/>
        </w:rPr>
      </w:pPr>
    </w:p>
    <w:p>
      <w:pPr>
        <w:spacing w:line="588" w:lineRule="exact"/>
        <w:ind w:firstLine="480" w:firstLineChars="200"/>
        <w:rPr>
          <w:sz w:val="24"/>
        </w:rPr>
      </w:pPr>
    </w:p>
    <w:p>
      <w:pPr>
        <w:snapToGrid w:val="0"/>
        <w:spacing w:line="360" w:lineRule="auto"/>
        <w:ind w:firstLine="480" w:firstLineChars="200"/>
        <w:jc w:val="right"/>
        <w:rPr>
          <w:sz w:val="24"/>
        </w:rPr>
      </w:pPr>
      <w:r>
        <w:rPr>
          <w:rFonts w:hint="eastAsia"/>
          <w:sz w:val="24"/>
        </w:rPr>
        <w:t>单位名称（盖章）：</w:t>
      </w:r>
    </w:p>
    <w:p>
      <w:pPr>
        <w:snapToGrid w:val="0"/>
        <w:spacing w:line="360" w:lineRule="auto"/>
        <w:ind w:firstLine="480" w:firstLineChars="200"/>
        <w:jc w:val="right"/>
        <w:rPr>
          <w:sz w:val="24"/>
        </w:rPr>
      </w:pPr>
      <w:r>
        <w:rPr>
          <w:rFonts w:hint="eastAsia"/>
          <w:sz w:val="24"/>
        </w:rPr>
        <w:t>日期：</w:t>
      </w:r>
    </w:p>
    <w:p>
      <w:pPr>
        <w:tabs>
          <w:tab w:val="left" w:pos="465"/>
        </w:tabs>
        <w:ind w:firstLine="2087" w:firstLineChars="990"/>
        <w:rPr>
          <w:rFonts w:ascii="仿宋" w:hAnsi="仿宋" w:eastAsia="仿宋"/>
          <w:b/>
          <w:bCs/>
          <w:szCs w:val="28"/>
        </w:rPr>
      </w:pPr>
    </w:p>
    <w:p>
      <w:pPr>
        <w:snapToGrid w:val="0"/>
        <w:spacing w:line="360" w:lineRule="auto"/>
        <w:rPr>
          <w:b/>
          <w:sz w:val="24"/>
        </w:rPr>
      </w:pPr>
    </w:p>
    <w:p>
      <w:pPr>
        <w:tabs>
          <w:tab w:val="left" w:pos="4860"/>
        </w:tabs>
        <w:spacing w:line="588" w:lineRule="exact"/>
        <w:ind w:right="1560"/>
      </w:pPr>
      <w:r>
        <w:rPr>
          <w:rFonts w:hint="eastAsia"/>
        </w:rPr>
        <w:t>备注说明：</w:t>
      </w:r>
    </w:p>
    <w:p>
      <w:pPr>
        <w:spacing w:line="588" w:lineRule="exact"/>
        <w:ind w:firstLine="444" w:firstLineChars="200"/>
        <w:rPr>
          <w:spacing w:val="6"/>
        </w:rPr>
      </w:pPr>
      <w:r>
        <w:rPr>
          <w:rFonts w:hint="eastAsia"/>
          <w:spacing w:val="6"/>
        </w:rPr>
        <w:t>1、如中标，将在中标公告中将此残疾人福利性单位声明函予以公示，接受社会监督；</w:t>
      </w:r>
    </w:p>
    <w:p>
      <w:pPr>
        <w:spacing w:line="588" w:lineRule="exact"/>
        <w:ind w:firstLine="444" w:firstLineChars="200"/>
        <w:rPr>
          <w:spacing w:val="6"/>
        </w:rPr>
      </w:pPr>
      <w:r>
        <w:rPr>
          <w:spacing w:val="6"/>
        </w:rPr>
        <w:t>2</w:t>
      </w:r>
      <w:r>
        <w:rPr>
          <w:rFonts w:hint="eastAsia"/>
          <w:spacing w:val="6"/>
        </w:rPr>
        <w:t>、 供应商提供的《残疾人福利性单位声明函》与事实不符的，依照《政府采购法》第七十七条第一款的规定追究法律责任。</w:t>
      </w: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53"/>
        <w:tabs>
          <w:tab w:val="right" w:leader="dot" w:pos="8302"/>
          <w:tab w:val="clear" w:pos="9170"/>
        </w:tabs>
        <w:ind w:left="440"/>
      </w:pPr>
    </w:p>
    <w:p>
      <w:pPr>
        <w:pStyle w:val="15"/>
        <w:rPr>
          <w:sz w:val="22"/>
        </w:rPr>
      </w:pPr>
    </w:p>
    <w:p>
      <w:pPr>
        <w:pStyle w:val="15"/>
        <w:ind w:firstLine="0"/>
        <w:rPr>
          <w:sz w:val="22"/>
        </w:rPr>
      </w:pPr>
    </w:p>
    <w:p>
      <w:pPr>
        <w:snapToGrid w:val="0"/>
        <w:spacing w:line="360" w:lineRule="auto"/>
        <w:jc w:val="center"/>
        <w:rPr>
          <w:b/>
          <w:sz w:val="24"/>
        </w:rPr>
      </w:pPr>
    </w:p>
    <w:p>
      <w:pPr>
        <w:snapToGrid w:val="0"/>
        <w:spacing w:line="360" w:lineRule="auto"/>
        <w:jc w:val="center"/>
        <w:rPr>
          <w:b/>
          <w:sz w:val="24"/>
        </w:rPr>
      </w:pPr>
      <w:r>
        <w:rPr>
          <w:rFonts w:hint="eastAsia"/>
          <w:b/>
          <w:sz w:val="24"/>
        </w:rPr>
        <w:t>监狱企业声明函</w:t>
      </w:r>
    </w:p>
    <w:p>
      <w:pPr>
        <w:widowControl/>
        <w:jc w:val="center"/>
      </w:pPr>
      <w:r>
        <w:rPr>
          <w:rFonts w:hint="eastAsia"/>
          <w:color w:val="000000"/>
          <w:sz w:val="24"/>
        </w:rPr>
        <w:t>【非监狱企业的不用提供】</w:t>
      </w:r>
    </w:p>
    <w:p>
      <w:pPr>
        <w:widowControl/>
        <w:spacing w:line="360" w:lineRule="auto"/>
        <w:ind w:firstLine="480" w:firstLineChars="200"/>
        <w:rPr>
          <w:color w:val="000000"/>
          <w:sz w:val="24"/>
        </w:rPr>
      </w:pPr>
    </w:p>
    <w:p>
      <w:pPr>
        <w:widowControl/>
        <w:spacing w:line="360" w:lineRule="auto"/>
        <w:ind w:firstLine="480" w:firstLineChars="200"/>
        <w:rPr>
          <w:sz w:val="24"/>
        </w:rPr>
      </w:pPr>
      <w:r>
        <w:rPr>
          <w:rFonts w:hint="eastAsia"/>
          <w:color w:val="000000"/>
          <w:sz w:val="24"/>
        </w:rPr>
        <w:t xml:space="preserve">本企业郑重声明，根据《关于政府采购支持监狱企业发展有关间想的通知》(财库[2014]68 号）的规定，本企业为监狱企业。 </w:t>
      </w:r>
    </w:p>
    <w:p>
      <w:pPr>
        <w:widowControl/>
        <w:spacing w:line="360" w:lineRule="auto"/>
        <w:ind w:firstLine="480" w:firstLineChars="200"/>
        <w:rPr>
          <w:sz w:val="24"/>
        </w:rPr>
      </w:pPr>
      <w:r>
        <w:rPr>
          <w:rFonts w:hint="eastAsia"/>
          <w:color w:val="000000"/>
          <w:sz w:val="24"/>
        </w:rPr>
        <w:t xml:space="preserve">根据上述标准，我企业属于监狱企业的理由为: </w:t>
      </w:r>
    </w:p>
    <w:p>
      <w:pPr>
        <w:widowControl/>
        <w:spacing w:line="360" w:lineRule="auto"/>
        <w:ind w:firstLine="480" w:firstLineChars="200"/>
        <w:rPr>
          <w:sz w:val="24"/>
        </w:rPr>
      </w:pPr>
      <w:r>
        <w:rPr>
          <w:rFonts w:hint="eastAsia"/>
          <w:color w:val="000000"/>
          <w:sz w:val="24"/>
        </w:rPr>
        <w:t xml:space="preserve">本企业为参加 (项目名称)(项目编号: )采购活动提供本企业的产品。 </w:t>
      </w:r>
    </w:p>
    <w:p>
      <w:pPr>
        <w:widowControl/>
        <w:spacing w:line="360" w:lineRule="auto"/>
        <w:ind w:firstLine="480" w:firstLineChars="200"/>
        <w:rPr>
          <w:sz w:val="24"/>
        </w:rPr>
      </w:pPr>
      <w:r>
        <w:rPr>
          <w:rFonts w:hint="eastAsia"/>
          <w:color w:val="000000"/>
          <w:sz w:val="24"/>
        </w:rPr>
        <w:t xml:space="preserve">本企业对上述声明的真实性负责。如有虚假，将依法承担相应责任。 </w:t>
      </w:r>
    </w:p>
    <w:p>
      <w:pPr>
        <w:widowControl/>
        <w:spacing w:line="360" w:lineRule="auto"/>
        <w:rPr>
          <w:color w:val="000000"/>
          <w:sz w:val="24"/>
        </w:rPr>
      </w:pPr>
    </w:p>
    <w:p>
      <w:pPr>
        <w:widowControl/>
        <w:spacing w:line="360" w:lineRule="auto"/>
        <w:rPr>
          <w:color w:val="000000"/>
          <w:sz w:val="24"/>
        </w:rPr>
      </w:pPr>
    </w:p>
    <w:p>
      <w:pPr>
        <w:widowControl/>
        <w:spacing w:line="360" w:lineRule="auto"/>
        <w:rPr>
          <w:sz w:val="24"/>
        </w:rPr>
      </w:pPr>
      <w:r>
        <w:rPr>
          <w:rFonts w:hint="eastAsia"/>
          <w:color w:val="000000"/>
          <w:sz w:val="24"/>
        </w:rPr>
        <w:t xml:space="preserve">供应商名称(盖章) : </w:t>
      </w:r>
    </w:p>
    <w:p>
      <w:pPr>
        <w:widowControl/>
        <w:spacing w:line="360" w:lineRule="auto"/>
        <w:rPr>
          <w:sz w:val="24"/>
        </w:rPr>
      </w:pPr>
      <w:r>
        <w:rPr>
          <w:rFonts w:hint="eastAsia"/>
          <w:color w:val="000000"/>
          <w:sz w:val="24"/>
        </w:rPr>
        <w:t xml:space="preserve">日期: 年 月 日 </w:t>
      </w:r>
    </w:p>
    <w:p>
      <w:pPr>
        <w:widowControl/>
        <w:spacing w:line="360" w:lineRule="auto"/>
        <w:rPr>
          <w:color w:val="000000"/>
          <w:sz w:val="24"/>
        </w:rPr>
      </w:pPr>
    </w:p>
    <w:p>
      <w:pPr>
        <w:widowControl/>
        <w:spacing w:line="360" w:lineRule="auto"/>
        <w:rPr>
          <w:color w:val="000000"/>
          <w:sz w:val="24"/>
        </w:rPr>
      </w:pPr>
    </w:p>
    <w:p>
      <w:pPr>
        <w:widowControl/>
        <w:spacing w:line="360" w:lineRule="auto"/>
        <w:ind w:firstLine="480" w:firstLineChars="200"/>
        <w:rPr>
          <w:color w:val="000000"/>
          <w:sz w:val="24"/>
        </w:rPr>
      </w:pPr>
      <w:r>
        <w:rPr>
          <w:rFonts w:hint="eastAsia"/>
          <w:color w:val="000000"/>
          <w:sz w:val="24"/>
        </w:rPr>
        <w:t>监狱企业参加政府采购活动时，应当提供由省级以上监狱管理局、戒毒管理局(新 疆生产建设兵团)出具的属于监狱企业的证明文件。</w:t>
      </w:r>
    </w:p>
    <w:p>
      <w:pPr>
        <w:pStyle w:val="2"/>
        <w:rPr>
          <w:rFonts w:hint="eastAsia"/>
        </w:rPr>
      </w:pPr>
      <w:r>
        <w:rPr>
          <w:rFonts w:hint="eastAsia"/>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120" w:beforeLines="50" w:after="50"/>
        <w:rPr>
          <w:rFonts w:hint="eastAsia" w:ascii="宋体" w:hAnsi="宋体" w:cs="宋体"/>
          <w:b/>
          <w:bCs/>
          <w:sz w:val="24"/>
        </w:rPr>
      </w:pPr>
    </w:p>
    <w:p>
      <w:pPr>
        <w:snapToGrid w:val="0"/>
        <w:spacing w:before="120" w:beforeLines="50" w:after="50"/>
        <w:rPr>
          <w:rFonts w:hint="eastAsia" w:ascii="宋体" w:hAnsi="宋体" w:cs="宋体"/>
          <w:b/>
          <w:bCs/>
          <w:sz w:val="24"/>
        </w:rPr>
        <w:sectPr>
          <w:pgSz w:w="11906" w:h="16838"/>
          <w:pgMar w:top="1474" w:right="1531" w:bottom="1474" w:left="1531" w:header="907" w:footer="907" w:gutter="0"/>
          <w:cols w:space="720" w:num="1"/>
          <w:docGrid w:linePitch="312" w:charSpace="0"/>
        </w:sectPr>
      </w:pPr>
    </w:p>
    <w:p>
      <w:pPr>
        <w:pStyle w:val="55"/>
        <w:spacing w:line="360" w:lineRule="auto"/>
        <w:ind w:firstLine="482" w:firstLineChars="200"/>
        <w:jc w:val="center"/>
        <w:rPr>
          <w:rFonts w:hint="eastAsia" w:ascii="宋体" w:hAnsi="宋体" w:cs="宋体"/>
          <w:b/>
          <w:bCs/>
          <w:sz w:val="24"/>
        </w:rPr>
      </w:pPr>
    </w:p>
    <w:p>
      <w:pPr>
        <w:pStyle w:val="55"/>
        <w:spacing w:line="360" w:lineRule="auto"/>
        <w:ind w:firstLine="482" w:firstLineChars="200"/>
        <w:jc w:val="center"/>
        <w:rPr>
          <w:rFonts w:hint="eastAsia" w:ascii="宋体" w:hAnsi="宋体" w:cs="宋体"/>
          <w:b/>
          <w:bCs/>
          <w:sz w:val="24"/>
        </w:rPr>
      </w:pPr>
      <w:r>
        <w:rPr>
          <w:rFonts w:hint="eastAsia" w:ascii="宋体" w:hAnsi="宋体" w:cs="宋体"/>
          <w:b/>
          <w:bCs/>
          <w:sz w:val="24"/>
        </w:rPr>
        <w:t>（5）招标代理服务费承诺函</w:t>
      </w:r>
    </w:p>
    <w:p>
      <w:pPr>
        <w:spacing w:line="360" w:lineRule="auto"/>
        <w:rPr>
          <w:rFonts w:hint="eastAsia" w:ascii="宋体" w:hAnsi="宋体" w:cs="宋体"/>
          <w:sz w:val="24"/>
        </w:rPr>
      </w:pPr>
      <w:r>
        <w:rPr>
          <w:rFonts w:hint="eastAsia" w:ascii="宋体" w:hAnsi="宋体" w:cs="宋体"/>
          <w:sz w:val="24"/>
        </w:rPr>
        <w:t>湖州星兴工程咨询有限公司：</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根据</w:t>
      </w:r>
      <w:r>
        <w:rPr>
          <w:rFonts w:hint="eastAsia" w:ascii="宋体" w:hAnsi="宋体" w:cs="宋体"/>
          <w:sz w:val="24"/>
          <w:u w:val="single"/>
        </w:rPr>
        <w:t>平安风险预警预测防控应用项目</w:t>
      </w:r>
      <w:r>
        <w:rPr>
          <w:rFonts w:hint="eastAsia" w:ascii="宋体" w:hAnsi="宋体" w:cs="宋体"/>
          <w:sz w:val="24"/>
        </w:rPr>
        <w:t>采购文件规定，一旦我公司中标，由我公司按中标标项全额支付本项目的采购代理服务费，在我公司收到中标通知书前一次性向贵公司缴清。</w:t>
      </w:r>
    </w:p>
    <w:p>
      <w:pPr>
        <w:spacing w:line="360" w:lineRule="auto"/>
        <w:ind w:firstLine="570"/>
        <w:rPr>
          <w:rFonts w:hint="eastAsia" w:ascii="宋体" w:hAnsi="宋体" w:cs="宋体"/>
          <w:sz w:val="24"/>
        </w:rPr>
      </w:pPr>
    </w:p>
    <w:p>
      <w:pPr>
        <w:spacing w:line="360" w:lineRule="auto"/>
        <w:ind w:firstLine="570"/>
        <w:rPr>
          <w:rFonts w:hint="eastAsia" w:ascii="宋体" w:hAnsi="宋体" w:cs="宋体"/>
          <w:sz w:val="24"/>
        </w:rPr>
      </w:pPr>
      <w:r>
        <w:rPr>
          <w:rFonts w:hint="eastAsia" w:ascii="宋体" w:hAnsi="宋体" w:cs="宋体"/>
          <w:sz w:val="24"/>
        </w:rPr>
        <w:t>本承诺函自开标之日起至本次采购期满有效。</w:t>
      </w:r>
    </w:p>
    <w:p>
      <w:pPr>
        <w:spacing w:line="360" w:lineRule="auto"/>
        <w:ind w:firstLine="570"/>
        <w:rPr>
          <w:rFonts w:hint="eastAsia" w:ascii="宋体" w:hAnsi="宋体" w:cs="宋体"/>
          <w:sz w:val="24"/>
        </w:rPr>
      </w:pPr>
    </w:p>
    <w:p>
      <w:pPr>
        <w:spacing w:line="360" w:lineRule="auto"/>
        <w:ind w:firstLine="570"/>
        <w:rPr>
          <w:rFonts w:hint="eastAsia" w:ascii="宋体" w:hAnsi="宋体" w:cs="宋体"/>
          <w:sz w:val="24"/>
        </w:rPr>
      </w:pPr>
    </w:p>
    <w:p>
      <w:pPr>
        <w:pStyle w:val="15"/>
        <w:spacing w:line="520" w:lineRule="exact"/>
        <w:ind w:firstLine="3360" w:firstLineChars="1400"/>
        <w:rPr>
          <w:rFonts w:hint="eastAsia" w:hAnsi="宋体" w:cs="宋体"/>
          <w:sz w:val="24"/>
          <w:szCs w:val="24"/>
        </w:rPr>
      </w:pPr>
      <w:r>
        <w:rPr>
          <w:rFonts w:hint="eastAsia" w:hAnsi="宋体" w:cs="宋体"/>
          <w:sz w:val="24"/>
          <w:szCs w:val="24"/>
        </w:rPr>
        <w:t>投标供应商：（盖章）</w:t>
      </w:r>
    </w:p>
    <w:p>
      <w:pPr>
        <w:pStyle w:val="15"/>
        <w:spacing w:line="520" w:lineRule="exact"/>
        <w:ind w:firstLine="3360" w:firstLineChars="1400"/>
        <w:rPr>
          <w:rFonts w:hint="eastAsia" w:hAnsi="宋体" w:cs="宋体"/>
          <w:sz w:val="24"/>
          <w:szCs w:val="24"/>
        </w:rPr>
      </w:pPr>
      <w:r>
        <w:rPr>
          <w:rFonts w:hint="eastAsia" w:hAnsi="宋体" w:cs="宋体"/>
          <w:sz w:val="24"/>
          <w:szCs w:val="24"/>
        </w:rPr>
        <w:t>法定代表人或其授权代理人（签字或盖章）</w:t>
      </w:r>
    </w:p>
    <w:p>
      <w:pPr>
        <w:pStyle w:val="15"/>
        <w:spacing w:line="520" w:lineRule="exact"/>
        <w:ind w:firstLine="5250" w:firstLineChars="2500"/>
        <w:rPr>
          <w:rFonts w:hint="eastAsia" w:hAnsi="宋体" w:cs="宋体"/>
          <w:spacing w:val="14"/>
        </w:rPr>
      </w:pPr>
      <w:r>
        <w:rPr>
          <w:rFonts w:hint="eastAsia" w:hAnsi="宋体" w:cs="宋体"/>
        </w:rPr>
        <w:t>日期：    年   月   日</w:t>
      </w:r>
    </w:p>
    <w:p>
      <w:pPr>
        <w:snapToGrid w:val="0"/>
        <w:spacing w:line="360" w:lineRule="auto"/>
        <w:jc w:val="center"/>
        <w:rPr>
          <w:rFonts w:hint="eastAsia" w:ascii="宋体" w:hAnsi="宋体" w:cs="宋体"/>
          <w:b/>
          <w:sz w:val="24"/>
          <w:szCs w:val="20"/>
        </w:rPr>
      </w:pPr>
    </w:p>
    <w:p>
      <w:pPr>
        <w:snapToGrid w:val="0"/>
        <w:spacing w:line="360" w:lineRule="auto"/>
        <w:ind w:firstLine="465"/>
        <w:jc w:val="center"/>
        <w:rPr>
          <w:rFonts w:hint="eastAsia" w:ascii="宋体" w:hAnsi="宋体" w:cs="宋体"/>
          <w:b/>
          <w:sz w:val="24"/>
        </w:rPr>
      </w:pPr>
    </w:p>
    <w:p>
      <w:pPr>
        <w:spacing w:line="360" w:lineRule="auto"/>
        <w:rPr>
          <w:rFonts w:hint="eastAsia" w:ascii="宋体" w:hAnsi="宋体" w:cs="宋体"/>
          <w:szCs w:val="28"/>
          <w:u w:val="dotted"/>
        </w:rPr>
      </w:pPr>
      <w:r>
        <w:rPr>
          <w:rFonts w:hint="eastAsia" w:ascii="宋体" w:hAnsi="宋体" w:cs="宋体"/>
          <w:b/>
          <w:sz w:val="24"/>
        </w:rPr>
        <w:tab/>
      </w:r>
      <w:r>
        <w:rPr>
          <w:rFonts w:hint="eastAsia" w:ascii="宋体" w:hAnsi="宋体" w:cs="宋体"/>
          <w:szCs w:val="28"/>
          <w:u w:val="dotted"/>
        </w:rPr>
        <w:t xml:space="preserve">                                                                                      </w:t>
      </w:r>
    </w:p>
    <w:p>
      <w:pPr>
        <w:spacing w:line="360" w:lineRule="auto"/>
        <w:rPr>
          <w:rFonts w:hint="eastAsia" w:ascii="宋体" w:hAnsi="宋体" w:cs="宋体"/>
          <w:sz w:val="24"/>
          <w:u w:val="single"/>
        </w:rPr>
      </w:pPr>
      <w:r>
        <w:rPr>
          <w:rFonts w:hint="eastAsia" w:ascii="宋体" w:hAnsi="宋体" w:cs="宋体"/>
          <w:sz w:val="24"/>
          <w:u w:val="single"/>
        </w:rPr>
        <w:t>代理费汇款账号:</w:t>
      </w:r>
    </w:p>
    <w:p>
      <w:pPr>
        <w:ind w:firstLine="480"/>
        <w:rPr>
          <w:rFonts w:hint="eastAsia"/>
          <w:sz w:val="24"/>
          <w:u w:val="single"/>
        </w:rPr>
      </w:pPr>
    </w:p>
    <w:p>
      <w:pPr>
        <w:ind w:firstLine="480"/>
        <w:rPr>
          <w:rFonts w:hint="eastAsia"/>
          <w:sz w:val="24"/>
          <w:u w:val="single"/>
        </w:rPr>
      </w:pPr>
    </w:p>
    <w:p>
      <w:pPr>
        <w:ind w:firstLine="480"/>
        <w:rPr>
          <w:sz w:val="24"/>
          <w:u w:val="single"/>
        </w:rPr>
      </w:pPr>
      <w:r>
        <w:rPr>
          <w:rFonts w:hint="eastAsia"/>
          <w:sz w:val="24"/>
          <w:u w:val="single"/>
        </w:rPr>
        <w:t>账户名称：湖州星兴工程咨询有限公司</w:t>
      </w:r>
    </w:p>
    <w:p>
      <w:pPr>
        <w:ind w:firstLine="480"/>
        <w:rPr>
          <w:sz w:val="24"/>
          <w:u w:val="single"/>
        </w:rPr>
      </w:pPr>
      <w:r>
        <w:rPr>
          <w:rFonts w:hint="eastAsia"/>
          <w:sz w:val="24"/>
          <w:u w:val="single"/>
        </w:rPr>
        <w:t>开户行：工商银行湖州仁皇山支行</w:t>
      </w:r>
    </w:p>
    <w:p>
      <w:pPr>
        <w:ind w:firstLine="480"/>
        <w:rPr>
          <w:sz w:val="24"/>
          <w:u w:val="single"/>
        </w:rPr>
      </w:pPr>
      <w:r>
        <w:rPr>
          <w:rFonts w:hint="eastAsia"/>
          <w:sz w:val="24"/>
          <w:u w:val="single"/>
        </w:rPr>
        <w:t>账号：</w:t>
      </w:r>
      <w:r>
        <w:rPr>
          <w:sz w:val="24"/>
          <w:u w:val="single"/>
        </w:rPr>
        <w:t xml:space="preserve">1205210209000060768   </w:t>
      </w:r>
    </w:p>
    <w:p>
      <w:pPr>
        <w:ind w:firstLine="480"/>
        <w:rPr>
          <w:sz w:val="24"/>
          <w:u w:val="single"/>
        </w:rPr>
      </w:pPr>
    </w:p>
    <w:p>
      <w:pPr>
        <w:ind w:firstLine="480"/>
        <w:rPr>
          <w:sz w:val="24"/>
          <w:u w:val="single"/>
        </w:rPr>
      </w:pPr>
    </w:p>
    <w:p>
      <w:pPr>
        <w:ind w:firstLine="480"/>
        <w:rPr>
          <w:sz w:val="24"/>
          <w:u w:val="single"/>
        </w:rPr>
      </w:pPr>
    </w:p>
    <w:p>
      <w:pPr>
        <w:ind w:firstLine="480"/>
        <w:rPr>
          <w:sz w:val="24"/>
          <w:u w:val="single"/>
        </w:rPr>
      </w:pPr>
    </w:p>
    <w:p>
      <w:pPr>
        <w:ind w:firstLine="480"/>
        <w:rPr>
          <w:sz w:val="24"/>
          <w:u w:val="single"/>
        </w:rPr>
      </w:pPr>
    </w:p>
    <w:p>
      <w:pPr>
        <w:ind w:firstLine="480"/>
        <w:rPr>
          <w:rFonts w:hint="eastAsia" w:ascii="宋体" w:hAnsi="宋体" w:cs="宋体"/>
          <w:sz w:val="24"/>
        </w:rPr>
      </w:pPr>
      <w:r>
        <w:rPr>
          <w:rFonts w:hint="eastAsia" w:ascii="宋体" w:hAnsi="宋体" w:cs="宋体"/>
          <w:b/>
          <w:bCs/>
          <w:sz w:val="24"/>
        </w:rPr>
        <w:t>（6）其他投标供应商认为有必要提供的资料</w:t>
      </w:r>
      <w:r>
        <w:rPr>
          <w:rFonts w:hint="eastAsia" w:ascii="宋体" w:hAnsi="宋体" w:cs="宋体"/>
          <w:sz w:val="24"/>
        </w:rPr>
        <w:t>。</w:t>
      </w:r>
    </w:p>
    <w:sectPr>
      <w:pgSz w:w="11906" w:h="16838"/>
      <w:pgMar w:top="1474" w:right="1531" w:bottom="1474" w:left="1531"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w Cen MT">
    <w:panose1 w:val="020B0602020104020603"/>
    <w:charset w:val="00"/>
    <w:family w:val="swiss"/>
    <w:pitch w:val="default"/>
    <w:sig w:usb0="00000003" w:usb1="00000000" w:usb2="00000000" w:usb3="00000000" w:csb0="20000003"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iti SC Light">
    <w:altName w:val="宋体"/>
    <w:panose1 w:val="02000000000000000000"/>
    <w:charset w:val="86"/>
    <w:family w:val="auto"/>
    <w:pitch w:val="default"/>
    <w:sig w:usb0="8000002F" w:usb1="0800004A" w:usb2="00000000" w:usb3="00000000" w:csb0="203E0000" w:csb1="00000000"/>
  </w:font>
  <w:font w:name="微软雅黑">
    <w:panose1 w:val="020B0503020204020204"/>
    <w:charset w:val="86"/>
    <w:family w:val="swiss"/>
    <w:pitch w:val="default"/>
    <w:sig w:usb0="80000287" w:usb1="2ACF3C50" w:usb2="00000016" w:usb3="00000000" w:csb0="0004001F" w:csb1="00000000"/>
  </w:font>
  <w:font w:name="Courier">
    <w:altName w:val="Courier New"/>
    <w:panose1 w:val="02070409020205020404"/>
    <w:charset w:val="00"/>
    <w:family w:val="modern"/>
    <w:pitch w:val="default"/>
    <w:sig w:usb0="00000003" w:usb1="00000000" w:usb2="00000000" w:usb3="00000000" w:csb0="00000001" w:csb1="00000000"/>
  </w:font>
  <w:font w:name="Futura Bk">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Sim Sun">
    <w:altName w:val="微软雅黑"/>
    <w:panose1 w:val="00000000000000000000"/>
    <w:charset w:val="00"/>
    <w:family w:val="auto"/>
    <w:pitch w:val="default"/>
    <w:sig w:usb0="00000003" w:usb1="288F0000"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1680" w:firstLineChars="800"/>
      <w:rPr>
        <w:rStyle w:val="67"/>
      </w:rPr>
    </w:pPr>
    <w:r>
      <w:rPr>
        <w:rFonts w:hint="eastAsia"/>
        <w:color w:val="000000"/>
        <w:sz w:val="21"/>
        <w:szCs w:val="21"/>
      </w:rPr>
      <w:t xml:space="preserve">湖州星兴工程咨询有限公司   电话：0572-2630018            </w:t>
    </w:r>
    <w:r>
      <w:fldChar w:fldCharType="begin"/>
    </w:r>
    <w:r>
      <w:rPr>
        <w:rStyle w:val="67"/>
      </w:rPr>
      <w:instrText xml:space="preserve">PAGE  </w:instrText>
    </w:r>
    <w:r>
      <w:fldChar w:fldCharType="separate"/>
    </w:r>
    <w:r>
      <w:rPr>
        <w:rStyle w:val="67"/>
        <w:lang/>
      </w:rPr>
      <w:t>10</w:t>
    </w:r>
    <w:r>
      <w:fldChar w:fldCharType="end"/>
    </w:r>
  </w:p>
  <w:p>
    <w:pPr>
      <w:pStyle w:val="40"/>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hint="eastAsia"/>
        <w:sz w:val="21"/>
        <w:szCs w:val="21"/>
      </w:rPr>
    </w:pPr>
    <w:r>
      <w:rPr>
        <w:rFonts w:hint="eastAsia" w:ascii="宋体" w:hAnsi="宋体"/>
        <w:b/>
        <w:bCs/>
        <w:sz w:val="21"/>
        <w:szCs w:val="21"/>
      </w:rPr>
      <w:t xml:space="preserve">平安风险预警预测防控应用项目                 </w:t>
    </w:r>
    <w:r>
      <w:rPr>
        <w:rFonts w:hint="eastAsia" w:ascii="宋体" w:hAnsi="宋体"/>
        <w:b/>
        <w:bCs/>
        <w:sz w:val="21"/>
        <w:szCs w:val="21"/>
        <w:lang w:val="en-US" w:eastAsia="zh-CN"/>
      </w:rPr>
      <w:t xml:space="preserve">                 </w:t>
    </w:r>
    <w:r>
      <w:rPr>
        <w:rFonts w:hint="eastAsia" w:ascii="宋体" w:hAnsi="宋体"/>
        <w:b/>
        <w:bCs/>
        <w:sz w:val="21"/>
        <w:szCs w:val="21"/>
      </w:rPr>
      <w:t xml:space="preserve">    </w:t>
    </w:r>
    <w:r>
      <w:rPr>
        <w:rFonts w:hint="eastAsia" w:ascii="宋体" w:hAnsi="宋体"/>
        <w:b/>
        <w:bCs/>
        <w:sz w:val="21"/>
        <w:szCs w:val="21"/>
        <w:lang w:val="en-US" w:eastAsia="zh-CN"/>
      </w:rPr>
      <w:t xml:space="preserve">     </w:t>
    </w:r>
    <w:r>
      <w:rPr>
        <w:rFonts w:hint="eastAsia" w:ascii="宋体" w:hAnsi="宋体"/>
        <w:b/>
        <w:bCs/>
        <w:sz w:val="21"/>
        <w:szCs w:val="21"/>
      </w:rPr>
      <w:t xml:space="preserve">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C8522"/>
    <w:multiLevelType w:val="singleLevel"/>
    <w:tmpl w:val="A94C8522"/>
    <w:lvl w:ilvl="0" w:tentative="0">
      <w:start w:val="10"/>
      <w:numFmt w:val="decimal"/>
      <w:suff w:val="nothing"/>
      <w:lvlText w:val="%1、"/>
      <w:lvlJc w:val="left"/>
    </w:lvl>
  </w:abstractNum>
  <w:abstractNum w:abstractNumId="1">
    <w:nsid w:val="00000003"/>
    <w:multiLevelType w:val="singleLevel"/>
    <w:tmpl w:val="00000003"/>
    <w:lvl w:ilvl="0" w:tentative="0">
      <w:start w:val="7"/>
      <w:numFmt w:val="chineseCounting"/>
      <w:suff w:val="nothing"/>
      <w:lvlText w:val="（%1）"/>
      <w:lvlJc w:val="left"/>
      <w:rPr>
        <w:rFonts w:hint="eastAsia"/>
      </w:rPr>
    </w:lvl>
  </w:abstractNum>
  <w:abstractNum w:abstractNumId="2">
    <w:nsid w:val="00000005"/>
    <w:multiLevelType w:val="singleLevel"/>
    <w:tmpl w:val="00000005"/>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14"/>
      <w:lvlText w:val="%1. "/>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8"/>
      <w:suff w:val="nothing"/>
      <w:lvlText w:val=""/>
      <w:lvlJc w:val="left"/>
    </w:lvl>
    <w:lvl w:ilvl="7" w:tentative="0">
      <w:start w:val="1"/>
      <w:numFmt w:val="none"/>
      <w:pStyle w:val="9"/>
      <w:suff w:val="nothing"/>
      <w:lvlText w:val=""/>
      <w:lvlJc w:val="left"/>
    </w:lvl>
    <w:lvl w:ilvl="8" w:tentative="0">
      <w:start w:val="1"/>
      <w:numFmt w:val="none"/>
      <w:pStyle w:val="10"/>
      <w:suff w:val="nothing"/>
      <w:lvlText w:val=""/>
      <w:lvlJc w:val="left"/>
    </w:lvl>
  </w:abstractNum>
  <w:abstractNum w:abstractNumId="4">
    <w:nsid w:val="00000009"/>
    <w:multiLevelType w:val="multilevel"/>
    <w:tmpl w:val="00000009"/>
    <w:lvl w:ilvl="0" w:tentative="0">
      <w:start w:val="1"/>
      <w:numFmt w:val="decimal"/>
      <w:pStyle w:val="22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A"/>
    <w:multiLevelType w:val="multilevel"/>
    <w:tmpl w:val="0000000A"/>
    <w:lvl w:ilvl="0" w:tentative="0">
      <w:start w:val="1"/>
      <w:numFmt w:val="chineseCounting"/>
      <w:lvlText w:val="第%1章"/>
      <w:lvlJc w:val="left"/>
      <w:pPr>
        <w:ind w:left="1275" w:hanging="1275"/>
      </w:pPr>
      <w:rPr>
        <w:rFonts w:hint="default"/>
        <w:w w:val="100"/>
      </w:rPr>
    </w:lvl>
    <w:lvl w:ilvl="1" w:tentative="0">
      <w:start w:val="1"/>
      <w:numFmt w:val="chineseCounting"/>
      <w:lvlText w:val="%2、"/>
      <w:lvlJc w:val="left"/>
      <w:pPr>
        <w:ind w:left="2415" w:hanging="720"/>
      </w:pPr>
      <w:rPr>
        <w:rFonts w:hint="default"/>
        <w:w w:val="100"/>
      </w:rPr>
    </w:lvl>
    <w:lvl w:ilvl="2" w:tentative="0">
      <w:start w:val="1"/>
      <w:numFmt w:val="lowerRoman"/>
      <w:lvlText w:val="%3."/>
      <w:lvlJc w:val="right"/>
      <w:pPr>
        <w:ind w:left="2535" w:hanging="420"/>
      </w:pPr>
      <w:rPr>
        <w:rFonts w:hint="default"/>
        <w:w w:val="100"/>
      </w:rPr>
    </w:lvl>
    <w:lvl w:ilvl="3" w:tentative="0">
      <w:start w:val="1"/>
      <w:numFmt w:val="decimal"/>
      <w:lvlText w:val="%4."/>
      <w:lvlJc w:val="left"/>
      <w:pPr>
        <w:ind w:left="2955" w:hanging="420"/>
      </w:pPr>
      <w:rPr>
        <w:rFonts w:hint="default"/>
        <w:w w:val="100"/>
      </w:rPr>
    </w:lvl>
    <w:lvl w:ilvl="4" w:tentative="0">
      <w:start w:val="1"/>
      <w:numFmt w:val="lowerLetter"/>
      <w:lvlText w:val="%5)"/>
      <w:lvlJc w:val="left"/>
      <w:pPr>
        <w:ind w:left="3375" w:hanging="420"/>
      </w:pPr>
      <w:rPr>
        <w:rFonts w:hint="default"/>
        <w:w w:val="100"/>
      </w:rPr>
    </w:lvl>
    <w:lvl w:ilvl="5" w:tentative="0">
      <w:start w:val="1"/>
      <w:numFmt w:val="lowerRoman"/>
      <w:lvlText w:val="%6."/>
      <w:lvlJc w:val="right"/>
      <w:pPr>
        <w:ind w:left="3795" w:hanging="420"/>
      </w:pPr>
      <w:rPr>
        <w:rFonts w:hint="default"/>
        <w:w w:val="100"/>
      </w:rPr>
    </w:lvl>
    <w:lvl w:ilvl="6" w:tentative="0">
      <w:start w:val="1"/>
      <w:numFmt w:val="decimal"/>
      <w:lvlText w:val="%7."/>
      <w:lvlJc w:val="left"/>
      <w:pPr>
        <w:ind w:left="4215" w:hanging="420"/>
      </w:pPr>
      <w:rPr>
        <w:rFonts w:hint="default"/>
        <w:w w:val="100"/>
      </w:rPr>
    </w:lvl>
    <w:lvl w:ilvl="7" w:tentative="0">
      <w:start w:val="1"/>
      <w:numFmt w:val="lowerLetter"/>
      <w:lvlText w:val="%8)"/>
      <w:lvlJc w:val="left"/>
      <w:pPr>
        <w:ind w:left="4635" w:hanging="420"/>
      </w:pPr>
      <w:rPr>
        <w:rFonts w:hint="default"/>
        <w:w w:val="100"/>
      </w:rPr>
    </w:lvl>
    <w:lvl w:ilvl="8" w:tentative="0">
      <w:start w:val="1"/>
      <w:numFmt w:val="lowerRoman"/>
      <w:lvlText w:val="%9."/>
      <w:lvlJc w:val="right"/>
      <w:pPr>
        <w:ind w:left="5055" w:hanging="420"/>
      </w:pPr>
      <w:rPr>
        <w:rFonts w:hint="default"/>
        <w:w w:val="100"/>
      </w:rPr>
    </w:lvl>
  </w:abstractNum>
  <w:abstractNum w:abstractNumId="6">
    <w:nsid w:val="0E6C69DE"/>
    <w:multiLevelType w:val="multilevel"/>
    <w:tmpl w:val="0E6C69DE"/>
    <w:lvl w:ilvl="0" w:tentative="0">
      <w:start w:val="1"/>
      <w:numFmt w:val="decimalEnclosedCircle"/>
      <w:lvlText w:val="%1"/>
      <w:lvlJc w:val="left"/>
      <w:pPr>
        <w:ind w:left="904" w:hanging="360"/>
      </w:pPr>
      <w:rPr>
        <w:rFonts w:hint="default"/>
      </w:rPr>
    </w:lvl>
    <w:lvl w:ilvl="1" w:tentative="0">
      <w:start w:val="1"/>
      <w:numFmt w:val="lowerLetter"/>
      <w:lvlText w:val="%2)"/>
      <w:lvlJc w:val="left"/>
      <w:pPr>
        <w:ind w:left="1384" w:hanging="420"/>
      </w:pPr>
    </w:lvl>
    <w:lvl w:ilvl="2" w:tentative="0">
      <w:start w:val="1"/>
      <w:numFmt w:val="lowerRoman"/>
      <w:lvlText w:val="%3."/>
      <w:lvlJc w:val="right"/>
      <w:pPr>
        <w:ind w:left="1804" w:hanging="420"/>
      </w:pPr>
    </w:lvl>
    <w:lvl w:ilvl="3" w:tentative="0">
      <w:start w:val="1"/>
      <w:numFmt w:val="decimal"/>
      <w:lvlText w:val="%4."/>
      <w:lvlJc w:val="left"/>
      <w:pPr>
        <w:ind w:left="2224" w:hanging="420"/>
      </w:pPr>
    </w:lvl>
    <w:lvl w:ilvl="4" w:tentative="0">
      <w:start w:val="1"/>
      <w:numFmt w:val="lowerLetter"/>
      <w:lvlText w:val="%5)"/>
      <w:lvlJc w:val="left"/>
      <w:pPr>
        <w:ind w:left="2644" w:hanging="420"/>
      </w:pPr>
    </w:lvl>
    <w:lvl w:ilvl="5" w:tentative="0">
      <w:start w:val="1"/>
      <w:numFmt w:val="lowerRoman"/>
      <w:lvlText w:val="%6."/>
      <w:lvlJc w:val="right"/>
      <w:pPr>
        <w:ind w:left="3064" w:hanging="420"/>
      </w:pPr>
    </w:lvl>
    <w:lvl w:ilvl="6" w:tentative="0">
      <w:start w:val="1"/>
      <w:numFmt w:val="decimal"/>
      <w:lvlText w:val="%7."/>
      <w:lvlJc w:val="left"/>
      <w:pPr>
        <w:ind w:left="3484" w:hanging="420"/>
      </w:pPr>
    </w:lvl>
    <w:lvl w:ilvl="7" w:tentative="0">
      <w:start w:val="1"/>
      <w:numFmt w:val="lowerLetter"/>
      <w:lvlText w:val="%8)"/>
      <w:lvlJc w:val="left"/>
      <w:pPr>
        <w:ind w:left="3904" w:hanging="420"/>
      </w:pPr>
    </w:lvl>
    <w:lvl w:ilvl="8" w:tentative="0">
      <w:start w:val="1"/>
      <w:numFmt w:val="lowerRoman"/>
      <w:lvlText w:val="%9."/>
      <w:lvlJc w:val="right"/>
      <w:pPr>
        <w:ind w:left="4324" w:hanging="420"/>
      </w:pPr>
    </w:lvl>
  </w:abstractNum>
  <w:abstractNum w:abstractNumId="7">
    <w:nsid w:val="1B751E41"/>
    <w:multiLevelType w:val="multilevel"/>
    <w:tmpl w:val="1B751E41"/>
    <w:lvl w:ilvl="0" w:tentative="0">
      <w:start w:val="1"/>
      <w:numFmt w:val="decimalEnclosedCircle"/>
      <w:lvlText w:val="%1"/>
      <w:lvlJc w:val="left"/>
      <w:pPr>
        <w:ind w:left="904" w:hanging="360"/>
      </w:pPr>
      <w:rPr>
        <w:rFonts w:hint="default"/>
      </w:rPr>
    </w:lvl>
    <w:lvl w:ilvl="1" w:tentative="0">
      <w:start w:val="1"/>
      <w:numFmt w:val="lowerLetter"/>
      <w:lvlText w:val="%2)"/>
      <w:lvlJc w:val="left"/>
      <w:pPr>
        <w:ind w:left="1384" w:hanging="420"/>
      </w:pPr>
    </w:lvl>
    <w:lvl w:ilvl="2" w:tentative="0">
      <w:start w:val="1"/>
      <w:numFmt w:val="lowerRoman"/>
      <w:lvlText w:val="%3."/>
      <w:lvlJc w:val="right"/>
      <w:pPr>
        <w:ind w:left="1804" w:hanging="420"/>
      </w:pPr>
    </w:lvl>
    <w:lvl w:ilvl="3" w:tentative="0">
      <w:start w:val="1"/>
      <w:numFmt w:val="decimal"/>
      <w:lvlText w:val="%4."/>
      <w:lvlJc w:val="left"/>
      <w:pPr>
        <w:ind w:left="2224" w:hanging="420"/>
      </w:pPr>
    </w:lvl>
    <w:lvl w:ilvl="4" w:tentative="0">
      <w:start w:val="1"/>
      <w:numFmt w:val="lowerLetter"/>
      <w:lvlText w:val="%5)"/>
      <w:lvlJc w:val="left"/>
      <w:pPr>
        <w:ind w:left="2644" w:hanging="420"/>
      </w:pPr>
    </w:lvl>
    <w:lvl w:ilvl="5" w:tentative="0">
      <w:start w:val="1"/>
      <w:numFmt w:val="lowerRoman"/>
      <w:lvlText w:val="%6."/>
      <w:lvlJc w:val="right"/>
      <w:pPr>
        <w:ind w:left="3064" w:hanging="420"/>
      </w:pPr>
    </w:lvl>
    <w:lvl w:ilvl="6" w:tentative="0">
      <w:start w:val="1"/>
      <w:numFmt w:val="decimal"/>
      <w:lvlText w:val="%7."/>
      <w:lvlJc w:val="left"/>
      <w:pPr>
        <w:ind w:left="3484" w:hanging="420"/>
      </w:pPr>
    </w:lvl>
    <w:lvl w:ilvl="7" w:tentative="0">
      <w:start w:val="1"/>
      <w:numFmt w:val="lowerLetter"/>
      <w:lvlText w:val="%8)"/>
      <w:lvlJc w:val="left"/>
      <w:pPr>
        <w:ind w:left="3904" w:hanging="420"/>
      </w:pPr>
    </w:lvl>
    <w:lvl w:ilvl="8" w:tentative="0">
      <w:start w:val="1"/>
      <w:numFmt w:val="lowerRoman"/>
      <w:lvlText w:val="%9."/>
      <w:lvlJc w:val="right"/>
      <w:pPr>
        <w:ind w:left="4324" w:hanging="420"/>
      </w:pPr>
    </w:lvl>
  </w:abstractNum>
  <w:abstractNum w:abstractNumId="8">
    <w:nsid w:val="1D659C86"/>
    <w:multiLevelType w:val="singleLevel"/>
    <w:tmpl w:val="1D659C86"/>
    <w:lvl w:ilvl="0" w:tentative="0">
      <w:start w:val="1"/>
      <w:numFmt w:val="decimal"/>
      <w:suff w:val="nothing"/>
      <w:lvlText w:val="%1、"/>
      <w:lvlJc w:val="left"/>
    </w:lvl>
  </w:abstractNum>
  <w:abstractNum w:abstractNumId="9">
    <w:nsid w:val="1EBA047C"/>
    <w:multiLevelType w:val="multilevel"/>
    <w:tmpl w:val="1EBA047C"/>
    <w:lvl w:ilvl="0" w:tentative="0">
      <w:start w:val="1"/>
      <w:numFmt w:val="decimalEnclosedCircle"/>
      <w:lvlText w:val="%1"/>
      <w:lvlJc w:val="left"/>
      <w:pPr>
        <w:ind w:left="904" w:hanging="360"/>
      </w:pPr>
      <w:rPr>
        <w:rFonts w:hint="default"/>
      </w:rPr>
    </w:lvl>
    <w:lvl w:ilvl="1" w:tentative="0">
      <w:start w:val="1"/>
      <w:numFmt w:val="lowerLetter"/>
      <w:lvlText w:val="%2)"/>
      <w:lvlJc w:val="left"/>
      <w:pPr>
        <w:ind w:left="1384" w:hanging="420"/>
      </w:pPr>
    </w:lvl>
    <w:lvl w:ilvl="2" w:tentative="0">
      <w:start w:val="1"/>
      <w:numFmt w:val="lowerRoman"/>
      <w:lvlText w:val="%3."/>
      <w:lvlJc w:val="right"/>
      <w:pPr>
        <w:ind w:left="1804" w:hanging="420"/>
      </w:pPr>
    </w:lvl>
    <w:lvl w:ilvl="3" w:tentative="0">
      <w:start w:val="1"/>
      <w:numFmt w:val="decimal"/>
      <w:lvlText w:val="%4."/>
      <w:lvlJc w:val="left"/>
      <w:pPr>
        <w:ind w:left="2224" w:hanging="420"/>
      </w:pPr>
    </w:lvl>
    <w:lvl w:ilvl="4" w:tentative="0">
      <w:start w:val="1"/>
      <w:numFmt w:val="lowerLetter"/>
      <w:lvlText w:val="%5)"/>
      <w:lvlJc w:val="left"/>
      <w:pPr>
        <w:ind w:left="2644" w:hanging="420"/>
      </w:pPr>
    </w:lvl>
    <w:lvl w:ilvl="5" w:tentative="0">
      <w:start w:val="1"/>
      <w:numFmt w:val="lowerRoman"/>
      <w:lvlText w:val="%6."/>
      <w:lvlJc w:val="right"/>
      <w:pPr>
        <w:ind w:left="3064" w:hanging="420"/>
      </w:pPr>
    </w:lvl>
    <w:lvl w:ilvl="6" w:tentative="0">
      <w:start w:val="1"/>
      <w:numFmt w:val="decimal"/>
      <w:lvlText w:val="%7."/>
      <w:lvlJc w:val="left"/>
      <w:pPr>
        <w:ind w:left="3484" w:hanging="420"/>
      </w:pPr>
    </w:lvl>
    <w:lvl w:ilvl="7" w:tentative="0">
      <w:start w:val="1"/>
      <w:numFmt w:val="lowerLetter"/>
      <w:lvlText w:val="%8)"/>
      <w:lvlJc w:val="left"/>
      <w:pPr>
        <w:ind w:left="3904" w:hanging="420"/>
      </w:pPr>
    </w:lvl>
    <w:lvl w:ilvl="8" w:tentative="0">
      <w:start w:val="1"/>
      <w:numFmt w:val="lowerRoman"/>
      <w:lvlText w:val="%9."/>
      <w:lvlJc w:val="right"/>
      <w:pPr>
        <w:ind w:left="4324" w:hanging="420"/>
      </w:pPr>
    </w:lvl>
  </w:abstractNum>
  <w:abstractNum w:abstractNumId="10">
    <w:nsid w:val="23C037A8"/>
    <w:multiLevelType w:val="multilevel"/>
    <w:tmpl w:val="23C037A8"/>
    <w:lvl w:ilvl="0" w:tentative="0">
      <w:start w:val="1"/>
      <w:numFmt w:val="lowerLetter"/>
      <w:lvlText w:val="%1."/>
      <w:lvlJc w:val="left"/>
      <w:pPr>
        <w:ind w:left="1063" w:hanging="372"/>
      </w:pPr>
      <w:rPr>
        <w:rFonts w:hint="default"/>
      </w:rPr>
    </w:lvl>
    <w:lvl w:ilvl="1" w:tentative="0">
      <w:start w:val="1"/>
      <w:numFmt w:val="lowerLetter"/>
      <w:lvlText w:val="%2)"/>
      <w:lvlJc w:val="left"/>
      <w:pPr>
        <w:ind w:left="1531" w:hanging="420"/>
      </w:pPr>
    </w:lvl>
    <w:lvl w:ilvl="2" w:tentative="0">
      <w:start w:val="1"/>
      <w:numFmt w:val="lowerRoman"/>
      <w:lvlText w:val="%3."/>
      <w:lvlJc w:val="right"/>
      <w:pPr>
        <w:ind w:left="1951" w:hanging="420"/>
      </w:pPr>
    </w:lvl>
    <w:lvl w:ilvl="3" w:tentative="0">
      <w:start w:val="1"/>
      <w:numFmt w:val="decimal"/>
      <w:lvlText w:val="%4."/>
      <w:lvlJc w:val="left"/>
      <w:pPr>
        <w:ind w:left="2371" w:hanging="420"/>
      </w:pPr>
    </w:lvl>
    <w:lvl w:ilvl="4" w:tentative="0">
      <w:start w:val="1"/>
      <w:numFmt w:val="lowerLetter"/>
      <w:lvlText w:val="%5)"/>
      <w:lvlJc w:val="left"/>
      <w:pPr>
        <w:ind w:left="2791" w:hanging="420"/>
      </w:pPr>
    </w:lvl>
    <w:lvl w:ilvl="5" w:tentative="0">
      <w:start w:val="1"/>
      <w:numFmt w:val="lowerRoman"/>
      <w:lvlText w:val="%6."/>
      <w:lvlJc w:val="right"/>
      <w:pPr>
        <w:ind w:left="3211" w:hanging="420"/>
      </w:pPr>
    </w:lvl>
    <w:lvl w:ilvl="6" w:tentative="0">
      <w:start w:val="1"/>
      <w:numFmt w:val="decimal"/>
      <w:lvlText w:val="%7."/>
      <w:lvlJc w:val="left"/>
      <w:pPr>
        <w:ind w:left="3631" w:hanging="420"/>
      </w:pPr>
    </w:lvl>
    <w:lvl w:ilvl="7" w:tentative="0">
      <w:start w:val="1"/>
      <w:numFmt w:val="lowerLetter"/>
      <w:lvlText w:val="%8)"/>
      <w:lvlJc w:val="left"/>
      <w:pPr>
        <w:ind w:left="4051" w:hanging="420"/>
      </w:pPr>
    </w:lvl>
    <w:lvl w:ilvl="8" w:tentative="0">
      <w:start w:val="1"/>
      <w:numFmt w:val="lowerRoman"/>
      <w:lvlText w:val="%9."/>
      <w:lvlJc w:val="right"/>
      <w:pPr>
        <w:ind w:left="4471" w:hanging="420"/>
      </w:pPr>
    </w:lvl>
  </w:abstractNum>
  <w:abstractNum w:abstractNumId="11">
    <w:nsid w:val="25313261"/>
    <w:multiLevelType w:val="singleLevel"/>
    <w:tmpl w:val="25313261"/>
    <w:lvl w:ilvl="0" w:tentative="0">
      <w:start w:val="1"/>
      <w:numFmt w:val="decimal"/>
      <w:suff w:val="nothing"/>
      <w:lvlText w:val="%1、"/>
      <w:lvlJc w:val="left"/>
    </w:lvl>
  </w:abstractNum>
  <w:abstractNum w:abstractNumId="12">
    <w:nsid w:val="300E4C9A"/>
    <w:multiLevelType w:val="multilevel"/>
    <w:tmpl w:val="300E4C9A"/>
    <w:lvl w:ilvl="0" w:tentative="0">
      <w:start w:val="1"/>
      <w:numFmt w:val="decimalEnclosedCircle"/>
      <w:lvlText w:val="%1"/>
      <w:lvlJc w:val="left"/>
      <w:pPr>
        <w:ind w:left="904" w:hanging="360"/>
      </w:pPr>
      <w:rPr>
        <w:rFonts w:hint="default"/>
      </w:rPr>
    </w:lvl>
    <w:lvl w:ilvl="1" w:tentative="0">
      <w:start w:val="1"/>
      <w:numFmt w:val="lowerLetter"/>
      <w:lvlText w:val="%2)"/>
      <w:lvlJc w:val="left"/>
      <w:pPr>
        <w:ind w:left="1384" w:hanging="420"/>
      </w:pPr>
    </w:lvl>
    <w:lvl w:ilvl="2" w:tentative="0">
      <w:start w:val="1"/>
      <w:numFmt w:val="lowerRoman"/>
      <w:lvlText w:val="%3."/>
      <w:lvlJc w:val="right"/>
      <w:pPr>
        <w:ind w:left="1804" w:hanging="420"/>
      </w:pPr>
    </w:lvl>
    <w:lvl w:ilvl="3" w:tentative="0">
      <w:start w:val="1"/>
      <w:numFmt w:val="decimal"/>
      <w:lvlText w:val="%4."/>
      <w:lvlJc w:val="left"/>
      <w:pPr>
        <w:ind w:left="2224" w:hanging="420"/>
      </w:pPr>
    </w:lvl>
    <w:lvl w:ilvl="4" w:tentative="0">
      <w:start w:val="1"/>
      <w:numFmt w:val="lowerLetter"/>
      <w:lvlText w:val="%5)"/>
      <w:lvlJc w:val="left"/>
      <w:pPr>
        <w:ind w:left="2644" w:hanging="420"/>
      </w:pPr>
    </w:lvl>
    <w:lvl w:ilvl="5" w:tentative="0">
      <w:start w:val="1"/>
      <w:numFmt w:val="lowerRoman"/>
      <w:lvlText w:val="%6."/>
      <w:lvlJc w:val="right"/>
      <w:pPr>
        <w:ind w:left="3064" w:hanging="420"/>
      </w:pPr>
    </w:lvl>
    <w:lvl w:ilvl="6" w:tentative="0">
      <w:start w:val="1"/>
      <w:numFmt w:val="decimal"/>
      <w:lvlText w:val="%7."/>
      <w:lvlJc w:val="left"/>
      <w:pPr>
        <w:ind w:left="3484" w:hanging="420"/>
      </w:pPr>
    </w:lvl>
    <w:lvl w:ilvl="7" w:tentative="0">
      <w:start w:val="1"/>
      <w:numFmt w:val="lowerLetter"/>
      <w:lvlText w:val="%8)"/>
      <w:lvlJc w:val="left"/>
      <w:pPr>
        <w:ind w:left="3904" w:hanging="420"/>
      </w:pPr>
    </w:lvl>
    <w:lvl w:ilvl="8" w:tentative="0">
      <w:start w:val="1"/>
      <w:numFmt w:val="lowerRoman"/>
      <w:lvlText w:val="%9."/>
      <w:lvlJc w:val="right"/>
      <w:pPr>
        <w:ind w:left="4324" w:hanging="420"/>
      </w:pPr>
    </w:lvl>
  </w:abstractNum>
  <w:abstractNum w:abstractNumId="13">
    <w:nsid w:val="335E9BB9"/>
    <w:multiLevelType w:val="singleLevel"/>
    <w:tmpl w:val="335E9BB9"/>
    <w:lvl w:ilvl="0" w:tentative="0">
      <w:start w:val="1"/>
      <w:numFmt w:val="decimal"/>
      <w:suff w:val="nothing"/>
      <w:lvlText w:val="%1、"/>
      <w:lvlJc w:val="left"/>
    </w:lvl>
  </w:abstractNum>
  <w:abstractNum w:abstractNumId="14">
    <w:nsid w:val="3BDC1C58"/>
    <w:multiLevelType w:val="multilevel"/>
    <w:tmpl w:val="3BDC1C58"/>
    <w:lvl w:ilvl="0" w:tentative="0">
      <w:start w:val="1"/>
      <w:numFmt w:val="lowerLetter"/>
      <w:lvlText w:val="%1."/>
      <w:lvlJc w:val="left"/>
      <w:pPr>
        <w:ind w:left="904" w:hanging="360"/>
      </w:pPr>
      <w:rPr>
        <w:rFonts w:hint="default"/>
      </w:rPr>
    </w:lvl>
    <w:lvl w:ilvl="1" w:tentative="0">
      <w:start w:val="1"/>
      <w:numFmt w:val="lowerLetter"/>
      <w:lvlText w:val="%2)"/>
      <w:lvlJc w:val="left"/>
      <w:pPr>
        <w:ind w:left="1384" w:hanging="420"/>
      </w:pPr>
    </w:lvl>
    <w:lvl w:ilvl="2" w:tentative="0">
      <w:start w:val="1"/>
      <w:numFmt w:val="lowerRoman"/>
      <w:lvlText w:val="%3."/>
      <w:lvlJc w:val="right"/>
      <w:pPr>
        <w:ind w:left="1804" w:hanging="420"/>
      </w:pPr>
    </w:lvl>
    <w:lvl w:ilvl="3" w:tentative="0">
      <w:start w:val="1"/>
      <w:numFmt w:val="decimal"/>
      <w:lvlText w:val="%4."/>
      <w:lvlJc w:val="left"/>
      <w:pPr>
        <w:ind w:left="2224" w:hanging="420"/>
      </w:pPr>
    </w:lvl>
    <w:lvl w:ilvl="4" w:tentative="0">
      <w:start w:val="1"/>
      <w:numFmt w:val="lowerLetter"/>
      <w:lvlText w:val="%5)"/>
      <w:lvlJc w:val="left"/>
      <w:pPr>
        <w:ind w:left="2644" w:hanging="420"/>
      </w:pPr>
    </w:lvl>
    <w:lvl w:ilvl="5" w:tentative="0">
      <w:start w:val="1"/>
      <w:numFmt w:val="lowerRoman"/>
      <w:lvlText w:val="%6."/>
      <w:lvlJc w:val="right"/>
      <w:pPr>
        <w:ind w:left="3064" w:hanging="420"/>
      </w:pPr>
    </w:lvl>
    <w:lvl w:ilvl="6" w:tentative="0">
      <w:start w:val="1"/>
      <w:numFmt w:val="decimal"/>
      <w:lvlText w:val="%7."/>
      <w:lvlJc w:val="left"/>
      <w:pPr>
        <w:ind w:left="3484" w:hanging="420"/>
      </w:pPr>
    </w:lvl>
    <w:lvl w:ilvl="7" w:tentative="0">
      <w:start w:val="1"/>
      <w:numFmt w:val="lowerLetter"/>
      <w:lvlText w:val="%8)"/>
      <w:lvlJc w:val="left"/>
      <w:pPr>
        <w:ind w:left="3904" w:hanging="420"/>
      </w:pPr>
    </w:lvl>
    <w:lvl w:ilvl="8" w:tentative="0">
      <w:start w:val="1"/>
      <w:numFmt w:val="lowerRoman"/>
      <w:lvlText w:val="%9."/>
      <w:lvlJc w:val="right"/>
      <w:pPr>
        <w:ind w:left="4324" w:hanging="420"/>
      </w:pPr>
    </w:lvl>
  </w:abstractNum>
  <w:abstractNum w:abstractNumId="15">
    <w:nsid w:val="46C70A8A"/>
    <w:multiLevelType w:val="multilevel"/>
    <w:tmpl w:val="46C70A8A"/>
    <w:lvl w:ilvl="0" w:tentative="0">
      <w:start w:val="2"/>
      <w:numFmt w:val="decimalEnclosedCircle"/>
      <w:lvlText w:val="%1"/>
      <w:lvlJc w:val="left"/>
      <w:pPr>
        <w:ind w:left="904" w:hanging="360"/>
      </w:pPr>
      <w:rPr>
        <w:rFonts w:hint="default"/>
      </w:rPr>
    </w:lvl>
    <w:lvl w:ilvl="1" w:tentative="0">
      <w:start w:val="1"/>
      <w:numFmt w:val="lowerLetter"/>
      <w:lvlText w:val="%2)"/>
      <w:lvlJc w:val="left"/>
      <w:pPr>
        <w:ind w:left="1384" w:hanging="420"/>
      </w:pPr>
    </w:lvl>
    <w:lvl w:ilvl="2" w:tentative="0">
      <w:start w:val="1"/>
      <w:numFmt w:val="lowerRoman"/>
      <w:lvlText w:val="%3."/>
      <w:lvlJc w:val="right"/>
      <w:pPr>
        <w:ind w:left="1804" w:hanging="420"/>
      </w:pPr>
    </w:lvl>
    <w:lvl w:ilvl="3" w:tentative="0">
      <w:start w:val="1"/>
      <w:numFmt w:val="decimal"/>
      <w:lvlText w:val="%4."/>
      <w:lvlJc w:val="left"/>
      <w:pPr>
        <w:ind w:left="2224" w:hanging="420"/>
      </w:pPr>
    </w:lvl>
    <w:lvl w:ilvl="4" w:tentative="0">
      <w:start w:val="1"/>
      <w:numFmt w:val="lowerLetter"/>
      <w:lvlText w:val="%5)"/>
      <w:lvlJc w:val="left"/>
      <w:pPr>
        <w:ind w:left="2644" w:hanging="420"/>
      </w:pPr>
    </w:lvl>
    <w:lvl w:ilvl="5" w:tentative="0">
      <w:start w:val="1"/>
      <w:numFmt w:val="lowerRoman"/>
      <w:lvlText w:val="%6."/>
      <w:lvlJc w:val="right"/>
      <w:pPr>
        <w:ind w:left="3064" w:hanging="420"/>
      </w:pPr>
    </w:lvl>
    <w:lvl w:ilvl="6" w:tentative="0">
      <w:start w:val="1"/>
      <w:numFmt w:val="decimal"/>
      <w:lvlText w:val="%7."/>
      <w:lvlJc w:val="left"/>
      <w:pPr>
        <w:ind w:left="3484" w:hanging="420"/>
      </w:pPr>
    </w:lvl>
    <w:lvl w:ilvl="7" w:tentative="0">
      <w:start w:val="1"/>
      <w:numFmt w:val="lowerLetter"/>
      <w:lvlText w:val="%8)"/>
      <w:lvlJc w:val="left"/>
      <w:pPr>
        <w:ind w:left="3904" w:hanging="420"/>
      </w:pPr>
    </w:lvl>
    <w:lvl w:ilvl="8" w:tentative="0">
      <w:start w:val="1"/>
      <w:numFmt w:val="lowerRoman"/>
      <w:lvlText w:val="%9."/>
      <w:lvlJc w:val="right"/>
      <w:pPr>
        <w:ind w:left="4324" w:hanging="420"/>
      </w:pPr>
    </w:lvl>
  </w:abstractNum>
  <w:abstractNum w:abstractNumId="16">
    <w:nsid w:val="52E565E8"/>
    <w:multiLevelType w:val="multilevel"/>
    <w:tmpl w:val="52E565E8"/>
    <w:lvl w:ilvl="0" w:tentative="0">
      <w:start w:val="1"/>
      <w:numFmt w:val="decimalEnclosedCircle"/>
      <w:lvlText w:val="%1"/>
      <w:lvlJc w:val="left"/>
      <w:pPr>
        <w:ind w:left="904" w:hanging="360"/>
      </w:pPr>
      <w:rPr>
        <w:rFonts w:hint="default"/>
      </w:rPr>
    </w:lvl>
    <w:lvl w:ilvl="1" w:tentative="0">
      <w:start w:val="1"/>
      <w:numFmt w:val="lowerLetter"/>
      <w:lvlText w:val="%2)"/>
      <w:lvlJc w:val="left"/>
      <w:pPr>
        <w:ind w:left="1384" w:hanging="420"/>
      </w:pPr>
    </w:lvl>
    <w:lvl w:ilvl="2" w:tentative="0">
      <w:start w:val="1"/>
      <w:numFmt w:val="lowerRoman"/>
      <w:lvlText w:val="%3."/>
      <w:lvlJc w:val="right"/>
      <w:pPr>
        <w:ind w:left="1804" w:hanging="420"/>
      </w:pPr>
    </w:lvl>
    <w:lvl w:ilvl="3" w:tentative="0">
      <w:start w:val="1"/>
      <w:numFmt w:val="decimal"/>
      <w:lvlText w:val="%4."/>
      <w:lvlJc w:val="left"/>
      <w:pPr>
        <w:ind w:left="2224" w:hanging="420"/>
      </w:pPr>
    </w:lvl>
    <w:lvl w:ilvl="4" w:tentative="0">
      <w:start w:val="1"/>
      <w:numFmt w:val="lowerLetter"/>
      <w:lvlText w:val="%5)"/>
      <w:lvlJc w:val="left"/>
      <w:pPr>
        <w:ind w:left="2644" w:hanging="420"/>
      </w:pPr>
    </w:lvl>
    <w:lvl w:ilvl="5" w:tentative="0">
      <w:start w:val="1"/>
      <w:numFmt w:val="lowerRoman"/>
      <w:lvlText w:val="%6."/>
      <w:lvlJc w:val="right"/>
      <w:pPr>
        <w:ind w:left="3064" w:hanging="420"/>
      </w:pPr>
    </w:lvl>
    <w:lvl w:ilvl="6" w:tentative="0">
      <w:start w:val="1"/>
      <w:numFmt w:val="decimal"/>
      <w:lvlText w:val="%7."/>
      <w:lvlJc w:val="left"/>
      <w:pPr>
        <w:ind w:left="3484" w:hanging="420"/>
      </w:pPr>
    </w:lvl>
    <w:lvl w:ilvl="7" w:tentative="0">
      <w:start w:val="1"/>
      <w:numFmt w:val="lowerLetter"/>
      <w:lvlText w:val="%8)"/>
      <w:lvlJc w:val="left"/>
      <w:pPr>
        <w:ind w:left="3904" w:hanging="420"/>
      </w:pPr>
    </w:lvl>
    <w:lvl w:ilvl="8" w:tentative="0">
      <w:start w:val="1"/>
      <w:numFmt w:val="lowerRoman"/>
      <w:lvlText w:val="%9."/>
      <w:lvlJc w:val="right"/>
      <w:pPr>
        <w:ind w:left="4324" w:hanging="420"/>
      </w:pPr>
    </w:lvl>
  </w:abstractNum>
  <w:abstractNum w:abstractNumId="17">
    <w:nsid w:val="5A635754"/>
    <w:multiLevelType w:val="multilevel"/>
    <w:tmpl w:val="5A635754"/>
    <w:lvl w:ilvl="0" w:tentative="0">
      <w:start w:val="1"/>
      <w:numFmt w:val="chineseCountingThousand"/>
      <w:suff w:val="nothing"/>
      <w:lvlText w:val="%1、"/>
      <w:lvlJc w:val="left"/>
      <w:pPr>
        <w:ind w:left="0" w:firstLine="0"/>
      </w:pPr>
      <w:rPr>
        <w:rFonts w:hint="eastAsia" w:ascii="黑体" w:eastAsia="黑体"/>
        <w:b/>
        <w:bCs/>
        <w:i w:val="0"/>
        <w:sz w:val="24"/>
        <w:szCs w:val="24"/>
      </w:rPr>
    </w:lvl>
    <w:lvl w:ilvl="1" w:tentative="0">
      <w:start w:val="1"/>
      <w:numFmt w:val="chineseCountingThousand"/>
      <w:suff w:val="nothing"/>
      <w:lvlText w:val="（%2）"/>
      <w:lvlJc w:val="left"/>
      <w:pPr>
        <w:ind w:left="576" w:hanging="576"/>
      </w:pPr>
      <w:rPr>
        <w:rFonts w:hint="eastAsia" w:ascii="黑体" w:eastAsia="黑体"/>
        <w:b/>
        <w:bCs/>
        <w:i w:val="0"/>
        <w:sz w:val="24"/>
        <w:szCs w:val="24"/>
      </w:rPr>
    </w:lvl>
    <w:lvl w:ilvl="2" w:tentative="0">
      <w:start w:val="1"/>
      <w:numFmt w:val="decimal"/>
      <w:suff w:val="space"/>
      <w:lvlText w:val="%3."/>
      <w:lvlJc w:val="left"/>
      <w:pPr>
        <w:ind w:left="720" w:hanging="720"/>
      </w:pPr>
      <w:rPr>
        <w:rFonts w:hint="default" w:ascii="宋体" w:hAnsi="宋体" w:eastAsia="宋体" w:cs="宋体"/>
        <w:b/>
        <w:bCs/>
      </w:rPr>
    </w:lvl>
    <w:lvl w:ilvl="3" w:tentative="0">
      <w:start w:val="1"/>
      <w:numFmt w:val="decimal"/>
      <w:suff w:val="nothing"/>
      <w:lvlText w:val="（%4）"/>
      <w:lvlJc w:val="left"/>
      <w:pPr>
        <w:ind w:left="864" w:hanging="864"/>
      </w:pPr>
      <w:rPr>
        <w:rFonts w:hint="default" w:ascii="宋体" w:eastAsia="宋体"/>
        <w:b/>
        <w:bCs/>
        <w:i w:val="0"/>
        <w:sz w:val="24"/>
        <w:szCs w:val="24"/>
      </w:rPr>
    </w:lvl>
    <w:lvl w:ilvl="4" w:tentative="0">
      <w:start w:val="1"/>
      <w:numFmt w:val="decimal"/>
      <w:suff w:val="nothing"/>
      <w:lvlText w:val="%5）"/>
      <w:lvlJc w:val="left"/>
      <w:pPr>
        <w:ind w:left="1008" w:hanging="1008"/>
      </w:pPr>
      <w:rPr>
        <w:rFonts w:hint="default" w:ascii="楷体" w:eastAsia="楷体"/>
        <w:b/>
        <w:bCs/>
        <w:i w:val="0"/>
        <w:sz w:val="24"/>
        <w:szCs w:val="24"/>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8">
    <w:nsid w:val="606A148D"/>
    <w:multiLevelType w:val="multilevel"/>
    <w:tmpl w:val="606A148D"/>
    <w:lvl w:ilvl="0" w:tentative="0">
      <w:start w:val="1"/>
      <w:numFmt w:val="decimalEnclosedCircle"/>
      <w:lvlText w:val="%1"/>
      <w:lvlJc w:val="left"/>
      <w:pPr>
        <w:ind w:left="904" w:hanging="360"/>
      </w:pPr>
      <w:rPr>
        <w:rFonts w:hint="default"/>
      </w:rPr>
    </w:lvl>
    <w:lvl w:ilvl="1" w:tentative="0">
      <w:start w:val="1"/>
      <w:numFmt w:val="lowerLetter"/>
      <w:lvlText w:val="%2)"/>
      <w:lvlJc w:val="left"/>
      <w:pPr>
        <w:ind w:left="1384" w:hanging="420"/>
      </w:pPr>
    </w:lvl>
    <w:lvl w:ilvl="2" w:tentative="0">
      <w:start w:val="1"/>
      <w:numFmt w:val="lowerRoman"/>
      <w:lvlText w:val="%3."/>
      <w:lvlJc w:val="right"/>
      <w:pPr>
        <w:ind w:left="1804" w:hanging="420"/>
      </w:pPr>
    </w:lvl>
    <w:lvl w:ilvl="3" w:tentative="0">
      <w:start w:val="1"/>
      <w:numFmt w:val="decimal"/>
      <w:lvlText w:val="%4."/>
      <w:lvlJc w:val="left"/>
      <w:pPr>
        <w:ind w:left="2224" w:hanging="420"/>
      </w:pPr>
    </w:lvl>
    <w:lvl w:ilvl="4" w:tentative="0">
      <w:start w:val="1"/>
      <w:numFmt w:val="lowerLetter"/>
      <w:lvlText w:val="%5)"/>
      <w:lvlJc w:val="left"/>
      <w:pPr>
        <w:ind w:left="2644" w:hanging="420"/>
      </w:pPr>
    </w:lvl>
    <w:lvl w:ilvl="5" w:tentative="0">
      <w:start w:val="1"/>
      <w:numFmt w:val="lowerRoman"/>
      <w:lvlText w:val="%6."/>
      <w:lvlJc w:val="right"/>
      <w:pPr>
        <w:ind w:left="3064" w:hanging="420"/>
      </w:pPr>
    </w:lvl>
    <w:lvl w:ilvl="6" w:tentative="0">
      <w:start w:val="1"/>
      <w:numFmt w:val="decimal"/>
      <w:lvlText w:val="%7."/>
      <w:lvlJc w:val="left"/>
      <w:pPr>
        <w:ind w:left="3484" w:hanging="420"/>
      </w:pPr>
    </w:lvl>
    <w:lvl w:ilvl="7" w:tentative="0">
      <w:start w:val="1"/>
      <w:numFmt w:val="lowerLetter"/>
      <w:lvlText w:val="%8)"/>
      <w:lvlJc w:val="left"/>
      <w:pPr>
        <w:ind w:left="3904" w:hanging="420"/>
      </w:pPr>
    </w:lvl>
    <w:lvl w:ilvl="8" w:tentative="0">
      <w:start w:val="1"/>
      <w:numFmt w:val="lowerRoman"/>
      <w:lvlText w:val="%9."/>
      <w:lvlJc w:val="right"/>
      <w:pPr>
        <w:ind w:left="4324" w:hanging="420"/>
      </w:pPr>
    </w:lvl>
  </w:abstractNum>
  <w:abstractNum w:abstractNumId="19">
    <w:nsid w:val="61197AF1"/>
    <w:multiLevelType w:val="singleLevel"/>
    <w:tmpl w:val="61197AF1"/>
    <w:lvl w:ilvl="0" w:tentative="0">
      <w:start w:val="1"/>
      <w:numFmt w:val="decimal"/>
      <w:lvlText w:val="%1."/>
      <w:lvlJc w:val="left"/>
      <w:pPr>
        <w:tabs>
          <w:tab w:val="left" w:pos="312"/>
        </w:tabs>
      </w:pPr>
    </w:lvl>
  </w:abstractNum>
  <w:abstractNum w:abstractNumId="20">
    <w:nsid w:val="73303A0B"/>
    <w:multiLevelType w:val="multilevel"/>
    <w:tmpl w:val="73303A0B"/>
    <w:lvl w:ilvl="0" w:tentative="0">
      <w:start w:val="1"/>
      <w:numFmt w:val="decimalEnclosedCircle"/>
      <w:lvlText w:val="%1"/>
      <w:lvlJc w:val="left"/>
      <w:pPr>
        <w:ind w:left="904" w:hanging="360"/>
      </w:pPr>
      <w:rPr>
        <w:rFonts w:hint="default"/>
      </w:rPr>
    </w:lvl>
    <w:lvl w:ilvl="1" w:tentative="0">
      <w:start w:val="1"/>
      <w:numFmt w:val="lowerLetter"/>
      <w:lvlText w:val="%2)"/>
      <w:lvlJc w:val="left"/>
      <w:pPr>
        <w:ind w:left="1384" w:hanging="420"/>
      </w:pPr>
    </w:lvl>
    <w:lvl w:ilvl="2" w:tentative="0">
      <w:start w:val="1"/>
      <w:numFmt w:val="lowerRoman"/>
      <w:lvlText w:val="%3."/>
      <w:lvlJc w:val="right"/>
      <w:pPr>
        <w:ind w:left="1804" w:hanging="420"/>
      </w:pPr>
    </w:lvl>
    <w:lvl w:ilvl="3" w:tentative="0">
      <w:start w:val="1"/>
      <w:numFmt w:val="decimal"/>
      <w:lvlText w:val="%4."/>
      <w:lvlJc w:val="left"/>
      <w:pPr>
        <w:ind w:left="2224" w:hanging="420"/>
      </w:pPr>
    </w:lvl>
    <w:lvl w:ilvl="4" w:tentative="0">
      <w:start w:val="1"/>
      <w:numFmt w:val="lowerLetter"/>
      <w:lvlText w:val="%5)"/>
      <w:lvlJc w:val="left"/>
      <w:pPr>
        <w:ind w:left="2644" w:hanging="420"/>
      </w:pPr>
    </w:lvl>
    <w:lvl w:ilvl="5" w:tentative="0">
      <w:start w:val="1"/>
      <w:numFmt w:val="lowerRoman"/>
      <w:lvlText w:val="%6."/>
      <w:lvlJc w:val="right"/>
      <w:pPr>
        <w:ind w:left="3064" w:hanging="420"/>
      </w:pPr>
    </w:lvl>
    <w:lvl w:ilvl="6" w:tentative="0">
      <w:start w:val="1"/>
      <w:numFmt w:val="decimal"/>
      <w:lvlText w:val="%7."/>
      <w:lvlJc w:val="left"/>
      <w:pPr>
        <w:ind w:left="3484" w:hanging="420"/>
      </w:pPr>
    </w:lvl>
    <w:lvl w:ilvl="7" w:tentative="0">
      <w:start w:val="1"/>
      <w:numFmt w:val="lowerLetter"/>
      <w:lvlText w:val="%8)"/>
      <w:lvlJc w:val="left"/>
      <w:pPr>
        <w:ind w:left="3904" w:hanging="420"/>
      </w:pPr>
    </w:lvl>
    <w:lvl w:ilvl="8" w:tentative="0">
      <w:start w:val="1"/>
      <w:numFmt w:val="lowerRoman"/>
      <w:lvlText w:val="%9."/>
      <w:lvlJc w:val="right"/>
      <w:pPr>
        <w:ind w:left="4324" w:hanging="420"/>
      </w:pPr>
    </w:lvl>
  </w:abstractNum>
  <w:num w:numId="1">
    <w:abstractNumId w:val="3"/>
  </w:num>
  <w:num w:numId="2">
    <w:abstractNumId w:val="4"/>
  </w:num>
  <w:num w:numId="3">
    <w:abstractNumId w:val="5"/>
  </w:num>
  <w:num w:numId="4">
    <w:abstractNumId w:val="2"/>
  </w:num>
  <w:num w:numId="5">
    <w:abstractNumId w:val="17"/>
  </w:num>
  <w:num w:numId="6">
    <w:abstractNumId w:val="16"/>
  </w:num>
  <w:num w:numId="7">
    <w:abstractNumId w:val="18"/>
  </w:num>
  <w:num w:numId="8">
    <w:abstractNumId w:val="9"/>
  </w:num>
  <w:num w:numId="9">
    <w:abstractNumId w:val="12"/>
  </w:num>
  <w:num w:numId="10">
    <w:abstractNumId w:val="20"/>
  </w:num>
  <w:num w:numId="11">
    <w:abstractNumId w:val="7"/>
  </w:num>
  <w:num w:numId="12">
    <w:abstractNumId w:val="6"/>
  </w:num>
  <w:num w:numId="13">
    <w:abstractNumId w:val="14"/>
  </w:num>
  <w:num w:numId="14">
    <w:abstractNumId w:val="10"/>
  </w:num>
  <w:num w:numId="15">
    <w:abstractNumId w:val="15"/>
  </w:num>
  <w:num w:numId="16">
    <w:abstractNumId w:val="1"/>
  </w:num>
  <w:num w:numId="17">
    <w:abstractNumId w:val="8"/>
  </w:num>
  <w:num w:numId="18">
    <w:abstractNumId w:val="11"/>
  </w:num>
  <w:num w:numId="19">
    <w:abstractNumId w:val="13"/>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794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DBiMjE0ZWNmZTEyMTgxOTc3MDk2OTdjMWFiMTQifQ=="/>
  </w:docVars>
  <w:rsids>
    <w:rsidRoot w:val="00172A27"/>
    <w:rsid w:val="000002B3"/>
    <w:rsid w:val="00001659"/>
    <w:rsid w:val="00002615"/>
    <w:rsid w:val="00002FEE"/>
    <w:rsid w:val="000036E1"/>
    <w:rsid w:val="00004AD9"/>
    <w:rsid w:val="00007C34"/>
    <w:rsid w:val="00013D3A"/>
    <w:rsid w:val="00014195"/>
    <w:rsid w:val="00014CEB"/>
    <w:rsid w:val="00015108"/>
    <w:rsid w:val="00015507"/>
    <w:rsid w:val="00015BED"/>
    <w:rsid w:val="00016D5F"/>
    <w:rsid w:val="000171E7"/>
    <w:rsid w:val="00021285"/>
    <w:rsid w:val="00021EBD"/>
    <w:rsid w:val="000227F8"/>
    <w:rsid w:val="00025735"/>
    <w:rsid w:val="00027C0E"/>
    <w:rsid w:val="00030A94"/>
    <w:rsid w:val="00033A56"/>
    <w:rsid w:val="00035A4F"/>
    <w:rsid w:val="00036C80"/>
    <w:rsid w:val="000408C9"/>
    <w:rsid w:val="00040ABE"/>
    <w:rsid w:val="00040F38"/>
    <w:rsid w:val="000411EA"/>
    <w:rsid w:val="00045A61"/>
    <w:rsid w:val="000463FD"/>
    <w:rsid w:val="0004666E"/>
    <w:rsid w:val="000468DE"/>
    <w:rsid w:val="000520FA"/>
    <w:rsid w:val="0005246F"/>
    <w:rsid w:val="00053E5D"/>
    <w:rsid w:val="0005427B"/>
    <w:rsid w:val="00054AC9"/>
    <w:rsid w:val="000560EA"/>
    <w:rsid w:val="00064AE3"/>
    <w:rsid w:val="0006542C"/>
    <w:rsid w:val="0006707E"/>
    <w:rsid w:val="00072477"/>
    <w:rsid w:val="0007444D"/>
    <w:rsid w:val="00074513"/>
    <w:rsid w:val="000748E7"/>
    <w:rsid w:val="00074D6C"/>
    <w:rsid w:val="000750A2"/>
    <w:rsid w:val="000763FF"/>
    <w:rsid w:val="00076A73"/>
    <w:rsid w:val="00076C0F"/>
    <w:rsid w:val="00077B9F"/>
    <w:rsid w:val="00077BD7"/>
    <w:rsid w:val="00077F09"/>
    <w:rsid w:val="00080274"/>
    <w:rsid w:val="00081BF5"/>
    <w:rsid w:val="000823E6"/>
    <w:rsid w:val="0008383F"/>
    <w:rsid w:val="0008505D"/>
    <w:rsid w:val="000852EC"/>
    <w:rsid w:val="00085A44"/>
    <w:rsid w:val="00085BE9"/>
    <w:rsid w:val="000876E8"/>
    <w:rsid w:val="00090860"/>
    <w:rsid w:val="00090ED9"/>
    <w:rsid w:val="00091342"/>
    <w:rsid w:val="00093AEA"/>
    <w:rsid w:val="000A00C0"/>
    <w:rsid w:val="000A0C34"/>
    <w:rsid w:val="000A1BFA"/>
    <w:rsid w:val="000A37B5"/>
    <w:rsid w:val="000A4F19"/>
    <w:rsid w:val="000A550C"/>
    <w:rsid w:val="000A7570"/>
    <w:rsid w:val="000A75FE"/>
    <w:rsid w:val="000A7921"/>
    <w:rsid w:val="000B1EF0"/>
    <w:rsid w:val="000B220D"/>
    <w:rsid w:val="000B2574"/>
    <w:rsid w:val="000B39F2"/>
    <w:rsid w:val="000B45DF"/>
    <w:rsid w:val="000B460D"/>
    <w:rsid w:val="000B4A7F"/>
    <w:rsid w:val="000B4C2F"/>
    <w:rsid w:val="000B524C"/>
    <w:rsid w:val="000B5DA9"/>
    <w:rsid w:val="000B6D48"/>
    <w:rsid w:val="000C1681"/>
    <w:rsid w:val="000C2371"/>
    <w:rsid w:val="000C5A94"/>
    <w:rsid w:val="000C64CC"/>
    <w:rsid w:val="000C6B4F"/>
    <w:rsid w:val="000C7FE9"/>
    <w:rsid w:val="000D0C74"/>
    <w:rsid w:val="000D0CAD"/>
    <w:rsid w:val="000D163B"/>
    <w:rsid w:val="000D1E30"/>
    <w:rsid w:val="000D31A8"/>
    <w:rsid w:val="000D4318"/>
    <w:rsid w:val="000D475A"/>
    <w:rsid w:val="000D4ADE"/>
    <w:rsid w:val="000D5283"/>
    <w:rsid w:val="000D5B19"/>
    <w:rsid w:val="000D6E41"/>
    <w:rsid w:val="000D7773"/>
    <w:rsid w:val="000E1F7B"/>
    <w:rsid w:val="000E2D33"/>
    <w:rsid w:val="000E30D7"/>
    <w:rsid w:val="000E3357"/>
    <w:rsid w:val="000E5829"/>
    <w:rsid w:val="000E7A6B"/>
    <w:rsid w:val="000F39A4"/>
    <w:rsid w:val="000F3C66"/>
    <w:rsid w:val="000F4EAB"/>
    <w:rsid w:val="000F5318"/>
    <w:rsid w:val="000F541C"/>
    <w:rsid w:val="00100C58"/>
    <w:rsid w:val="00105918"/>
    <w:rsid w:val="00106159"/>
    <w:rsid w:val="00106CC5"/>
    <w:rsid w:val="00106DAE"/>
    <w:rsid w:val="00107C66"/>
    <w:rsid w:val="00107D08"/>
    <w:rsid w:val="00107D9F"/>
    <w:rsid w:val="0011053C"/>
    <w:rsid w:val="00112085"/>
    <w:rsid w:val="001137B2"/>
    <w:rsid w:val="00115B92"/>
    <w:rsid w:val="001200FD"/>
    <w:rsid w:val="0012070E"/>
    <w:rsid w:val="001208D7"/>
    <w:rsid w:val="00124476"/>
    <w:rsid w:val="001279B4"/>
    <w:rsid w:val="00130297"/>
    <w:rsid w:val="001306BF"/>
    <w:rsid w:val="001330E6"/>
    <w:rsid w:val="00133AF8"/>
    <w:rsid w:val="00134CB5"/>
    <w:rsid w:val="00136D73"/>
    <w:rsid w:val="0014313A"/>
    <w:rsid w:val="001433F1"/>
    <w:rsid w:val="00143533"/>
    <w:rsid w:val="001527D6"/>
    <w:rsid w:val="00153AA9"/>
    <w:rsid w:val="00155905"/>
    <w:rsid w:val="00160282"/>
    <w:rsid w:val="00160C53"/>
    <w:rsid w:val="00160C62"/>
    <w:rsid w:val="00161948"/>
    <w:rsid w:val="001625CB"/>
    <w:rsid w:val="001626F6"/>
    <w:rsid w:val="001627AC"/>
    <w:rsid w:val="00162E54"/>
    <w:rsid w:val="00164E81"/>
    <w:rsid w:val="00165861"/>
    <w:rsid w:val="001706F0"/>
    <w:rsid w:val="00170DC1"/>
    <w:rsid w:val="0017184D"/>
    <w:rsid w:val="00171F2F"/>
    <w:rsid w:val="00172631"/>
    <w:rsid w:val="001729BE"/>
    <w:rsid w:val="00174791"/>
    <w:rsid w:val="00175041"/>
    <w:rsid w:val="00175F9A"/>
    <w:rsid w:val="00177497"/>
    <w:rsid w:val="001777EA"/>
    <w:rsid w:val="00180749"/>
    <w:rsid w:val="00181075"/>
    <w:rsid w:val="00186002"/>
    <w:rsid w:val="001867EA"/>
    <w:rsid w:val="0018763A"/>
    <w:rsid w:val="00187DD7"/>
    <w:rsid w:val="00191E9A"/>
    <w:rsid w:val="001922DE"/>
    <w:rsid w:val="00192604"/>
    <w:rsid w:val="00192BBC"/>
    <w:rsid w:val="001940F2"/>
    <w:rsid w:val="001943DF"/>
    <w:rsid w:val="001944AD"/>
    <w:rsid w:val="00194736"/>
    <w:rsid w:val="00194B7A"/>
    <w:rsid w:val="00194E94"/>
    <w:rsid w:val="001974E1"/>
    <w:rsid w:val="0019790A"/>
    <w:rsid w:val="00197D6A"/>
    <w:rsid w:val="00197F76"/>
    <w:rsid w:val="001A146F"/>
    <w:rsid w:val="001A1DAD"/>
    <w:rsid w:val="001A3D9F"/>
    <w:rsid w:val="001A40BC"/>
    <w:rsid w:val="001A4C08"/>
    <w:rsid w:val="001A5981"/>
    <w:rsid w:val="001A711B"/>
    <w:rsid w:val="001B2546"/>
    <w:rsid w:val="001B3513"/>
    <w:rsid w:val="001B381B"/>
    <w:rsid w:val="001B473F"/>
    <w:rsid w:val="001B482D"/>
    <w:rsid w:val="001B56B9"/>
    <w:rsid w:val="001B5C4F"/>
    <w:rsid w:val="001B630C"/>
    <w:rsid w:val="001B67C7"/>
    <w:rsid w:val="001C000A"/>
    <w:rsid w:val="001C057E"/>
    <w:rsid w:val="001C3043"/>
    <w:rsid w:val="001C509C"/>
    <w:rsid w:val="001C5BE9"/>
    <w:rsid w:val="001C628F"/>
    <w:rsid w:val="001D011A"/>
    <w:rsid w:val="001D0F26"/>
    <w:rsid w:val="001D17F6"/>
    <w:rsid w:val="001D344A"/>
    <w:rsid w:val="001D3853"/>
    <w:rsid w:val="001D3ED8"/>
    <w:rsid w:val="001D433C"/>
    <w:rsid w:val="001D4AC7"/>
    <w:rsid w:val="001D5019"/>
    <w:rsid w:val="001E109A"/>
    <w:rsid w:val="001E3E49"/>
    <w:rsid w:val="001E40E0"/>
    <w:rsid w:val="001E4357"/>
    <w:rsid w:val="001E551A"/>
    <w:rsid w:val="001E6AF1"/>
    <w:rsid w:val="001E79D3"/>
    <w:rsid w:val="001E7F61"/>
    <w:rsid w:val="001F376A"/>
    <w:rsid w:val="001F4298"/>
    <w:rsid w:val="001F4349"/>
    <w:rsid w:val="001F4E01"/>
    <w:rsid w:val="001F6947"/>
    <w:rsid w:val="00200AB4"/>
    <w:rsid w:val="00202F4C"/>
    <w:rsid w:val="00203A5F"/>
    <w:rsid w:val="00206311"/>
    <w:rsid w:val="00206685"/>
    <w:rsid w:val="0020695A"/>
    <w:rsid w:val="002076E0"/>
    <w:rsid w:val="00207763"/>
    <w:rsid w:val="00207A63"/>
    <w:rsid w:val="00210449"/>
    <w:rsid w:val="0021090B"/>
    <w:rsid w:val="002115A1"/>
    <w:rsid w:val="0021321E"/>
    <w:rsid w:val="002148AA"/>
    <w:rsid w:val="0021510D"/>
    <w:rsid w:val="00215DA0"/>
    <w:rsid w:val="00216F3C"/>
    <w:rsid w:val="0021722F"/>
    <w:rsid w:val="00220725"/>
    <w:rsid w:val="002209F0"/>
    <w:rsid w:val="00220F96"/>
    <w:rsid w:val="0022137D"/>
    <w:rsid w:val="002225B1"/>
    <w:rsid w:val="00223AF2"/>
    <w:rsid w:val="00226B09"/>
    <w:rsid w:val="00227DAF"/>
    <w:rsid w:val="002314FA"/>
    <w:rsid w:val="00231570"/>
    <w:rsid w:val="002315F7"/>
    <w:rsid w:val="0023235C"/>
    <w:rsid w:val="00232E6B"/>
    <w:rsid w:val="00233910"/>
    <w:rsid w:val="00234650"/>
    <w:rsid w:val="00235314"/>
    <w:rsid w:val="0024026A"/>
    <w:rsid w:val="002408C3"/>
    <w:rsid w:val="00242C2E"/>
    <w:rsid w:val="00243756"/>
    <w:rsid w:val="00243B5A"/>
    <w:rsid w:val="00243E4A"/>
    <w:rsid w:val="00244909"/>
    <w:rsid w:val="00245167"/>
    <w:rsid w:val="00245FC9"/>
    <w:rsid w:val="0024648D"/>
    <w:rsid w:val="002471CA"/>
    <w:rsid w:val="00250139"/>
    <w:rsid w:val="00250467"/>
    <w:rsid w:val="0025081E"/>
    <w:rsid w:val="00251126"/>
    <w:rsid w:val="00251ADD"/>
    <w:rsid w:val="002520D6"/>
    <w:rsid w:val="002524C4"/>
    <w:rsid w:val="0025291B"/>
    <w:rsid w:val="00254507"/>
    <w:rsid w:val="002557A5"/>
    <w:rsid w:val="00257132"/>
    <w:rsid w:val="002579F6"/>
    <w:rsid w:val="002602FD"/>
    <w:rsid w:val="00260F12"/>
    <w:rsid w:val="00264B2E"/>
    <w:rsid w:val="00265A53"/>
    <w:rsid w:val="002701E2"/>
    <w:rsid w:val="00271A82"/>
    <w:rsid w:val="00273082"/>
    <w:rsid w:val="002738FD"/>
    <w:rsid w:val="002743A7"/>
    <w:rsid w:val="00275C1D"/>
    <w:rsid w:val="00280783"/>
    <w:rsid w:val="00281CC2"/>
    <w:rsid w:val="00283E55"/>
    <w:rsid w:val="00284123"/>
    <w:rsid w:val="002850E3"/>
    <w:rsid w:val="00285175"/>
    <w:rsid w:val="00286E28"/>
    <w:rsid w:val="00290278"/>
    <w:rsid w:val="002903E8"/>
    <w:rsid w:val="0029208F"/>
    <w:rsid w:val="002930DA"/>
    <w:rsid w:val="00293181"/>
    <w:rsid w:val="00293474"/>
    <w:rsid w:val="00293F4A"/>
    <w:rsid w:val="00294F44"/>
    <w:rsid w:val="002973AD"/>
    <w:rsid w:val="002A0090"/>
    <w:rsid w:val="002A00C7"/>
    <w:rsid w:val="002A4680"/>
    <w:rsid w:val="002A4827"/>
    <w:rsid w:val="002A48C4"/>
    <w:rsid w:val="002A5751"/>
    <w:rsid w:val="002A579E"/>
    <w:rsid w:val="002A5C99"/>
    <w:rsid w:val="002A6917"/>
    <w:rsid w:val="002A6A75"/>
    <w:rsid w:val="002A78BA"/>
    <w:rsid w:val="002A7B00"/>
    <w:rsid w:val="002B0EFF"/>
    <w:rsid w:val="002B1070"/>
    <w:rsid w:val="002B210D"/>
    <w:rsid w:val="002B31D7"/>
    <w:rsid w:val="002B364C"/>
    <w:rsid w:val="002B402C"/>
    <w:rsid w:val="002B4582"/>
    <w:rsid w:val="002B50EA"/>
    <w:rsid w:val="002B5D56"/>
    <w:rsid w:val="002C0772"/>
    <w:rsid w:val="002C10A7"/>
    <w:rsid w:val="002C10DC"/>
    <w:rsid w:val="002C122A"/>
    <w:rsid w:val="002C12BF"/>
    <w:rsid w:val="002C1FC4"/>
    <w:rsid w:val="002C2351"/>
    <w:rsid w:val="002C2BD7"/>
    <w:rsid w:val="002C40B9"/>
    <w:rsid w:val="002C5D80"/>
    <w:rsid w:val="002C6898"/>
    <w:rsid w:val="002C6B4C"/>
    <w:rsid w:val="002D00DD"/>
    <w:rsid w:val="002D04D4"/>
    <w:rsid w:val="002D0664"/>
    <w:rsid w:val="002D17A3"/>
    <w:rsid w:val="002D26EF"/>
    <w:rsid w:val="002D4BC6"/>
    <w:rsid w:val="002D54FD"/>
    <w:rsid w:val="002E076E"/>
    <w:rsid w:val="002E32EE"/>
    <w:rsid w:val="002E33DF"/>
    <w:rsid w:val="002E3A04"/>
    <w:rsid w:val="002E4924"/>
    <w:rsid w:val="002E57C9"/>
    <w:rsid w:val="002E63C7"/>
    <w:rsid w:val="002E6A43"/>
    <w:rsid w:val="002F0498"/>
    <w:rsid w:val="002F0CF6"/>
    <w:rsid w:val="002F6D9C"/>
    <w:rsid w:val="002F7AF1"/>
    <w:rsid w:val="002F7EBD"/>
    <w:rsid w:val="00300564"/>
    <w:rsid w:val="00300F3E"/>
    <w:rsid w:val="00301FE0"/>
    <w:rsid w:val="00302848"/>
    <w:rsid w:val="003028C1"/>
    <w:rsid w:val="00302A72"/>
    <w:rsid w:val="003061D1"/>
    <w:rsid w:val="0030656B"/>
    <w:rsid w:val="00306AA2"/>
    <w:rsid w:val="00306F0A"/>
    <w:rsid w:val="00307D29"/>
    <w:rsid w:val="003115A6"/>
    <w:rsid w:val="003122BB"/>
    <w:rsid w:val="00312782"/>
    <w:rsid w:val="003132B7"/>
    <w:rsid w:val="003136E6"/>
    <w:rsid w:val="003140F0"/>
    <w:rsid w:val="00316814"/>
    <w:rsid w:val="00317682"/>
    <w:rsid w:val="00322857"/>
    <w:rsid w:val="00323171"/>
    <w:rsid w:val="00323336"/>
    <w:rsid w:val="003236BE"/>
    <w:rsid w:val="00323FEC"/>
    <w:rsid w:val="003249B0"/>
    <w:rsid w:val="00325704"/>
    <w:rsid w:val="003264E0"/>
    <w:rsid w:val="00327C89"/>
    <w:rsid w:val="00330F59"/>
    <w:rsid w:val="003315D4"/>
    <w:rsid w:val="003316C2"/>
    <w:rsid w:val="00335E24"/>
    <w:rsid w:val="0033768C"/>
    <w:rsid w:val="0034233C"/>
    <w:rsid w:val="00342D33"/>
    <w:rsid w:val="00346E2E"/>
    <w:rsid w:val="00347D4C"/>
    <w:rsid w:val="00350337"/>
    <w:rsid w:val="0035316A"/>
    <w:rsid w:val="003550D2"/>
    <w:rsid w:val="00357468"/>
    <w:rsid w:val="00357BC4"/>
    <w:rsid w:val="00357E2C"/>
    <w:rsid w:val="003605F2"/>
    <w:rsid w:val="003605FB"/>
    <w:rsid w:val="00360C8A"/>
    <w:rsid w:val="00361119"/>
    <w:rsid w:val="003613F1"/>
    <w:rsid w:val="00361AD5"/>
    <w:rsid w:val="00362A74"/>
    <w:rsid w:val="00365434"/>
    <w:rsid w:val="00365605"/>
    <w:rsid w:val="00365D0E"/>
    <w:rsid w:val="003720B9"/>
    <w:rsid w:val="003748F6"/>
    <w:rsid w:val="00381389"/>
    <w:rsid w:val="0038149C"/>
    <w:rsid w:val="003827AB"/>
    <w:rsid w:val="00384044"/>
    <w:rsid w:val="00384239"/>
    <w:rsid w:val="00384ABE"/>
    <w:rsid w:val="00385DA8"/>
    <w:rsid w:val="00386C72"/>
    <w:rsid w:val="003906D7"/>
    <w:rsid w:val="00390D7D"/>
    <w:rsid w:val="00392A16"/>
    <w:rsid w:val="00392BF2"/>
    <w:rsid w:val="003936C9"/>
    <w:rsid w:val="00393D02"/>
    <w:rsid w:val="00394B33"/>
    <w:rsid w:val="00394EFB"/>
    <w:rsid w:val="00394F92"/>
    <w:rsid w:val="00396826"/>
    <w:rsid w:val="00397528"/>
    <w:rsid w:val="003A25A3"/>
    <w:rsid w:val="003A273D"/>
    <w:rsid w:val="003A35CE"/>
    <w:rsid w:val="003A5CC7"/>
    <w:rsid w:val="003A760A"/>
    <w:rsid w:val="003A791A"/>
    <w:rsid w:val="003B0475"/>
    <w:rsid w:val="003B2659"/>
    <w:rsid w:val="003B29F8"/>
    <w:rsid w:val="003B3090"/>
    <w:rsid w:val="003B3B51"/>
    <w:rsid w:val="003B535A"/>
    <w:rsid w:val="003B5690"/>
    <w:rsid w:val="003B57F3"/>
    <w:rsid w:val="003C02F9"/>
    <w:rsid w:val="003C0452"/>
    <w:rsid w:val="003C0CA8"/>
    <w:rsid w:val="003C17A2"/>
    <w:rsid w:val="003C193C"/>
    <w:rsid w:val="003C2649"/>
    <w:rsid w:val="003C3F82"/>
    <w:rsid w:val="003C4D82"/>
    <w:rsid w:val="003C5F7C"/>
    <w:rsid w:val="003D1F4D"/>
    <w:rsid w:val="003D2891"/>
    <w:rsid w:val="003D5090"/>
    <w:rsid w:val="003D5C76"/>
    <w:rsid w:val="003D668A"/>
    <w:rsid w:val="003D6AC7"/>
    <w:rsid w:val="003D6EB9"/>
    <w:rsid w:val="003D70EC"/>
    <w:rsid w:val="003E00F4"/>
    <w:rsid w:val="003E0EFB"/>
    <w:rsid w:val="003E301A"/>
    <w:rsid w:val="003E56C2"/>
    <w:rsid w:val="003E79CA"/>
    <w:rsid w:val="003F01F9"/>
    <w:rsid w:val="003F14B8"/>
    <w:rsid w:val="003F16A0"/>
    <w:rsid w:val="003F1BEB"/>
    <w:rsid w:val="003F2202"/>
    <w:rsid w:val="003F3E03"/>
    <w:rsid w:val="003F41F8"/>
    <w:rsid w:val="003F4B05"/>
    <w:rsid w:val="003F4C87"/>
    <w:rsid w:val="003F5D19"/>
    <w:rsid w:val="003F770B"/>
    <w:rsid w:val="003F78AC"/>
    <w:rsid w:val="00402736"/>
    <w:rsid w:val="004038B3"/>
    <w:rsid w:val="00404ADF"/>
    <w:rsid w:val="00404CA5"/>
    <w:rsid w:val="004076BC"/>
    <w:rsid w:val="004101C5"/>
    <w:rsid w:val="00410A58"/>
    <w:rsid w:val="0041286D"/>
    <w:rsid w:val="00412B51"/>
    <w:rsid w:val="00414362"/>
    <w:rsid w:val="00414854"/>
    <w:rsid w:val="00414C68"/>
    <w:rsid w:val="0041538B"/>
    <w:rsid w:val="0041607E"/>
    <w:rsid w:val="00421799"/>
    <w:rsid w:val="00422821"/>
    <w:rsid w:val="004234F5"/>
    <w:rsid w:val="0042420D"/>
    <w:rsid w:val="004245A8"/>
    <w:rsid w:val="004246B9"/>
    <w:rsid w:val="00424E42"/>
    <w:rsid w:val="004251E6"/>
    <w:rsid w:val="0042528A"/>
    <w:rsid w:val="00425CE2"/>
    <w:rsid w:val="00426154"/>
    <w:rsid w:val="00427B00"/>
    <w:rsid w:val="0043093E"/>
    <w:rsid w:val="004320B2"/>
    <w:rsid w:val="0043302B"/>
    <w:rsid w:val="004335B8"/>
    <w:rsid w:val="00434FBD"/>
    <w:rsid w:val="0043635B"/>
    <w:rsid w:val="0043669C"/>
    <w:rsid w:val="00442E8F"/>
    <w:rsid w:val="00445FEE"/>
    <w:rsid w:val="0044633A"/>
    <w:rsid w:val="004472FD"/>
    <w:rsid w:val="004504C7"/>
    <w:rsid w:val="004507AC"/>
    <w:rsid w:val="004507FB"/>
    <w:rsid w:val="00450EE6"/>
    <w:rsid w:val="004518D7"/>
    <w:rsid w:val="00453258"/>
    <w:rsid w:val="0045622F"/>
    <w:rsid w:val="00456F7F"/>
    <w:rsid w:val="00457173"/>
    <w:rsid w:val="004609C3"/>
    <w:rsid w:val="004611A5"/>
    <w:rsid w:val="0046129A"/>
    <w:rsid w:val="004618D5"/>
    <w:rsid w:val="00462116"/>
    <w:rsid w:val="00462269"/>
    <w:rsid w:val="004629DC"/>
    <w:rsid w:val="00462D61"/>
    <w:rsid w:val="004633D5"/>
    <w:rsid w:val="0046461B"/>
    <w:rsid w:val="0047020D"/>
    <w:rsid w:val="0047059D"/>
    <w:rsid w:val="00470C30"/>
    <w:rsid w:val="00470D40"/>
    <w:rsid w:val="004711C5"/>
    <w:rsid w:val="00471D2A"/>
    <w:rsid w:val="00474115"/>
    <w:rsid w:val="004777C3"/>
    <w:rsid w:val="00480D3D"/>
    <w:rsid w:val="00481A85"/>
    <w:rsid w:val="00482BB8"/>
    <w:rsid w:val="004831CF"/>
    <w:rsid w:val="004844BB"/>
    <w:rsid w:val="00487339"/>
    <w:rsid w:val="00490FCB"/>
    <w:rsid w:val="00491D06"/>
    <w:rsid w:val="00492B6E"/>
    <w:rsid w:val="00496814"/>
    <w:rsid w:val="004976AC"/>
    <w:rsid w:val="00497A2E"/>
    <w:rsid w:val="004A09B6"/>
    <w:rsid w:val="004A2955"/>
    <w:rsid w:val="004A29B8"/>
    <w:rsid w:val="004A2B87"/>
    <w:rsid w:val="004A2BBB"/>
    <w:rsid w:val="004A316C"/>
    <w:rsid w:val="004A3751"/>
    <w:rsid w:val="004A44BC"/>
    <w:rsid w:val="004A4BA0"/>
    <w:rsid w:val="004A4D64"/>
    <w:rsid w:val="004A52E6"/>
    <w:rsid w:val="004A554B"/>
    <w:rsid w:val="004A575B"/>
    <w:rsid w:val="004B101F"/>
    <w:rsid w:val="004B3A47"/>
    <w:rsid w:val="004B5402"/>
    <w:rsid w:val="004B63BE"/>
    <w:rsid w:val="004B63FB"/>
    <w:rsid w:val="004B7F75"/>
    <w:rsid w:val="004C10D6"/>
    <w:rsid w:val="004C1CDE"/>
    <w:rsid w:val="004C2EDD"/>
    <w:rsid w:val="004C2EFB"/>
    <w:rsid w:val="004C324F"/>
    <w:rsid w:val="004C33AE"/>
    <w:rsid w:val="004C58C9"/>
    <w:rsid w:val="004C7857"/>
    <w:rsid w:val="004D1FE9"/>
    <w:rsid w:val="004D2628"/>
    <w:rsid w:val="004D2A6B"/>
    <w:rsid w:val="004D3C16"/>
    <w:rsid w:val="004D3EFF"/>
    <w:rsid w:val="004D4A7D"/>
    <w:rsid w:val="004D7A90"/>
    <w:rsid w:val="004E0DA8"/>
    <w:rsid w:val="004E1DD0"/>
    <w:rsid w:val="004E1F03"/>
    <w:rsid w:val="004E28D4"/>
    <w:rsid w:val="004E3B14"/>
    <w:rsid w:val="004E3C90"/>
    <w:rsid w:val="004E3E33"/>
    <w:rsid w:val="004E4DA5"/>
    <w:rsid w:val="004E5261"/>
    <w:rsid w:val="004E5654"/>
    <w:rsid w:val="004E5E73"/>
    <w:rsid w:val="004E6A76"/>
    <w:rsid w:val="004E7A39"/>
    <w:rsid w:val="004F0572"/>
    <w:rsid w:val="004F0920"/>
    <w:rsid w:val="004F0B6F"/>
    <w:rsid w:val="004F2524"/>
    <w:rsid w:val="004F290A"/>
    <w:rsid w:val="004F3E0C"/>
    <w:rsid w:val="004F47ED"/>
    <w:rsid w:val="004F5026"/>
    <w:rsid w:val="00500D9E"/>
    <w:rsid w:val="00501D6C"/>
    <w:rsid w:val="005021DB"/>
    <w:rsid w:val="00502C4E"/>
    <w:rsid w:val="00503DF3"/>
    <w:rsid w:val="00505E24"/>
    <w:rsid w:val="00507640"/>
    <w:rsid w:val="0051090D"/>
    <w:rsid w:val="00510A87"/>
    <w:rsid w:val="005119BD"/>
    <w:rsid w:val="00511AF2"/>
    <w:rsid w:val="00512597"/>
    <w:rsid w:val="00513076"/>
    <w:rsid w:val="0051569F"/>
    <w:rsid w:val="00516E9E"/>
    <w:rsid w:val="00517FAD"/>
    <w:rsid w:val="005207EB"/>
    <w:rsid w:val="0052301F"/>
    <w:rsid w:val="005236E2"/>
    <w:rsid w:val="005241B9"/>
    <w:rsid w:val="005241EC"/>
    <w:rsid w:val="00524EB8"/>
    <w:rsid w:val="0052507E"/>
    <w:rsid w:val="00525241"/>
    <w:rsid w:val="00525CD5"/>
    <w:rsid w:val="00526DD3"/>
    <w:rsid w:val="00526FFB"/>
    <w:rsid w:val="0053003C"/>
    <w:rsid w:val="00530924"/>
    <w:rsid w:val="0053169D"/>
    <w:rsid w:val="005323AD"/>
    <w:rsid w:val="00532B05"/>
    <w:rsid w:val="00536ED2"/>
    <w:rsid w:val="005372C8"/>
    <w:rsid w:val="00540BC8"/>
    <w:rsid w:val="00541704"/>
    <w:rsid w:val="0054253C"/>
    <w:rsid w:val="00543A67"/>
    <w:rsid w:val="00543D12"/>
    <w:rsid w:val="00544534"/>
    <w:rsid w:val="00545019"/>
    <w:rsid w:val="00545324"/>
    <w:rsid w:val="00545A0D"/>
    <w:rsid w:val="00546162"/>
    <w:rsid w:val="00546911"/>
    <w:rsid w:val="00546BC3"/>
    <w:rsid w:val="00546C2D"/>
    <w:rsid w:val="00547B99"/>
    <w:rsid w:val="00547D4A"/>
    <w:rsid w:val="00551DBD"/>
    <w:rsid w:val="0055249A"/>
    <w:rsid w:val="00553C3B"/>
    <w:rsid w:val="00553CEB"/>
    <w:rsid w:val="0055594F"/>
    <w:rsid w:val="005567AF"/>
    <w:rsid w:val="00556CED"/>
    <w:rsid w:val="00557330"/>
    <w:rsid w:val="005608FC"/>
    <w:rsid w:val="00561AA3"/>
    <w:rsid w:val="005621CB"/>
    <w:rsid w:val="00562F1A"/>
    <w:rsid w:val="00565F00"/>
    <w:rsid w:val="0056732A"/>
    <w:rsid w:val="00567680"/>
    <w:rsid w:val="00567805"/>
    <w:rsid w:val="00567B85"/>
    <w:rsid w:val="00567EFD"/>
    <w:rsid w:val="005701CB"/>
    <w:rsid w:val="00570774"/>
    <w:rsid w:val="00570C3A"/>
    <w:rsid w:val="00570D04"/>
    <w:rsid w:val="00572CE8"/>
    <w:rsid w:val="005731CE"/>
    <w:rsid w:val="00573BF0"/>
    <w:rsid w:val="00573C8D"/>
    <w:rsid w:val="00573E33"/>
    <w:rsid w:val="00573F9F"/>
    <w:rsid w:val="00574CD4"/>
    <w:rsid w:val="00575924"/>
    <w:rsid w:val="00575E34"/>
    <w:rsid w:val="00581427"/>
    <w:rsid w:val="00581845"/>
    <w:rsid w:val="00581ABC"/>
    <w:rsid w:val="00582500"/>
    <w:rsid w:val="005830C8"/>
    <w:rsid w:val="00583F71"/>
    <w:rsid w:val="005854AB"/>
    <w:rsid w:val="00586C5F"/>
    <w:rsid w:val="00591B09"/>
    <w:rsid w:val="00591FDF"/>
    <w:rsid w:val="00592440"/>
    <w:rsid w:val="00595EF6"/>
    <w:rsid w:val="00596D06"/>
    <w:rsid w:val="005A07E5"/>
    <w:rsid w:val="005A25D5"/>
    <w:rsid w:val="005A2D78"/>
    <w:rsid w:val="005A369C"/>
    <w:rsid w:val="005A5367"/>
    <w:rsid w:val="005A57F7"/>
    <w:rsid w:val="005A5967"/>
    <w:rsid w:val="005A6DF7"/>
    <w:rsid w:val="005B161F"/>
    <w:rsid w:val="005B1AC2"/>
    <w:rsid w:val="005B3EDB"/>
    <w:rsid w:val="005B4C8A"/>
    <w:rsid w:val="005B659B"/>
    <w:rsid w:val="005B7071"/>
    <w:rsid w:val="005B778A"/>
    <w:rsid w:val="005C0D87"/>
    <w:rsid w:val="005C2569"/>
    <w:rsid w:val="005D148E"/>
    <w:rsid w:val="005D1D46"/>
    <w:rsid w:val="005D3E6F"/>
    <w:rsid w:val="005D533A"/>
    <w:rsid w:val="005D5619"/>
    <w:rsid w:val="005D5659"/>
    <w:rsid w:val="005E1A1F"/>
    <w:rsid w:val="005E307D"/>
    <w:rsid w:val="005E6139"/>
    <w:rsid w:val="005E66F1"/>
    <w:rsid w:val="005E6F8D"/>
    <w:rsid w:val="005E7E89"/>
    <w:rsid w:val="005F433B"/>
    <w:rsid w:val="005F4744"/>
    <w:rsid w:val="005F61AF"/>
    <w:rsid w:val="005F7072"/>
    <w:rsid w:val="005F74B0"/>
    <w:rsid w:val="005F75F8"/>
    <w:rsid w:val="005F7644"/>
    <w:rsid w:val="00600C01"/>
    <w:rsid w:val="00601065"/>
    <w:rsid w:val="006034CB"/>
    <w:rsid w:val="0060412F"/>
    <w:rsid w:val="0060514A"/>
    <w:rsid w:val="00606C2B"/>
    <w:rsid w:val="00606C8F"/>
    <w:rsid w:val="00606D9F"/>
    <w:rsid w:val="006077E2"/>
    <w:rsid w:val="00607FFE"/>
    <w:rsid w:val="0061158B"/>
    <w:rsid w:val="00613A71"/>
    <w:rsid w:val="00613DCD"/>
    <w:rsid w:val="0061470E"/>
    <w:rsid w:val="00616392"/>
    <w:rsid w:val="006217F9"/>
    <w:rsid w:val="00621DCB"/>
    <w:rsid w:val="00622CAE"/>
    <w:rsid w:val="0062339D"/>
    <w:rsid w:val="006247B2"/>
    <w:rsid w:val="0062515F"/>
    <w:rsid w:val="006256FD"/>
    <w:rsid w:val="00625929"/>
    <w:rsid w:val="00626FC2"/>
    <w:rsid w:val="006300EB"/>
    <w:rsid w:val="00630E94"/>
    <w:rsid w:val="0063153D"/>
    <w:rsid w:val="0063189B"/>
    <w:rsid w:val="00631A8B"/>
    <w:rsid w:val="00632613"/>
    <w:rsid w:val="00632FA3"/>
    <w:rsid w:val="006348AF"/>
    <w:rsid w:val="00635829"/>
    <w:rsid w:val="00636771"/>
    <w:rsid w:val="0063709A"/>
    <w:rsid w:val="006373A1"/>
    <w:rsid w:val="0064098A"/>
    <w:rsid w:val="00642C14"/>
    <w:rsid w:val="00643F51"/>
    <w:rsid w:val="00644DE4"/>
    <w:rsid w:val="0064542C"/>
    <w:rsid w:val="00646E3D"/>
    <w:rsid w:val="00654337"/>
    <w:rsid w:val="00656A54"/>
    <w:rsid w:val="0065750E"/>
    <w:rsid w:val="006578D6"/>
    <w:rsid w:val="00657CF5"/>
    <w:rsid w:val="00660594"/>
    <w:rsid w:val="00660D66"/>
    <w:rsid w:val="006614B8"/>
    <w:rsid w:val="006622A8"/>
    <w:rsid w:val="0066246A"/>
    <w:rsid w:val="0066312B"/>
    <w:rsid w:val="0066383A"/>
    <w:rsid w:val="00664A46"/>
    <w:rsid w:val="00665DC6"/>
    <w:rsid w:val="00666C37"/>
    <w:rsid w:val="00670BD7"/>
    <w:rsid w:val="00671B92"/>
    <w:rsid w:val="006729E8"/>
    <w:rsid w:val="00673594"/>
    <w:rsid w:val="00674E89"/>
    <w:rsid w:val="00675399"/>
    <w:rsid w:val="006759F7"/>
    <w:rsid w:val="00676EC3"/>
    <w:rsid w:val="00680E56"/>
    <w:rsid w:val="00681E16"/>
    <w:rsid w:val="006844BF"/>
    <w:rsid w:val="00684661"/>
    <w:rsid w:val="00690742"/>
    <w:rsid w:val="00691F6B"/>
    <w:rsid w:val="006937C1"/>
    <w:rsid w:val="00694120"/>
    <w:rsid w:val="00695891"/>
    <w:rsid w:val="006959D6"/>
    <w:rsid w:val="006A04C4"/>
    <w:rsid w:val="006A1ED8"/>
    <w:rsid w:val="006A2002"/>
    <w:rsid w:val="006A319A"/>
    <w:rsid w:val="006A3B42"/>
    <w:rsid w:val="006A3DFA"/>
    <w:rsid w:val="006A43C6"/>
    <w:rsid w:val="006A4C01"/>
    <w:rsid w:val="006A542F"/>
    <w:rsid w:val="006B0B55"/>
    <w:rsid w:val="006B14C6"/>
    <w:rsid w:val="006B2393"/>
    <w:rsid w:val="006B2A5C"/>
    <w:rsid w:val="006B394F"/>
    <w:rsid w:val="006B4641"/>
    <w:rsid w:val="006B5F2D"/>
    <w:rsid w:val="006B6816"/>
    <w:rsid w:val="006B6CD8"/>
    <w:rsid w:val="006B7B56"/>
    <w:rsid w:val="006C02A9"/>
    <w:rsid w:val="006C082B"/>
    <w:rsid w:val="006C1B4A"/>
    <w:rsid w:val="006C1DB9"/>
    <w:rsid w:val="006C20A4"/>
    <w:rsid w:val="006C2EBA"/>
    <w:rsid w:val="006C3D0B"/>
    <w:rsid w:val="006D061C"/>
    <w:rsid w:val="006D15F8"/>
    <w:rsid w:val="006D1DAD"/>
    <w:rsid w:val="006D23E7"/>
    <w:rsid w:val="006D258F"/>
    <w:rsid w:val="006D2E9C"/>
    <w:rsid w:val="006D434A"/>
    <w:rsid w:val="006D4487"/>
    <w:rsid w:val="006D504F"/>
    <w:rsid w:val="006D577C"/>
    <w:rsid w:val="006D5C42"/>
    <w:rsid w:val="006D5DFB"/>
    <w:rsid w:val="006D7696"/>
    <w:rsid w:val="006E098F"/>
    <w:rsid w:val="006E09D8"/>
    <w:rsid w:val="006E1F0D"/>
    <w:rsid w:val="006E412E"/>
    <w:rsid w:val="006E4D21"/>
    <w:rsid w:val="006E5852"/>
    <w:rsid w:val="006E696F"/>
    <w:rsid w:val="006E6B00"/>
    <w:rsid w:val="006E76CB"/>
    <w:rsid w:val="006E7F1E"/>
    <w:rsid w:val="006E7F80"/>
    <w:rsid w:val="006F08BD"/>
    <w:rsid w:val="006F0A91"/>
    <w:rsid w:val="006F142E"/>
    <w:rsid w:val="006F1443"/>
    <w:rsid w:val="006F357E"/>
    <w:rsid w:val="006F48F5"/>
    <w:rsid w:val="00701767"/>
    <w:rsid w:val="007033D8"/>
    <w:rsid w:val="007040FC"/>
    <w:rsid w:val="00704E81"/>
    <w:rsid w:val="00705481"/>
    <w:rsid w:val="00705787"/>
    <w:rsid w:val="00706D64"/>
    <w:rsid w:val="00707AEC"/>
    <w:rsid w:val="00707CD5"/>
    <w:rsid w:val="00707E76"/>
    <w:rsid w:val="007131B1"/>
    <w:rsid w:val="00715EF5"/>
    <w:rsid w:val="007161A2"/>
    <w:rsid w:val="0072008E"/>
    <w:rsid w:val="00723189"/>
    <w:rsid w:val="00724C43"/>
    <w:rsid w:val="007250C6"/>
    <w:rsid w:val="00725F42"/>
    <w:rsid w:val="0073423D"/>
    <w:rsid w:val="007354B4"/>
    <w:rsid w:val="00735AFD"/>
    <w:rsid w:val="00736395"/>
    <w:rsid w:val="00740BFC"/>
    <w:rsid w:val="007429F1"/>
    <w:rsid w:val="00742EF8"/>
    <w:rsid w:val="00743AD1"/>
    <w:rsid w:val="007442E6"/>
    <w:rsid w:val="007454B6"/>
    <w:rsid w:val="00745CBE"/>
    <w:rsid w:val="00750AEF"/>
    <w:rsid w:val="00750E37"/>
    <w:rsid w:val="00751615"/>
    <w:rsid w:val="007524FF"/>
    <w:rsid w:val="007530FB"/>
    <w:rsid w:val="007532B5"/>
    <w:rsid w:val="00753646"/>
    <w:rsid w:val="00753A9A"/>
    <w:rsid w:val="00755B2F"/>
    <w:rsid w:val="00757346"/>
    <w:rsid w:val="007576F5"/>
    <w:rsid w:val="00760AC9"/>
    <w:rsid w:val="00761BAB"/>
    <w:rsid w:val="00761EC1"/>
    <w:rsid w:val="00763024"/>
    <w:rsid w:val="007633B4"/>
    <w:rsid w:val="007634C0"/>
    <w:rsid w:val="007635A7"/>
    <w:rsid w:val="00764544"/>
    <w:rsid w:val="007647B3"/>
    <w:rsid w:val="00764AB2"/>
    <w:rsid w:val="00767A2D"/>
    <w:rsid w:val="00767F48"/>
    <w:rsid w:val="007713D1"/>
    <w:rsid w:val="0077165A"/>
    <w:rsid w:val="007734C2"/>
    <w:rsid w:val="00774AF3"/>
    <w:rsid w:val="00775E8D"/>
    <w:rsid w:val="00776477"/>
    <w:rsid w:val="007808C2"/>
    <w:rsid w:val="00781196"/>
    <w:rsid w:val="00781281"/>
    <w:rsid w:val="007813CE"/>
    <w:rsid w:val="0078414A"/>
    <w:rsid w:val="007843B2"/>
    <w:rsid w:val="00784F77"/>
    <w:rsid w:val="00786DAE"/>
    <w:rsid w:val="0078733A"/>
    <w:rsid w:val="007873B1"/>
    <w:rsid w:val="00787EAA"/>
    <w:rsid w:val="0079020B"/>
    <w:rsid w:val="00791F12"/>
    <w:rsid w:val="00792BC3"/>
    <w:rsid w:val="00795D19"/>
    <w:rsid w:val="00797E6D"/>
    <w:rsid w:val="007A01D6"/>
    <w:rsid w:val="007A3FCE"/>
    <w:rsid w:val="007A56BC"/>
    <w:rsid w:val="007A7C49"/>
    <w:rsid w:val="007A7CD5"/>
    <w:rsid w:val="007A7E81"/>
    <w:rsid w:val="007B1514"/>
    <w:rsid w:val="007B2A5C"/>
    <w:rsid w:val="007B31E2"/>
    <w:rsid w:val="007B37DC"/>
    <w:rsid w:val="007B5B88"/>
    <w:rsid w:val="007B5C57"/>
    <w:rsid w:val="007B6066"/>
    <w:rsid w:val="007B659B"/>
    <w:rsid w:val="007B7147"/>
    <w:rsid w:val="007B714F"/>
    <w:rsid w:val="007B7F33"/>
    <w:rsid w:val="007C1347"/>
    <w:rsid w:val="007C2253"/>
    <w:rsid w:val="007C23C7"/>
    <w:rsid w:val="007C2D3A"/>
    <w:rsid w:val="007C497D"/>
    <w:rsid w:val="007C5968"/>
    <w:rsid w:val="007C6580"/>
    <w:rsid w:val="007C7E3D"/>
    <w:rsid w:val="007D1F44"/>
    <w:rsid w:val="007D3D5C"/>
    <w:rsid w:val="007D5F96"/>
    <w:rsid w:val="007D7074"/>
    <w:rsid w:val="007D79E7"/>
    <w:rsid w:val="007D7CFA"/>
    <w:rsid w:val="007E0FC7"/>
    <w:rsid w:val="007E168A"/>
    <w:rsid w:val="007E18A7"/>
    <w:rsid w:val="007E1F15"/>
    <w:rsid w:val="007E25CA"/>
    <w:rsid w:val="007E2B74"/>
    <w:rsid w:val="007E2C09"/>
    <w:rsid w:val="007E3643"/>
    <w:rsid w:val="007E3EAE"/>
    <w:rsid w:val="007E5611"/>
    <w:rsid w:val="007E5DEF"/>
    <w:rsid w:val="007E6F5F"/>
    <w:rsid w:val="007E751B"/>
    <w:rsid w:val="007E75CC"/>
    <w:rsid w:val="007E7A25"/>
    <w:rsid w:val="007F0C78"/>
    <w:rsid w:val="007F1D5A"/>
    <w:rsid w:val="007F3567"/>
    <w:rsid w:val="007F4658"/>
    <w:rsid w:val="007F47B3"/>
    <w:rsid w:val="007F68C9"/>
    <w:rsid w:val="007F7AEA"/>
    <w:rsid w:val="007F7C7C"/>
    <w:rsid w:val="008000AF"/>
    <w:rsid w:val="00800302"/>
    <w:rsid w:val="00801732"/>
    <w:rsid w:val="0080185E"/>
    <w:rsid w:val="008035F4"/>
    <w:rsid w:val="00805E2C"/>
    <w:rsid w:val="0080697B"/>
    <w:rsid w:val="008071D6"/>
    <w:rsid w:val="008076C7"/>
    <w:rsid w:val="00807A0A"/>
    <w:rsid w:val="0081086D"/>
    <w:rsid w:val="00810BD9"/>
    <w:rsid w:val="00812C72"/>
    <w:rsid w:val="008132E7"/>
    <w:rsid w:val="00814469"/>
    <w:rsid w:val="00814B4C"/>
    <w:rsid w:val="008157E2"/>
    <w:rsid w:val="00815D72"/>
    <w:rsid w:val="00815EAC"/>
    <w:rsid w:val="00816307"/>
    <w:rsid w:val="0081647A"/>
    <w:rsid w:val="0082003B"/>
    <w:rsid w:val="0082025A"/>
    <w:rsid w:val="0082036D"/>
    <w:rsid w:val="00823605"/>
    <w:rsid w:val="00823BE8"/>
    <w:rsid w:val="00824C26"/>
    <w:rsid w:val="008250AB"/>
    <w:rsid w:val="00825986"/>
    <w:rsid w:val="00826DC9"/>
    <w:rsid w:val="0083077F"/>
    <w:rsid w:val="00830CF8"/>
    <w:rsid w:val="008310EE"/>
    <w:rsid w:val="00831D68"/>
    <w:rsid w:val="008339E5"/>
    <w:rsid w:val="00833D54"/>
    <w:rsid w:val="00834B9B"/>
    <w:rsid w:val="00835958"/>
    <w:rsid w:val="00835EA9"/>
    <w:rsid w:val="008367A9"/>
    <w:rsid w:val="008369EF"/>
    <w:rsid w:val="00840DD0"/>
    <w:rsid w:val="0084107C"/>
    <w:rsid w:val="00841EA3"/>
    <w:rsid w:val="00843D63"/>
    <w:rsid w:val="008456D8"/>
    <w:rsid w:val="00846EB7"/>
    <w:rsid w:val="00851D0E"/>
    <w:rsid w:val="00851EE7"/>
    <w:rsid w:val="0085234B"/>
    <w:rsid w:val="008530F1"/>
    <w:rsid w:val="008533A2"/>
    <w:rsid w:val="008533EA"/>
    <w:rsid w:val="008538C8"/>
    <w:rsid w:val="00854E4B"/>
    <w:rsid w:val="00855FDF"/>
    <w:rsid w:val="00856337"/>
    <w:rsid w:val="00856A6A"/>
    <w:rsid w:val="00856B3B"/>
    <w:rsid w:val="008571EC"/>
    <w:rsid w:val="0085758E"/>
    <w:rsid w:val="008578B8"/>
    <w:rsid w:val="00857D28"/>
    <w:rsid w:val="00861F2B"/>
    <w:rsid w:val="00862ACA"/>
    <w:rsid w:val="00863CB4"/>
    <w:rsid w:val="00863D5E"/>
    <w:rsid w:val="0086438E"/>
    <w:rsid w:val="00865376"/>
    <w:rsid w:val="00866012"/>
    <w:rsid w:val="00867F62"/>
    <w:rsid w:val="00875F26"/>
    <w:rsid w:val="00876A80"/>
    <w:rsid w:val="00876C9B"/>
    <w:rsid w:val="00877EF0"/>
    <w:rsid w:val="00881280"/>
    <w:rsid w:val="00882A0C"/>
    <w:rsid w:val="00883649"/>
    <w:rsid w:val="008843B5"/>
    <w:rsid w:val="00885F58"/>
    <w:rsid w:val="00886694"/>
    <w:rsid w:val="008876C2"/>
    <w:rsid w:val="00892510"/>
    <w:rsid w:val="00893D3B"/>
    <w:rsid w:val="00894923"/>
    <w:rsid w:val="008954D2"/>
    <w:rsid w:val="00895F9A"/>
    <w:rsid w:val="008960C2"/>
    <w:rsid w:val="008A05B3"/>
    <w:rsid w:val="008A147A"/>
    <w:rsid w:val="008A2C2C"/>
    <w:rsid w:val="008A47F4"/>
    <w:rsid w:val="008A4AB2"/>
    <w:rsid w:val="008A521B"/>
    <w:rsid w:val="008B10DC"/>
    <w:rsid w:val="008B16D3"/>
    <w:rsid w:val="008B1C3D"/>
    <w:rsid w:val="008B1C76"/>
    <w:rsid w:val="008B3AA1"/>
    <w:rsid w:val="008B4B4A"/>
    <w:rsid w:val="008B4B59"/>
    <w:rsid w:val="008C0752"/>
    <w:rsid w:val="008C13A7"/>
    <w:rsid w:val="008C1A2A"/>
    <w:rsid w:val="008C1CAB"/>
    <w:rsid w:val="008C383D"/>
    <w:rsid w:val="008C75ED"/>
    <w:rsid w:val="008D1521"/>
    <w:rsid w:val="008D17B2"/>
    <w:rsid w:val="008D334A"/>
    <w:rsid w:val="008D3583"/>
    <w:rsid w:val="008D3937"/>
    <w:rsid w:val="008D4EDE"/>
    <w:rsid w:val="008D4F9F"/>
    <w:rsid w:val="008E298B"/>
    <w:rsid w:val="008E4DFF"/>
    <w:rsid w:val="008E642C"/>
    <w:rsid w:val="008E6EAA"/>
    <w:rsid w:val="008F098A"/>
    <w:rsid w:val="008F0CCC"/>
    <w:rsid w:val="008F14EE"/>
    <w:rsid w:val="008F3FE0"/>
    <w:rsid w:val="008F4472"/>
    <w:rsid w:val="008F76C5"/>
    <w:rsid w:val="009009BC"/>
    <w:rsid w:val="00901D28"/>
    <w:rsid w:val="00902DE1"/>
    <w:rsid w:val="009043C2"/>
    <w:rsid w:val="00904896"/>
    <w:rsid w:val="00907298"/>
    <w:rsid w:val="009113F5"/>
    <w:rsid w:val="0091367B"/>
    <w:rsid w:val="00914971"/>
    <w:rsid w:val="00920B8A"/>
    <w:rsid w:val="00920EEE"/>
    <w:rsid w:val="009216BD"/>
    <w:rsid w:val="0092182B"/>
    <w:rsid w:val="00921834"/>
    <w:rsid w:val="0092205F"/>
    <w:rsid w:val="009233DD"/>
    <w:rsid w:val="009252A3"/>
    <w:rsid w:val="0092533C"/>
    <w:rsid w:val="00925ECE"/>
    <w:rsid w:val="00926010"/>
    <w:rsid w:val="0092648F"/>
    <w:rsid w:val="009300A2"/>
    <w:rsid w:val="00930B79"/>
    <w:rsid w:val="00930F2E"/>
    <w:rsid w:val="009324A3"/>
    <w:rsid w:val="009330A6"/>
    <w:rsid w:val="009342A9"/>
    <w:rsid w:val="00934A6D"/>
    <w:rsid w:val="00935F22"/>
    <w:rsid w:val="00935F74"/>
    <w:rsid w:val="00936453"/>
    <w:rsid w:val="00936C12"/>
    <w:rsid w:val="00936DF3"/>
    <w:rsid w:val="00937448"/>
    <w:rsid w:val="00937CB9"/>
    <w:rsid w:val="0094023A"/>
    <w:rsid w:val="00940A30"/>
    <w:rsid w:val="00940C93"/>
    <w:rsid w:val="009434EC"/>
    <w:rsid w:val="0094377B"/>
    <w:rsid w:val="00943820"/>
    <w:rsid w:val="00944174"/>
    <w:rsid w:val="009445F1"/>
    <w:rsid w:val="00944F25"/>
    <w:rsid w:val="00945B15"/>
    <w:rsid w:val="00950011"/>
    <w:rsid w:val="009504E2"/>
    <w:rsid w:val="00950A56"/>
    <w:rsid w:val="00950D61"/>
    <w:rsid w:val="00951489"/>
    <w:rsid w:val="0095270F"/>
    <w:rsid w:val="00953180"/>
    <w:rsid w:val="00954185"/>
    <w:rsid w:val="00954688"/>
    <w:rsid w:val="00955D37"/>
    <w:rsid w:val="0095625A"/>
    <w:rsid w:val="00956861"/>
    <w:rsid w:val="0096061E"/>
    <w:rsid w:val="009613C3"/>
    <w:rsid w:val="009616B7"/>
    <w:rsid w:val="0096180F"/>
    <w:rsid w:val="00963612"/>
    <w:rsid w:val="00963940"/>
    <w:rsid w:val="00964071"/>
    <w:rsid w:val="00964535"/>
    <w:rsid w:val="00964D7D"/>
    <w:rsid w:val="00964EAA"/>
    <w:rsid w:val="00966BED"/>
    <w:rsid w:val="00966E1A"/>
    <w:rsid w:val="00967149"/>
    <w:rsid w:val="009706CB"/>
    <w:rsid w:val="009707E7"/>
    <w:rsid w:val="0097291A"/>
    <w:rsid w:val="00972AA3"/>
    <w:rsid w:val="00972C77"/>
    <w:rsid w:val="0097346F"/>
    <w:rsid w:val="00973865"/>
    <w:rsid w:val="00975D81"/>
    <w:rsid w:val="00977294"/>
    <w:rsid w:val="009800C9"/>
    <w:rsid w:val="009814AC"/>
    <w:rsid w:val="00981CF9"/>
    <w:rsid w:val="00981E9C"/>
    <w:rsid w:val="0098377F"/>
    <w:rsid w:val="00986079"/>
    <w:rsid w:val="00990AA3"/>
    <w:rsid w:val="00990ADF"/>
    <w:rsid w:val="00991066"/>
    <w:rsid w:val="00991902"/>
    <w:rsid w:val="00993E22"/>
    <w:rsid w:val="00993F1E"/>
    <w:rsid w:val="009940C1"/>
    <w:rsid w:val="00994A77"/>
    <w:rsid w:val="00994EF1"/>
    <w:rsid w:val="00995A67"/>
    <w:rsid w:val="009A1B93"/>
    <w:rsid w:val="009A21BC"/>
    <w:rsid w:val="009A258A"/>
    <w:rsid w:val="009A2FD0"/>
    <w:rsid w:val="009A3307"/>
    <w:rsid w:val="009A75B4"/>
    <w:rsid w:val="009A7686"/>
    <w:rsid w:val="009A7A9F"/>
    <w:rsid w:val="009B1448"/>
    <w:rsid w:val="009B155C"/>
    <w:rsid w:val="009B1C9B"/>
    <w:rsid w:val="009B1CA3"/>
    <w:rsid w:val="009B2144"/>
    <w:rsid w:val="009B2A12"/>
    <w:rsid w:val="009B2E7D"/>
    <w:rsid w:val="009B31F5"/>
    <w:rsid w:val="009B4D8F"/>
    <w:rsid w:val="009B5719"/>
    <w:rsid w:val="009B77BB"/>
    <w:rsid w:val="009C0CCB"/>
    <w:rsid w:val="009C36FE"/>
    <w:rsid w:val="009C429C"/>
    <w:rsid w:val="009C5551"/>
    <w:rsid w:val="009C5CCE"/>
    <w:rsid w:val="009C5F8F"/>
    <w:rsid w:val="009C6D98"/>
    <w:rsid w:val="009C76BE"/>
    <w:rsid w:val="009C7964"/>
    <w:rsid w:val="009D21A5"/>
    <w:rsid w:val="009D24FA"/>
    <w:rsid w:val="009D2700"/>
    <w:rsid w:val="009D285B"/>
    <w:rsid w:val="009D3B6C"/>
    <w:rsid w:val="009D4392"/>
    <w:rsid w:val="009D5FD2"/>
    <w:rsid w:val="009D7068"/>
    <w:rsid w:val="009D71FC"/>
    <w:rsid w:val="009D7EBB"/>
    <w:rsid w:val="009E062A"/>
    <w:rsid w:val="009E4437"/>
    <w:rsid w:val="009E50D3"/>
    <w:rsid w:val="009E5388"/>
    <w:rsid w:val="009E5845"/>
    <w:rsid w:val="009E64F7"/>
    <w:rsid w:val="009E6D9B"/>
    <w:rsid w:val="009E7ED5"/>
    <w:rsid w:val="009F0DFD"/>
    <w:rsid w:val="009F0FEA"/>
    <w:rsid w:val="009F195C"/>
    <w:rsid w:val="009F1BC5"/>
    <w:rsid w:val="009F1DDF"/>
    <w:rsid w:val="009F2418"/>
    <w:rsid w:val="009F40C0"/>
    <w:rsid w:val="009F43C6"/>
    <w:rsid w:val="009F5E8F"/>
    <w:rsid w:val="009F6837"/>
    <w:rsid w:val="009F6B0F"/>
    <w:rsid w:val="009F7DE3"/>
    <w:rsid w:val="00A024E3"/>
    <w:rsid w:val="00A026DC"/>
    <w:rsid w:val="00A0279F"/>
    <w:rsid w:val="00A02B79"/>
    <w:rsid w:val="00A02FDC"/>
    <w:rsid w:val="00A0429E"/>
    <w:rsid w:val="00A0435B"/>
    <w:rsid w:val="00A05565"/>
    <w:rsid w:val="00A06AD2"/>
    <w:rsid w:val="00A06F10"/>
    <w:rsid w:val="00A07679"/>
    <w:rsid w:val="00A119C8"/>
    <w:rsid w:val="00A15565"/>
    <w:rsid w:val="00A159BE"/>
    <w:rsid w:val="00A15B02"/>
    <w:rsid w:val="00A16722"/>
    <w:rsid w:val="00A16B92"/>
    <w:rsid w:val="00A206E5"/>
    <w:rsid w:val="00A2089E"/>
    <w:rsid w:val="00A20E66"/>
    <w:rsid w:val="00A21EA1"/>
    <w:rsid w:val="00A235DC"/>
    <w:rsid w:val="00A2377C"/>
    <w:rsid w:val="00A249A6"/>
    <w:rsid w:val="00A2502C"/>
    <w:rsid w:val="00A255E2"/>
    <w:rsid w:val="00A27BB2"/>
    <w:rsid w:val="00A31150"/>
    <w:rsid w:val="00A3289E"/>
    <w:rsid w:val="00A35BE9"/>
    <w:rsid w:val="00A37EF6"/>
    <w:rsid w:val="00A42503"/>
    <w:rsid w:val="00A43967"/>
    <w:rsid w:val="00A44BA0"/>
    <w:rsid w:val="00A44C06"/>
    <w:rsid w:val="00A45077"/>
    <w:rsid w:val="00A452A1"/>
    <w:rsid w:val="00A4703A"/>
    <w:rsid w:val="00A508F4"/>
    <w:rsid w:val="00A50AE1"/>
    <w:rsid w:val="00A51697"/>
    <w:rsid w:val="00A52343"/>
    <w:rsid w:val="00A5429A"/>
    <w:rsid w:val="00A60EDC"/>
    <w:rsid w:val="00A60F83"/>
    <w:rsid w:val="00A62097"/>
    <w:rsid w:val="00A6381B"/>
    <w:rsid w:val="00A63E7C"/>
    <w:rsid w:val="00A64FF1"/>
    <w:rsid w:val="00A658D4"/>
    <w:rsid w:val="00A66006"/>
    <w:rsid w:val="00A66627"/>
    <w:rsid w:val="00A66A02"/>
    <w:rsid w:val="00A67AF6"/>
    <w:rsid w:val="00A711A7"/>
    <w:rsid w:val="00A711E5"/>
    <w:rsid w:val="00A71BF8"/>
    <w:rsid w:val="00A729B5"/>
    <w:rsid w:val="00A72CED"/>
    <w:rsid w:val="00A72FB0"/>
    <w:rsid w:val="00A7308E"/>
    <w:rsid w:val="00A7365C"/>
    <w:rsid w:val="00A74381"/>
    <w:rsid w:val="00A747D4"/>
    <w:rsid w:val="00A74B25"/>
    <w:rsid w:val="00A755DD"/>
    <w:rsid w:val="00A75FDF"/>
    <w:rsid w:val="00A8052B"/>
    <w:rsid w:val="00A81FDF"/>
    <w:rsid w:val="00A82BA8"/>
    <w:rsid w:val="00A839AE"/>
    <w:rsid w:val="00A86EBB"/>
    <w:rsid w:val="00A87D2E"/>
    <w:rsid w:val="00A90823"/>
    <w:rsid w:val="00A90B9C"/>
    <w:rsid w:val="00A91854"/>
    <w:rsid w:val="00A92C36"/>
    <w:rsid w:val="00A95637"/>
    <w:rsid w:val="00A95CF6"/>
    <w:rsid w:val="00A96343"/>
    <w:rsid w:val="00A966A0"/>
    <w:rsid w:val="00A96810"/>
    <w:rsid w:val="00A970C6"/>
    <w:rsid w:val="00A97108"/>
    <w:rsid w:val="00A971DE"/>
    <w:rsid w:val="00A97ACC"/>
    <w:rsid w:val="00AA0990"/>
    <w:rsid w:val="00AA276E"/>
    <w:rsid w:val="00AA62E5"/>
    <w:rsid w:val="00AA657B"/>
    <w:rsid w:val="00AA6D5E"/>
    <w:rsid w:val="00AA6EE9"/>
    <w:rsid w:val="00AA7111"/>
    <w:rsid w:val="00AB3477"/>
    <w:rsid w:val="00AB3DE4"/>
    <w:rsid w:val="00AB431A"/>
    <w:rsid w:val="00AB4570"/>
    <w:rsid w:val="00AB4F8E"/>
    <w:rsid w:val="00AB582A"/>
    <w:rsid w:val="00AB5AD5"/>
    <w:rsid w:val="00AB5DB2"/>
    <w:rsid w:val="00AB61DC"/>
    <w:rsid w:val="00AC0B6D"/>
    <w:rsid w:val="00AC1B2A"/>
    <w:rsid w:val="00AC1BAC"/>
    <w:rsid w:val="00AC1C70"/>
    <w:rsid w:val="00AC298D"/>
    <w:rsid w:val="00AC3056"/>
    <w:rsid w:val="00AC3F6D"/>
    <w:rsid w:val="00AC40E8"/>
    <w:rsid w:val="00AC4A98"/>
    <w:rsid w:val="00AC4EF9"/>
    <w:rsid w:val="00AC57FA"/>
    <w:rsid w:val="00AD0E16"/>
    <w:rsid w:val="00AD127E"/>
    <w:rsid w:val="00AD3964"/>
    <w:rsid w:val="00AD6ED0"/>
    <w:rsid w:val="00AE0662"/>
    <w:rsid w:val="00AE1235"/>
    <w:rsid w:val="00AE17E6"/>
    <w:rsid w:val="00AE1A13"/>
    <w:rsid w:val="00AE24F5"/>
    <w:rsid w:val="00AE3EEB"/>
    <w:rsid w:val="00AE4FAD"/>
    <w:rsid w:val="00AE5D8A"/>
    <w:rsid w:val="00AE71A4"/>
    <w:rsid w:val="00AF0949"/>
    <w:rsid w:val="00AF3195"/>
    <w:rsid w:val="00AF33A1"/>
    <w:rsid w:val="00AF3BC4"/>
    <w:rsid w:val="00AF3C31"/>
    <w:rsid w:val="00AF3D3D"/>
    <w:rsid w:val="00AF3E72"/>
    <w:rsid w:val="00AF41F9"/>
    <w:rsid w:val="00AF44DD"/>
    <w:rsid w:val="00AF4839"/>
    <w:rsid w:val="00AF498E"/>
    <w:rsid w:val="00AF62DD"/>
    <w:rsid w:val="00AF69B0"/>
    <w:rsid w:val="00AF7559"/>
    <w:rsid w:val="00B0150D"/>
    <w:rsid w:val="00B01818"/>
    <w:rsid w:val="00B04C66"/>
    <w:rsid w:val="00B05E85"/>
    <w:rsid w:val="00B0636F"/>
    <w:rsid w:val="00B065E8"/>
    <w:rsid w:val="00B10065"/>
    <w:rsid w:val="00B10168"/>
    <w:rsid w:val="00B10CAE"/>
    <w:rsid w:val="00B10DB1"/>
    <w:rsid w:val="00B12BEF"/>
    <w:rsid w:val="00B13436"/>
    <w:rsid w:val="00B138BF"/>
    <w:rsid w:val="00B14106"/>
    <w:rsid w:val="00B14114"/>
    <w:rsid w:val="00B14A76"/>
    <w:rsid w:val="00B15D51"/>
    <w:rsid w:val="00B1604F"/>
    <w:rsid w:val="00B172B9"/>
    <w:rsid w:val="00B176BF"/>
    <w:rsid w:val="00B20796"/>
    <w:rsid w:val="00B231F6"/>
    <w:rsid w:val="00B2331D"/>
    <w:rsid w:val="00B24C21"/>
    <w:rsid w:val="00B307FB"/>
    <w:rsid w:val="00B30883"/>
    <w:rsid w:val="00B30CF0"/>
    <w:rsid w:val="00B31F45"/>
    <w:rsid w:val="00B3221B"/>
    <w:rsid w:val="00B33DFF"/>
    <w:rsid w:val="00B34742"/>
    <w:rsid w:val="00B3600D"/>
    <w:rsid w:val="00B37466"/>
    <w:rsid w:val="00B377F6"/>
    <w:rsid w:val="00B37EB0"/>
    <w:rsid w:val="00B40435"/>
    <w:rsid w:val="00B4044B"/>
    <w:rsid w:val="00B40571"/>
    <w:rsid w:val="00B40B45"/>
    <w:rsid w:val="00B4419C"/>
    <w:rsid w:val="00B44587"/>
    <w:rsid w:val="00B47F20"/>
    <w:rsid w:val="00B508E1"/>
    <w:rsid w:val="00B50BF1"/>
    <w:rsid w:val="00B51164"/>
    <w:rsid w:val="00B51F40"/>
    <w:rsid w:val="00B525BD"/>
    <w:rsid w:val="00B52782"/>
    <w:rsid w:val="00B55F9B"/>
    <w:rsid w:val="00B567E9"/>
    <w:rsid w:val="00B60CA1"/>
    <w:rsid w:val="00B61281"/>
    <w:rsid w:val="00B61757"/>
    <w:rsid w:val="00B62DA2"/>
    <w:rsid w:val="00B65376"/>
    <w:rsid w:val="00B658E4"/>
    <w:rsid w:val="00B67658"/>
    <w:rsid w:val="00B715FE"/>
    <w:rsid w:val="00B71B5D"/>
    <w:rsid w:val="00B72003"/>
    <w:rsid w:val="00B7204B"/>
    <w:rsid w:val="00B73E70"/>
    <w:rsid w:val="00B73EE2"/>
    <w:rsid w:val="00B745D2"/>
    <w:rsid w:val="00B74EFE"/>
    <w:rsid w:val="00B7538F"/>
    <w:rsid w:val="00B75F1B"/>
    <w:rsid w:val="00B76602"/>
    <w:rsid w:val="00B768A2"/>
    <w:rsid w:val="00B76D14"/>
    <w:rsid w:val="00B80825"/>
    <w:rsid w:val="00B81DC8"/>
    <w:rsid w:val="00B833D8"/>
    <w:rsid w:val="00B839D9"/>
    <w:rsid w:val="00B8526C"/>
    <w:rsid w:val="00B85A69"/>
    <w:rsid w:val="00B85FAE"/>
    <w:rsid w:val="00B862F0"/>
    <w:rsid w:val="00B86548"/>
    <w:rsid w:val="00B90C00"/>
    <w:rsid w:val="00B91092"/>
    <w:rsid w:val="00B9338B"/>
    <w:rsid w:val="00B93607"/>
    <w:rsid w:val="00B9525B"/>
    <w:rsid w:val="00B96A78"/>
    <w:rsid w:val="00BA01C5"/>
    <w:rsid w:val="00BA0894"/>
    <w:rsid w:val="00BA15A8"/>
    <w:rsid w:val="00BA2388"/>
    <w:rsid w:val="00BA3104"/>
    <w:rsid w:val="00BA41A1"/>
    <w:rsid w:val="00BA471B"/>
    <w:rsid w:val="00BA61E5"/>
    <w:rsid w:val="00BA69FD"/>
    <w:rsid w:val="00BA72D7"/>
    <w:rsid w:val="00BB179A"/>
    <w:rsid w:val="00BB19E0"/>
    <w:rsid w:val="00BB5C68"/>
    <w:rsid w:val="00BB75A7"/>
    <w:rsid w:val="00BB79E6"/>
    <w:rsid w:val="00BC0355"/>
    <w:rsid w:val="00BC1392"/>
    <w:rsid w:val="00BC13E5"/>
    <w:rsid w:val="00BC1489"/>
    <w:rsid w:val="00BC345F"/>
    <w:rsid w:val="00BC394D"/>
    <w:rsid w:val="00BC399C"/>
    <w:rsid w:val="00BC3EB2"/>
    <w:rsid w:val="00BC4316"/>
    <w:rsid w:val="00BC4E7A"/>
    <w:rsid w:val="00BC6000"/>
    <w:rsid w:val="00BC7890"/>
    <w:rsid w:val="00BC7CE0"/>
    <w:rsid w:val="00BD033C"/>
    <w:rsid w:val="00BD426E"/>
    <w:rsid w:val="00BD48C5"/>
    <w:rsid w:val="00BD4B71"/>
    <w:rsid w:val="00BD5346"/>
    <w:rsid w:val="00BD696E"/>
    <w:rsid w:val="00BD782A"/>
    <w:rsid w:val="00BE010C"/>
    <w:rsid w:val="00BE09FD"/>
    <w:rsid w:val="00BE1AE3"/>
    <w:rsid w:val="00BE2F39"/>
    <w:rsid w:val="00BE47B0"/>
    <w:rsid w:val="00BE4D52"/>
    <w:rsid w:val="00BE5317"/>
    <w:rsid w:val="00BE55BC"/>
    <w:rsid w:val="00BE6BB5"/>
    <w:rsid w:val="00BE74C4"/>
    <w:rsid w:val="00BF168F"/>
    <w:rsid w:val="00BF250E"/>
    <w:rsid w:val="00BF26D2"/>
    <w:rsid w:val="00BF3B0B"/>
    <w:rsid w:val="00BF3FEB"/>
    <w:rsid w:val="00BF77D2"/>
    <w:rsid w:val="00C0062B"/>
    <w:rsid w:val="00C0144E"/>
    <w:rsid w:val="00C01DA5"/>
    <w:rsid w:val="00C03F30"/>
    <w:rsid w:val="00C05F45"/>
    <w:rsid w:val="00C10225"/>
    <w:rsid w:val="00C10C76"/>
    <w:rsid w:val="00C11866"/>
    <w:rsid w:val="00C1451E"/>
    <w:rsid w:val="00C14845"/>
    <w:rsid w:val="00C151DA"/>
    <w:rsid w:val="00C17DE1"/>
    <w:rsid w:val="00C223B0"/>
    <w:rsid w:val="00C24455"/>
    <w:rsid w:val="00C24740"/>
    <w:rsid w:val="00C3023B"/>
    <w:rsid w:val="00C30759"/>
    <w:rsid w:val="00C315CA"/>
    <w:rsid w:val="00C33E16"/>
    <w:rsid w:val="00C33EAB"/>
    <w:rsid w:val="00C3476C"/>
    <w:rsid w:val="00C376D0"/>
    <w:rsid w:val="00C376EF"/>
    <w:rsid w:val="00C41CF3"/>
    <w:rsid w:val="00C44660"/>
    <w:rsid w:val="00C44E93"/>
    <w:rsid w:val="00C456BF"/>
    <w:rsid w:val="00C4605C"/>
    <w:rsid w:val="00C515E6"/>
    <w:rsid w:val="00C519F2"/>
    <w:rsid w:val="00C5207C"/>
    <w:rsid w:val="00C528EA"/>
    <w:rsid w:val="00C52B7A"/>
    <w:rsid w:val="00C57224"/>
    <w:rsid w:val="00C62827"/>
    <w:rsid w:val="00C629AB"/>
    <w:rsid w:val="00C63485"/>
    <w:rsid w:val="00C63778"/>
    <w:rsid w:val="00C64371"/>
    <w:rsid w:val="00C64F3F"/>
    <w:rsid w:val="00C652C4"/>
    <w:rsid w:val="00C659D5"/>
    <w:rsid w:val="00C66284"/>
    <w:rsid w:val="00C667F4"/>
    <w:rsid w:val="00C6691D"/>
    <w:rsid w:val="00C67F87"/>
    <w:rsid w:val="00C70550"/>
    <w:rsid w:val="00C71DDB"/>
    <w:rsid w:val="00C72FC3"/>
    <w:rsid w:val="00C7319E"/>
    <w:rsid w:val="00C73264"/>
    <w:rsid w:val="00C74EB3"/>
    <w:rsid w:val="00C75206"/>
    <w:rsid w:val="00C75DD2"/>
    <w:rsid w:val="00C776E2"/>
    <w:rsid w:val="00C807BB"/>
    <w:rsid w:val="00C80FB8"/>
    <w:rsid w:val="00C827AE"/>
    <w:rsid w:val="00C835FB"/>
    <w:rsid w:val="00C842A4"/>
    <w:rsid w:val="00C84D55"/>
    <w:rsid w:val="00C86C4A"/>
    <w:rsid w:val="00C87028"/>
    <w:rsid w:val="00C87CFC"/>
    <w:rsid w:val="00C909D7"/>
    <w:rsid w:val="00C918E5"/>
    <w:rsid w:val="00C91BEC"/>
    <w:rsid w:val="00C91CC4"/>
    <w:rsid w:val="00C92417"/>
    <w:rsid w:val="00C95308"/>
    <w:rsid w:val="00C95837"/>
    <w:rsid w:val="00C97AE0"/>
    <w:rsid w:val="00CA038B"/>
    <w:rsid w:val="00CA0FF6"/>
    <w:rsid w:val="00CA29DA"/>
    <w:rsid w:val="00CA3A0A"/>
    <w:rsid w:val="00CA5C13"/>
    <w:rsid w:val="00CA6353"/>
    <w:rsid w:val="00CA6E29"/>
    <w:rsid w:val="00CB005D"/>
    <w:rsid w:val="00CB1331"/>
    <w:rsid w:val="00CB1EBA"/>
    <w:rsid w:val="00CB204F"/>
    <w:rsid w:val="00CB251E"/>
    <w:rsid w:val="00CB3A0A"/>
    <w:rsid w:val="00CB4C94"/>
    <w:rsid w:val="00CB4CAA"/>
    <w:rsid w:val="00CB5A72"/>
    <w:rsid w:val="00CB69F7"/>
    <w:rsid w:val="00CC0B6A"/>
    <w:rsid w:val="00CC1C1D"/>
    <w:rsid w:val="00CC46A8"/>
    <w:rsid w:val="00CC5C78"/>
    <w:rsid w:val="00CC6C82"/>
    <w:rsid w:val="00CD0371"/>
    <w:rsid w:val="00CD129B"/>
    <w:rsid w:val="00CD24C3"/>
    <w:rsid w:val="00CD4FBA"/>
    <w:rsid w:val="00CD6824"/>
    <w:rsid w:val="00CE0F93"/>
    <w:rsid w:val="00CE105D"/>
    <w:rsid w:val="00CE2768"/>
    <w:rsid w:val="00CE2BA7"/>
    <w:rsid w:val="00CE2BDE"/>
    <w:rsid w:val="00CE3220"/>
    <w:rsid w:val="00CE3938"/>
    <w:rsid w:val="00CE4A21"/>
    <w:rsid w:val="00CE500B"/>
    <w:rsid w:val="00CE6702"/>
    <w:rsid w:val="00CF24BB"/>
    <w:rsid w:val="00CF3A14"/>
    <w:rsid w:val="00CF51AC"/>
    <w:rsid w:val="00CF65C2"/>
    <w:rsid w:val="00CF7AAF"/>
    <w:rsid w:val="00D00B6D"/>
    <w:rsid w:val="00D00E5B"/>
    <w:rsid w:val="00D04FB5"/>
    <w:rsid w:val="00D109DA"/>
    <w:rsid w:val="00D1174A"/>
    <w:rsid w:val="00D11D11"/>
    <w:rsid w:val="00D1217E"/>
    <w:rsid w:val="00D13231"/>
    <w:rsid w:val="00D15149"/>
    <w:rsid w:val="00D15518"/>
    <w:rsid w:val="00D16DB6"/>
    <w:rsid w:val="00D17791"/>
    <w:rsid w:val="00D20EE4"/>
    <w:rsid w:val="00D20FC1"/>
    <w:rsid w:val="00D21D8D"/>
    <w:rsid w:val="00D22514"/>
    <w:rsid w:val="00D22914"/>
    <w:rsid w:val="00D24497"/>
    <w:rsid w:val="00D244EC"/>
    <w:rsid w:val="00D26CCD"/>
    <w:rsid w:val="00D2750E"/>
    <w:rsid w:val="00D2793B"/>
    <w:rsid w:val="00D27D54"/>
    <w:rsid w:val="00D31085"/>
    <w:rsid w:val="00D31EB9"/>
    <w:rsid w:val="00D320D9"/>
    <w:rsid w:val="00D3242D"/>
    <w:rsid w:val="00D32A9E"/>
    <w:rsid w:val="00D32C2F"/>
    <w:rsid w:val="00D347E7"/>
    <w:rsid w:val="00D36064"/>
    <w:rsid w:val="00D37AA2"/>
    <w:rsid w:val="00D40A01"/>
    <w:rsid w:val="00D40D46"/>
    <w:rsid w:val="00D40E6B"/>
    <w:rsid w:val="00D41035"/>
    <w:rsid w:val="00D42250"/>
    <w:rsid w:val="00D4319B"/>
    <w:rsid w:val="00D43766"/>
    <w:rsid w:val="00D44233"/>
    <w:rsid w:val="00D4465A"/>
    <w:rsid w:val="00D44DEA"/>
    <w:rsid w:val="00D46616"/>
    <w:rsid w:val="00D466C4"/>
    <w:rsid w:val="00D4685B"/>
    <w:rsid w:val="00D47239"/>
    <w:rsid w:val="00D5107B"/>
    <w:rsid w:val="00D544B4"/>
    <w:rsid w:val="00D546B6"/>
    <w:rsid w:val="00D62AB7"/>
    <w:rsid w:val="00D6476D"/>
    <w:rsid w:val="00D64EF2"/>
    <w:rsid w:val="00D65B32"/>
    <w:rsid w:val="00D670E1"/>
    <w:rsid w:val="00D704A3"/>
    <w:rsid w:val="00D70886"/>
    <w:rsid w:val="00D70A36"/>
    <w:rsid w:val="00D70B8C"/>
    <w:rsid w:val="00D73D6A"/>
    <w:rsid w:val="00D743E5"/>
    <w:rsid w:val="00D74F04"/>
    <w:rsid w:val="00D75681"/>
    <w:rsid w:val="00D779DC"/>
    <w:rsid w:val="00D80AF4"/>
    <w:rsid w:val="00D80F18"/>
    <w:rsid w:val="00D811A4"/>
    <w:rsid w:val="00D8140A"/>
    <w:rsid w:val="00D82116"/>
    <w:rsid w:val="00D821F0"/>
    <w:rsid w:val="00D830EE"/>
    <w:rsid w:val="00D83D59"/>
    <w:rsid w:val="00D84E3A"/>
    <w:rsid w:val="00D85784"/>
    <w:rsid w:val="00D86A53"/>
    <w:rsid w:val="00D87D7A"/>
    <w:rsid w:val="00D90F7F"/>
    <w:rsid w:val="00D91D4B"/>
    <w:rsid w:val="00D93CDB"/>
    <w:rsid w:val="00D958C9"/>
    <w:rsid w:val="00D9646E"/>
    <w:rsid w:val="00D966F5"/>
    <w:rsid w:val="00DA2426"/>
    <w:rsid w:val="00DA2A4F"/>
    <w:rsid w:val="00DA41FE"/>
    <w:rsid w:val="00DA43F7"/>
    <w:rsid w:val="00DA54B1"/>
    <w:rsid w:val="00DA6D85"/>
    <w:rsid w:val="00DA7950"/>
    <w:rsid w:val="00DA7E1A"/>
    <w:rsid w:val="00DB09C7"/>
    <w:rsid w:val="00DB1FF7"/>
    <w:rsid w:val="00DB348E"/>
    <w:rsid w:val="00DB3B58"/>
    <w:rsid w:val="00DB42C5"/>
    <w:rsid w:val="00DB5FF5"/>
    <w:rsid w:val="00DB6753"/>
    <w:rsid w:val="00DB6FD6"/>
    <w:rsid w:val="00DC251F"/>
    <w:rsid w:val="00DC261F"/>
    <w:rsid w:val="00DC291A"/>
    <w:rsid w:val="00DC3CB5"/>
    <w:rsid w:val="00DC3FF5"/>
    <w:rsid w:val="00DC56BC"/>
    <w:rsid w:val="00DC6B02"/>
    <w:rsid w:val="00DC7290"/>
    <w:rsid w:val="00DD1482"/>
    <w:rsid w:val="00DD2EC5"/>
    <w:rsid w:val="00DD5342"/>
    <w:rsid w:val="00DD5A5A"/>
    <w:rsid w:val="00DD60BF"/>
    <w:rsid w:val="00DD6359"/>
    <w:rsid w:val="00DD6690"/>
    <w:rsid w:val="00DD6A59"/>
    <w:rsid w:val="00DD77F2"/>
    <w:rsid w:val="00DE0FB6"/>
    <w:rsid w:val="00DE1757"/>
    <w:rsid w:val="00DE18C5"/>
    <w:rsid w:val="00DE1A5F"/>
    <w:rsid w:val="00DE282B"/>
    <w:rsid w:val="00DE697A"/>
    <w:rsid w:val="00DE7CA3"/>
    <w:rsid w:val="00DF18D6"/>
    <w:rsid w:val="00DF1E02"/>
    <w:rsid w:val="00DF2446"/>
    <w:rsid w:val="00DF44F2"/>
    <w:rsid w:val="00DF6156"/>
    <w:rsid w:val="00DF62AC"/>
    <w:rsid w:val="00DF6707"/>
    <w:rsid w:val="00DF671C"/>
    <w:rsid w:val="00DF6E3E"/>
    <w:rsid w:val="00DF72CB"/>
    <w:rsid w:val="00DF759D"/>
    <w:rsid w:val="00E01554"/>
    <w:rsid w:val="00E022AB"/>
    <w:rsid w:val="00E028FB"/>
    <w:rsid w:val="00E02999"/>
    <w:rsid w:val="00E0561C"/>
    <w:rsid w:val="00E05A66"/>
    <w:rsid w:val="00E06249"/>
    <w:rsid w:val="00E06C24"/>
    <w:rsid w:val="00E07280"/>
    <w:rsid w:val="00E07672"/>
    <w:rsid w:val="00E07C85"/>
    <w:rsid w:val="00E110A4"/>
    <w:rsid w:val="00E12624"/>
    <w:rsid w:val="00E1285D"/>
    <w:rsid w:val="00E14DE4"/>
    <w:rsid w:val="00E157B2"/>
    <w:rsid w:val="00E15B82"/>
    <w:rsid w:val="00E20BC6"/>
    <w:rsid w:val="00E21222"/>
    <w:rsid w:val="00E21D07"/>
    <w:rsid w:val="00E21ECA"/>
    <w:rsid w:val="00E2474E"/>
    <w:rsid w:val="00E25986"/>
    <w:rsid w:val="00E25AF7"/>
    <w:rsid w:val="00E25B81"/>
    <w:rsid w:val="00E265C1"/>
    <w:rsid w:val="00E2668A"/>
    <w:rsid w:val="00E301D4"/>
    <w:rsid w:val="00E31A07"/>
    <w:rsid w:val="00E32311"/>
    <w:rsid w:val="00E326FE"/>
    <w:rsid w:val="00E33118"/>
    <w:rsid w:val="00E334EE"/>
    <w:rsid w:val="00E33FF9"/>
    <w:rsid w:val="00E41224"/>
    <w:rsid w:val="00E42046"/>
    <w:rsid w:val="00E42E01"/>
    <w:rsid w:val="00E431A6"/>
    <w:rsid w:val="00E43C34"/>
    <w:rsid w:val="00E43F7E"/>
    <w:rsid w:val="00E454E3"/>
    <w:rsid w:val="00E45C2E"/>
    <w:rsid w:val="00E45F94"/>
    <w:rsid w:val="00E465CF"/>
    <w:rsid w:val="00E51938"/>
    <w:rsid w:val="00E5441F"/>
    <w:rsid w:val="00E55D8D"/>
    <w:rsid w:val="00E5634F"/>
    <w:rsid w:val="00E60076"/>
    <w:rsid w:val="00E601E1"/>
    <w:rsid w:val="00E61075"/>
    <w:rsid w:val="00E62C63"/>
    <w:rsid w:val="00E6300B"/>
    <w:rsid w:val="00E63FD3"/>
    <w:rsid w:val="00E649C6"/>
    <w:rsid w:val="00E65190"/>
    <w:rsid w:val="00E70B6A"/>
    <w:rsid w:val="00E71518"/>
    <w:rsid w:val="00E763BE"/>
    <w:rsid w:val="00E7679F"/>
    <w:rsid w:val="00E8201A"/>
    <w:rsid w:val="00E85D6B"/>
    <w:rsid w:val="00E8707C"/>
    <w:rsid w:val="00E909AC"/>
    <w:rsid w:val="00E90D6A"/>
    <w:rsid w:val="00E90EFD"/>
    <w:rsid w:val="00E93D56"/>
    <w:rsid w:val="00E95224"/>
    <w:rsid w:val="00EA2252"/>
    <w:rsid w:val="00EA329E"/>
    <w:rsid w:val="00EA3E9D"/>
    <w:rsid w:val="00EA46E0"/>
    <w:rsid w:val="00EA4F64"/>
    <w:rsid w:val="00EA5E32"/>
    <w:rsid w:val="00EA7934"/>
    <w:rsid w:val="00EA7D51"/>
    <w:rsid w:val="00EB0E85"/>
    <w:rsid w:val="00EB2911"/>
    <w:rsid w:val="00EB355E"/>
    <w:rsid w:val="00EB3FF4"/>
    <w:rsid w:val="00EB4CA0"/>
    <w:rsid w:val="00EB5439"/>
    <w:rsid w:val="00EB6B80"/>
    <w:rsid w:val="00EB6D2A"/>
    <w:rsid w:val="00EB721F"/>
    <w:rsid w:val="00EB752D"/>
    <w:rsid w:val="00EB7DDD"/>
    <w:rsid w:val="00EC029A"/>
    <w:rsid w:val="00EC0ABE"/>
    <w:rsid w:val="00EC0EDB"/>
    <w:rsid w:val="00EC1923"/>
    <w:rsid w:val="00EC2A11"/>
    <w:rsid w:val="00EC2C71"/>
    <w:rsid w:val="00EC32C0"/>
    <w:rsid w:val="00EC3924"/>
    <w:rsid w:val="00EC3C0C"/>
    <w:rsid w:val="00EC4154"/>
    <w:rsid w:val="00EC63CC"/>
    <w:rsid w:val="00EC744B"/>
    <w:rsid w:val="00ED18B2"/>
    <w:rsid w:val="00ED2D10"/>
    <w:rsid w:val="00ED38DC"/>
    <w:rsid w:val="00ED5A00"/>
    <w:rsid w:val="00ED5FD4"/>
    <w:rsid w:val="00ED6220"/>
    <w:rsid w:val="00EE001F"/>
    <w:rsid w:val="00EE0135"/>
    <w:rsid w:val="00EE052E"/>
    <w:rsid w:val="00EE08E4"/>
    <w:rsid w:val="00EE098C"/>
    <w:rsid w:val="00EE306D"/>
    <w:rsid w:val="00EE32AB"/>
    <w:rsid w:val="00EE75B9"/>
    <w:rsid w:val="00EF033A"/>
    <w:rsid w:val="00EF2C22"/>
    <w:rsid w:val="00EF47A8"/>
    <w:rsid w:val="00EF644F"/>
    <w:rsid w:val="00EF7ADD"/>
    <w:rsid w:val="00F00855"/>
    <w:rsid w:val="00F0092E"/>
    <w:rsid w:val="00F0121B"/>
    <w:rsid w:val="00F01D4C"/>
    <w:rsid w:val="00F02938"/>
    <w:rsid w:val="00F03243"/>
    <w:rsid w:val="00F06787"/>
    <w:rsid w:val="00F073FE"/>
    <w:rsid w:val="00F074A9"/>
    <w:rsid w:val="00F10BB9"/>
    <w:rsid w:val="00F140DC"/>
    <w:rsid w:val="00F148A8"/>
    <w:rsid w:val="00F15DB0"/>
    <w:rsid w:val="00F175F8"/>
    <w:rsid w:val="00F20080"/>
    <w:rsid w:val="00F217FA"/>
    <w:rsid w:val="00F21F3F"/>
    <w:rsid w:val="00F220D7"/>
    <w:rsid w:val="00F22D62"/>
    <w:rsid w:val="00F2356B"/>
    <w:rsid w:val="00F23EC8"/>
    <w:rsid w:val="00F24143"/>
    <w:rsid w:val="00F24A55"/>
    <w:rsid w:val="00F26048"/>
    <w:rsid w:val="00F263AF"/>
    <w:rsid w:val="00F26935"/>
    <w:rsid w:val="00F30EBB"/>
    <w:rsid w:val="00F34169"/>
    <w:rsid w:val="00F344BA"/>
    <w:rsid w:val="00F34F6A"/>
    <w:rsid w:val="00F358CE"/>
    <w:rsid w:val="00F362BE"/>
    <w:rsid w:val="00F37130"/>
    <w:rsid w:val="00F42130"/>
    <w:rsid w:val="00F4283B"/>
    <w:rsid w:val="00F44185"/>
    <w:rsid w:val="00F44207"/>
    <w:rsid w:val="00F44731"/>
    <w:rsid w:val="00F470B9"/>
    <w:rsid w:val="00F475C6"/>
    <w:rsid w:val="00F47961"/>
    <w:rsid w:val="00F51A72"/>
    <w:rsid w:val="00F52AA6"/>
    <w:rsid w:val="00F53C4D"/>
    <w:rsid w:val="00F5438C"/>
    <w:rsid w:val="00F5519F"/>
    <w:rsid w:val="00F558E4"/>
    <w:rsid w:val="00F565ED"/>
    <w:rsid w:val="00F566D9"/>
    <w:rsid w:val="00F56E16"/>
    <w:rsid w:val="00F570BA"/>
    <w:rsid w:val="00F57942"/>
    <w:rsid w:val="00F57B80"/>
    <w:rsid w:val="00F606E2"/>
    <w:rsid w:val="00F6138B"/>
    <w:rsid w:val="00F62565"/>
    <w:rsid w:val="00F630E7"/>
    <w:rsid w:val="00F64474"/>
    <w:rsid w:val="00F652B0"/>
    <w:rsid w:val="00F66067"/>
    <w:rsid w:val="00F670DF"/>
    <w:rsid w:val="00F70FD7"/>
    <w:rsid w:val="00F71E78"/>
    <w:rsid w:val="00F763D6"/>
    <w:rsid w:val="00F76B20"/>
    <w:rsid w:val="00F77B80"/>
    <w:rsid w:val="00F82EA8"/>
    <w:rsid w:val="00F84B06"/>
    <w:rsid w:val="00F84C20"/>
    <w:rsid w:val="00F85A59"/>
    <w:rsid w:val="00F85D17"/>
    <w:rsid w:val="00F86064"/>
    <w:rsid w:val="00F86D5A"/>
    <w:rsid w:val="00F94B24"/>
    <w:rsid w:val="00F976C4"/>
    <w:rsid w:val="00F97EAF"/>
    <w:rsid w:val="00FA0059"/>
    <w:rsid w:val="00FA202B"/>
    <w:rsid w:val="00FA2BBB"/>
    <w:rsid w:val="00FA2D70"/>
    <w:rsid w:val="00FA419F"/>
    <w:rsid w:val="00FA45D8"/>
    <w:rsid w:val="00FA4BC4"/>
    <w:rsid w:val="00FA54F1"/>
    <w:rsid w:val="00FA6E04"/>
    <w:rsid w:val="00FB022B"/>
    <w:rsid w:val="00FB065C"/>
    <w:rsid w:val="00FB1158"/>
    <w:rsid w:val="00FB25C0"/>
    <w:rsid w:val="00FB3D2D"/>
    <w:rsid w:val="00FB7C16"/>
    <w:rsid w:val="00FC03C6"/>
    <w:rsid w:val="00FC03EC"/>
    <w:rsid w:val="00FC2638"/>
    <w:rsid w:val="00FC32E3"/>
    <w:rsid w:val="00FD1DFE"/>
    <w:rsid w:val="00FD232C"/>
    <w:rsid w:val="00FD23CA"/>
    <w:rsid w:val="00FD26E8"/>
    <w:rsid w:val="00FD3969"/>
    <w:rsid w:val="00FD3F7D"/>
    <w:rsid w:val="00FD5547"/>
    <w:rsid w:val="00FE0361"/>
    <w:rsid w:val="00FE03B7"/>
    <w:rsid w:val="00FE0E06"/>
    <w:rsid w:val="00FE217C"/>
    <w:rsid w:val="00FE2B09"/>
    <w:rsid w:val="00FE34BC"/>
    <w:rsid w:val="00FE3BD4"/>
    <w:rsid w:val="00FE41B9"/>
    <w:rsid w:val="00FE4DDD"/>
    <w:rsid w:val="00FE4EF4"/>
    <w:rsid w:val="00FE5234"/>
    <w:rsid w:val="00FF2773"/>
    <w:rsid w:val="00FF4747"/>
    <w:rsid w:val="011D6455"/>
    <w:rsid w:val="01443960"/>
    <w:rsid w:val="01590EFF"/>
    <w:rsid w:val="01D554C8"/>
    <w:rsid w:val="01DC61C2"/>
    <w:rsid w:val="01E473CA"/>
    <w:rsid w:val="02324505"/>
    <w:rsid w:val="02493090"/>
    <w:rsid w:val="029C5C94"/>
    <w:rsid w:val="02E665B7"/>
    <w:rsid w:val="03317C9B"/>
    <w:rsid w:val="035E4919"/>
    <w:rsid w:val="03A9459D"/>
    <w:rsid w:val="041B608B"/>
    <w:rsid w:val="04F20484"/>
    <w:rsid w:val="04F82763"/>
    <w:rsid w:val="054104B3"/>
    <w:rsid w:val="05AA36C7"/>
    <w:rsid w:val="05B9494B"/>
    <w:rsid w:val="05E611AC"/>
    <w:rsid w:val="05E61E57"/>
    <w:rsid w:val="062F39B3"/>
    <w:rsid w:val="06383E53"/>
    <w:rsid w:val="06B807E5"/>
    <w:rsid w:val="06BA3607"/>
    <w:rsid w:val="06CB1FAA"/>
    <w:rsid w:val="06CF641D"/>
    <w:rsid w:val="06EE0126"/>
    <w:rsid w:val="07394A18"/>
    <w:rsid w:val="0749114F"/>
    <w:rsid w:val="07EB0544"/>
    <w:rsid w:val="084B67BC"/>
    <w:rsid w:val="084F62B8"/>
    <w:rsid w:val="08507D85"/>
    <w:rsid w:val="08AB557E"/>
    <w:rsid w:val="08B02016"/>
    <w:rsid w:val="08F532E0"/>
    <w:rsid w:val="08FA6E92"/>
    <w:rsid w:val="093F61DD"/>
    <w:rsid w:val="094475D2"/>
    <w:rsid w:val="09452E56"/>
    <w:rsid w:val="099200B1"/>
    <w:rsid w:val="09EB769C"/>
    <w:rsid w:val="0A1B4410"/>
    <w:rsid w:val="0A763622"/>
    <w:rsid w:val="0AB76406"/>
    <w:rsid w:val="0ACE0384"/>
    <w:rsid w:val="0AE51194"/>
    <w:rsid w:val="0AF80833"/>
    <w:rsid w:val="0B9A54DA"/>
    <w:rsid w:val="0BAB7A63"/>
    <w:rsid w:val="0BD070C8"/>
    <w:rsid w:val="0C572359"/>
    <w:rsid w:val="0CFE7AB1"/>
    <w:rsid w:val="0D466476"/>
    <w:rsid w:val="0D6053D3"/>
    <w:rsid w:val="0D9B73AC"/>
    <w:rsid w:val="0DD10566"/>
    <w:rsid w:val="0DF30B86"/>
    <w:rsid w:val="0DFA0E0D"/>
    <w:rsid w:val="0E206AC9"/>
    <w:rsid w:val="0E4368EA"/>
    <w:rsid w:val="0E6C48A8"/>
    <w:rsid w:val="0EBF5F62"/>
    <w:rsid w:val="0F1C3BB0"/>
    <w:rsid w:val="0F7E0664"/>
    <w:rsid w:val="0FA8345A"/>
    <w:rsid w:val="0FCC2B3B"/>
    <w:rsid w:val="0FDA38D5"/>
    <w:rsid w:val="0FF4170E"/>
    <w:rsid w:val="10BA7F34"/>
    <w:rsid w:val="10C13BA7"/>
    <w:rsid w:val="10EA077F"/>
    <w:rsid w:val="11492CF4"/>
    <w:rsid w:val="11A102D0"/>
    <w:rsid w:val="11F5502F"/>
    <w:rsid w:val="12262E8F"/>
    <w:rsid w:val="1280278B"/>
    <w:rsid w:val="130B0182"/>
    <w:rsid w:val="1335137E"/>
    <w:rsid w:val="13D153D9"/>
    <w:rsid w:val="13D9233C"/>
    <w:rsid w:val="13DB589D"/>
    <w:rsid w:val="13DE0160"/>
    <w:rsid w:val="13DF698B"/>
    <w:rsid w:val="14557D6F"/>
    <w:rsid w:val="14731D80"/>
    <w:rsid w:val="149A40B2"/>
    <w:rsid w:val="14D63344"/>
    <w:rsid w:val="14DB33B0"/>
    <w:rsid w:val="159F56B5"/>
    <w:rsid w:val="15E20C14"/>
    <w:rsid w:val="165140AF"/>
    <w:rsid w:val="176340FC"/>
    <w:rsid w:val="18352506"/>
    <w:rsid w:val="1836316B"/>
    <w:rsid w:val="184520EF"/>
    <w:rsid w:val="1853036D"/>
    <w:rsid w:val="192D4AF6"/>
    <w:rsid w:val="193D0C49"/>
    <w:rsid w:val="197D1E36"/>
    <w:rsid w:val="19EB4243"/>
    <w:rsid w:val="19EC6D4A"/>
    <w:rsid w:val="1A4C776A"/>
    <w:rsid w:val="1AC15D42"/>
    <w:rsid w:val="1B1669EA"/>
    <w:rsid w:val="1B5C62FE"/>
    <w:rsid w:val="1BB56365"/>
    <w:rsid w:val="1BE12C62"/>
    <w:rsid w:val="1BE2277E"/>
    <w:rsid w:val="1BF93DE6"/>
    <w:rsid w:val="1C320739"/>
    <w:rsid w:val="1C993CBA"/>
    <w:rsid w:val="1D023970"/>
    <w:rsid w:val="1D892853"/>
    <w:rsid w:val="1D895830"/>
    <w:rsid w:val="1D8A2047"/>
    <w:rsid w:val="1DB545B4"/>
    <w:rsid w:val="1E15145D"/>
    <w:rsid w:val="1E612075"/>
    <w:rsid w:val="1FC42EF9"/>
    <w:rsid w:val="1FC7609B"/>
    <w:rsid w:val="1FEE25BA"/>
    <w:rsid w:val="20237C19"/>
    <w:rsid w:val="202C5671"/>
    <w:rsid w:val="2089087B"/>
    <w:rsid w:val="208E66A2"/>
    <w:rsid w:val="20CE1C35"/>
    <w:rsid w:val="20FF59BF"/>
    <w:rsid w:val="213E66DE"/>
    <w:rsid w:val="216B266C"/>
    <w:rsid w:val="218D49AB"/>
    <w:rsid w:val="21AB3EC0"/>
    <w:rsid w:val="21AF23AD"/>
    <w:rsid w:val="21B61FB5"/>
    <w:rsid w:val="21C14B60"/>
    <w:rsid w:val="21CD1190"/>
    <w:rsid w:val="228005DF"/>
    <w:rsid w:val="22AF6AE8"/>
    <w:rsid w:val="22EA7B20"/>
    <w:rsid w:val="22F95132"/>
    <w:rsid w:val="22FA515C"/>
    <w:rsid w:val="23DD20BC"/>
    <w:rsid w:val="240D6FF0"/>
    <w:rsid w:val="240F744B"/>
    <w:rsid w:val="2492286F"/>
    <w:rsid w:val="249F685A"/>
    <w:rsid w:val="24B9121B"/>
    <w:rsid w:val="24BF37F5"/>
    <w:rsid w:val="25341526"/>
    <w:rsid w:val="25A01CC0"/>
    <w:rsid w:val="25BC5F91"/>
    <w:rsid w:val="25DA059B"/>
    <w:rsid w:val="25EA5129"/>
    <w:rsid w:val="262C3AAA"/>
    <w:rsid w:val="269266B8"/>
    <w:rsid w:val="26C12D9F"/>
    <w:rsid w:val="26F84C2A"/>
    <w:rsid w:val="26FF1E8B"/>
    <w:rsid w:val="275C26A5"/>
    <w:rsid w:val="27681A2D"/>
    <w:rsid w:val="27AF7918"/>
    <w:rsid w:val="27F60AF7"/>
    <w:rsid w:val="280C22E7"/>
    <w:rsid w:val="28401692"/>
    <w:rsid w:val="28867A91"/>
    <w:rsid w:val="28990D1C"/>
    <w:rsid w:val="28EF7C5C"/>
    <w:rsid w:val="291E70CA"/>
    <w:rsid w:val="29330BC2"/>
    <w:rsid w:val="295C47F3"/>
    <w:rsid w:val="29F52784"/>
    <w:rsid w:val="2A0750ED"/>
    <w:rsid w:val="2A296019"/>
    <w:rsid w:val="2A695A86"/>
    <w:rsid w:val="2A6F6DA6"/>
    <w:rsid w:val="2AA36F32"/>
    <w:rsid w:val="2AAF16FA"/>
    <w:rsid w:val="2B4D55EA"/>
    <w:rsid w:val="2B7E60D3"/>
    <w:rsid w:val="2BD30404"/>
    <w:rsid w:val="2C113F5C"/>
    <w:rsid w:val="2C194F5A"/>
    <w:rsid w:val="2C363DD6"/>
    <w:rsid w:val="2C500329"/>
    <w:rsid w:val="2C822ED4"/>
    <w:rsid w:val="2CB53349"/>
    <w:rsid w:val="2CE210BE"/>
    <w:rsid w:val="2D227AE4"/>
    <w:rsid w:val="2D684FFC"/>
    <w:rsid w:val="2D903AB4"/>
    <w:rsid w:val="2DE943BE"/>
    <w:rsid w:val="2E3345CB"/>
    <w:rsid w:val="2E9D6C7F"/>
    <w:rsid w:val="2EE72AFC"/>
    <w:rsid w:val="2EF24575"/>
    <w:rsid w:val="2F3041EA"/>
    <w:rsid w:val="2F3E549C"/>
    <w:rsid w:val="2F72547A"/>
    <w:rsid w:val="303C22BE"/>
    <w:rsid w:val="30951C40"/>
    <w:rsid w:val="30FA1151"/>
    <w:rsid w:val="311D6219"/>
    <w:rsid w:val="314373F2"/>
    <w:rsid w:val="315F171F"/>
    <w:rsid w:val="31773192"/>
    <w:rsid w:val="31D2190A"/>
    <w:rsid w:val="31E81A1C"/>
    <w:rsid w:val="31F243F2"/>
    <w:rsid w:val="3217703A"/>
    <w:rsid w:val="3257644C"/>
    <w:rsid w:val="329E6849"/>
    <w:rsid w:val="330F542A"/>
    <w:rsid w:val="333E7CC9"/>
    <w:rsid w:val="33CC549A"/>
    <w:rsid w:val="33ED7A15"/>
    <w:rsid w:val="340D7DD2"/>
    <w:rsid w:val="34181D7E"/>
    <w:rsid w:val="344755FF"/>
    <w:rsid w:val="34477E0D"/>
    <w:rsid w:val="34CA5C15"/>
    <w:rsid w:val="34DC2576"/>
    <w:rsid w:val="353549EC"/>
    <w:rsid w:val="35383E0E"/>
    <w:rsid w:val="35A54EEA"/>
    <w:rsid w:val="3646625E"/>
    <w:rsid w:val="36477145"/>
    <w:rsid w:val="364C1B18"/>
    <w:rsid w:val="36D249C0"/>
    <w:rsid w:val="37816827"/>
    <w:rsid w:val="38881849"/>
    <w:rsid w:val="3950338B"/>
    <w:rsid w:val="39B2359A"/>
    <w:rsid w:val="39F101DB"/>
    <w:rsid w:val="3A0529B6"/>
    <w:rsid w:val="3A2A295C"/>
    <w:rsid w:val="3B404244"/>
    <w:rsid w:val="3B684663"/>
    <w:rsid w:val="3C486A7D"/>
    <w:rsid w:val="3C854402"/>
    <w:rsid w:val="3CA605BF"/>
    <w:rsid w:val="3CCA1B12"/>
    <w:rsid w:val="3D1E52D5"/>
    <w:rsid w:val="3DED77B6"/>
    <w:rsid w:val="3E05042F"/>
    <w:rsid w:val="3E484469"/>
    <w:rsid w:val="3EB11CB6"/>
    <w:rsid w:val="3EBF68FF"/>
    <w:rsid w:val="3EC85DF9"/>
    <w:rsid w:val="3F247FA5"/>
    <w:rsid w:val="3FD57736"/>
    <w:rsid w:val="400745C8"/>
    <w:rsid w:val="406F6C09"/>
    <w:rsid w:val="408A14A2"/>
    <w:rsid w:val="40A263E2"/>
    <w:rsid w:val="40BC4828"/>
    <w:rsid w:val="40F96FC8"/>
    <w:rsid w:val="416E260F"/>
    <w:rsid w:val="41B13D7D"/>
    <w:rsid w:val="41FC02E2"/>
    <w:rsid w:val="423E752D"/>
    <w:rsid w:val="42CF5BBF"/>
    <w:rsid w:val="42CF7D13"/>
    <w:rsid w:val="431B5377"/>
    <w:rsid w:val="43EC6336"/>
    <w:rsid w:val="443D5731"/>
    <w:rsid w:val="443E4591"/>
    <w:rsid w:val="445008FC"/>
    <w:rsid w:val="44B62C35"/>
    <w:rsid w:val="45412FF1"/>
    <w:rsid w:val="458F2880"/>
    <w:rsid w:val="4636470E"/>
    <w:rsid w:val="463F45B4"/>
    <w:rsid w:val="46FC5698"/>
    <w:rsid w:val="47665118"/>
    <w:rsid w:val="476D26B3"/>
    <w:rsid w:val="4785195E"/>
    <w:rsid w:val="47974818"/>
    <w:rsid w:val="47A10846"/>
    <w:rsid w:val="47A67C0A"/>
    <w:rsid w:val="47FA0492"/>
    <w:rsid w:val="484A6A5D"/>
    <w:rsid w:val="48A56114"/>
    <w:rsid w:val="48C03255"/>
    <w:rsid w:val="4976183A"/>
    <w:rsid w:val="497C17FC"/>
    <w:rsid w:val="49A945AC"/>
    <w:rsid w:val="4A050289"/>
    <w:rsid w:val="4A845220"/>
    <w:rsid w:val="4B2C1653"/>
    <w:rsid w:val="4B8038AC"/>
    <w:rsid w:val="4BAB3A41"/>
    <w:rsid w:val="4BD869D8"/>
    <w:rsid w:val="4BEF0658"/>
    <w:rsid w:val="4C2F6420"/>
    <w:rsid w:val="4C3E6CE0"/>
    <w:rsid w:val="4C871DB8"/>
    <w:rsid w:val="4D127683"/>
    <w:rsid w:val="4D2B6ADE"/>
    <w:rsid w:val="4D52345B"/>
    <w:rsid w:val="4D9149D5"/>
    <w:rsid w:val="4DB01E26"/>
    <w:rsid w:val="4DCF61BF"/>
    <w:rsid w:val="4E0F27DF"/>
    <w:rsid w:val="4E194E11"/>
    <w:rsid w:val="4E4A0732"/>
    <w:rsid w:val="4E550966"/>
    <w:rsid w:val="4E801647"/>
    <w:rsid w:val="4E9303EB"/>
    <w:rsid w:val="4EA8623F"/>
    <w:rsid w:val="4ED532B8"/>
    <w:rsid w:val="4FDA68FF"/>
    <w:rsid w:val="4FDF6623"/>
    <w:rsid w:val="50270972"/>
    <w:rsid w:val="514566E6"/>
    <w:rsid w:val="51B84806"/>
    <w:rsid w:val="522552BB"/>
    <w:rsid w:val="522A42F3"/>
    <w:rsid w:val="529E021B"/>
    <w:rsid w:val="52F618D6"/>
    <w:rsid w:val="53222E0E"/>
    <w:rsid w:val="5377217C"/>
    <w:rsid w:val="537A546C"/>
    <w:rsid w:val="538F6E08"/>
    <w:rsid w:val="53D53991"/>
    <w:rsid w:val="540506B1"/>
    <w:rsid w:val="545021E6"/>
    <w:rsid w:val="546962F7"/>
    <w:rsid w:val="549901D2"/>
    <w:rsid w:val="54AE5570"/>
    <w:rsid w:val="54C074A1"/>
    <w:rsid w:val="54E12281"/>
    <w:rsid w:val="552C5686"/>
    <w:rsid w:val="557E5E48"/>
    <w:rsid w:val="55831EC9"/>
    <w:rsid w:val="559204E2"/>
    <w:rsid w:val="55AC66AD"/>
    <w:rsid w:val="55B10401"/>
    <w:rsid w:val="56641D47"/>
    <w:rsid w:val="56841D0B"/>
    <w:rsid w:val="56A05017"/>
    <w:rsid w:val="57B915DC"/>
    <w:rsid w:val="57C50C52"/>
    <w:rsid w:val="57D7131A"/>
    <w:rsid w:val="58123F01"/>
    <w:rsid w:val="58494D9C"/>
    <w:rsid w:val="58510B85"/>
    <w:rsid w:val="585A1751"/>
    <w:rsid w:val="5886615C"/>
    <w:rsid w:val="58904921"/>
    <w:rsid w:val="58906498"/>
    <w:rsid w:val="58BE1561"/>
    <w:rsid w:val="58E72BFC"/>
    <w:rsid w:val="58FE73CA"/>
    <w:rsid w:val="59030A18"/>
    <w:rsid w:val="591C45EC"/>
    <w:rsid w:val="5955775E"/>
    <w:rsid w:val="596107E7"/>
    <w:rsid w:val="59743AD5"/>
    <w:rsid w:val="597E358A"/>
    <w:rsid w:val="59955CF6"/>
    <w:rsid w:val="59C660F0"/>
    <w:rsid w:val="59F21365"/>
    <w:rsid w:val="5A61402C"/>
    <w:rsid w:val="5AB311C9"/>
    <w:rsid w:val="5ACF4B25"/>
    <w:rsid w:val="5ADB4C57"/>
    <w:rsid w:val="5AE926A0"/>
    <w:rsid w:val="5AF12412"/>
    <w:rsid w:val="5AF76483"/>
    <w:rsid w:val="5B1769FD"/>
    <w:rsid w:val="5B235C4B"/>
    <w:rsid w:val="5B3847C9"/>
    <w:rsid w:val="5B410278"/>
    <w:rsid w:val="5B5A7DE8"/>
    <w:rsid w:val="5B6F2C5D"/>
    <w:rsid w:val="5BED42AF"/>
    <w:rsid w:val="5C431C88"/>
    <w:rsid w:val="5CA011F1"/>
    <w:rsid w:val="5CB51A41"/>
    <w:rsid w:val="5D641288"/>
    <w:rsid w:val="5D9D2D81"/>
    <w:rsid w:val="5DAF780F"/>
    <w:rsid w:val="5DE16032"/>
    <w:rsid w:val="5E613B51"/>
    <w:rsid w:val="5E8F0FA0"/>
    <w:rsid w:val="5EC0405D"/>
    <w:rsid w:val="5EE72DAE"/>
    <w:rsid w:val="5F3F53E8"/>
    <w:rsid w:val="5F417437"/>
    <w:rsid w:val="5F6A1E32"/>
    <w:rsid w:val="5FF22D5F"/>
    <w:rsid w:val="5FFD7F71"/>
    <w:rsid w:val="5FFF8A61"/>
    <w:rsid w:val="600641A2"/>
    <w:rsid w:val="60346FF2"/>
    <w:rsid w:val="605B738C"/>
    <w:rsid w:val="60EE4CF3"/>
    <w:rsid w:val="614B2FA8"/>
    <w:rsid w:val="61CC3F45"/>
    <w:rsid w:val="61EC294A"/>
    <w:rsid w:val="62484290"/>
    <w:rsid w:val="62552EE7"/>
    <w:rsid w:val="62E939FA"/>
    <w:rsid w:val="638432E3"/>
    <w:rsid w:val="6397692D"/>
    <w:rsid w:val="63CE537F"/>
    <w:rsid w:val="649410BE"/>
    <w:rsid w:val="64F03B32"/>
    <w:rsid w:val="658A5884"/>
    <w:rsid w:val="65994624"/>
    <w:rsid w:val="65AA57AE"/>
    <w:rsid w:val="65B82714"/>
    <w:rsid w:val="65CE5F24"/>
    <w:rsid w:val="662B6970"/>
    <w:rsid w:val="662C7CB4"/>
    <w:rsid w:val="66391991"/>
    <w:rsid w:val="66547663"/>
    <w:rsid w:val="67096A57"/>
    <w:rsid w:val="670A7951"/>
    <w:rsid w:val="670E4B04"/>
    <w:rsid w:val="67817720"/>
    <w:rsid w:val="67DD2959"/>
    <w:rsid w:val="67FB3AE4"/>
    <w:rsid w:val="68FE6EE2"/>
    <w:rsid w:val="693A6827"/>
    <w:rsid w:val="695154E0"/>
    <w:rsid w:val="698E728C"/>
    <w:rsid w:val="699B3871"/>
    <w:rsid w:val="69F61ED3"/>
    <w:rsid w:val="6A0B110C"/>
    <w:rsid w:val="6A546705"/>
    <w:rsid w:val="6A694429"/>
    <w:rsid w:val="6A795964"/>
    <w:rsid w:val="6ADB611D"/>
    <w:rsid w:val="6AE35257"/>
    <w:rsid w:val="6B481745"/>
    <w:rsid w:val="6BAD3F5C"/>
    <w:rsid w:val="6C035F03"/>
    <w:rsid w:val="6C082222"/>
    <w:rsid w:val="6C122A01"/>
    <w:rsid w:val="6C347061"/>
    <w:rsid w:val="6C9B736B"/>
    <w:rsid w:val="6CF7EDAE"/>
    <w:rsid w:val="6D1963E0"/>
    <w:rsid w:val="6D28384B"/>
    <w:rsid w:val="6D34294E"/>
    <w:rsid w:val="6D3F5B6D"/>
    <w:rsid w:val="6E5C28EA"/>
    <w:rsid w:val="6E6D3048"/>
    <w:rsid w:val="6E771729"/>
    <w:rsid w:val="6F8C74C2"/>
    <w:rsid w:val="702D36E4"/>
    <w:rsid w:val="70453125"/>
    <w:rsid w:val="70AD600D"/>
    <w:rsid w:val="70E21AF0"/>
    <w:rsid w:val="716E0370"/>
    <w:rsid w:val="716F45D4"/>
    <w:rsid w:val="71B34278"/>
    <w:rsid w:val="71E037BC"/>
    <w:rsid w:val="721A2E31"/>
    <w:rsid w:val="721E2704"/>
    <w:rsid w:val="723F0615"/>
    <w:rsid w:val="723F3F72"/>
    <w:rsid w:val="730C18E1"/>
    <w:rsid w:val="737D35F2"/>
    <w:rsid w:val="73856E01"/>
    <w:rsid w:val="73C53691"/>
    <w:rsid w:val="73DC694E"/>
    <w:rsid w:val="74510066"/>
    <w:rsid w:val="7472484C"/>
    <w:rsid w:val="747F109B"/>
    <w:rsid w:val="748C6EBC"/>
    <w:rsid w:val="74976919"/>
    <w:rsid w:val="75404A7A"/>
    <w:rsid w:val="75B81F54"/>
    <w:rsid w:val="75C1484A"/>
    <w:rsid w:val="765C2DFA"/>
    <w:rsid w:val="765E7D6A"/>
    <w:rsid w:val="766D73CB"/>
    <w:rsid w:val="776477C8"/>
    <w:rsid w:val="779C4526"/>
    <w:rsid w:val="77E46271"/>
    <w:rsid w:val="78204686"/>
    <w:rsid w:val="782A0BF0"/>
    <w:rsid w:val="786A1AB6"/>
    <w:rsid w:val="795421FD"/>
    <w:rsid w:val="797846B3"/>
    <w:rsid w:val="79AB08CC"/>
    <w:rsid w:val="79B37D80"/>
    <w:rsid w:val="79EB0ED8"/>
    <w:rsid w:val="7A174FCD"/>
    <w:rsid w:val="7A380FB0"/>
    <w:rsid w:val="7A4576CB"/>
    <w:rsid w:val="7A4A42F7"/>
    <w:rsid w:val="7A547A6F"/>
    <w:rsid w:val="7A6E777A"/>
    <w:rsid w:val="7AC00F51"/>
    <w:rsid w:val="7AF87E10"/>
    <w:rsid w:val="7B191BF6"/>
    <w:rsid w:val="7BC37453"/>
    <w:rsid w:val="7BFD0DA2"/>
    <w:rsid w:val="7C086BCB"/>
    <w:rsid w:val="7C1F0DE5"/>
    <w:rsid w:val="7C965BF4"/>
    <w:rsid w:val="7DA22F97"/>
    <w:rsid w:val="7E5042BB"/>
    <w:rsid w:val="7EA30358"/>
    <w:rsid w:val="7EE10A47"/>
    <w:rsid w:val="7F762D62"/>
    <w:rsid w:val="7FBB62CF"/>
    <w:rsid w:val="7FDA0ADE"/>
    <w:rsid w:val="AF682789"/>
    <w:rsid w:val="BF35E8DB"/>
    <w:rsid w:val="EADFB2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iPriority="99" w:name="HTML Definition"/>
    <w:lsdException w:uiPriority="99" w:name="HTML Keyboard"/>
    <w:lsdException w:unhideWhenUsed="0" w:uiPriority="0" w:semiHidden="0" w:name="HTML Preformatted"/>
    <w:lsdException w:uiPriority="99" w:semiHidden="0" w:name="HTML Sample"/>
    <w:lsdException w:uiPriority="99" w:name="HTML Typewriter"/>
    <w:lsdException w:uiPriority="99" w:name="HTML Variable"/>
    <w:lsdException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7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0"/>
    <w:pPr>
      <w:keepNext/>
      <w:adjustRightInd w:val="0"/>
      <w:spacing w:line="360" w:lineRule="auto"/>
      <w:outlineLvl w:val="1"/>
    </w:pPr>
    <w:rPr>
      <w:rFonts w:ascii="仿宋_GB2312" w:hAnsi="宋体" w:eastAsia="仿宋_GB2312"/>
      <w:b/>
      <w:kern w:val="0"/>
      <w:sz w:val="30"/>
      <w:szCs w:val="20"/>
    </w:rPr>
  </w:style>
  <w:style w:type="paragraph" w:styleId="4">
    <w:name w:val="heading 3"/>
    <w:basedOn w:val="1"/>
    <w:next w:val="1"/>
    <w:link w:val="76"/>
    <w:qFormat/>
    <w:uiPriority w:val="0"/>
    <w:pPr>
      <w:keepNext/>
      <w:keepLines/>
      <w:spacing w:before="260" w:after="260" w:line="415" w:lineRule="auto"/>
      <w:jc w:val="center"/>
      <w:outlineLvl w:val="2"/>
    </w:pPr>
    <w:rPr>
      <w:rFonts w:eastAsia="仿宋_GB2312"/>
      <w:b/>
      <w:sz w:val="32"/>
      <w:szCs w:val="20"/>
    </w:rPr>
  </w:style>
  <w:style w:type="paragraph" w:styleId="5">
    <w:name w:val="heading 4"/>
    <w:basedOn w:val="1"/>
    <w:next w:val="1"/>
    <w:link w:val="77"/>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78"/>
    <w:qFormat/>
    <w:uiPriority w:val="0"/>
    <w:pPr>
      <w:keepNext/>
      <w:keepLines/>
      <w:spacing w:before="280" w:after="290" w:line="376" w:lineRule="auto"/>
      <w:outlineLvl w:val="4"/>
    </w:pPr>
    <w:rPr>
      <w:b/>
      <w:bCs/>
      <w:sz w:val="28"/>
      <w:szCs w:val="28"/>
    </w:rPr>
  </w:style>
  <w:style w:type="paragraph" w:styleId="7">
    <w:name w:val="heading 6"/>
    <w:basedOn w:val="1"/>
    <w:next w:val="1"/>
    <w:link w:val="79"/>
    <w:qFormat/>
    <w:uiPriority w:val="0"/>
    <w:pPr>
      <w:spacing w:before="60" w:after="60" w:line="360" w:lineRule="auto"/>
      <w:outlineLvl w:val="5"/>
    </w:pPr>
    <w:rPr>
      <w:b/>
      <w:bCs/>
      <w:kern w:val="0"/>
      <w:sz w:val="20"/>
    </w:rPr>
  </w:style>
  <w:style w:type="paragraph" w:styleId="8">
    <w:name w:val="heading 7"/>
    <w:basedOn w:val="1"/>
    <w:next w:val="1"/>
    <w:link w:val="80"/>
    <w:qFormat/>
    <w:uiPriority w:val="0"/>
    <w:pPr>
      <w:keepNext/>
      <w:keepLines/>
      <w:numPr>
        <w:ilvl w:val="6"/>
        <w:numId w:val="1"/>
      </w:numPr>
      <w:adjustRightInd w:val="0"/>
      <w:spacing w:before="240" w:after="64" w:line="320" w:lineRule="atLeast"/>
      <w:jc w:val="center"/>
      <w:textAlignment w:val="baseline"/>
      <w:outlineLvl w:val="6"/>
    </w:pPr>
    <w:rPr>
      <w:rFonts w:ascii="仿宋_GB2312" w:eastAsia="仿宋_GB2312"/>
      <w:kern w:val="0"/>
      <w:sz w:val="36"/>
      <w:szCs w:val="20"/>
    </w:rPr>
  </w:style>
  <w:style w:type="paragraph" w:styleId="9">
    <w:name w:val="heading 8"/>
    <w:basedOn w:val="1"/>
    <w:next w:val="1"/>
    <w:link w:val="8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82"/>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65">
    <w:name w:val="Default Paragraph Font"/>
    <w:uiPriority w:val="0"/>
    <w:rPr>
      <w:rFonts w:ascii="Times New Roman" w:hAnsi="Times New Roman" w:eastAsia="宋体" w:cs="Times New Roman"/>
    </w:rPr>
  </w:style>
  <w:style w:type="table" w:default="1" w:styleId="62">
    <w:name w:val="Normal Table"/>
    <w:uiPriority w:val="0"/>
    <w:rPr>
      <w:rFonts w:ascii="Times New Roman" w:hAnsi="Times New Roman" w:eastAsia="宋体" w:cs="Times New Roman"/>
    </w:rPr>
    <w:tblPr>
      <w:tblStyle w:val="62"/>
      <w:tblCellMar>
        <w:top w:w="0" w:type="dxa"/>
        <w:left w:w="108" w:type="dxa"/>
        <w:bottom w:w="0" w:type="dxa"/>
        <w:right w:w="108" w:type="dxa"/>
      </w:tblCellMar>
    </w:tblPr>
  </w:style>
  <w:style w:type="paragraph" w:styleId="11">
    <w:name w:val="toc 7"/>
    <w:basedOn w:val="1"/>
    <w:next w:val="1"/>
    <w:uiPriority w:val="0"/>
    <w:pPr>
      <w:ind w:left="2520" w:leftChars="1200"/>
    </w:pPr>
    <w:rPr>
      <w:rFonts w:ascii="Times New Roman" w:hAnsi="Times New Roman" w:eastAsia="宋体" w:cs="Times New Roman"/>
    </w:rPr>
  </w:style>
  <w:style w:type="paragraph" w:styleId="12">
    <w:name w:val="Note Heading"/>
    <w:basedOn w:val="1"/>
    <w:next w:val="1"/>
    <w:qFormat/>
    <w:uiPriority w:val="0"/>
    <w:pPr>
      <w:spacing w:before="20" w:beforeLines="20" w:after="20" w:afterLines="20"/>
      <w:ind w:firstLine="0" w:firstLineChars="0"/>
      <w:jc w:val="center"/>
    </w:pPr>
    <w:rPr>
      <w:rFonts w:eastAsia="黑体" w:cs="Times New Roman"/>
      <w:sz w:val="24"/>
      <w:szCs w:val="22"/>
    </w:rPr>
  </w:style>
  <w:style w:type="paragraph" w:styleId="13">
    <w:name w:val="index 8"/>
    <w:basedOn w:val="1"/>
    <w:next w:val="1"/>
    <w:uiPriority w:val="0"/>
    <w:pPr>
      <w:ind w:left="1400" w:leftChars="1400"/>
    </w:pPr>
    <w:rPr>
      <w:rFonts w:ascii="Times New Roman" w:hAnsi="Times New Roman" w:eastAsia="宋体" w:cs="Times New Roman"/>
    </w:rPr>
  </w:style>
  <w:style w:type="paragraph" w:styleId="14">
    <w:name w:val="List Number"/>
    <w:basedOn w:val="1"/>
    <w:uiPriority w:val="0"/>
    <w:pPr>
      <w:widowControl/>
      <w:numPr>
        <w:ilvl w:val="0"/>
        <w:numId w:val="1"/>
      </w:numPr>
      <w:tabs>
        <w:tab w:val="left" w:pos="454"/>
        <w:tab w:val="left" w:pos="720"/>
      </w:tabs>
      <w:spacing w:after="50" w:afterLines="50"/>
      <w:ind w:left="454" w:hanging="284"/>
      <w:jc w:val="left"/>
    </w:pPr>
    <w:rPr>
      <w:rFonts w:ascii="Times New Roman" w:hAnsi="Times New Roman" w:eastAsia="宋体" w:cs="Times New Roman"/>
      <w:kern w:val="0"/>
      <w:sz w:val="24"/>
      <w:szCs w:val="20"/>
    </w:rPr>
  </w:style>
  <w:style w:type="paragraph" w:styleId="15">
    <w:name w:val="Normal Indent"/>
    <w:basedOn w:val="1"/>
    <w:next w:val="16"/>
    <w:link w:val="83"/>
    <w:qFormat/>
    <w:uiPriority w:val="0"/>
    <w:pPr>
      <w:ind w:firstLine="420"/>
    </w:pPr>
    <w:rPr>
      <w:rFonts w:ascii="宋体" w:hAnsi="Courier New"/>
      <w:szCs w:val="20"/>
    </w:rPr>
  </w:style>
  <w:style w:type="paragraph" w:styleId="16">
    <w:name w:val="Body Text Indent"/>
    <w:basedOn w:val="1"/>
    <w:next w:val="17"/>
    <w:link w:val="84"/>
    <w:uiPriority w:val="0"/>
    <w:pPr>
      <w:spacing w:line="200" w:lineRule="exact"/>
      <w:ind w:firstLine="301"/>
    </w:pPr>
    <w:rPr>
      <w:rFonts w:ascii="宋体" w:hAnsi="Courier New"/>
      <w:spacing w:val="-4"/>
      <w:sz w:val="18"/>
      <w:szCs w:val="20"/>
    </w:rPr>
  </w:style>
  <w:style w:type="paragraph" w:styleId="17">
    <w:name w:val="Body Text First Indent 2"/>
    <w:basedOn w:val="16"/>
    <w:next w:val="1"/>
    <w:link w:val="85"/>
    <w:uiPriority w:val="0"/>
    <w:pPr>
      <w:widowControl/>
      <w:spacing w:after="120" w:line="240" w:lineRule="auto"/>
      <w:ind w:left="420" w:leftChars="200" w:firstLine="420" w:firstLineChars="200"/>
      <w:jc w:val="left"/>
    </w:pPr>
    <w:rPr>
      <w:rFonts w:ascii="Times New Roman" w:hAnsi="Times New Roman"/>
      <w:sz w:val="24"/>
      <w:szCs w:val="24"/>
    </w:rPr>
  </w:style>
  <w:style w:type="paragraph" w:styleId="18">
    <w:name w:val="caption"/>
    <w:basedOn w:val="1"/>
    <w:next w:val="1"/>
    <w:link w:val="86"/>
    <w:qFormat/>
    <w:uiPriority w:val="0"/>
    <w:pPr>
      <w:spacing w:before="152" w:after="160"/>
    </w:pPr>
    <w:rPr>
      <w:rFonts w:ascii="Arial" w:hAnsi="Arial" w:eastAsia="黑体"/>
      <w:sz w:val="20"/>
      <w:szCs w:val="20"/>
    </w:rPr>
  </w:style>
  <w:style w:type="paragraph" w:styleId="19">
    <w:name w:val="index 5"/>
    <w:basedOn w:val="1"/>
    <w:next w:val="1"/>
    <w:uiPriority w:val="0"/>
    <w:pPr>
      <w:ind w:left="800" w:leftChars="800"/>
    </w:pPr>
    <w:rPr>
      <w:rFonts w:ascii="Times New Roman" w:hAnsi="Times New Roman" w:eastAsia="宋体" w:cs="Times New Roman"/>
    </w:rPr>
  </w:style>
  <w:style w:type="paragraph" w:styleId="20">
    <w:name w:val="List Bullet"/>
    <w:uiPriority w:val="0"/>
    <w:pPr>
      <w:tabs>
        <w:tab w:val="left" w:pos="420"/>
      </w:tabs>
      <w:spacing w:beforeLines="50" w:afterLines="50" w:line="300" w:lineRule="auto"/>
      <w:ind w:left="420" w:hanging="420"/>
    </w:pPr>
    <w:rPr>
      <w:rFonts w:ascii="宋体" w:hAnsi="宋体"/>
      <w:kern w:val="24"/>
      <w:sz w:val="24"/>
      <w:szCs w:val="24"/>
      <w:lang w:val="en-US" w:eastAsia="zh-CN" w:bidi="ar-SA"/>
    </w:rPr>
  </w:style>
  <w:style w:type="paragraph" w:styleId="21">
    <w:name w:val="Document Map"/>
    <w:basedOn w:val="1"/>
    <w:link w:val="87"/>
    <w:uiPriority w:val="0"/>
    <w:pPr>
      <w:widowControl/>
      <w:shd w:val="clear" w:color="auto" w:fill="000080"/>
      <w:jc w:val="left"/>
    </w:pPr>
    <w:rPr>
      <w:kern w:val="0"/>
      <w:sz w:val="24"/>
    </w:rPr>
  </w:style>
  <w:style w:type="paragraph" w:styleId="22">
    <w:name w:val="annotation text"/>
    <w:basedOn w:val="1"/>
    <w:link w:val="88"/>
    <w:uiPriority w:val="0"/>
    <w:pPr>
      <w:jc w:val="left"/>
    </w:pPr>
    <w:rPr>
      <w:szCs w:val="22"/>
    </w:rPr>
  </w:style>
  <w:style w:type="paragraph" w:styleId="23">
    <w:name w:val="index 6"/>
    <w:basedOn w:val="1"/>
    <w:next w:val="1"/>
    <w:uiPriority w:val="0"/>
    <w:pPr>
      <w:ind w:left="1000" w:leftChars="1000"/>
    </w:pPr>
    <w:rPr>
      <w:rFonts w:ascii="Times New Roman" w:hAnsi="Times New Roman" w:eastAsia="宋体" w:cs="Times New Roman"/>
    </w:rPr>
  </w:style>
  <w:style w:type="paragraph" w:styleId="24">
    <w:name w:val="Body Text 3"/>
    <w:basedOn w:val="1"/>
    <w:link w:val="89"/>
    <w:uiPriority w:val="0"/>
    <w:pPr>
      <w:spacing w:after="120"/>
    </w:pPr>
    <w:rPr>
      <w:sz w:val="16"/>
      <w:szCs w:val="16"/>
    </w:rPr>
  </w:style>
  <w:style w:type="paragraph" w:styleId="25">
    <w:name w:val="Body Text"/>
    <w:basedOn w:val="1"/>
    <w:next w:val="26"/>
    <w:link w:val="90"/>
    <w:uiPriority w:val="0"/>
    <w:pPr>
      <w:snapToGrid w:val="0"/>
    </w:pPr>
    <w:rPr>
      <w:rFonts w:ascii="仿宋_GB2312" w:hAnsi="宋体" w:eastAsia="仿宋_GB2312"/>
      <w:sz w:val="24"/>
      <w:szCs w:val="21"/>
    </w:rPr>
  </w:style>
  <w:style w:type="paragraph" w:styleId="26">
    <w:name w:val="Body Text First Indent"/>
    <w:basedOn w:val="25"/>
    <w:next w:val="1"/>
    <w:link w:val="91"/>
    <w:uiPriority w:val="0"/>
    <w:pPr>
      <w:widowControl/>
      <w:snapToGrid/>
      <w:spacing w:after="120"/>
      <w:ind w:firstLine="420" w:firstLineChars="100"/>
      <w:jc w:val="left"/>
    </w:pPr>
    <w:rPr>
      <w:rFonts w:ascii="Times New Roman" w:hAnsi="Times New Roman"/>
      <w:szCs w:val="24"/>
    </w:rPr>
  </w:style>
  <w:style w:type="paragraph" w:styleId="27">
    <w:name w:val="List Number 3"/>
    <w:basedOn w:val="1"/>
    <w:uiPriority w:val="0"/>
    <w:pPr>
      <w:tabs>
        <w:tab w:val="left" w:pos="360"/>
        <w:tab w:val="left" w:pos="900"/>
        <w:tab w:val="left" w:pos="1678"/>
      </w:tabs>
      <w:ind w:left="1678" w:hanging="419"/>
    </w:pPr>
    <w:rPr>
      <w:rFonts w:ascii="Times New Roman" w:hAnsi="Times New Roman" w:eastAsia="宋体" w:cs="Times New Roman"/>
    </w:rPr>
  </w:style>
  <w:style w:type="paragraph" w:styleId="28">
    <w:name w:val="List 2"/>
    <w:basedOn w:val="1"/>
    <w:uiPriority w:val="0"/>
    <w:pPr>
      <w:ind w:left="100" w:leftChars="200" w:hanging="200" w:hangingChars="200"/>
    </w:pPr>
    <w:rPr>
      <w:rFonts w:ascii="Times New Roman" w:hAnsi="Times New Roman" w:eastAsia="宋体" w:cs="Times New Roman"/>
    </w:rPr>
  </w:style>
  <w:style w:type="paragraph" w:styleId="29">
    <w:name w:val="Block Text"/>
    <w:basedOn w:val="1"/>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30">
    <w:name w:val="List Bullet 2"/>
    <w:basedOn w:val="1"/>
    <w:uiPriority w:val="0"/>
    <w:pPr>
      <w:widowControl/>
      <w:tabs>
        <w:tab w:val="left" w:pos="780"/>
        <w:tab w:val="left" w:pos="1678"/>
      </w:tabs>
      <w:spacing w:line="360" w:lineRule="auto"/>
      <w:ind w:left="1678" w:hanging="419"/>
      <w:jc w:val="left"/>
    </w:pPr>
    <w:rPr>
      <w:rFonts w:ascii="Tw Cen MT" w:hAnsi="Tw Cen MT" w:eastAsia="宋体" w:cs="Times New Roman"/>
      <w:kern w:val="0"/>
      <w:szCs w:val="22"/>
      <w:lang w:eastAsia="en-US" w:bidi="en-US"/>
    </w:rPr>
  </w:style>
  <w:style w:type="paragraph" w:styleId="31">
    <w:name w:val="index 4"/>
    <w:basedOn w:val="1"/>
    <w:next w:val="1"/>
    <w:uiPriority w:val="0"/>
    <w:pPr>
      <w:ind w:left="600" w:leftChars="600"/>
    </w:pPr>
    <w:rPr>
      <w:rFonts w:ascii="Times New Roman" w:hAnsi="Times New Roman" w:eastAsia="宋体" w:cs="Times New Roman"/>
    </w:rPr>
  </w:style>
  <w:style w:type="paragraph" w:styleId="32">
    <w:name w:val="toc 5"/>
    <w:basedOn w:val="1"/>
    <w:next w:val="1"/>
    <w:uiPriority w:val="0"/>
    <w:pPr>
      <w:ind w:left="1680" w:leftChars="800"/>
    </w:pPr>
    <w:rPr>
      <w:rFonts w:ascii="Times New Roman" w:hAnsi="Times New Roman" w:eastAsia="宋体" w:cs="Times New Roman"/>
    </w:rPr>
  </w:style>
  <w:style w:type="paragraph" w:styleId="33">
    <w:name w:val="toc 3"/>
    <w:basedOn w:val="1"/>
    <w:next w:val="1"/>
    <w:uiPriority w:val="0"/>
    <w:pPr>
      <w:tabs>
        <w:tab w:val="right" w:leader="dot" w:pos="9170"/>
      </w:tabs>
      <w:ind w:left="360"/>
      <w:jc w:val="left"/>
    </w:pPr>
    <w:rPr>
      <w:rFonts w:ascii="Times New Roman" w:hAnsi="Times New Roman" w:eastAsia="宋体" w:cs="Times New Roman"/>
      <w:sz w:val="20"/>
      <w:szCs w:val="20"/>
    </w:rPr>
  </w:style>
  <w:style w:type="paragraph" w:styleId="34">
    <w:name w:val="Plain Text"/>
    <w:basedOn w:val="1"/>
    <w:next w:val="35"/>
    <w:link w:val="92"/>
    <w:uiPriority w:val="0"/>
    <w:rPr>
      <w:rFonts w:ascii="宋体" w:hAnsi="Courier New"/>
      <w:szCs w:val="20"/>
    </w:rPr>
  </w:style>
  <w:style w:type="paragraph" w:styleId="35">
    <w:name w:val="Date"/>
    <w:basedOn w:val="1"/>
    <w:next w:val="1"/>
    <w:link w:val="93"/>
    <w:uiPriority w:val="0"/>
    <w:pPr>
      <w:ind w:left="100"/>
    </w:pPr>
    <w:rPr>
      <w:sz w:val="24"/>
      <w:szCs w:val="20"/>
    </w:rPr>
  </w:style>
  <w:style w:type="paragraph" w:styleId="36">
    <w:name w:val="toc 8"/>
    <w:basedOn w:val="1"/>
    <w:next w:val="1"/>
    <w:uiPriority w:val="0"/>
    <w:pPr>
      <w:ind w:left="2940" w:leftChars="1400"/>
    </w:pPr>
    <w:rPr>
      <w:rFonts w:ascii="Times New Roman" w:hAnsi="Times New Roman" w:eastAsia="宋体" w:cs="Times New Roman"/>
    </w:rPr>
  </w:style>
  <w:style w:type="paragraph" w:styleId="37">
    <w:name w:val="index 3"/>
    <w:basedOn w:val="1"/>
    <w:next w:val="1"/>
    <w:uiPriority w:val="0"/>
    <w:pPr>
      <w:ind w:left="400" w:leftChars="400"/>
    </w:pPr>
    <w:rPr>
      <w:rFonts w:ascii="Times New Roman" w:hAnsi="Times New Roman" w:eastAsia="宋体" w:cs="Times New Roman"/>
    </w:rPr>
  </w:style>
  <w:style w:type="paragraph" w:styleId="38">
    <w:name w:val="Body Text Indent 2"/>
    <w:basedOn w:val="1"/>
    <w:link w:val="94"/>
    <w:uiPriority w:val="0"/>
    <w:pPr>
      <w:spacing w:after="120" w:line="480" w:lineRule="auto"/>
      <w:ind w:left="420" w:leftChars="200"/>
    </w:pPr>
  </w:style>
  <w:style w:type="paragraph" w:styleId="39">
    <w:name w:val="Balloon Text"/>
    <w:basedOn w:val="1"/>
    <w:link w:val="95"/>
    <w:uiPriority w:val="0"/>
    <w:rPr>
      <w:sz w:val="18"/>
      <w:szCs w:val="18"/>
    </w:rPr>
  </w:style>
  <w:style w:type="paragraph" w:styleId="40">
    <w:name w:val="footer"/>
    <w:basedOn w:val="1"/>
    <w:link w:val="96"/>
    <w:uiPriority w:val="0"/>
    <w:pPr>
      <w:tabs>
        <w:tab w:val="center" w:pos="4153"/>
        <w:tab w:val="right" w:pos="8306"/>
      </w:tabs>
      <w:snapToGrid w:val="0"/>
      <w:jc w:val="left"/>
    </w:pPr>
    <w:rPr>
      <w:sz w:val="18"/>
      <w:szCs w:val="18"/>
    </w:rPr>
  </w:style>
  <w:style w:type="paragraph" w:styleId="41">
    <w:name w:val="header"/>
    <w:basedOn w:val="1"/>
    <w:link w:val="97"/>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link w:val="98"/>
    <w:uiPriority w:val="0"/>
    <w:pPr>
      <w:tabs>
        <w:tab w:val="right" w:leader="dot" w:pos="9060"/>
        <w:tab w:val="right" w:leader="dot" w:pos="9170"/>
      </w:tabs>
      <w:jc w:val="center"/>
    </w:pPr>
    <w:rPr>
      <w:rFonts w:ascii="仿宋_GB2312" w:eastAsia="仿宋_GB2312"/>
      <w:b/>
      <w:caps/>
      <w:color w:val="000000"/>
      <w:sz w:val="20"/>
      <w:szCs w:val="20"/>
    </w:rPr>
  </w:style>
  <w:style w:type="paragraph" w:styleId="43">
    <w:name w:val="toc 4"/>
    <w:basedOn w:val="1"/>
    <w:next w:val="1"/>
    <w:uiPriority w:val="0"/>
    <w:pPr>
      <w:ind w:left="1260" w:leftChars="600"/>
    </w:pPr>
    <w:rPr>
      <w:rFonts w:ascii="Times New Roman" w:hAnsi="Times New Roman" w:eastAsia="宋体" w:cs="Times New Roman"/>
    </w:rPr>
  </w:style>
  <w:style w:type="paragraph" w:styleId="44">
    <w:name w:val="index heading"/>
    <w:basedOn w:val="1"/>
    <w:next w:val="45"/>
    <w:uiPriority w:val="0"/>
    <w:rPr>
      <w:rFonts w:ascii="Times New Roman" w:hAnsi="Times New Roman" w:eastAsia="宋体" w:cs="Times New Roman"/>
    </w:rPr>
  </w:style>
  <w:style w:type="paragraph" w:styleId="45">
    <w:name w:val="index 1"/>
    <w:basedOn w:val="1"/>
    <w:next w:val="1"/>
    <w:uiPriority w:val="0"/>
    <w:pPr>
      <w:widowControl/>
      <w:jc w:val="left"/>
    </w:pPr>
    <w:rPr>
      <w:rFonts w:ascii="Times New Roman" w:hAnsi="Times New Roman" w:eastAsia="宋体" w:cs="Times New Roman"/>
      <w:kern w:val="0"/>
      <w:sz w:val="24"/>
    </w:rPr>
  </w:style>
  <w:style w:type="paragraph" w:styleId="46">
    <w:name w:val="Subtitle"/>
    <w:basedOn w:val="1"/>
    <w:next w:val="1"/>
    <w:link w:val="99"/>
    <w:qFormat/>
    <w:uiPriority w:val="0"/>
    <w:pPr>
      <w:spacing w:before="240" w:after="60" w:line="312" w:lineRule="auto"/>
      <w:jc w:val="center"/>
      <w:outlineLvl w:val="1"/>
    </w:pPr>
    <w:rPr>
      <w:rFonts w:ascii="Calibri Light" w:hAnsi="Calibri Light"/>
      <w:b/>
      <w:bCs/>
      <w:kern w:val="28"/>
      <w:sz w:val="32"/>
      <w:szCs w:val="32"/>
    </w:rPr>
  </w:style>
  <w:style w:type="paragraph" w:styleId="47">
    <w:name w:val="List"/>
    <w:basedOn w:val="1"/>
    <w:uiPriority w:val="0"/>
    <w:pPr>
      <w:ind w:left="200" w:hanging="200" w:hangingChars="200"/>
    </w:pPr>
    <w:rPr>
      <w:rFonts w:ascii="Times New Roman" w:hAnsi="Times New Roman" w:eastAsia="宋体" w:cs="Times New Roman"/>
    </w:rPr>
  </w:style>
  <w:style w:type="paragraph" w:styleId="48">
    <w:name w:val="toc 6"/>
    <w:basedOn w:val="1"/>
    <w:next w:val="1"/>
    <w:uiPriority w:val="0"/>
    <w:pPr>
      <w:ind w:left="2100" w:leftChars="1000"/>
    </w:pPr>
    <w:rPr>
      <w:rFonts w:ascii="Times New Roman" w:hAnsi="Times New Roman" w:eastAsia="宋体" w:cs="Times New Roman"/>
    </w:rPr>
  </w:style>
  <w:style w:type="paragraph" w:styleId="49">
    <w:name w:val="Body Text Indent 3"/>
    <w:basedOn w:val="1"/>
    <w:link w:val="100"/>
    <w:uiPriority w:val="0"/>
    <w:pPr>
      <w:spacing w:after="120"/>
      <w:ind w:left="420" w:leftChars="200"/>
    </w:pPr>
    <w:rPr>
      <w:sz w:val="16"/>
      <w:szCs w:val="16"/>
    </w:rPr>
  </w:style>
  <w:style w:type="paragraph" w:styleId="50">
    <w:name w:val="index 7"/>
    <w:basedOn w:val="1"/>
    <w:next w:val="1"/>
    <w:uiPriority w:val="0"/>
    <w:pPr>
      <w:ind w:left="1200" w:leftChars="1200"/>
    </w:pPr>
    <w:rPr>
      <w:rFonts w:ascii="Times New Roman" w:hAnsi="Times New Roman" w:eastAsia="宋体" w:cs="Times New Roman"/>
    </w:rPr>
  </w:style>
  <w:style w:type="paragraph" w:styleId="51">
    <w:name w:val="index 9"/>
    <w:basedOn w:val="1"/>
    <w:next w:val="1"/>
    <w:uiPriority w:val="0"/>
    <w:pPr>
      <w:ind w:left="1600" w:leftChars="1600"/>
    </w:pPr>
    <w:rPr>
      <w:rFonts w:ascii="Times New Roman" w:hAnsi="Times New Roman" w:eastAsia="宋体" w:cs="Times New Roman"/>
    </w:rPr>
  </w:style>
  <w:style w:type="paragraph" w:styleId="52">
    <w:name w:val="table of figures"/>
    <w:basedOn w:val="1"/>
    <w:next w:val="1"/>
    <w:uiPriority w:val="0"/>
    <w:pPr>
      <w:spacing w:line="560" w:lineRule="exact"/>
    </w:pPr>
    <w:rPr>
      <w:rFonts w:ascii="Times New Roman" w:hAnsi="Times New Roman" w:eastAsia="宋体" w:cs="Times New Roman"/>
      <w:b/>
      <w:sz w:val="28"/>
    </w:rPr>
  </w:style>
  <w:style w:type="paragraph" w:styleId="53">
    <w:name w:val="toc 2"/>
    <w:basedOn w:val="1"/>
    <w:next w:val="1"/>
    <w:uiPriority w:val="0"/>
    <w:pPr>
      <w:tabs>
        <w:tab w:val="right" w:leader="dot" w:pos="9170"/>
      </w:tabs>
      <w:ind w:left="210" w:firstLine="150"/>
      <w:jc w:val="left"/>
    </w:pPr>
    <w:rPr>
      <w:rFonts w:ascii="Times New Roman" w:hAnsi="Times New Roman" w:eastAsia="宋体" w:cs="Times New Roman"/>
      <w:smallCaps/>
      <w:sz w:val="20"/>
      <w:szCs w:val="20"/>
    </w:rPr>
  </w:style>
  <w:style w:type="paragraph" w:styleId="54">
    <w:name w:val="toc 9"/>
    <w:basedOn w:val="1"/>
    <w:next w:val="1"/>
    <w:uiPriority w:val="0"/>
    <w:pPr>
      <w:ind w:left="3360" w:leftChars="1600"/>
    </w:pPr>
    <w:rPr>
      <w:rFonts w:ascii="Times New Roman" w:hAnsi="Times New Roman" w:eastAsia="宋体" w:cs="Times New Roman"/>
    </w:rPr>
  </w:style>
  <w:style w:type="paragraph" w:styleId="55">
    <w:name w:val="Body Text 2"/>
    <w:basedOn w:val="1"/>
    <w:link w:val="101"/>
    <w:uiPriority w:val="0"/>
    <w:pPr>
      <w:spacing w:after="120" w:line="480" w:lineRule="auto"/>
    </w:pPr>
  </w:style>
  <w:style w:type="paragraph" w:styleId="56">
    <w:name w:val="HTML Preformatted"/>
    <w:basedOn w:val="1"/>
    <w:link w:val="10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hAnsi="Arial"/>
      <w:kern w:val="0"/>
      <w:sz w:val="23"/>
      <w:szCs w:val="23"/>
    </w:rPr>
  </w:style>
  <w:style w:type="paragraph" w:styleId="57">
    <w:name w:val="Normal (Web)"/>
    <w:basedOn w:val="1"/>
    <w:uiPriority w:val="0"/>
    <w:pPr>
      <w:widowControl/>
      <w:spacing w:before="100" w:beforeAutospacing="1" w:after="100" w:afterAutospacing="1"/>
      <w:jc w:val="left"/>
    </w:pPr>
    <w:rPr>
      <w:rFonts w:ascii="宋体" w:hAnsi="宋体" w:eastAsia="宋体" w:cs="宋体"/>
      <w:kern w:val="0"/>
      <w:sz w:val="24"/>
    </w:rPr>
  </w:style>
  <w:style w:type="paragraph" w:styleId="58">
    <w:name w:val="index 2"/>
    <w:basedOn w:val="1"/>
    <w:next w:val="1"/>
    <w:uiPriority w:val="0"/>
    <w:pPr>
      <w:spacing w:line="560" w:lineRule="exact"/>
      <w:ind w:left="200" w:leftChars="200"/>
    </w:pPr>
    <w:rPr>
      <w:rFonts w:ascii="Times New Roman" w:hAnsi="Times New Roman" w:eastAsia="宋体" w:cs="Times New Roman"/>
      <w:sz w:val="28"/>
    </w:rPr>
  </w:style>
  <w:style w:type="paragraph" w:styleId="59">
    <w:name w:val="Title"/>
    <w:basedOn w:val="60"/>
    <w:next w:val="60"/>
    <w:link w:val="103"/>
    <w:qFormat/>
    <w:uiPriority w:val="0"/>
    <w:pPr>
      <w:widowControl/>
      <w:spacing w:before="240" w:after="60"/>
      <w:jc w:val="center"/>
      <w:outlineLvl w:val="0"/>
    </w:pPr>
    <w:rPr>
      <w:rFonts w:ascii="Cambria" w:hAnsi="Cambria"/>
      <w:b/>
      <w:bCs/>
      <w:kern w:val="0"/>
      <w:sz w:val="32"/>
      <w:szCs w:val="32"/>
    </w:rPr>
  </w:style>
  <w:style w:type="paragraph" w:customStyle="1" w:styleId="60">
    <w:name w:val="正文_2"/>
    <w:uiPriority w:val="0"/>
    <w:pPr>
      <w:widowControl w:val="0"/>
      <w:jc w:val="both"/>
    </w:pPr>
    <w:rPr>
      <w:kern w:val="2"/>
      <w:sz w:val="21"/>
      <w:szCs w:val="22"/>
      <w:lang w:val="en-US" w:eastAsia="zh-CN" w:bidi="ar-SA"/>
    </w:rPr>
  </w:style>
  <w:style w:type="paragraph" w:styleId="61">
    <w:name w:val="annotation subject"/>
    <w:basedOn w:val="22"/>
    <w:next w:val="22"/>
    <w:link w:val="104"/>
    <w:uiPriority w:val="0"/>
    <w:rPr>
      <w:b/>
      <w:bCs/>
      <w:kern w:val="0"/>
      <w:szCs w:val="20"/>
    </w:rPr>
  </w:style>
  <w:style w:type="table" w:styleId="63">
    <w:name w:val="Table Grid"/>
    <w:basedOn w:val="62"/>
    <w:uiPriority w:val="0"/>
    <w:pPr>
      <w:widowControl w:val="0"/>
      <w:jc w:val="both"/>
    </w:pPr>
    <w:rPr>
      <w:rFonts w:ascii="Times New Roman" w:hAnsi="Times New Roman" w:eastAsia="宋体" w:cs="Times New Roman"/>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Colorful List Accent 1"/>
    <w:basedOn w:val="62"/>
    <w:uiPriority w:val="0"/>
    <w:rPr>
      <w:rFonts w:ascii="Times New Roman" w:hAnsi="Times New Roman" w:eastAsia="宋体" w:cs="Times New Roman"/>
      <w:kern w:val="2"/>
      <w:sz w:val="21"/>
      <w:szCs w:val="22"/>
    </w:rPr>
    <w:tblPr>
      <w:tblStyle w:val="62"/>
      <w:tblStyleRowBandSize w:val="1"/>
      <w:tblStyleColBandSize w:val="1"/>
    </w:tblPr>
    <w:tcPr>
      <w:shd w:val="clear" w:color="auto" w:fill="EDF2F8"/>
    </w:tcPr>
    <w:tblStylePr w:type="firstRow">
      <w:rPr>
        <w:b/>
        <w:bCs/>
        <w:color w:val="FFFFFF"/>
      </w:rPr>
      <w:tblPr>
        <w:tblStyle w:val="62"/>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blStyle w:val="62"/>
      </w:tblPr>
      <w:tcPr>
        <w:tcBorders>
          <w:top w:val="single" w:color="auto"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62"/>
      </w:tblPr>
      <w:tcPr>
        <w:tcBorders>
          <w:top w:val="nil"/>
          <w:left w:val="nil"/>
          <w:bottom w:val="nil"/>
          <w:right w:val="nil"/>
          <w:insideH w:val="nil"/>
          <w:insideV w:val="nil"/>
          <w:tl2br w:val="nil"/>
          <w:tr2bl w:val="nil"/>
        </w:tcBorders>
        <w:shd w:val="clear" w:color="auto" w:fill="D3DFEE"/>
      </w:tcPr>
    </w:tblStylePr>
    <w:tblStylePr w:type="band1Horz">
      <w:tblPr>
        <w:tblStyle w:val="62"/>
      </w:tblPr>
      <w:tcPr>
        <w:shd w:val="clear" w:color="auto" w:fill="DBE5F1"/>
      </w:tcPr>
    </w:tblStylePr>
  </w:style>
  <w:style w:type="character" w:styleId="66">
    <w:name w:val="Strong"/>
    <w:qFormat/>
    <w:uiPriority w:val="0"/>
    <w:rPr>
      <w:rFonts w:ascii="Times New Roman" w:hAnsi="Times New Roman" w:eastAsia="宋体" w:cs="Times New Roman"/>
      <w:b/>
      <w:bCs/>
    </w:rPr>
  </w:style>
  <w:style w:type="character" w:styleId="67">
    <w:name w:val="page number"/>
    <w:uiPriority w:val="0"/>
    <w:rPr>
      <w:rFonts w:ascii="Times New Roman" w:hAnsi="Times New Roman" w:eastAsia="宋体" w:cs="Times New Roman"/>
    </w:rPr>
  </w:style>
  <w:style w:type="character" w:styleId="68">
    <w:name w:val="FollowedHyperlink"/>
    <w:uiPriority w:val="0"/>
    <w:rPr>
      <w:rFonts w:ascii="Times New Roman" w:hAnsi="Times New Roman" w:eastAsia="宋体" w:cs="Times New Roman"/>
      <w:color w:val="800080"/>
      <w:u w:val="single"/>
    </w:rPr>
  </w:style>
  <w:style w:type="character" w:styleId="69">
    <w:name w:val="Emphasis"/>
    <w:qFormat/>
    <w:uiPriority w:val="0"/>
    <w:rPr>
      <w:rFonts w:ascii="Times New Roman" w:hAnsi="Times New Roman" w:eastAsia="宋体" w:cs="Times New Roman"/>
      <w:i/>
      <w:iCs/>
    </w:rPr>
  </w:style>
  <w:style w:type="character" w:styleId="70">
    <w:name w:val="Hyperlink"/>
    <w:uiPriority w:val="0"/>
    <w:rPr>
      <w:rFonts w:ascii="Times New Roman" w:hAnsi="Times New Roman" w:eastAsia="宋体" w:cs="Times New Roman"/>
      <w:color w:val="0000FF"/>
      <w:u w:val="single"/>
    </w:rPr>
  </w:style>
  <w:style w:type="character" w:styleId="71">
    <w:name w:val="HTML Code"/>
    <w:uiPriority w:val="0"/>
    <w:rPr>
      <w:rFonts w:ascii="宋体" w:hAnsi="宋体" w:eastAsia="宋体" w:cs="宋体"/>
      <w:sz w:val="24"/>
      <w:szCs w:val="24"/>
    </w:rPr>
  </w:style>
  <w:style w:type="character" w:styleId="72">
    <w:name w:val="annotation reference"/>
    <w:uiPriority w:val="0"/>
    <w:rPr>
      <w:rFonts w:ascii="Times New Roman" w:hAnsi="Times New Roman" w:eastAsia="宋体" w:cs="Times New Roman"/>
      <w:sz w:val="21"/>
      <w:szCs w:val="21"/>
    </w:rPr>
  </w:style>
  <w:style w:type="character" w:styleId="73">
    <w:name w:val="HTML Sample"/>
    <w:unhideWhenUsed/>
    <w:uiPriority w:val="99"/>
    <w:rPr>
      <w:rFonts w:ascii="Courier New" w:hAnsi="Courier New"/>
    </w:rPr>
  </w:style>
  <w:style w:type="character" w:customStyle="1" w:styleId="74">
    <w:name w:val="标题 1 字符"/>
    <w:link w:val="2"/>
    <w:uiPriority w:val="0"/>
    <w:rPr>
      <w:rFonts w:ascii="Times New Roman" w:hAnsi="Times New Roman" w:eastAsia="宋体" w:cs="Times New Roman"/>
      <w:b/>
      <w:bCs/>
      <w:kern w:val="44"/>
      <w:sz w:val="44"/>
      <w:szCs w:val="44"/>
    </w:rPr>
  </w:style>
  <w:style w:type="character" w:customStyle="1" w:styleId="75">
    <w:name w:val="标题 2 字符"/>
    <w:link w:val="3"/>
    <w:uiPriority w:val="0"/>
    <w:rPr>
      <w:rFonts w:ascii="仿宋_GB2312" w:hAnsi="宋体" w:eastAsia="仿宋_GB2312" w:cs="Times New Roman"/>
      <w:b/>
      <w:sz w:val="30"/>
    </w:rPr>
  </w:style>
  <w:style w:type="character" w:customStyle="1" w:styleId="76">
    <w:name w:val="标题 3 字符"/>
    <w:link w:val="4"/>
    <w:uiPriority w:val="0"/>
    <w:rPr>
      <w:rFonts w:ascii="Times New Roman" w:hAnsi="Times New Roman" w:eastAsia="仿宋_GB2312" w:cs="Times New Roman"/>
      <w:b/>
      <w:kern w:val="2"/>
      <w:sz w:val="32"/>
    </w:rPr>
  </w:style>
  <w:style w:type="character" w:customStyle="1" w:styleId="77">
    <w:name w:val="标题 4 字符"/>
    <w:link w:val="5"/>
    <w:uiPriority w:val="0"/>
    <w:rPr>
      <w:rFonts w:ascii="Cambria" w:hAnsi="Cambria" w:eastAsia="宋体" w:cs="Times New Roman"/>
      <w:b/>
      <w:bCs/>
      <w:kern w:val="2"/>
      <w:sz w:val="28"/>
      <w:szCs w:val="28"/>
    </w:rPr>
  </w:style>
  <w:style w:type="character" w:customStyle="1" w:styleId="78">
    <w:name w:val="标题 5 字符"/>
    <w:link w:val="6"/>
    <w:uiPriority w:val="0"/>
    <w:rPr>
      <w:rFonts w:ascii="Times New Roman" w:hAnsi="Times New Roman" w:eastAsia="宋体" w:cs="Times New Roman"/>
      <w:b/>
      <w:bCs/>
      <w:kern w:val="2"/>
      <w:sz w:val="28"/>
      <w:szCs w:val="28"/>
    </w:rPr>
  </w:style>
  <w:style w:type="character" w:customStyle="1" w:styleId="79">
    <w:name w:val="标题 6 字符"/>
    <w:link w:val="7"/>
    <w:uiPriority w:val="0"/>
    <w:rPr>
      <w:rFonts w:ascii="Times New Roman" w:hAnsi="Times New Roman" w:eastAsia="宋体" w:cs="Times New Roman"/>
      <w:b/>
      <w:bCs/>
      <w:szCs w:val="24"/>
    </w:rPr>
  </w:style>
  <w:style w:type="character" w:customStyle="1" w:styleId="80">
    <w:name w:val="标题 7 字符"/>
    <w:link w:val="8"/>
    <w:uiPriority w:val="0"/>
    <w:rPr>
      <w:rFonts w:ascii="仿宋_GB2312" w:hAnsi="Times New Roman" w:eastAsia="仿宋_GB2312" w:cs="Times New Roman"/>
      <w:sz w:val="36"/>
    </w:rPr>
  </w:style>
  <w:style w:type="character" w:customStyle="1" w:styleId="81">
    <w:name w:val="标题 8 字符"/>
    <w:link w:val="9"/>
    <w:uiPriority w:val="0"/>
    <w:rPr>
      <w:rFonts w:ascii="Arial" w:hAnsi="Arial" w:eastAsia="黑体" w:cs="Times New Roman"/>
      <w:sz w:val="24"/>
    </w:rPr>
  </w:style>
  <w:style w:type="character" w:customStyle="1" w:styleId="82">
    <w:name w:val="标题 9 字符"/>
    <w:link w:val="10"/>
    <w:uiPriority w:val="0"/>
    <w:rPr>
      <w:rFonts w:ascii="Arial" w:hAnsi="Arial" w:eastAsia="黑体" w:cs="Times New Roman"/>
      <w:sz w:val="28"/>
    </w:rPr>
  </w:style>
  <w:style w:type="character" w:customStyle="1" w:styleId="83">
    <w:name w:val="正文缩进 字符"/>
    <w:link w:val="15"/>
    <w:qFormat/>
    <w:uiPriority w:val="0"/>
    <w:rPr>
      <w:rFonts w:ascii="宋体" w:hAnsi="Courier New" w:eastAsia="宋体" w:cs="Times New Roman"/>
      <w:kern w:val="2"/>
      <w:sz w:val="21"/>
    </w:rPr>
  </w:style>
  <w:style w:type="character" w:customStyle="1" w:styleId="84">
    <w:name w:val="正文文本缩进 字符"/>
    <w:link w:val="16"/>
    <w:uiPriority w:val="0"/>
    <w:rPr>
      <w:rFonts w:ascii="宋体" w:hAnsi="Courier New" w:eastAsia="宋体" w:cs="Times New Roman"/>
      <w:spacing w:val="-4"/>
      <w:kern w:val="2"/>
      <w:sz w:val="18"/>
    </w:rPr>
  </w:style>
  <w:style w:type="character" w:customStyle="1" w:styleId="85">
    <w:name w:val="正文文本首行缩进 2 字符"/>
    <w:link w:val="17"/>
    <w:uiPriority w:val="0"/>
    <w:rPr>
      <w:rFonts w:ascii="Times New Roman" w:hAnsi="Times New Roman" w:eastAsia="宋体" w:cs="Times New Roman"/>
      <w:spacing w:val="-4"/>
      <w:kern w:val="2"/>
      <w:sz w:val="24"/>
      <w:szCs w:val="24"/>
    </w:rPr>
  </w:style>
  <w:style w:type="character" w:customStyle="1" w:styleId="86">
    <w:name w:val="题注 字符"/>
    <w:link w:val="18"/>
    <w:uiPriority w:val="0"/>
    <w:rPr>
      <w:rFonts w:ascii="Arial" w:hAnsi="Arial" w:eastAsia="黑体" w:cs="Arial"/>
      <w:kern w:val="2"/>
    </w:rPr>
  </w:style>
  <w:style w:type="character" w:customStyle="1" w:styleId="87">
    <w:name w:val="文档结构图 字符1"/>
    <w:link w:val="21"/>
    <w:uiPriority w:val="0"/>
    <w:rPr>
      <w:rFonts w:ascii="Times New Roman" w:hAnsi="Times New Roman" w:eastAsia="宋体" w:cs="Times New Roman"/>
      <w:sz w:val="24"/>
      <w:szCs w:val="24"/>
      <w:shd w:val="clear" w:color="auto" w:fill="000080"/>
    </w:rPr>
  </w:style>
  <w:style w:type="character" w:customStyle="1" w:styleId="88">
    <w:name w:val="批注文字 字符"/>
    <w:link w:val="22"/>
    <w:uiPriority w:val="0"/>
    <w:rPr>
      <w:rFonts w:ascii="Times New Roman" w:hAnsi="Times New Roman" w:eastAsia="宋体" w:cs="Times New Roman"/>
      <w:kern w:val="2"/>
      <w:sz w:val="21"/>
      <w:szCs w:val="22"/>
    </w:rPr>
  </w:style>
  <w:style w:type="character" w:customStyle="1" w:styleId="89">
    <w:name w:val="正文文本 3 字符"/>
    <w:link w:val="24"/>
    <w:uiPriority w:val="0"/>
    <w:rPr>
      <w:rFonts w:ascii="Times New Roman" w:hAnsi="Times New Roman" w:eastAsia="宋体" w:cs="Times New Roman"/>
      <w:kern w:val="2"/>
      <w:sz w:val="16"/>
      <w:szCs w:val="16"/>
    </w:rPr>
  </w:style>
  <w:style w:type="character" w:customStyle="1" w:styleId="90">
    <w:name w:val="正文文本 字符"/>
    <w:link w:val="25"/>
    <w:uiPriority w:val="0"/>
    <w:rPr>
      <w:rFonts w:ascii="仿宋_GB2312" w:hAnsi="宋体" w:eastAsia="仿宋_GB2312" w:cs="Times New Roman"/>
      <w:kern w:val="2"/>
      <w:sz w:val="24"/>
      <w:szCs w:val="21"/>
    </w:rPr>
  </w:style>
  <w:style w:type="character" w:customStyle="1" w:styleId="91">
    <w:name w:val="正文文本首行缩进 字符"/>
    <w:link w:val="26"/>
    <w:uiPriority w:val="0"/>
    <w:rPr>
      <w:rFonts w:ascii="Times New Roman" w:hAnsi="Times New Roman" w:eastAsia="仿宋_GB2312" w:cs="Times New Roman"/>
      <w:kern w:val="2"/>
      <w:sz w:val="24"/>
      <w:szCs w:val="24"/>
    </w:rPr>
  </w:style>
  <w:style w:type="character" w:customStyle="1" w:styleId="92">
    <w:name w:val="纯文本 字符"/>
    <w:link w:val="34"/>
    <w:uiPriority w:val="0"/>
    <w:rPr>
      <w:rFonts w:ascii="宋体" w:hAnsi="Courier New" w:eastAsia="宋体" w:cs="Times New Roman"/>
      <w:kern w:val="2"/>
      <w:sz w:val="21"/>
      <w:lang w:val="en-US" w:eastAsia="zh-CN" w:bidi="ar-SA"/>
    </w:rPr>
  </w:style>
  <w:style w:type="character" w:customStyle="1" w:styleId="93">
    <w:name w:val="日期 字符"/>
    <w:link w:val="35"/>
    <w:uiPriority w:val="0"/>
    <w:rPr>
      <w:rFonts w:ascii="Times New Roman" w:hAnsi="Times New Roman" w:eastAsia="宋体" w:cs="Times New Roman"/>
      <w:kern w:val="2"/>
      <w:sz w:val="24"/>
    </w:rPr>
  </w:style>
  <w:style w:type="character" w:customStyle="1" w:styleId="94">
    <w:name w:val="正文文本缩进 2 字符"/>
    <w:link w:val="38"/>
    <w:uiPriority w:val="0"/>
    <w:rPr>
      <w:rFonts w:ascii="Times New Roman" w:hAnsi="Times New Roman" w:eastAsia="宋体" w:cs="Times New Roman"/>
      <w:kern w:val="2"/>
      <w:sz w:val="21"/>
      <w:szCs w:val="24"/>
    </w:rPr>
  </w:style>
  <w:style w:type="character" w:customStyle="1" w:styleId="95">
    <w:name w:val="批注框文本 字符"/>
    <w:link w:val="39"/>
    <w:uiPriority w:val="0"/>
    <w:rPr>
      <w:rFonts w:ascii="Times New Roman" w:hAnsi="Times New Roman" w:eastAsia="宋体" w:cs="Times New Roman"/>
      <w:kern w:val="2"/>
      <w:sz w:val="18"/>
      <w:szCs w:val="18"/>
    </w:rPr>
  </w:style>
  <w:style w:type="character" w:customStyle="1" w:styleId="96">
    <w:name w:val="页脚 字符1"/>
    <w:link w:val="40"/>
    <w:uiPriority w:val="0"/>
    <w:rPr>
      <w:rFonts w:ascii="Times New Roman" w:hAnsi="Times New Roman" w:eastAsia="宋体" w:cs="Times New Roman"/>
      <w:kern w:val="2"/>
      <w:sz w:val="18"/>
      <w:szCs w:val="18"/>
      <w:lang w:val="en-US" w:eastAsia="zh-CN" w:bidi="ar-SA"/>
    </w:rPr>
  </w:style>
  <w:style w:type="character" w:customStyle="1" w:styleId="97">
    <w:name w:val="页眉 字符"/>
    <w:link w:val="41"/>
    <w:uiPriority w:val="0"/>
    <w:rPr>
      <w:rFonts w:ascii="Times New Roman" w:hAnsi="Times New Roman" w:eastAsia="宋体" w:cs="Times New Roman"/>
      <w:kern w:val="2"/>
      <w:sz w:val="18"/>
      <w:szCs w:val="18"/>
      <w:lang w:val="en-US" w:eastAsia="zh-CN" w:bidi="ar-SA"/>
    </w:rPr>
  </w:style>
  <w:style w:type="character" w:customStyle="1" w:styleId="98">
    <w:name w:val="TOC 1 字符"/>
    <w:link w:val="42"/>
    <w:uiPriority w:val="0"/>
    <w:rPr>
      <w:rFonts w:ascii="仿宋_GB2312" w:hAnsi="Times New Roman" w:eastAsia="仿宋_GB2312" w:cs="Times New Roman"/>
      <w:b/>
      <w:caps/>
      <w:color w:val="000000"/>
      <w:kern w:val="2"/>
    </w:rPr>
  </w:style>
  <w:style w:type="character" w:customStyle="1" w:styleId="99">
    <w:name w:val="副标题 字符"/>
    <w:link w:val="46"/>
    <w:uiPriority w:val="0"/>
    <w:rPr>
      <w:rFonts w:ascii="Calibri Light" w:hAnsi="Calibri Light" w:eastAsia="宋体" w:cs="Times New Roman"/>
      <w:b/>
      <w:bCs/>
      <w:kern w:val="28"/>
      <w:sz w:val="32"/>
      <w:szCs w:val="32"/>
    </w:rPr>
  </w:style>
  <w:style w:type="character" w:customStyle="1" w:styleId="100">
    <w:name w:val="正文文本缩进 3 字符"/>
    <w:link w:val="49"/>
    <w:uiPriority w:val="0"/>
    <w:rPr>
      <w:rFonts w:ascii="Times New Roman" w:hAnsi="Times New Roman" w:eastAsia="宋体" w:cs="Times New Roman"/>
      <w:kern w:val="2"/>
      <w:sz w:val="16"/>
      <w:szCs w:val="16"/>
    </w:rPr>
  </w:style>
  <w:style w:type="character" w:customStyle="1" w:styleId="101">
    <w:name w:val="正文文本 2 字符"/>
    <w:link w:val="55"/>
    <w:uiPriority w:val="0"/>
    <w:rPr>
      <w:rFonts w:ascii="Times New Roman" w:hAnsi="Times New Roman" w:eastAsia="宋体" w:cs="Times New Roman"/>
      <w:kern w:val="2"/>
      <w:sz w:val="21"/>
      <w:szCs w:val="24"/>
    </w:rPr>
  </w:style>
  <w:style w:type="character" w:customStyle="1" w:styleId="102">
    <w:name w:val="HTML 预设格式 字符"/>
    <w:link w:val="56"/>
    <w:uiPriority w:val="0"/>
    <w:rPr>
      <w:rFonts w:ascii="Arial" w:hAnsi="Arial" w:eastAsia="宋体" w:cs="Times New Roman"/>
      <w:sz w:val="23"/>
      <w:szCs w:val="23"/>
    </w:rPr>
  </w:style>
  <w:style w:type="character" w:customStyle="1" w:styleId="103">
    <w:name w:val="标题 字符"/>
    <w:link w:val="59"/>
    <w:uiPriority w:val="0"/>
    <w:rPr>
      <w:rFonts w:ascii="Cambria" w:hAnsi="Cambria" w:eastAsia="宋体" w:cs="Times New Roman"/>
      <w:b/>
      <w:bCs/>
      <w:sz w:val="32"/>
      <w:szCs w:val="32"/>
    </w:rPr>
  </w:style>
  <w:style w:type="character" w:customStyle="1" w:styleId="104">
    <w:name w:val="批注主题 字符"/>
    <w:link w:val="61"/>
    <w:uiPriority w:val="0"/>
    <w:rPr>
      <w:rFonts w:ascii="Times New Roman" w:hAnsi="Times New Roman" w:eastAsia="宋体" w:cs="Times New Roman"/>
      <w:b/>
      <w:bCs/>
      <w:sz w:val="21"/>
    </w:rPr>
  </w:style>
  <w:style w:type="character" w:customStyle="1" w:styleId="105">
    <w:name w:val="页脚字符"/>
    <w:uiPriority w:val="0"/>
    <w:rPr>
      <w:rFonts w:ascii="Times New Roman" w:hAnsi="Times New Roman" w:eastAsia="宋体" w:cs="Times New Roman"/>
      <w:kern w:val="0"/>
      <w:sz w:val="18"/>
      <w:szCs w:val="18"/>
    </w:rPr>
  </w:style>
  <w:style w:type="character" w:customStyle="1" w:styleId="106">
    <w:name w:val="页脚 字符"/>
    <w:uiPriority w:val="0"/>
    <w:rPr>
      <w:rFonts w:ascii="Tahoma" w:hAnsi="Tahoma" w:eastAsia="黑体" w:cs="Times New Roman"/>
      <w:snapToGrid w:val="0"/>
      <w:sz w:val="18"/>
      <w:szCs w:val="18"/>
      <w:lang w:val="en-US" w:eastAsia="zh-CN" w:bidi="ar-SA"/>
    </w:rPr>
  </w:style>
  <w:style w:type="character" w:customStyle="1" w:styleId="107">
    <w:name w:val="彩色列表 - 强调文字颜色 1字符"/>
    <w:aliases w:val="段落样式字符,符号1.1（天云科技）字符,符号列表字符,List字符,List1字符,lp1字符,Bullet List字符,FooterText字符,numbered字符,List Paragraph1CxSpLast字符,Paragraphe de liste1字符,·ûºÅÁÐ±í字符,¡¤?o?¨¢D¡À¨ª字符,?¡è?o?¡§¡éD?¨¤¡§a字符,??¨¨?o??¡ì?¨¦D?¡§¡è?¡ìa字符,?字符,new字符,序号字符,正文段落1字符"/>
    <w:uiPriority w:val="0"/>
    <w:rPr>
      <w:rFonts w:ascii="Calibri" w:hAnsi="Calibri" w:eastAsia="宋体" w:cs="Times New Roman"/>
      <w:kern w:val="2"/>
      <w:sz w:val="21"/>
      <w:szCs w:val="22"/>
    </w:rPr>
  </w:style>
  <w:style w:type="character" w:customStyle="1" w:styleId="108">
    <w:name w:val="apple-converted-space"/>
    <w:uiPriority w:val="0"/>
    <w:rPr>
      <w:rFonts w:ascii="Times New Roman" w:hAnsi="Times New Roman" w:eastAsia="宋体" w:cs="Times New Roman"/>
    </w:rPr>
  </w:style>
  <w:style w:type="character" w:customStyle="1" w:styleId="109">
    <w:name w:val="Char Char Char Char Char"/>
    <w:uiPriority w:val="0"/>
    <w:rPr>
      <w:rFonts w:ascii="宋体" w:hAnsi="宋体" w:eastAsia="宋体" w:cs="Times New Roman"/>
      <w:sz w:val="24"/>
      <w:szCs w:val="24"/>
      <w:lang w:val="en-US" w:eastAsia="zh-CN" w:bidi="ar-SA"/>
    </w:rPr>
  </w:style>
  <w:style w:type="character" w:customStyle="1" w:styleId="110">
    <w:name w:val="标题 3字符"/>
    <w:aliases w:val="C Sub-Sub/Italic字符,h3 sub heading字符,Head 3字符,Head 31字符,Head 32字符,C Sub-Sub/Italic1字符,Arial 12 Fett字符,H3字符,H31字符,H32字符,h3字符,3字符,L3字符,dd heading 3字符,dh3字符,sub-sub字符,3 bullet字符,b字符,(Alt+3)字符,(Alt+3)1字符,(Alt+3)2字符,(Alt+3)3字符,(Alt+3)4字符,(Alt+3)5字符"/>
    <w:uiPriority w:val="0"/>
    <w:rPr>
      <w:rFonts w:ascii="Times New Roman" w:hAnsi="Times New Roman" w:eastAsia="宋体" w:cs="Times New Roman"/>
      <w:b/>
      <w:bCs/>
      <w:kern w:val="0"/>
      <w:sz w:val="32"/>
      <w:szCs w:val="32"/>
    </w:rPr>
  </w:style>
  <w:style w:type="character" w:customStyle="1" w:styleId="111">
    <w:name w:val="批注框文本字符"/>
    <w:uiPriority w:val="0"/>
    <w:rPr>
      <w:rFonts w:ascii="Heiti SC Light" w:hAnsi="Times New Roman" w:eastAsia="Heiti SC Light" w:cs="Times New Roman"/>
      <w:kern w:val="0"/>
      <w:sz w:val="18"/>
      <w:szCs w:val="18"/>
    </w:rPr>
  </w:style>
  <w:style w:type="character" w:customStyle="1" w:styleId="112">
    <w:name w:val="页眉字符"/>
    <w:uiPriority w:val="0"/>
    <w:rPr>
      <w:rFonts w:ascii="Times New Roman" w:hAnsi="Times New Roman" w:eastAsia="宋体" w:cs="Times New Roman"/>
      <w:kern w:val="0"/>
      <w:sz w:val="18"/>
      <w:szCs w:val="18"/>
    </w:rPr>
  </w:style>
  <w:style w:type="character" w:customStyle="1" w:styleId="113">
    <w:name w:val="HTML 预设格式 Char2"/>
    <w:uiPriority w:val="0"/>
    <w:rPr>
      <w:rFonts w:ascii="Courier New" w:hAnsi="Courier New" w:eastAsia="宋体" w:cs="Courier New"/>
      <w:kern w:val="2"/>
    </w:rPr>
  </w:style>
  <w:style w:type="character" w:customStyle="1" w:styleId="114">
    <w:name w:val="普通文字 Char Char1"/>
    <w:aliases w:val="纯文本 Char Char Char,纯文本 Char Char1,Texte Char,普通文字 Char1,普通文字1 Char,普通文字2 Char,普通文字3 Char,普通文字4 Char,普通文字5 Char,普通文字6 Char,普通文字11 Char,普通文字21 Char,普通文字31 Char,普通文字41 Char,普通文字7 Char,正 文 1 Char,普通文字 Char Char Char1,纯文本 Char1,普通文字 Char Char4"/>
    <w:uiPriority w:val="0"/>
    <w:rPr>
      <w:rFonts w:ascii="宋体" w:hAnsi="Courier New" w:eastAsia="宋体" w:cs="Times New Roman"/>
      <w:kern w:val="2"/>
      <w:sz w:val="24"/>
      <w:szCs w:val="24"/>
      <w:lang w:val="en-US" w:eastAsia="zh-CN" w:bidi="ar-SA"/>
    </w:rPr>
  </w:style>
  <w:style w:type="character" w:customStyle="1" w:styleId="115">
    <w:name w:val="正文文本缩进 3字符1"/>
    <w:uiPriority w:val="0"/>
    <w:rPr>
      <w:rFonts w:ascii="Times New Roman" w:hAnsi="Times New Roman" w:eastAsia="宋体" w:cs="Times New Roman"/>
      <w:kern w:val="0"/>
      <w:sz w:val="16"/>
      <w:szCs w:val="16"/>
    </w:rPr>
  </w:style>
  <w:style w:type="character" w:customStyle="1" w:styleId="116">
    <w:name w:val="浅色网格 - 强调文字颜色 3字符"/>
    <w:uiPriority w:val="0"/>
    <w:rPr>
      <w:rFonts w:ascii="Times New Roman" w:hAnsi="Times New Roman" w:eastAsia="宋体" w:cs="Times New Roman"/>
      <w:kern w:val="2"/>
      <w:sz w:val="21"/>
      <w:szCs w:val="24"/>
    </w:rPr>
  </w:style>
  <w:style w:type="character" w:customStyle="1" w:styleId="117">
    <w:name w:val="标题 6字符"/>
    <w:aliases w:val="H6字符,BOD 4字符,Bullet list字符,PIM 6字符,第五层条字符,h6字符,Legal Level 1.字符,(I)字符,•H6字符,Ref Heading 3字符,rh3字符,Ref Heading 31字符,rh31字符,H61字符,Third Subheading字符,(L6)字符,Bullet (Single Lines)字符,6字符,Bullet list1字符,Bullet list2字符,Bullet list11字符,Bullet list3字符"/>
    <w:uiPriority w:val="0"/>
    <w:rPr>
      <w:rFonts w:ascii="Cambria" w:hAnsi="Cambria" w:eastAsia="宋体" w:cs="Times New Roman"/>
      <w:b/>
      <w:bCs/>
      <w:kern w:val="0"/>
    </w:rPr>
  </w:style>
  <w:style w:type="character" w:customStyle="1" w:styleId="118">
    <w:name w:val="font51"/>
    <w:uiPriority w:val="0"/>
    <w:rPr>
      <w:rFonts w:hint="eastAsia" w:ascii="微软雅黑" w:hAnsi="微软雅黑" w:eastAsia="微软雅黑" w:cs="微软雅黑"/>
      <w:b/>
      <w:color w:val="FF0000"/>
      <w:sz w:val="24"/>
      <w:szCs w:val="24"/>
      <w:u w:val="none"/>
    </w:rPr>
  </w:style>
  <w:style w:type="character" w:customStyle="1" w:styleId="119">
    <w:name w:val="纯文本字符"/>
    <w:aliases w:val="正 文 1字符,普通文字 Char字符,普通文字1字符,普通文字2字符,普通文字3字符,普通文字4字符,普通文字5字符,普通文字6字符,普通文字11字符,普通文字21字符,普通文字31字符,普通文字41字符,普通文字7字符,普通文字 Char Char字符,纯文本 Char字符,纯文本 Char Char字符,普通文字字符,纯文本 Char1 Char Char字符,纯文本 Char Char Char Char字符,纯文本 Char Char1字符,纯文本 Char1 Char字符"/>
    <w:uiPriority w:val="0"/>
    <w:rPr>
      <w:rFonts w:ascii="宋体" w:hAnsi="Courier" w:eastAsia="宋体" w:cs="Times New Roman"/>
      <w:kern w:val="0"/>
    </w:rPr>
  </w:style>
  <w:style w:type="character" w:customStyle="1" w:styleId="120">
    <w:name w:val="font21"/>
    <w:uiPriority w:val="0"/>
    <w:rPr>
      <w:rFonts w:hint="eastAsia" w:ascii="微软雅黑" w:hAnsi="微软雅黑" w:eastAsia="微软雅黑" w:cs="微软雅黑"/>
      <w:color w:val="000000"/>
      <w:sz w:val="24"/>
      <w:szCs w:val="24"/>
      <w:u w:val="none"/>
    </w:rPr>
  </w:style>
  <w:style w:type="character" w:customStyle="1" w:styleId="121">
    <w:name w:val="表格非标题文字 Char"/>
    <w:uiPriority w:val="0"/>
    <w:rPr>
      <w:rFonts w:ascii="Futura Bk" w:hAnsi="Futura Bk" w:eastAsia="宋体" w:cs="Times New Roman"/>
      <w:kern w:val="2"/>
      <w:sz w:val="18"/>
      <w:szCs w:val="21"/>
    </w:rPr>
  </w:style>
  <w:style w:type="character" w:customStyle="1" w:styleId="122">
    <w:name w:val="列出段落 Char"/>
    <w:aliases w:val="段落样式 Char,List1 Char,List11 Char,Bullet List Char,FooterText Char,numbered Char,Paragraphe de liste1 Char,符号列表 Char,编号 Char,表格段落 Char,lp1 Char,Light Grid Accent 3 Char,中等深浅网格 1 - 强调文字颜色 21 Char,List111 Char,List1111 Char,List11111 Char,列表1 Char"/>
    <w:link w:val="123"/>
    <w:uiPriority w:val="0"/>
    <w:rPr>
      <w:rFonts w:ascii="Calibri" w:hAnsi="Calibri" w:eastAsia="宋体" w:cs="Times New Roman"/>
      <w:kern w:val="2"/>
      <w:sz w:val="21"/>
      <w:szCs w:val="22"/>
    </w:rPr>
  </w:style>
  <w:style w:type="paragraph" w:customStyle="1" w:styleId="123">
    <w:name w:val="列出段落2"/>
    <w:basedOn w:val="1"/>
    <w:link w:val="122"/>
    <w:uiPriority w:val="0"/>
    <w:pPr>
      <w:ind w:firstLine="420" w:firstLineChars="200"/>
    </w:pPr>
    <w:rPr>
      <w:rFonts w:ascii="Calibri" w:hAnsi="Calibri"/>
      <w:szCs w:val="22"/>
    </w:rPr>
  </w:style>
  <w:style w:type="character" w:customStyle="1" w:styleId="124">
    <w:name w:val="正文文本缩进 3 字符1"/>
    <w:uiPriority w:val="0"/>
    <w:rPr>
      <w:rFonts w:ascii="仿宋_GB2312" w:hAnsi="宋体" w:eastAsia="仿宋_GB2312" w:cs="Times New Roman"/>
      <w:color w:val="000000"/>
      <w:kern w:val="2"/>
      <w:sz w:val="24"/>
      <w:szCs w:val="24"/>
      <w:lang w:val="en-US" w:eastAsia="zh-CN" w:bidi="ar-SA"/>
    </w:rPr>
  </w:style>
  <w:style w:type="character" w:customStyle="1" w:styleId="125">
    <w:name w:val="正文文本 3 Char1"/>
    <w:uiPriority w:val="0"/>
    <w:rPr>
      <w:rFonts w:ascii="Times New Roman" w:hAnsi="Times New Roman" w:eastAsia="宋体" w:cs="Times New Roman"/>
      <w:kern w:val="2"/>
      <w:sz w:val="16"/>
      <w:szCs w:val="16"/>
    </w:rPr>
  </w:style>
  <w:style w:type="character" w:customStyle="1" w:styleId="126">
    <w:name w:val="Item List in Table Char Char"/>
    <w:link w:val="127"/>
    <w:uiPriority w:val="0"/>
    <w:rPr>
      <w:rFonts w:ascii="Arial" w:hAnsi="Arial" w:eastAsia="Times New Roman"/>
      <w:sz w:val="18"/>
      <w:szCs w:val="18"/>
      <w:lang w:val="en-US" w:eastAsia="zh-CN" w:bidi="ar-SA"/>
    </w:rPr>
  </w:style>
  <w:style w:type="paragraph" w:customStyle="1" w:styleId="127">
    <w:name w:val="Item List in Table"/>
    <w:link w:val="126"/>
    <w:uiPriority w:val="0"/>
    <w:pPr>
      <w:tabs>
        <w:tab w:val="left" w:pos="284"/>
        <w:tab w:val="left" w:pos="1678"/>
      </w:tabs>
      <w:spacing w:before="40" w:after="40"/>
      <w:ind w:left="1678" w:hanging="419"/>
      <w:jc w:val="both"/>
    </w:pPr>
    <w:rPr>
      <w:rFonts w:ascii="Arial" w:hAnsi="Arial" w:eastAsia="Times New Roman"/>
      <w:sz w:val="18"/>
      <w:szCs w:val="18"/>
      <w:lang w:val="en-US" w:eastAsia="zh-CN" w:bidi="ar-SA"/>
    </w:rPr>
  </w:style>
  <w:style w:type="character" w:customStyle="1" w:styleId="128">
    <w:name w:val="正文缩进字符"/>
    <w:aliases w:val="表正文字符,正文非缩进字符,ind:txt字符,s4字符,特点字符,首行缩进字符,四号字符,特点 Char Char Char Char Char Char Char Char Char Char Char Char Char Char Char Char Char Char Char Char Char Char Char Char Char Char Char Char Char Char Char Char字符,水上软件字符,段1字符,正文不缩进字符,±íÕýÎÄ字符,±í字符"/>
    <w:uiPriority w:val="0"/>
    <w:rPr>
      <w:rFonts w:ascii="Times New Roman" w:hAnsi="Times New Roman" w:eastAsia="宋体" w:cs="Times New Roman"/>
      <w:kern w:val="2"/>
      <w:sz w:val="28"/>
    </w:rPr>
  </w:style>
  <w:style w:type="character" w:customStyle="1" w:styleId="129">
    <w:name w:val="正文文本缩进 Char1"/>
    <w:uiPriority w:val="0"/>
    <w:rPr>
      <w:rFonts w:ascii="Times New Roman" w:hAnsi="Times New Roman" w:eastAsia="宋体" w:cs="Times New Roman"/>
      <w:kern w:val="2"/>
      <w:sz w:val="21"/>
      <w:szCs w:val="24"/>
    </w:rPr>
  </w:style>
  <w:style w:type="character" w:customStyle="1" w:styleId="130">
    <w:name w:val="bold1"/>
    <w:uiPriority w:val="0"/>
    <w:rPr>
      <w:rFonts w:ascii="Times New Roman" w:hAnsi="Times New Roman" w:eastAsia="宋体" w:cs="Times New Roman"/>
      <w:b/>
      <w:bCs/>
    </w:rPr>
  </w:style>
  <w:style w:type="character" w:customStyle="1" w:styleId="131">
    <w:name w:val="表格文字 Char"/>
    <w:link w:val="132"/>
    <w:uiPriority w:val="0"/>
    <w:rPr>
      <w:rFonts w:ascii="Times New Roman" w:hAnsi="Times New Roman" w:eastAsia="宋体" w:cs="Times New Roman"/>
      <w:sz w:val="18"/>
    </w:rPr>
  </w:style>
  <w:style w:type="paragraph" w:customStyle="1" w:styleId="132">
    <w:name w:val="表格文字"/>
    <w:basedOn w:val="1"/>
    <w:link w:val="131"/>
    <w:uiPriority w:val="0"/>
    <w:pPr>
      <w:jc w:val="left"/>
      <w:textAlignment w:val="top"/>
    </w:pPr>
    <w:rPr>
      <w:kern w:val="0"/>
      <w:sz w:val="18"/>
      <w:szCs w:val="20"/>
    </w:rPr>
  </w:style>
  <w:style w:type="character" w:customStyle="1" w:styleId="133">
    <w:name w:val="纯文本 Char2"/>
    <w:uiPriority w:val="0"/>
    <w:rPr>
      <w:rFonts w:ascii="宋体" w:hAnsi="Courier New" w:eastAsia="宋体" w:cs="Times New Roman"/>
    </w:rPr>
  </w:style>
  <w:style w:type="character" w:customStyle="1" w:styleId="134">
    <w:name w:val="批注主题 Char"/>
    <w:uiPriority w:val="0"/>
    <w:rPr>
      <w:rFonts w:ascii="Times New Roman" w:hAnsi="Times New Roman" w:eastAsia="宋体" w:cs="Times New Roman"/>
      <w:b/>
      <w:bCs/>
      <w:kern w:val="2"/>
      <w:sz w:val="21"/>
      <w:szCs w:val="22"/>
    </w:rPr>
  </w:style>
  <w:style w:type="character" w:customStyle="1" w:styleId="135">
    <w:name w:val="仿宋4号 Char"/>
    <w:link w:val="136"/>
    <w:uiPriority w:val="0"/>
    <w:rPr>
      <w:rFonts w:ascii="仿宋" w:hAnsi="仿宋" w:eastAsia="仿宋" w:cs="Times New Roman"/>
      <w:sz w:val="28"/>
      <w:szCs w:val="28"/>
    </w:rPr>
  </w:style>
  <w:style w:type="paragraph" w:customStyle="1" w:styleId="136">
    <w:name w:val="仿宋4号"/>
    <w:basedOn w:val="1"/>
    <w:link w:val="135"/>
    <w:uiPriority w:val="0"/>
    <w:pPr>
      <w:spacing w:line="360" w:lineRule="auto"/>
      <w:ind w:firstLine="560" w:firstLineChars="200"/>
    </w:pPr>
    <w:rPr>
      <w:rFonts w:ascii="仿宋" w:hAnsi="仿宋" w:eastAsia="仿宋"/>
      <w:kern w:val="0"/>
      <w:sz w:val="28"/>
      <w:szCs w:val="28"/>
    </w:rPr>
  </w:style>
  <w:style w:type="character" w:customStyle="1" w:styleId="137">
    <w:name w:val=" Char Char1"/>
    <w:uiPriority w:val="0"/>
    <w:rPr>
      <w:rFonts w:ascii="Times New Roman" w:hAnsi="Times New Roman" w:eastAsia="黑体" w:cs="Times New Roman"/>
      <w:snapToGrid w:val="0"/>
      <w:sz w:val="18"/>
      <w:szCs w:val="18"/>
      <w:lang w:val="en-US" w:eastAsia="zh-CN" w:bidi="ar-SA"/>
    </w:rPr>
  </w:style>
  <w:style w:type="character" w:customStyle="1" w:styleId="138">
    <w:name w:val="标书正文 Char"/>
    <w:link w:val="139"/>
    <w:uiPriority w:val="0"/>
    <w:rPr>
      <w:rFonts w:ascii="Calibri" w:hAnsi="Calibri" w:eastAsia="宋体" w:cs="Times New Roman"/>
      <w:kern w:val="2"/>
      <w:sz w:val="24"/>
      <w:szCs w:val="24"/>
    </w:rPr>
  </w:style>
  <w:style w:type="paragraph" w:customStyle="1" w:styleId="139">
    <w:name w:val="标书正文"/>
    <w:basedOn w:val="16"/>
    <w:link w:val="138"/>
    <w:uiPriority w:val="0"/>
    <w:pPr>
      <w:spacing w:before="100" w:beforeAutospacing="1" w:after="100" w:afterAutospacing="1" w:line="360" w:lineRule="auto"/>
      <w:ind w:firstLine="480" w:firstLineChars="200"/>
    </w:pPr>
    <w:rPr>
      <w:rFonts w:ascii="Calibri" w:hAnsi="Calibri"/>
      <w:spacing w:val="0"/>
      <w:sz w:val="24"/>
      <w:szCs w:val="24"/>
    </w:rPr>
  </w:style>
  <w:style w:type="character" w:customStyle="1" w:styleId="140">
    <w:name w:val="正文文本字符"/>
    <w:uiPriority w:val="0"/>
    <w:rPr>
      <w:rFonts w:ascii="Times New Roman" w:hAnsi="Times New Roman" w:eastAsia="宋体" w:cs="Times New Roman"/>
      <w:kern w:val="0"/>
    </w:rPr>
  </w:style>
  <w:style w:type="character" w:customStyle="1" w:styleId="141">
    <w:name w:val="批注主题字符1"/>
    <w:uiPriority w:val="0"/>
    <w:rPr>
      <w:rFonts w:ascii="Times New Roman" w:hAnsi="Times New Roman" w:eastAsia="宋体" w:cs="Times New Roman"/>
      <w:b/>
      <w:bCs/>
      <w:kern w:val="0"/>
    </w:rPr>
  </w:style>
  <w:style w:type="character" w:customStyle="1" w:styleId="142">
    <w:name w:val="*正文 Char"/>
    <w:link w:val="143"/>
    <w:uiPriority w:val="0"/>
    <w:rPr>
      <w:rFonts w:ascii="Calibri" w:hAnsi="Calibri" w:eastAsia="宋体" w:cs="Times New Roman"/>
      <w:kern w:val="2"/>
      <w:sz w:val="24"/>
      <w:szCs w:val="24"/>
    </w:rPr>
  </w:style>
  <w:style w:type="paragraph" w:customStyle="1" w:styleId="143">
    <w:name w:val="*正文"/>
    <w:basedOn w:val="1"/>
    <w:link w:val="142"/>
    <w:uiPriority w:val="0"/>
    <w:pPr>
      <w:spacing w:line="360" w:lineRule="auto"/>
      <w:ind w:firstLine="200" w:firstLineChars="200"/>
    </w:pPr>
    <w:rPr>
      <w:rFonts w:ascii="Calibri" w:hAnsi="Calibri"/>
      <w:sz w:val="24"/>
    </w:rPr>
  </w:style>
  <w:style w:type="character" w:customStyle="1" w:styleId="144">
    <w:name w:val="HTML  预设格式字符1"/>
    <w:uiPriority w:val="0"/>
    <w:rPr>
      <w:rFonts w:ascii="Courier" w:hAnsi="Courier" w:eastAsia="宋体" w:cs="Times New Roman"/>
      <w:kern w:val="0"/>
      <w:sz w:val="20"/>
      <w:szCs w:val="20"/>
    </w:rPr>
  </w:style>
  <w:style w:type="character" w:customStyle="1" w:styleId="145">
    <w:name w:val="标题 4字符"/>
    <w:aliases w:val="h4字符,4字符,H4字符,Ref Heading 1字符,rh1字符,Heading sql字符,sect 1.2.3.4字符,First Subheading字符,heading 4字符,PIM 4字符,bullet字符,bl字符,bb字符,H41字符,H42字符,H43字符,H44字符,H45字符,H46字符,H47字符,H48字符,H49字符,H410字符,H411字符,H421字符,H431字符,H441字符,H451字符,H461字符,H471字符,H481字符,H491字符"/>
    <w:uiPriority w:val="0"/>
    <w:rPr>
      <w:rFonts w:ascii="Cambria" w:hAnsi="Cambria" w:eastAsia="宋体" w:cs="Times New Roman"/>
      <w:b/>
      <w:bCs/>
      <w:kern w:val="0"/>
      <w:sz w:val="28"/>
      <w:szCs w:val="28"/>
    </w:rPr>
  </w:style>
  <w:style w:type="character" w:customStyle="1" w:styleId="146">
    <w:name w:val="批注文字 Char1"/>
    <w:uiPriority w:val="0"/>
    <w:rPr>
      <w:rFonts w:ascii="Times New Roman" w:hAnsi="Times New Roman" w:eastAsia="宋体" w:cs="Times New Roman"/>
      <w:kern w:val="2"/>
      <w:sz w:val="21"/>
      <w:szCs w:val="24"/>
    </w:rPr>
  </w:style>
  <w:style w:type="character" w:customStyle="1" w:styleId="147">
    <w:name w:val="正文文本 Char"/>
    <w:uiPriority w:val="0"/>
    <w:rPr>
      <w:rFonts w:ascii="Times New Roman" w:hAnsi="Times New Roman" w:eastAsia="宋体" w:cs="Times New Roman"/>
      <w:sz w:val="28"/>
    </w:rPr>
  </w:style>
  <w:style w:type="character" w:customStyle="1" w:styleId="148">
    <w:name w:val="font11"/>
    <w:uiPriority w:val="0"/>
    <w:rPr>
      <w:rFonts w:hint="eastAsia" w:ascii="宋体" w:hAnsi="宋体" w:eastAsia="宋体" w:cs="宋体"/>
      <w:color w:val="000000"/>
      <w:sz w:val="24"/>
      <w:szCs w:val="24"/>
      <w:u w:val="none"/>
    </w:rPr>
  </w:style>
  <w:style w:type="character" w:customStyle="1" w:styleId="149">
    <w:name w:val="HTML 预设格式 Char3"/>
    <w:uiPriority w:val="0"/>
    <w:rPr>
      <w:rFonts w:ascii="Courier New" w:hAnsi="Courier New" w:eastAsia="宋体" w:cs="Courier New"/>
      <w:kern w:val="2"/>
    </w:rPr>
  </w:style>
  <w:style w:type="character" w:customStyle="1" w:styleId="150">
    <w:name w:val="font01"/>
    <w:uiPriority w:val="0"/>
    <w:rPr>
      <w:rFonts w:hint="eastAsia" w:ascii="宋体" w:hAnsi="宋体" w:eastAsia="宋体" w:cs="宋体"/>
      <w:color w:val="000000"/>
      <w:sz w:val="24"/>
      <w:szCs w:val="24"/>
      <w:u w:val="none"/>
    </w:rPr>
  </w:style>
  <w:style w:type="character" w:customStyle="1" w:styleId="151">
    <w:name w:val="表格非标题文字 Char Char"/>
    <w:link w:val="152"/>
    <w:uiPriority w:val="0"/>
    <w:rPr>
      <w:rFonts w:ascii="Arial" w:hAnsi="Arial" w:eastAsia="华文细黑" w:cs="Times New Roman"/>
      <w:color w:val="505050"/>
      <w:sz w:val="13"/>
      <w:szCs w:val="13"/>
    </w:rPr>
  </w:style>
  <w:style w:type="paragraph" w:customStyle="1" w:styleId="152">
    <w:name w:val="表格非标题文字"/>
    <w:basedOn w:val="1"/>
    <w:link w:val="151"/>
    <w:uiPriority w:val="0"/>
    <w:pPr>
      <w:spacing w:before="40" w:after="40" w:line="220" w:lineRule="exact"/>
      <w:jc w:val="left"/>
    </w:pPr>
    <w:rPr>
      <w:rFonts w:ascii="Arial" w:hAnsi="Arial" w:eastAsia="华文细黑"/>
      <w:color w:val="505050"/>
      <w:kern w:val="0"/>
      <w:sz w:val="13"/>
      <w:szCs w:val="13"/>
    </w:rPr>
  </w:style>
  <w:style w:type="character" w:customStyle="1" w:styleId="153">
    <w:name w:val="标题 5字符"/>
    <w:aliases w:val="标题 5 Char Char Char Char Char Char Char Char Char Char Char字符,Block Label字符,H5字符,h5字符,heading 5字符,Second Subheading字符,PIM 5字符,dash字符,ds字符,dd字符,Roman list字符,5字符,l4字符,第四层条字符,l5字符,hm字符,module heading字符,一.标题 5字符,Table label字符,mh2字符,Module heading 2字符"/>
    <w:uiPriority w:val="0"/>
    <w:rPr>
      <w:rFonts w:ascii="Times New Roman" w:hAnsi="Times New Roman" w:eastAsia="宋体" w:cs="Times New Roman"/>
      <w:b/>
      <w:bCs/>
      <w:kern w:val="0"/>
      <w:sz w:val="28"/>
      <w:szCs w:val="28"/>
    </w:rPr>
  </w:style>
  <w:style w:type="character" w:customStyle="1" w:styleId="154">
    <w:name w:val="标题 1字符"/>
    <w:aliases w:val="H1字符,h1字符,PIM 1字符,1.字符,1st level字符,Section Head字符,l1字符,章节字符,Normal + Font: Helvetica字符,Bold字符,Space Before 12 pt字符,Not Bold字符,卷标题字符,合同标题字符,TITRE1字符,Title1字符,Sec1字符,h11字符,1st level1字符,h12字符,1st level2字符,h13字符,1st level3字符,h14字符,1st level4字符,h15字符"/>
    <w:uiPriority w:val="0"/>
    <w:rPr>
      <w:rFonts w:ascii="Times New Roman" w:hAnsi="Times New Roman" w:eastAsia="宋体" w:cs="Times New Roman"/>
      <w:b/>
      <w:bCs/>
      <w:kern w:val="44"/>
      <w:sz w:val="44"/>
      <w:szCs w:val="44"/>
    </w:rPr>
  </w:style>
  <w:style w:type="character" w:customStyle="1" w:styleId="155">
    <w:name w:val="font3"/>
    <w:uiPriority w:val="0"/>
    <w:rPr>
      <w:rFonts w:ascii="Times New Roman" w:hAnsi="Times New Roman" w:eastAsia="宋体" w:cs="Times New Roman"/>
    </w:rPr>
  </w:style>
  <w:style w:type="character" w:customStyle="1" w:styleId="156">
    <w:name w:val="正文文本 3字符1"/>
    <w:uiPriority w:val="0"/>
    <w:rPr>
      <w:rFonts w:ascii="Times New Roman" w:hAnsi="Times New Roman" w:eastAsia="宋体" w:cs="Times New Roman"/>
      <w:kern w:val="0"/>
      <w:sz w:val="16"/>
      <w:szCs w:val="16"/>
    </w:rPr>
  </w:style>
  <w:style w:type="character" w:customStyle="1" w:styleId="157">
    <w:name w:val="列出段落字符"/>
    <w:uiPriority w:val="0"/>
    <w:rPr>
      <w:rFonts w:ascii="Calibri" w:hAnsi="Calibri" w:eastAsia="宋体" w:cs="Times New Roman"/>
      <w:kern w:val="2"/>
      <w:sz w:val="21"/>
      <w:szCs w:val="22"/>
    </w:rPr>
  </w:style>
  <w:style w:type="character" w:customStyle="1" w:styleId="158">
    <w:name w:val="文档结构图 字符"/>
    <w:uiPriority w:val="0"/>
    <w:rPr>
      <w:rFonts w:ascii="Heiti SC Light" w:hAnsi="Times New Roman" w:eastAsia="Heiti SC Light" w:cs="Times New Roman"/>
      <w:kern w:val="0"/>
    </w:rPr>
  </w:style>
  <w:style w:type="character" w:customStyle="1" w:styleId="159">
    <w:name w:val="HTML 预设格式 Char1"/>
    <w:uiPriority w:val="0"/>
    <w:rPr>
      <w:rFonts w:ascii="Consolas" w:hAnsi="Consolas" w:eastAsia="宋体" w:cs="Times New Roman"/>
      <w:kern w:val="2"/>
    </w:rPr>
  </w:style>
  <w:style w:type="character" w:customStyle="1" w:styleId="160">
    <w:name w:val="哈哈正文 Char"/>
    <w:link w:val="161"/>
    <w:uiPriority w:val="0"/>
    <w:rPr>
      <w:rFonts w:ascii="宋体" w:hAnsi="宋体" w:eastAsia="宋体" w:cs="Times New Roman"/>
    </w:rPr>
  </w:style>
  <w:style w:type="paragraph" w:customStyle="1" w:styleId="161">
    <w:name w:val="哈哈正文"/>
    <w:basedOn w:val="1"/>
    <w:link w:val="160"/>
    <w:uiPriority w:val="0"/>
    <w:pPr>
      <w:spacing w:line="360" w:lineRule="auto"/>
      <w:ind w:firstLine="200" w:firstLineChars="200"/>
    </w:pPr>
    <w:rPr>
      <w:rFonts w:ascii="宋体" w:hAnsi="宋体"/>
      <w:kern w:val="0"/>
      <w:sz w:val="20"/>
      <w:szCs w:val="20"/>
    </w:rPr>
  </w:style>
  <w:style w:type="character" w:customStyle="1" w:styleId="162">
    <w:name w:val="标题 2字符"/>
    <w:aliases w:val="PIM2字符,H2字符,Heading 2 Hidden字符,2nd level字符,h2字符,2字符,Header 2字符,l2字符,Titre2字符,Head 2字符,sect 1.2字符,第一章 标题 2字符,Heading 2 CCBS字符,heading 2字符,ISO1字符,L2字符,Titre3字符,第*章字符,DO NOT USE_h2字符,chn字符,Chapter Number/Appendix Letter字符,UNDERRUBRIK 1-2字符,H21字符"/>
    <w:uiPriority w:val="0"/>
    <w:rPr>
      <w:rFonts w:ascii="Cambria" w:hAnsi="Cambria" w:eastAsia="宋体" w:cs="Times New Roman"/>
      <w:b/>
      <w:bCs/>
      <w:kern w:val="0"/>
      <w:sz w:val="32"/>
      <w:szCs w:val="32"/>
    </w:rPr>
  </w:style>
  <w:style w:type="character" w:customStyle="1" w:styleId="163">
    <w:name w:val="注释文本字符"/>
    <w:uiPriority w:val="0"/>
    <w:rPr>
      <w:rFonts w:ascii="Times New Roman" w:hAnsi="Times New Roman" w:eastAsia="宋体" w:cs="Times New Roman"/>
      <w:kern w:val="0"/>
    </w:rPr>
  </w:style>
  <w:style w:type="paragraph" w:customStyle="1" w:styleId="164">
    <w:name w:val="表格题注"/>
    <w:next w:val="1"/>
    <w:uiPriority w:val="0"/>
    <w:pPr>
      <w:keepLines/>
      <w:tabs>
        <w:tab w:val="left" w:pos="4860"/>
      </w:tabs>
      <w:spacing w:beforeLines="100"/>
      <w:ind w:left="1089" w:hanging="369"/>
      <w:jc w:val="center"/>
    </w:pPr>
    <w:rPr>
      <w:rFonts w:ascii="Arial" w:hAnsi="Arial"/>
      <w:sz w:val="18"/>
      <w:szCs w:val="18"/>
      <w:lang w:val="en-US" w:eastAsia="zh-CN" w:bidi="ar-SA"/>
    </w:rPr>
  </w:style>
  <w:style w:type="paragraph" w:customStyle="1" w:styleId="165">
    <w:name w:val="Char Char Char Char"/>
    <w:basedOn w:val="1"/>
    <w:uiPriority w:val="0"/>
    <w:rPr>
      <w:rFonts w:ascii="黑体" w:hAnsi="Times New Roman" w:eastAsia="黑体" w:cs="Times New Roman"/>
      <w:sz w:val="24"/>
    </w:rPr>
  </w:style>
  <w:style w:type="paragraph" w:customStyle="1" w:styleId="166">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67">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6"/>
      <w:szCs w:val="26"/>
    </w:rPr>
  </w:style>
  <w:style w:type="paragraph" w:customStyle="1" w:styleId="168">
    <w:name w:val="图样式"/>
    <w:basedOn w:val="1"/>
    <w:uiPriority w:val="0"/>
    <w:pPr>
      <w:keepNext/>
      <w:widowControl/>
      <w:spacing w:before="80" w:after="80"/>
      <w:jc w:val="center"/>
    </w:pPr>
    <w:rPr>
      <w:rFonts w:ascii="Times New Roman" w:hAnsi="Times New Roman" w:eastAsia="宋体" w:cs="Times New Roman"/>
      <w:szCs w:val="22"/>
    </w:rPr>
  </w:style>
  <w:style w:type="paragraph" w:customStyle="1" w:styleId="169">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170">
    <w:name w:val="xl4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6"/>
      <w:szCs w:val="26"/>
    </w:rPr>
  </w:style>
  <w:style w:type="paragraph" w:customStyle="1" w:styleId="171">
    <w:name w:val="列出段落[858D7CFB-ED40-4347-BF05-701D383B685F][858D7CFB-ED40-4347-BF05-701D383B685F]"/>
    <w:basedOn w:val="1"/>
    <w:uiPriority w:val="0"/>
    <w:pPr>
      <w:ind w:firstLine="420" w:firstLineChars="200"/>
    </w:pPr>
    <w:rPr>
      <w:rFonts w:ascii="Times New Roman" w:hAnsi="Times New Roman" w:eastAsia="宋体" w:cs="Times New Roman"/>
    </w:rPr>
  </w:style>
  <w:style w:type="paragraph" w:customStyle="1" w:styleId="172">
    <w:name w:val="font8"/>
    <w:basedOn w:val="1"/>
    <w:uiPriority w:val="0"/>
    <w:pPr>
      <w:widowControl/>
      <w:spacing w:before="100" w:beforeAutospacing="1" w:after="100" w:afterAutospacing="1"/>
      <w:jc w:val="left"/>
    </w:pPr>
    <w:rPr>
      <w:rFonts w:ascii="Times New Roman" w:hAnsi="Times New Roman" w:eastAsia="宋体" w:cs="Times New Roman"/>
      <w:kern w:val="0"/>
      <w:sz w:val="26"/>
      <w:szCs w:val="26"/>
    </w:rPr>
  </w:style>
  <w:style w:type="paragraph" w:customStyle="1" w:styleId="173">
    <w:name w:val="1 Char Char Char Char"/>
    <w:basedOn w:val="1"/>
    <w:uiPriority w:val="0"/>
    <w:rPr>
      <w:rFonts w:ascii="Tahoma" w:hAnsi="Tahoma" w:eastAsia="宋体" w:cs="Times New Roman"/>
      <w:sz w:val="24"/>
      <w:szCs w:val="20"/>
    </w:rPr>
  </w:style>
  <w:style w:type="paragraph" w:customStyle="1" w:styleId="174">
    <w:name w:val="Char3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75">
    <w:name w:val="_Style 3"/>
    <w:uiPriority w:val="0"/>
    <w:pPr>
      <w:widowControl w:val="0"/>
      <w:jc w:val="both"/>
    </w:pPr>
    <w:rPr>
      <w:kern w:val="2"/>
      <w:sz w:val="21"/>
      <w:szCs w:val="22"/>
      <w:lang w:val="en-US" w:eastAsia="zh-CN" w:bidi="ar-SA"/>
    </w:rPr>
  </w:style>
  <w:style w:type="paragraph" w:customStyle="1" w:styleId="176">
    <w:name w:val="Item Step in Table"/>
    <w:uiPriority w:val="0"/>
    <w:pPr>
      <w:tabs>
        <w:tab w:val="left" w:pos="1440"/>
        <w:tab w:val="left" w:pos="1678"/>
      </w:tabs>
      <w:spacing w:before="40" w:after="40"/>
      <w:ind w:left="1678" w:hanging="419"/>
      <w:jc w:val="both"/>
    </w:pPr>
    <w:rPr>
      <w:rFonts w:ascii="Arial" w:hAnsi="Arial" w:cs="Arial"/>
      <w:sz w:val="18"/>
      <w:szCs w:val="18"/>
      <w:lang w:val="en-US" w:eastAsia="zh-CN" w:bidi="ar-SA"/>
    </w:rPr>
  </w:style>
  <w:style w:type="paragraph" w:customStyle="1" w:styleId="177">
    <w:name w:val="正文段"/>
    <w:basedOn w:val="1"/>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paragraph" w:customStyle="1" w:styleId="178">
    <w:name w:val="List Paragraph"/>
    <w:basedOn w:val="1"/>
    <w:uiPriority w:val="0"/>
    <w:pPr>
      <w:ind w:firstLine="420" w:firstLineChars="200"/>
    </w:pPr>
    <w:rPr>
      <w:rFonts w:ascii="Times New Roman" w:hAnsi="Times New Roman" w:eastAsia="宋体" w:cs="Times New Roman"/>
    </w:rPr>
  </w:style>
  <w:style w:type="paragraph" w:customStyle="1" w:styleId="179">
    <w:name w:val="正文-2字符首行缩进"/>
    <w:basedOn w:val="1"/>
    <w:uiPriority w:val="0"/>
    <w:pPr>
      <w:spacing w:line="360" w:lineRule="auto"/>
      <w:ind w:firstLine="200" w:firstLineChars="200"/>
    </w:pPr>
    <w:rPr>
      <w:rFonts w:ascii="仿宋_GB2312" w:hAnsi="Times New Roman" w:eastAsia="仿宋_GB2312" w:cs="Times New Roman"/>
      <w:kern w:val="0"/>
      <w:sz w:val="24"/>
      <w:szCs w:val="22"/>
    </w:rPr>
  </w:style>
  <w:style w:type="paragraph" w:customStyle="1" w:styleId="180">
    <w:name w:val="Char Char Char Char Char Char"/>
    <w:basedOn w:val="21"/>
    <w:uiPriority w:val="0"/>
    <w:pPr>
      <w:widowControl w:val="0"/>
      <w:jc w:val="both"/>
    </w:pPr>
    <w:rPr>
      <w:rFonts w:ascii="Tahoma" w:hAnsi="Tahoma" w:eastAsia="宋体" w:cs="Times New Roman"/>
      <w:kern w:val="2"/>
      <w:shd w:val="clear" w:color="auto" w:fill="000080"/>
    </w:rPr>
  </w:style>
  <w:style w:type="paragraph" w:customStyle="1" w:styleId="181">
    <w:name w:val="font1"/>
    <w:basedOn w:val="1"/>
    <w:uiPriority w:val="0"/>
    <w:pPr>
      <w:widowControl/>
      <w:spacing w:before="100" w:beforeAutospacing="1" w:after="100" w:afterAutospacing="1"/>
      <w:jc w:val="left"/>
    </w:pPr>
    <w:rPr>
      <w:rFonts w:hint="eastAsia" w:ascii="宋体" w:hAnsi="宋体" w:eastAsia="宋体" w:cs="Times New Roman"/>
      <w:kern w:val="0"/>
      <w:sz w:val="24"/>
    </w:rPr>
  </w:style>
  <w:style w:type="paragraph" w:customStyle="1" w:styleId="182">
    <w:name w:val="题注------"/>
    <w:basedOn w:val="18"/>
    <w:uiPriority w:val="0"/>
    <w:pPr>
      <w:widowControl/>
      <w:spacing w:before="100" w:beforeAutospacing="1" w:after="0"/>
      <w:jc w:val="center"/>
    </w:pPr>
    <w:rPr>
      <w:rFonts w:ascii="Calibri" w:hAnsi="Calibri" w:eastAsia="宋体" w:cs="Times New Roman"/>
      <w:b/>
      <w:bCs/>
      <w:color w:val="000000"/>
      <w:kern w:val="0"/>
      <w:sz w:val="21"/>
      <w:szCs w:val="18"/>
      <w:lang w:val="en-US" w:eastAsia="zh-CN"/>
    </w:rPr>
  </w:style>
  <w:style w:type="paragraph" w:customStyle="1" w:styleId="183">
    <w:name w:val="font5"/>
    <w:basedOn w:val="1"/>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84">
    <w:name w:val="纯文本1"/>
    <w:basedOn w:val="1"/>
    <w:uiPriority w:val="0"/>
    <w:rPr>
      <w:rFonts w:ascii="宋体" w:hAnsi="Courier New" w:eastAsia="宋体" w:cs="Times New Roman"/>
      <w:kern w:val="0"/>
      <w:sz w:val="20"/>
      <w:szCs w:val="20"/>
    </w:rPr>
  </w:style>
  <w:style w:type="paragraph" w:styleId="185">
    <w:name w:val="List Paragraph"/>
    <w:basedOn w:val="1"/>
    <w:qFormat/>
    <w:uiPriority w:val="34"/>
    <w:pPr>
      <w:widowControl/>
      <w:ind w:firstLine="420" w:firstLineChars="200"/>
      <w:jc w:val="left"/>
    </w:pPr>
    <w:rPr>
      <w:rFonts w:ascii="Times New Roman" w:hAnsi="Times New Roman" w:eastAsia="宋体" w:cs="Times New Roman"/>
      <w:kern w:val="0"/>
      <w:sz w:val="24"/>
    </w:rPr>
  </w:style>
  <w:style w:type="paragraph" w:customStyle="1" w:styleId="186">
    <w:name w:val="标题五自定义"/>
    <w:basedOn w:val="6"/>
    <w:next w:val="1"/>
    <w:uiPriority w:val="0"/>
    <w:pPr>
      <w:widowControl/>
      <w:tabs>
        <w:tab w:val="left" w:pos="992"/>
        <w:tab w:val="left" w:pos="3600"/>
      </w:tabs>
      <w:spacing w:before="0" w:after="0" w:line="360" w:lineRule="auto"/>
      <w:ind w:left="3600" w:hanging="360"/>
      <w:jc w:val="left"/>
    </w:pPr>
    <w:rPr>
      <w:rFonts w:ascii="Cambria" w:hAnsi="Cambria" w:eastAsia="仿宋_GB2312" w:cs="Times New Roman"/>
      <w:bCs w:val="0"/>
      <w:color w:val="000000"/>
      <w:szCs w:val="22"/>
      <w:lang w:eastAsia="en-US" w:bidi="en-US"/>
    </w:rPr>
  </w:style>
  <w:style w:type="paragraph" w:customStyle="1" w:styleId="187">
    <w:name w:val="Default"/>
    <w:next w:val="1"/>
    <w:uiPriority w:val="0"/>
    <w:pPr>
      <w:widowControl w:val="0"/>
      <w:autoSpaceDE w:val="0"/>
      <w:autoSpaceDN w:val="0"/>
      <w:adjustRightInd w:val="0"/>
    </w:pPr>
    <w:rPr>
      <w:rFonts w:ascii="Sim Sun" w:eastAsia="Sim Sun"/>
      <w:color w:val="000000"/>
      <w:sz w:val="24"/>
      <w:szCs w:val="24"/>
      <w:lang w:val="en-US" w:eastAsia="zh-CN" w:bidi="ar-SA"/>
    </w:rPr>
  </w:style>
  <w:style w:type="paragraph" w:customStyle="1" w:styleId="188">
    <w:name w:val="样式"/>
    <w:basedOn w:val="1"/>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189">
    <w:name w:val="注示文本"/>
    <w:basedOn w:val="1"/>
    <w:uiPriority w:val="0"/>
    <w:pPr>
      <w:pBdr>
        <w:bottom w:val="single" w:color="auto" w:sz="4" w:space="1"/>
      </w:pBdr>
      <w:ind w:firstLine="360"/>
    </w:pPr>
    <w:rPr>
      <w:rFonts w:ascii="Arial" w:hAnsi="Arial" w:eastAsia="楷体_GB2312" w:cs="Times New Roman"/>
      <w:sz w:val="18"/>
      <w:szCs w:val="18"/>
    </w:rPr>
  </w:style>
  <w:style w:type="paragraph" w:customStyle="1" w:styleId="190">
    <w:name w:val=" Char Char1 Char Char Char Char Char Char Char Char"/>
    <w:basedOn w:val="1"/>
    <w:uiPriority w:val="0"/>
    <w:pPr>
      <w:widowControl/>
      <w:spacing w:after="160" w:line="240" w:lineRule="exact"/>
      <w:jc w:val="left"/>
    </w:pPr>
    <w:rPr>
      <w:rFonts w:ascii="Times New Roman" w:hAnsi="Times New Roman" w:eastAsia="宋体" w:cs="Times New Roman"/>
    </w:rPr>
  </w:style>
  <w:style w:type="paragraph" w:customStyle="1" w:styleId="191">
    <w:name w:val="投标书正文"/>
    <w:uiPriority w:val="0"/>
    <w:pPr>
      <w:autoSpaceDE w:val="0"/>
      <w:spacing w:line="360" w:lineRule="auto"/>
      <w:ind w:firstLine="480" w:firstLineChars="200"/>
      <w:jc w:val="both"/>
    </w:pPr>
    <w:rPr>
      <w:kern w:val="2"/>
      <w:sz w:val="24"/>
      <w:szCs w:val="24"/>
      <w:lang w:val="en-US" w:eastAsia="zh-CN" w:bidi="ar-SA"/>
    </w:rPr>
  </w:style>
  <w:style w:type="paragraph" w:customStyle="1" w:styleId="192">
    <w:name w:val="Char Char Char Char Char Char Char Char Char Char"/>
    <w:basedOn w:val="1"/>
    <w:uiPriority w:val="0"/>
    <w:rPr>
      <w:rFonts w:ascii="Times New Roman" w:hAnsi="Times New Roman" w:eastAsia="宋体" w:cs="Times New Roman"/>
      <w:kern w:val="0"/>
      <w:sz w:val="24"/>
    </w:rPr>
  </w:style>
  <w:style w:type="paragraph" w:customStyle="1" w:styleId="193">
    <w:name w:val="样式 正文（首行缩进两字） + 首行缩进:  2 字符"/>
    <w:basedOn w:val="15"/>
    <w:uiPriority w:val="0"/>
    <w:pPr>
      <w:spacing w:line="360" w:lineRule="auto"/>
      <w:ind w:firstLine="480" w:firstLineChars="200"/>
    </w:pPr>
    <w:rPr>
      <w:rFonts w:hint="default" w:ascii="Times New Roman" w:hAnsi="Times New Roman" w:eastAsia="宋体" w:cs="Times New Roman"/>
      <w:sz w:val="24"/>
      <w:szCs w:val="24"/>
    </w:rPr>
  </w:style>
  <w:style w:type="paragraph" w:customStyle="1" w:styleId="194">
    <w:name w:val="WW-正文缩进"/>
    <w:basedOn w:val="1"/>
    <w:uiPriority w:val="0"/>
    <w:pPr>
      <w:ind w:firstLine="420"/>
    </w:pPr>
    <w:rPr>
      <w:rFonts w:ascii="Times New Roman" w:hAnsi="Times New Roman" w:eastAsia="宋体" w:cs="Times New Roman"/>
    </w:rPr>
  </w:style>
  <w:style w:type="paragraph" w:customStyle="1" w:styleId="195">
    <w:name w:val="_Style 10"/>
    <w:basedOn w:val="1"/>
    <w:next w:val="15"/>
    <w:uiPriority w:val="0"/>
    <w:pPr>
      <w:ind w:firstLine="420"/>
    </w:pPr>
    <w:rPr>
      <w:rFonts w:ascii="Times New Roman" w:hAnsi="Times New Roman" w:eastAsia="楷体_GB2312" w:cs="Times New Roman"/>
      <w:sz w:val="24"/>
      <w:szCs w:val="20"/>
    </w:rPr>
  </w:style>
  <w:style w:type="paragraph" w:customStyle="1" w:styleId="196">
    <w:name w:val="a"/>
    <w:basedOn w:val="1"/>
    <w:uiPriority w:val="0"/>
    <w:pPr>
      <w:autoSpaceDE w:val="0"/>
      <w:autoSpaceDN w:val="0"/>
      <w:adjustRightInd w:val="0"/>
      <w:spacing w:line="440" w:lineRule="atLeast"/>
      <w:ind w:firstLine="480"/>
      <w:jc w:val="left"/>
    </w:pPr>
    <w:rPr>
      <w:rFonts w:hint="eastAsia" w:ascii="仿宋_GB2312" w:hAnsi="Times New Roman" w:eastAsia="仿宋_GB2312" w:cs="Times New Roman"/>
      <w:color w:val="000000"/>
      <w:sz w:val="24"/>
      <w:lang w:val="zh-CN"/>
    </w:rPr>
  </w:style>
  <w:style w:type="paragraph" w:customStyle="1" w:styleId="197">
    <w:name w:val="Char Char Char Char1"/>
    <w:basedOn w:val="1"/>
    <w:uiPriority w:val="0"/>
    <w:rPr>
      <w:rFonts w:ascii="Tahoma" w:hAnsi="Tahoma" w:eastAsia="宋体" w:cs="Times New Roman"/>
      <w:sz w:val="24"/>
      <w:szCs w:val="20"/>
    </w:rPr>
  </w:style>
  <w:style w:type="paragraph" w:customStyle="1" w:styleId="198">
    <w:name w:val="默认段落字体 Para Char Char Char Char Char Char Char Char Char1 Char Char Char Char"/>
    <w:basedOn w:val="1"/>
    <w:uiPriority w:val="0"/>
    <w:rPr>
      <w:rFonts w:ascii="Tahoma" w:hAnsi="Tahoma" w:eastAsia="宋体" w:cs="Times New Roman"/>
      <w:sz w:val="24"/>
      <w:szCs w:val="20"/>
    </w:rPr>
  </w:style>
  <w:style w:type="paragraph" w:customStyle="1" w:styleId="199">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6"/>
      <w:szCs w:val="26"/>
    </w:rPr>
  </w:style>
  <w:style w:type="paragraph" w:customStyle="1" w:styleId="200">
    <w:name w:val="Char3"/>
    <w:basedOn w:val="1"/>
    <w:uiPriority w:val="0"/>
    <w:pPr>
      <w:tabs>
        <w:tab w:val="left" w:pos="360"/>
      </w:tabs>
    </w:pPr>
    <w:rPr>
      <w:rFonts w:ascii="Times New Roman" w:hAnsi="Times New Roman" w:eastAsia="宋体" w:cs="Times New Roman"/>
      <w:sz w:val="24"/>
    </w:rPr>
  </w:style>
  <w:style w:type="paragraph" w:customStyle="1" w:styleId="201">
    <w:name w:val="Char Char Char"/>
    <w:basedOn w:val="1"/>
    <w:uiPriority w:val="0"/>
    <w:rPr>
      <w:rFonts w:ascii="Times New Roman" w:hAnsi="Times New Roman" w:eastAsia="宋体" w:cs="Times New Roman"/>
    </w:rPr>
  </w:style>
  <w:style w:type="paragraph" w:customStyle="1" w:styleId="202">
    <w:name w:val="Char"/>
    <w:basedOn w:val="1"/>
    <w:uiPriority w:val="0"/>
    <w:rPr>
      <w:rFonts w:ascii="Times New Roman" w:hAnsi="Times New Roman" w:eastAsia="宋体" w:cs="Times New Roman"/>
    </w:rPr>
  </w:style>
  <w:style w:type="paragraph" w:customStyle="1" w:styleId="203">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6"/>
      <w:szCs w:val="26"/>
    </w:rPr>
  </w:style>
  <w:style w:type="paragraph" w:customStyle="1" w:styleId="204">
    <w:name w:val="xl4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6"/>
      <w:szCs w:val="26"/>
    </w:rPr>
  </w:style>
  <w:style w:type="paragraph" w:customStyle="1" w:styleId="205">
    <w:name w:val="表内文字"/>
    <w:basedOn w:val="1"/>
    <w:uiPriority w:val="0"/>
    <w:pPr>
      <w:tabs>
        <w:tab w:val="left" w:pos="1418"/>
      </w:tabs>
      <w:spacing w:line="360" w:lineRule="auto"/>
      <w:jc w:val="center"/>
    </w:pPr>
    <w:rPr>
      <w:rFonts w:ascii="仿宋_GB2312" w:hAnsi="Times New Roman" w:eastAsia="仿宋_GB2312" w:cs="Times New Roman"/>
      <w:spacing w:val="-20"/>
      <w:kern w:val="0"/>
      <w:sz w:val="24"/>
    </w:rPr>
  </w:style>
  <w:style w:type="paragraph" w:customStyle="1" w:styleId="206">
    <w:name w:val="_Style 1"/>
    <w:uiPriority w:val="0"/>
    <w:rPr>
      <w:kern w:val="2"/>
      <w:sz w:val="28"/>
      <w:szCs w:val="22"/>
      <w:lang w:val="en-US" w:eastAsia="zh-CN" w:bidi="ar-SA"/>
    </w:rPr>
  </w:style>
  <w:style w:type="paragraph" w:customStyle="1" w:styleId="207">
    <w:name w:val=" Char1"/>
    <w:basedOn w:val="1"/>
    <w:uiPriority w:val="0"/>
    <w:rPr>
      <w:rFonts w:ascii="Times New Roman" w:hAnsi="Times New Roman" w:eastAsia="宋体" w:cs="Times New Roman"/>
    </w:rPr>
  </w:style>
  <w:style w:type="paragraph" w:customStyle="1" w:styleId="208">
    <w:name w:val="Char Char Char Char Char Char Char"/>
    <w:basedOn w:val="1"/>
    <w:uiPriority w:val="0"/>
    <w:pPr>
      <w:tabs>
        <w:tab w:val="left" w:pos="432"/>
      </w:tabs>
      <w:ind w:left="432" w:hanging="432"/>
      <w:jc w:val="center"/>
    </w:pPr>
    <w:rPr>
      <w:rFonts w:ascii="Times New Roman" w:hAnsi="Times New Roman" w:eastAsia="宋体" w:cs="Times New Roman"/>
    </w:rPr>
  </w:style>
  <w:style w:type="paragraph" w:customStyle="1" w:styleId="209">
    <w:name w:val="ss"/>
    <w:basedOn w:val="1"/>
    <w:uiPriority w:val="0"/>
    <w:pPr>
      <w:widowControl/>
      <w:spacing w:before="100" w:beforeAutospacing="1" w:after="100" w:afterAutospacing="1" w:line="288" w:lineRule="atLeast"/>
      <w:jc w:val="left"/>
    </w:pPr>
    <w:rPr>
      <w:rFonts w:hint="eastAsia" w:ascii="宋体" w:hAnsi="宋体" w:eastAsia="宋体" w:cs="Arial"/>
      <w:kern w:val="0"/>
      <w:sz w:val="15"/>
      <w:szCs w:val="15"/>
    </w:rPr>
  </w:style>
  <w:style w:type="paragraph" w:customStyle="1" w:styleId="210">
    <w:name w:val="+正文"/>
    <w:basedOn w:val="1"/>
    <w:uiPriority w:val="0"/>
    <w:pPr>
      <w:spacing w:line="360" w:lineRule="auto"/>
      <w:ind w:firstLine="200" w:firstLineChars="200"/>
    </w:pPr>
    <w:rPr>
      <w:rFonts w:ascii="Times New Roman" w:hAnsi="Times New Roman" w:eastAsia="宋体" w:cs="Times New Roman"/>
      <w:sz w:val="24"/>
      <w:szCs w:val="28"/>
    </w:rPr>
  </w:style>
  <w:style w:type="paragraph" w:customStyle="1" w:styleId="211">
    <w:name w:val="p0"/>
    <w:basedOn w:val="1"/>
    <w:uiPriority w:val="0"/>
    <w:pPr>
      <w:widowControl/>
    </w:pPr>
    <w:rPr>
      <w:rFonts w:ascii="Times New Roman" w:hAnsi="Times New Roman" w:eastAsia="宋体" w:cs="宋体"/>
      <w:kern w:val="0"/>
    </w:rPr>
  </w:style>
  <w:style w:type="paragraph" w:customStyle="1" w:styleId="212">
    <w:name w:val="标题四自定义"/>
    <w:basedOn w:val="5"/>
    <w:next w:val="1"/>
    <w:uiPriority w:val="0"/>
    <w:pPr>
      <w:widowControl/>
      <w:tabs>
        <w:tab w:val="left" w:pos="0"/>
        <w:tab w:val="left" w:pos="2880"/>
      </w:tabs>
      <w:spacing w:before="0" w:after="0" w:line="377" w:lineRule="auto"/>
      <w:ind w:left="2880" w:hanging="360"/>
      <w:jc w:val="left"/>
    </w:pPr>
    <w:rPr>
      <w:rFonts w:ascii="仿宋_GB2312" w:hAnsi="Cambria" w:eastAsia="仿宋_GB2312" w:cs="Times New Roman"/>
      <w:iCs/>
      <w:color w:val="000000"/>
      <w:sz w:val="30"/>
      <w:szCs w:val="32"/>
      <w:lang w:bidi="en-US"/>
    </w:rPr>
  </w:style>
  <w:style w:type="paragraph" w:customStyle="1" w:styleId="213">
    <w:name w:val="标题一自定义"/>
    <w:basedOn w:val="2"/>
    <w:next w:val="1"/>
    <w:uiPriority w:val="0"/>
    <w:pPr>
      <w:pageBreakBefore/>
      <w:widowControl/>
      <w:tabs>
        <w:tab w:val="left" w:pos="1440"/>
        <w:tab w:val="left" w:pos="1678"/>
      </w:tabs>
      <w:spacing w:before="100" w:beforeLines="100" w:after="100" w:afterLines="100" w:line="360" w:lineRule="auto"/>
      <w:ind w:left="1678" w:hanging="419"/>
      <w:jc w:val="left"/>
    </w:pPr>
    <w:rPr>
      <w:rFonts w:ascii="仿宋_GB2312" w:hAnsi="Cambria" w:eastAsia="仿宋_GB2312" w:cs="Times New Roman"/>
      <w:kern w:val="0"/>
      <w:szCs w:val="28"/>
      <w:lang w:eastAsia="en-US" w:bidi="en-US"/>
    </w:rPr>
  </w:style>
  <w:style w:type="paragraph" w:customStyle="1" w:styleId="214">
    <w:name w:val="列表内容"/>
    <w:basedOn w:val="1"/>
    <w:next w:val="1"/>
    <w:uiPriority w:val="0"/>
    <w:pPr>
      <w:widowControl/>
      <w:tabs>
        <w:tab w:val="left" w:pos="840"/>
        <w:tab w:val="left" w:pos="1678"/>
      </w:tabs>
      <w:ind w:left="1678"/>
      <w:jc w:val="left"/>
    </w:pPr>
    <w:rPr>
      <w:rFonts w:ascii="Times New Roman" w:hAnsi="Times New Roman" w:eastAsia="宋体" w:cs="Times New Roman"/>
      <w:kern w:val="0"/>
      <w:sz w:val="18"/>
      <w:szCs w:val="20"/>
    </w:rPr>
  </w:style>
  <w:style w:type="paragraph" w:customStyle="1" w:styleId="215">
    <w:name w:val="默认段落字体 Para Char Char Char Char"/>
    <w:basedOn w:val="1"/>
    <w:uiPriority w:val="0"/>
    <w:rPr>
      <w:rFonts w:ascii="Arial" w:hAnsi="Arial" w:eastAsia="宋体" w:cs="Arial"/>
      <w:szCs w:val="21"/>
    </w:rPr>
  </w:style>
  <w:style w:type="paragraph" w:customStyle="1" w:styleId="216">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6"/>
      <w:szCs w:val="26"/>
    </w:rPr>
  </w:style>
  <w:style w:type="paragraph" w:customStyle="1" w:styleId="217">
    <w:name w:val="注示头"/>
    <w:basedOn w:val="1"/>
    <w:uiPriority w:val="0"/>
    <w:pPr>
      <w:pBdr>
        <w:top w:val="single" w:color="auto" w:sz="4" w:space="1"/>
      </w:pBdr>
    </w:pPr>
    <w:rPr>
      <w:rFonts w:ascii="Arial" w:hAnsi="Arial" w:eastAsia="黑体" w:cs="Times New Roman"/>
      <w:sz w:val="18"/>
      <w:szCs w:val="21"/>
    </w:rPr>
  </w:style>
  <w:style w:type="paragraph" w:customStyle="1" w:styleId="218">
    <w:name w:val="font7"/>
    <w:basedOn w:val="1"/>
    <w:uiPriority w:val="0"/>
    <w:pPr>
      <w:widowControl/>
      <w:spacing w:before="100" w:beforeAutospacing="1" w:after="100" w:afterAutospacing="1"/>
      <w:jc w:val="left"/>
    </w:pPr>
    <w:rPr>
      <w:rFonts w:ascii="Times New Roman" w:hAnsi="Times New Roman" w:eastAsia="宋体" w:cs="Times New Roman"/>
      <w:kern w:val="0"/>
      <w:sz w:val="26"/>
      <w:szCs w:val="26"/>
    </w:rPr>
  </w:style>
  <w:style w:type="paragraph" w:customStyle="1" w:styleId="219">
    <w:name w:val="标题三自定义"/>
    <w:basedOn w:val="4"/>
    <w:next w:val="1"/>
    <w:uiPriority w:val="0"/>
    <w:pPr>
      <w:widowControl/>
      <w:tabs>
        <w:tab w:val="left" w:pos="851"/>
        <w:tab w:val="left" w:pos="2160"/>
      </w:tabs>
      <w:spacing w:before="0" w:after="0" w:line="360" w:lineRule="auto"/>
      <w:ind w:left="2160" w:hanging="360"/>
      <w:jc w:val="left"/>
    </w:pPr>
    <w:rPr>
      <w:rFonts w:ascii="仿宋_GB2312" w:hAnsi="Cambria" w:eastAsia="宋体" w:cs="Times New Roman"/>
      <w:bCs/>
      <w:color w:val="000000"/>
      <w:szCs w:val="22"/>
      <w:lang w:bidi="en-US"/>
    </w:rPr>
  </w:style>
  <w:style w:type="paragraph" w:customStyle="1" w:styleId="220">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221">
    <w:name w:val="正文1"/>
    <w:basedOn w:val="21"/>
    <w:next w:val="1"/>
    <w:uiPriority w:val="0"/>
    <w:pPr>
      <w:shd w:val="clear" w:color="auto" w:fill="000080"/>
    </w:pPr>
    <w:rPr>
      <w:rFonts w:ascii="Tahoma" w:hAnsi="Tahoma" w:eastAsia="宋体" w:cs="Tahoma"/>
      <w:kern w:val="0"/>
      <w:szCs w:val="24"/>
    </w:rPr>
  </w:style>
  <w:style w:type="paragraph" w:customStyle="1" w:styleId="222">
    <w:name w:val="标题1"/>
    <w:basedOn w:val="42"/>
    <w:uiPriority w:val="0"/>
    <w:pPr>
      <w:widowControl/>
      <w:tabs>
        <w:tab w:val="right" w:leader="dot" w:pos="9344"/>
        <w:tab w:val="clear" w:pos="9060"/>
        <w:tab w:val="clear" w:pos="9170"/>
      </w:tabs>
      <w:overflowPunct w:val="0"/>
      <w:autoSpaceDE w:val="0"/>
      <w:autoSpaceDN w:val="0"/>
      <w:adjustRightInd w:val="0"/>
      <w:spacing w:before="120" w:after="120" w:line="420" w:lineRule="exact"/>
      <w:textAlignment w:val="baseline"/>
    </w:pPr>
    <w:rPr>
      <w:rFonts w:ascii="宋体" w:hAnsi="宋体" w:eastAsia="宋体" w:cs="Times New Roman"/>
      <w:b w:val="0"/>
      <w:caps w:val="0"/>
      <w:kern w:val="0"/>
      <w:sz w:val="44"/>
      <w:lang w:val="en-US" w:eastAsia="zh-CN"/>
    </w:rPr>
  </w:style>
  <w:style w:type="paragraph" w:customStyle="1" w:styleId="223">
    <w:name w:val="表头文本"/>
    <w:uiPriority w:val="0"/>
    <w:pPr>
      <w:jc w:val="center"/>
    </w:pPr>
    <w:rPr>
      <w:rFonts w:ascii="Arial" w:hAnsi="Arial"/>
      <w:b/>
      <w:sz w:val="21"/>
      <w:szCs w:val="21"/>
      <w:lang w:val="en-US" w:eastAsia="zh-CN" w:bidi="ar-SA"/>
    </w:rPr>
  </w:style>
  <w:style w:type="paragraph" w:customStyle="1" w:styleId="224">
    <w:name w:val="标题 7 New"/>
    <w:basedOn w:val="1"/>
    <w:next w:val="1"/>
    <w:uiPriority w:val="0"/>
    <w:pPr>
      <w:keepNext/>
      <w:keepLines/>
      <w:widowControl/>
      <w:tabs>
        <w:tab w:val="left" w:pos="2520"/>
      </w:tabs>
      <w:spacing w:before="240" w:after="64" w:line="317" w:lineRule="auto"/>
      <w:ind w:left="1296" w:hanging="1296"/>
      <w:jc w:val="left"/>
      <w:outlineLvl w:val="6"/>
    </w:pPr>
    <w:rPr>
      <w:rFonts w:ascii="Times New Roman" w:hAnsi="Times New Roman" w:eastAsia="宋体" w:cs="Times New Roman"/>
      <w:b/>
      <w:kern w:val="0"/>
      <w:sz w:val="24"/>
      <w:szCs w:val="20"/>
    </w:rPr>
  </w:style>
  <w:style w:type="paragraph" w:customStyle="1" w:styleId="225">
    <w:name w:val="表格文本"/>
    <w:uiPriority w:val="0"/>
    <w:pPr>
      <w:tabs>
        <w:tab w:val="decimal" w:pos="0"/>
      </w:tabs>
    </w:pPr>
    <w:rPr>
      <w:rFonts w:ascii="Arial" w:hAnsi="Arial"/>
      <w:sz w:val="21"/>
      <w:szCs w:val="21"/>
      <w:lang w:val="en-US" w:eastAsia="zh-CN" w:bidi="ar-SA"/>
    </w:rPr>
  </w:style>
  <w:style w:type="paragraph" w:customStyle="1" w:styleId="226">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6"/>
      <w:szCs w:val="26"/>
    </w:rPr>
  </w:style>
  <w:style w:type="paragraph" w:customStyle="1" w:styleId="227">
    <w:name w:val="_Style 50"/>
    <w:basedOn w:val="21"/>
    <w:uiPriority w:val="0"/>
    <w:pPr>
      <w:widowControl w:val="0"/>
      <w:jc w:val="both"/>
    </w:pPr>
    <w:rPr>
      <w:rFonts w:ascii="Tahoma" w:hAnsi="Tahoma" w:eastAsia="宋体" w:cs="Times New Roman"/>
      <w:kern w:val="2"/>
      <w:shd w:val="clear" w:color="auto" w:fill="000080"/>
    </w:rPr>
  </w:style>
  <w:style w:type="paragraph" w:customStyle="1" w:styleId="228">
    <w:name w:val="a2"/>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6"/>
    <w:basedOn w:val="1"/>
    <w:uiPriority w:val="0"/>
    <w:pPr>
      <w:widowControl/>
      <w:spacing w:before="100" w:beforeAutospacing="1" w:after="100" w:afterAutospacing="1"/>
      <w:jc w:val="left"/>
    </w:pPr>
    <w:rPr>
      <w:rFonts w:hint="eastAsia" w:ascii="宋体" w:hAnsi="宋体" w:eastAsia="宋体" w:cs="Times New Roman"/>
      <w:kern w:val="0"/>
      <w:sz w:val="26"/>
      <w:szCs w:val="26"/>
    </w:rPr>
  </w:style>
  <w:style w:type="paragraph" w:customStyle="1" w:styleId="230">
    <w:name w:val="投标正文"/>
    <w:basedOn w:val="1"/>
    <w:uiPriority w:val="0"/>
    <w:pPr>
      <w:spacing w:line="360" w:lineRule="auto"/>
      <w:ind w:left="100" w:firstLine="480" w:firstLineChars="200"/>
    </w:pPr>
    <w:rPr>
      <w:rFonts w:ascii="Calibri" w:hAnsi="Calibri" w:eastAsia="宋体" w:cs="Times New Roman"/>
      <w:sz w:val="28"/>
    </w:rPr>
  </w:style>
  <w:style w:type="paragraph" w:customStyle="1" w:styleId="231">
    <w:name w:val="xl41"/>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Times New Roman"/>
      <w:kern w:val="0"/>
      <w:sz w:val="26"/>
      <w:szCs w:val="26"/>
    </w:rPr>
  </w:style>
  <w:style w:type="paragraph" w:customStyle="1" w:styleId="232">
    <w:name w:val="GP正文(首行缩进)"/>
    <w:basedOn w:val="1"/>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233">
    <w:name w:val="标题二自定义"/>
    <w:basedOn w:val="3"/>
    <w:next w:val="1"/>
    <w:uiPriority w:val="0"/>
    <w:pPr>
      <w:keepLines/>
      <w:widowControl/>
      <w:tabs>
        <w:tab w:val="left" w:pos="567"/>
        <w:tab w:val="left" w:pos="1440"/>
      </w:tabs>
      <w:adjustRightInd/>
      <w:spacing w:before="163" w:after="407"/>
      <w:ind w:left="1440" w:hanging="360"/>
      <w:jc w:val="left"/>
    </w:pPr>
    <w:rPr>
      <w:rFonts w:ascii="Times New Roman" w:hAnsi="Cambria" w:eastAsia="宋体" w:cs="Times New Roman"/>
      <w:bCs/>
      <w:kern w:val="2"/>
      <w:sz w:val="36"/>
      <w:szCs w:val="36"/>
      <w:lang w:bidi="en-US"/>
    </w:rPr>
  </w:style>
  <w:style w:type="paragraph" w:customStyle="1" w:styleId="234">
    <w:name w:val="L正文"/>
    <w:basedOn w:val="1"/>
    <w:uiPriority w:val="0"/>
    <w:rPr>
      <w:rFonts w:ascii="Times New Roman" w:hAnsi="Times New Roman" w:eastAsia="宋体" w:cs="Times New Roman"/>
    </w:rPr>
  </w:style>
  <w:style w:type="paragraph" w:customStyle="1" w:styleId="235">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6"/>
      <w:szCs w:val="26"/>
    </w:rPr>
  </w:style>
  <w:style w:type="paragraph" w:customStyle="1" w:styleId="236">
    <w:name w:val="_Style 57"/>
    <w:next w:val="1"/>
    <w:uiPriority w:val="0"/>
    <w:pPr>
      <w:widowControl w:val="0"/>
      <w:jc w:val="both"/>
    </w:pPr>
    <w:rPr>
      <w:kern w:val="2"/>
      <w:sz w:val="21"/>
      <w:szCs w:val="24"/>
      <w:lang w:val="en-US" w:eastAsia="zh-CN" w:bidi="ar-SA"/>
    </w:rPr>
  </w:style>
  <w:style w:type="paragraph" w:customStyle="1" w:styleId="237">
    <w:name w:val="BodyText1I"/>
    <w:basedOn w:val="238"/>
    <w:uiPriority w:val="0"/>
    <w:pPr>
      <w:tabs>
        <w:tab w:val="left" w:pos="3380"/>
      </w:tabs>
      <w:ind w:firstLine="420" w:firstLineChars="100"/>
    </w:pPr>
    <w:rPr>
      <w:rFonts w:ascii="宋体" w:hAnsi="宋体" w:eastAsia="宋体" w:cs="Times New Roman"/>
      <w:sz w:val="28"/>
      <w:szCs w:val="28"/>
    </w:rPr>
  </w:style>
  <w:style w:type="paragraph" w:customStyle="1" w:styleId="238">
    <w:name w:val="BodyText"/>
    <w:basedOn w:val="1"/>
    <w:uiPriority w:val="0"/>
    <w:pPr>
      <w:tabs>
        <w:tab w:val="left" w:pos="3380"/>
      </w:tabs>
      <w:jc w:val="center"/>
      <w:textAlignment w:val="baseline"/>
    </w:pPr>
    <w:rPr>
      <w:rFonts w:ascii="Times New Roman" w:hAnsi="Times New Roman" w:eastAsia="宋体" w:cs="Times New Roman"/>
      <w:b/>
      <w:bCs/>
      <w:spacing w:val="-20"/>
      <w:kern w:val="0"/>
      <w:sz w:val="36"/>
      <w:szCs w:val="24"/>
    </w:rPr>
  </w:style>
  <w:style w:type="paragraph" w:customStyle="1" w:styleId="239">
    <w:name w:val="此正文"/>
    <w:basedOn w:val="1"/>
    <w:uiPriority w:val="0"/>
    <w:pPr>
      <w:spacing w:line="360" w:lineRule="auto"/>
      <w:ind w:firstLine="200" w:firstLineChars="200"/>
    </w:pPr>
    <w:rPr>
      <w:rFonts w:ascii="Times New Roman" w:hAnsi="Times New Roman" w:eastAsia="宋体" w:cs="Times New Roman"/>
      <w:sz w:val="24"/>
      <w:szCs w:val="20"/>
    </w:rPr>
  </w:style>
  <w:style w:type="paragraph" w:customStyle="1" w:styleId="240">
    <w:name w:val="正文（首行不缩进）"/>
    <w:basedOn w:val="1"/>
    <w:uiPriority w:val="0"/>
    <w:rPr>
      <w:rFonts w:ascii="Times New Roman" w:hAnsi="Times New Roman" w:eastAsia="宋体" w:cs="Times New Roman"/>
      <w:szCs w:val="22"/>
    </w:rPr>
  </w:style>
  <w:style w:type="paragraph" w:customStyle="1" w:styleId="241">
    <w:name w:val="xl24"/>
    <w:basedOn w:val="1"/>
    <w:uiPriority w:val="0"/>
    <w:pPr>
      <w:widowControl/>
      <w:spacing w:before="100" w:beforeAutospacing="1" w:after="100" w:afterAutospacing="1"/>
      <w:jc w:val="right"/>
    </w:pPr>
    <w:rPr>
      <w:rFonts w:ascii="宋体" w:hAnsi="宋体" w:eastAsia="宋体" w:cs="Times New Roman"/>
      <w:kern w:val="0"/>
      <w:sz w:val="24"/>
    </w:rPr>
  </w:style>
  <w:style w:type="paragraph" w:customStyle="1" w:styleId="242">
    <w:name w:val="样式6"/>
    <w:basedOn w:val="1"/>
    <w:uiPriority w:val="0"/>
    <w:pPr>
      <w:spacing w:line="440" w:lineRule="exact"/>
      <w:ind w:right="-176" w:rightChars="-84"/>
    </w:pPr>
    <w:rPr>
      <w:rFonts w:ascii="新宋体" w:hAnsi="新宋体" w:eastAsia="新宋体" w:cs="Times New Roman"/>
      <w:sz w:val="22"/>
      <w:szCs w:val="22"/>
    </w:rPr>
  </w:style>
  <w:style w:type="paragraph" w:customStyle="1" w:styleId="243">
    <w:name w:val="Char2"/>
    <w:basedOn w:val="21"/>
    <w:next w:val="1"/>
    <w:uiPriority w:val="0"/>
    <w:pPr>
      <w:widowControl w:val="0"/>
      <w:jc w:val="both"/>
    </w:pPr>
    <w:rPr>
      <w:rFonts w:ascii="Times New Roman" w:hAnsi="Times New Roman" w:eastAsia="宋体" w:cs="Times New Roman"/>
      <w:kern w:val="2"/>
      <w:sz w:val="21"/>
      <w:szCs w:val="20"/>
    </w:rPr>
  </w:style>
  <w:style w:type="paragraph" w:customStyle="1" w:styleId="244">
    <w:name w:val="编号正文文本"/>
    <w:basedOn w:val="1"/>
    <w:uiPriority w:val="0"/>
    <w:pPr>
      <w:widowControl/>
      <w:tabs>
        <w:tab w:val="left" w:pos="238"/>
        <w:tab w:val="left" w:pos="1678"/>
      </w:tabs>
      <w:spacing w:before="100" w:beforeAutospacing="1" w:after="100" w:afterAutospacing="1" w:line="360" w:lineRule="auto"/>
      <w:ind w:left="1678" w:hanging="419"/>
      <w:jc w:val="left"/>
    </w:pPr>
    <w:rPr>
      <w:rFonts w:ascii="Verdana" w:hAnsi="Verdana" w:eastAsia="微软雅黑" w:cs="Times New Roman"/>
      <w:kern w:val="0"/>
      <w:sz w:val="24"/>
      <w:szCs w:val="20"/>
      <w:lang w:eastAsia="en-US"/>
    </w:rPr>
  </w:style>
  <w:style w:type="paragraph" w:customStyle="1" w:styleId="245">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6"/>
      <w:szCs w:val="26"/>
    </w:rPr>
  </w:style>
  <w:style w:type="paragraph" w:customStyle="1" w:styleId="246">
    <w:name w:val="列出段落1"/>
    <w:basedOn w:val="1"/>
    <w:uiPriority w:val="0"/>
    <w:pPr>
      <w:ind w:firstLine="420" w:firstLineChars="200"/>
    </w:pPr>
    <w:rPr>
      <w:rFonts w:ascii="Calibri" w:hAnsi="Calibri" w:eastAsia="宋体" w:cs="Times New Roman"/>
      <w:szCs w:val="22"/>
    </w:rPr>
  </w:style>
  <w:style w:type="paragraph" w:customStyle="1" w:styleId="247">
    <w:name w:val="文档标题"/>
    <w:basedOn w:val="1"/>
    <w:uiPriority w:val="0"/>
    <w:pPr>
      <w:tabs>
        <w:tab w:val="left" w:pos="0"/>
      </w:tabs>
      <w:spacing w:before="300" w:after="300"/>
      <w:jc w:val="center"/>
    </w:pPr>
    <w:rPr>
      <w:rFonts w:ascii="Arial" w:hAnsi="Arial" w:eastAsia="黑体" w:cs="Times New Roman"/>
      <w:sz w:val="36"/>
      <w:szCs w:val="36"/>
    </w:rPr>
  </w:style>
  <w:style w:type="paragraph" w:customStyle="1" w:styleId="248">
    <w:name w:val="List Paragraph1"/>
    <w:basedOn w:val="1"/>
    <w:uiPriority w:val="0"/>
    <w:pPr>
      <w:tabs>
        <w:tab w:val="left" w:pos="5760"/>
        <w:tab w:val="left" w:pos="6480"/>
      </w:tabs>
      <w:autoSpaceDE w:val="0"/>
      <w:autoSpaceDN w:val="0"/>
      <w:adjustRightInd w:val="0"/>
      <w:ind w:left="6480" w:firstLine="420" w:firstLineChars="200"/>
    </w:pPr>
    <w:rPr>
      <w:rFonts w:ascii="Times New Roman" w:hAnsi="Times New Roman" w:eastAsia="宋体" w:cs="Times New Roman"/>
      <w:color w:val="000000"/>
      <w:kern w:val="0"/>
      <w:szCs w:val="21"/>
    </w:rPr>
  </w:style>
  <w:style w:type="paragraph" w:customStyle="1" w:styleId="249">
    <w:name w:val="正文（首行缩进2字符）"/>
    <w:basedOn w:val="1"/>
    <w:uiPriority w:val="0"/>
    <w:pPr>
      <w:spacing w:line="360" w:lineRule="auto"/>
      <w:ind w:firstLine="480" w:firstLineChars="200"/>
    </w:pPr>
    <w:rPr>
      <w:rFonts w:ascii="Times New Roman" w:hAnsi="Times New Roman" w:eastAsia="宋体" w:cs="Times New Roman"/>
      <w:sz w:val="24"/>
    </w:rPr>
  </w:style>
  <w:style w:type="paragraph" w:customStyle="1" w:styleId="250">
    <w:name w:val="插图题注"/>
    <w:next w:val="1"/>
    <w:uiPriority w:val="0"/>
    <w:pPr>
      <w:tabs>
        <w:tab w:val="left" w:pos="5040"/>
        <w:tab w:val="left" w:pos="5760"/>
      </w:tabs>
      <w:spacing w:afterLines="100"/>
      <w:ind w:left="1089" w:hanging="369"/>
      <w:jc w:val="center"/>
    </w:pPr>
    <w:rPr>
      <w:rFonts w:ascii="Arial" w:hAnsi="Arial"/>
      <w:sz w:val="18"/>
      <w:szCs w:val="18"/>
      <w:lang w:val="en-US" w:eastAsia="zh-CN" w:bidi="ar-SA"/>
    </w:rPr>
  </w:style>
  <w:style w:type="paragraph" w:customStyle="1" w:styleId="251">
    <w:name w:val="_Style 49"/>
    <w:basedOn w:val="1"/>
    <w:next w:val="34"/>
    <w:uiPriority w:val="0"/>
    <w:rPr>
      <w:rFonts w:ascii="宋体" w:hAnsi="Courier New" w:eastAsia="宋体" w:cs="Times New Roman"/>
      <w:sz w:val="24"/>
      <w:szCs w:val="20"/>
    </w:rPr>
  </w:style>
  <w:style w:type="paragraph" w:customStyle="1" w:styleId="252">
    <w:name w:val="投标文件无"/>
    <w:basedOn w:val="1"/>
    <w:uiPriority w:val="0"/>
    <w:pPr>
      <w:tabs>
        <w:tab w:val="left" w:pos="900"/>
        <w:tab w:val="left" w:pos="1678"/>
      </w:tabs>
      <w:spacing w:line="360" w:lineRule="auto"/>
      <w:ind w:left="1678"/>
    </w:pPr>
    <w:rPr>
      <w:rFonts w:ascii="宋体" w:hAnsi="宋体" w:eastAsia="宋体" w:cs="Times New Roman"/>
      <w:b/>
      <w:sz w:val="24"/>
    </w:rPr>
  </w:style>
  <w:style w:type="paragraph" w:customStyle="1" w:styleId="253">
    <w:name w:val="编写建议"/>
    <w:basedOn w:val="1"/>
    <w:uiPriority w:val="0"/>
    <w:rPr>
      <w:rFonts w:ascii="Arial" w:hAnsi="Arial" w:eastAsia="宋体" w:cs="Arial"/>
      <w:i/>
      <w:color w:val="0000FF"/>
      <w:szCs w:val="21"/>
    </w:rPr>
  </w:style>
  <w:style w:type="paragraph" w:customStyle="1" w:styleId="254">
    <w:name w:val="正文－恩普"/>
    <w:basedOn w:val="15"/>
    <w:uiPriority w:val="0"/>
    <w:pPr>
      <w:widowControl/>
      <w:spacing w:afterLines="50" w:line="360" w:lineRule="auto"/>
      <w:ind w:firstLine="480" w:firstLineChars="200"/>
      <w:jc w:val="left"/>
    </w:pPr>
    <w:rPr>
      <w:rFonts w:hint="default" w:ascii="Times New Roman" w:hAnsi="Times New Roman" w:eastAsia="宋体" w:cs="Times New Roman"/>
      <w:kern w:val="0"/>
      <w:sz w:val="24"/>
    </w:rPr>
  </w:style>
  <w:style w:type="paragraph" w:customStyle="1" w:styleId="255">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6"/>
      <w:szCs w:val="26"/>
    </w:rPr>
  </w:style>
  <w:style w:type="paragraph" w:customStyle="1" w:styleId="256">
    <w:name w:val="aspnumfaautoadjustrightr"/>
    <w:uiPriority w:val="0"/>
    <w:pPr>
      <w:widowControl w:val="0"/>
      <w:autoSpaceDE w:val="0"/>
      <w:autoSpaceDN w:val="0"/>
      <w:adjustRightInd w:val="0"/>
      <w:ind w:firstLine="720"/>
      <w:jc w:val="both"/>
    </w:pPr>
    <w:rPr>
      <w:lang w:val="en-US" w:eastAsia="zh-CN" w:bidi="ar-SA"/>
    </w:rPr>
  </w:style>
  <w:style w:type="paragraph" w:customStyle="1" w:styleId="257">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6"/>
      <w:szCs w:val="26"/>
    </w:rPr>
  </w:style>
  <w:style w:type="paragraph" w:customStyle="1" w:styleId="258">
    <w:name w:val="Char Char2 Char"/>
    <w:basedOn w:val="1"/>
    <w:uiPriority w:val="0"/>
    <w:pPr>
      <w:keepNext/>
      <w:keepLines/>
      <w:pageBreakBefore/>
      <w:tabs>
        <w:tab w:val="left" w:pos="390"/>
      </w:tabs>
      <w:ind w:left="390" w:hanging="390"/>
    </w:pPr>
    <w:rPr>
      <w:rFonts w:ascii="Tahoma" w:hAnsi="Tahoma" w:eastAsia="宋体" w:cs="Times New Roman"/>
      <w:sz w:val="24"/>
      <w:szCs w:val="20"/>
    </w:rPr>
  </w:style>
  <w:style w:type="paragraph" w:customStyle="1" w:styleId="259">
    <w:name w:val="1"/>
    <w:basedOn w:val="1"/>
    <w:next w:val="15"/>
    <w:uiPriority w:val="0"/>
    <w:pPr>
      <w:ind w:firstLine="420"/>
    </w:pPr>
    <w:rPr>
      <w:rFonts w:ascii="Times New Roman" w:hAnsi="Times New Roman" w:eastAsia="宋体" w:cs="Times New Roman"/>
      <w:szCs w:val="20"/>
    </w:rPr>
  </w:style>
  <w:style w:type="paragraph" w:customStyle="1" w:styleId="260">
    <w:name w:val="首行缩进"/>
    <w:basedOn w:val="1"/>
    <w:uiPriority w:val="0"/>
    <w:pPr>
      <w:ind w:firstLine="480" w:firstLineChars="200"/>
    </w:pPr>
    <w:rPr>
      <w:rFonts w:ascii="Times New Roman" w:hAnsi="Times New Roman" w:eastAsia="宋体" w:cs="Times New Roman"/>
      <w:lang w:val="zh-CN"/>
    </w:rPr>
  </w:style>
  <w:style w:type="paragraph" w:customStyle="1" w:styleId="261">
    <w:name w:val="xl44"/>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kern w:val="0"/>
      <w:sz w:val="26"/>
      <w:szCs w:val="26"/>
    </w:rPr>
  </w:style>
  <w:style w:type="paragraph" w:customStyle="1" w:styleId="262">
    <w:name w:val="f1"/>
    <w:basedOn w:val="1"/>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263">
    <w:name w:val="DAS正文"/>
    <w:basedOn w:val="1"/>
    <w:qFormat/>
    <w:uiPriority w:val="0"/>
    <w:pPr>
      <w:spacing w:line="360" w:lineRule="auto"/>
      <w:ind w:right="181" w:firstLine="480" w:firstLineChars="200"/>
    </w:pPr>
    <w:rPr>
      <w:rFonts w:ascii="Verdana" w:hAnsi="Verdana"/>
    </w:rPr>
  </w:style>
  <w:style w:type="paragraph" w:customStyle="1" w:styleId="264">
    <w:name w:val="A题注[表格图片]"/>
    <w:basedOn w:val="18"/>
    <w:link w:val="265"/>
    <w:qFormat/>
    <w:uiPriority w:val="0"/>
    <w:pPr>
      <w:jc w:val="center"/>
    </w:pPr>
    <w:rPr>
      <w:rFonts w:ascii="宋体" w:hAnsi="宋体" w:eastAsia="宋体"/>
      <w:sz w:val="21"/>
      <w:lang w:val="zh-CN"/>
    </w:rPr>
  </w:style>
  <w:style w:type="character" w:customStyle="1" w:styleId="265">
    <w:name w:val="A题注[表格图片] Char"/>
    <w:link w:val="264"/>
    <w:qFormat/>
    <w:uiPriority w:val="0"/>
    <w:rPr>
      <w:rFonts w:ascii="宋体" w:hAnsi="宋体"/>
      <w:kern w:val="2"/>
      <w:sz w:val="21"/>
      <w:lang w:val="zh-CN"/>
    </w:rPr>
  </w:style>
  <w:style w:type="paragraph" w:customStyle="1" w:styleId="266">
    <w:name w:val="吉奥正文"/>
    <w:basedOn w:val="1"/>
    <w:link w:val="267"/>
    <w:qFormat/>
    <w:uiPriority w:val="0"/>
    <w:pPr>
      <w:adjustRightInd w:val="0"/>
      <w:snapToGrid w:val="0"/>
      <w:spacing w:before="120" w:line="360" w:lineRule="auto"/>
      <w:ind w:firstLine="200" w:firstLineChars="200"/>
      <w:textAlignment w:val="baseline"/>
    </w:pPr>
    <w:rPr>
      <w:rFonts w:eastAsia="仿宋_GB2312"/>
      <w:sz w:val="28"/>
      <w:szCs w:val="20"/>
      <w:lang w:val="zh-CN"/>
    </w:rPr>
  </w:style>
  <w:style w:type="character" w:customStyle="1" w:styleId="267">
    <w:name w:val="吉奥正文 Char"/>
    <w:link w:val="266"/>
    <w:qFormat/>
    <w:locked/>
    <w:uiPriority w:val="0"/>
    <w:rPr>
      <w:rFonts w:eastAsia="仿宋_GB2312"/>
      <w:kern w:val="2"/>
      <w:sz w:val="28"/>
      <w:lang w:val="zh-CN"/>
    </w:rPr>
  </w:style>
  <w:style w:type="paragraph" w:customStyle="1" w:styleId="268">
    <w:name w:val="C503-正文格式"/>
    <w:basedOn w:val="1"/>
    <w:link w:val="269"/>
    <w:uiPriority w:val="0"/>
    <w:pPr>
      <w:spacing w:line="360" w:lineRule="auto"/>
      <w:ind w:firstLine="480" w:firstLineChars="200"/>
    </w:pPr>
    <w:rPr>
      <w:rFonts w:cs="宋体"/>
      <w:sz w:val="28"/>
      <w:szCs w:val="20"/>
    </w:rPr>
  </w:style>
  <w:style w:type="character" w:customStyle="1" w:styleId="269">
    <w:name w:val="C503-正文格式 Char"/>
    <w:link w:val="268"/>
    <w:qFormat/>
    <w:uiPriority w:val="0"/>
    <w:rPr>
      <w:rFonts w:cs="宋体"/>
      <w:kern w:val="2"/>
      <w:sz w:val="2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90</Pages>
  <Words>55962</Words>
  <Characters>57700</Characters>
  <Lines>438</Lines>
  <Paragraphs>123</Paragraphs>
  <TotalTime>34</TotalTime>
  <ScaleCrop>false</ScaleCrop>
  <LinksUpToDate>false</LinksUpToDate>
  <CharactersWithSpaces>59696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2022-07-15T03:41:00Z</dcterms:created>
  <dc:creator>dashu</dc:creator>
  <cp:lastModifiedBy>WPS_1701756769</cp:lastModifiedBy>
  <cp:lastPrinted>2022-07-15T00:46:00Z</cp:lastPrinted>
  <dcterms:modified xsi:type="dcterms:W3CDTF">2024-02-23T07:12:43Z</dcterms:modified>
  <cp:revision>3</cp:revision>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8400C41E261246B180482564D9E0D34D_13</vt:lpwstr>
  </property>
</Properties>
</file>