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0FFB8">
      <w:pPr>
        <w:spacing w:line="400" w:lineRule="exact"/>
        <w:ind w:firstLine="422" w:firstLineChars="200"/>
        <w:rPr>
          <w:rFonts w:hint="eastAsia" w:ascii="宋体" w:hAnsi="宋体" w:eastAsia="宋体" w:cs="仿宋"/>
          <w:sz w:val="28"/>
          <w:szCs w:val="28"/>
          <w:highlight w:val="none"/>
          <w:lang w:eastAsia="zh-CN"/>
        </w:rPr>
      </w:pPr>
      <w:r>
        <w:rPr>
          <w:rFonts w:hint="eastAsia"/>
          <w:b/>
          <w:szCs w:val="21"/>
          <w:lang w:val="en-US" w:eastAsia="zh-CN"/>
        </w:rPr>
        <w:t xml:space="preserve">    </w:t>
      </w:r>
      <w:r>
        <w:rPr>
          <w:rFonts w:hint="eastAsia" w:ascii="宋体" w:hAnsi="宋体" w:eastAsia="宋体" w:cs="仿宋"/>
          <w:sz w:val="28"/>
          <w:szCs w:val="28"/>
          <w:highlight w:val="none"/>
          <w:lang w:val="en-US" w:eastAsia="zh-CN"/>
        </w:rPr>
        <w:t>第十五届中国(温州)国际园林博览会</w:t>
      </w:r>
      <w:r>
        <w:rPr>
          <w:rFonts w:hint="eastAsia" w:ascii="宋体" w:hAnsi="宋体" w:eastAsia="宋体" w:cs="仿宋"/>
          <w:sz w:val="28"/>
          <w:szCs w:val="28"/>
          <w:highlight w:val="none"/>
          <w:lang w:eastAsia="zh-CN"/>
        </w:rPr>
        <w:t>嘉兴园</w:t>
      </w:r>
    </w:p>
    <w:p w14:paraId="3081A483">
      <w:pPr>
        <w:spacing w:line="400" w:lineRule="exact"/>
        <w:ind w:firstLine="1120" w:firstLineChars="400"/>
        <w:rPr>
          <w:rFonts w:hint="eastAsia" w:ascii="宋体" w:hAnsi="宋体" w:cs="仿宋"/>
          <w:sz w:val="28"/>
          <w:szCs w:val="28"/>
          <w:highlight w:val="none"/>
          <w:lang w:val="en-US" w:eastAsia="zh-CN"/>
        </w:rPr>
      </w:pPr>
      <w:r>
        <w:rPr>
          <w:rFonts w:hint="eastAsia" w:ascii="宋体" w:hAnsi="宋体" w:eastAsia="宋体" w:cs="仿宋"/>
          <w:sz w:val="28"/>
          <w:szCs w:val="28"/>
          <w:highlight w:val="none"/>
          <w:lang w:eastAsia="zh-CN"/>
        </w:rPr>
        <w:t>设计、施工及运营服务项</w:t>
      </w:r>
      <w:r>
        <w:rPr>
          <w:rFonts w:hint="eastAsia" w:ascii="宋体" w:hAnsi="宋体" w:cs="仿宋"/>
          <w:sz w:val="28"/>
          <w:szCs w:val="28"/>
          <w:highlight w:val="none"/>
          <w:lang w:eastAsia="zh-CN"/>
        </w:rPr>
        <w:t>目</w:t>
      </w:r>
      <w:r>
        <w:rPr>
          <w:rFonts w:hint="eastAsia" w:ascii="宋体" w:hAnsi="宋体" w:cs="仿宋"/>
          <w:sz w:val="28"/>
          <w:szCs w:val="28"/>
          <w:highlight w:val="none"/>
          <w:lang w:val="en-US" w:eastAsia="zh-CN"/>
        </w:rPr>
        <w:t>清单编制说明</w:t>
      </w:r>
    </w:p>
    <w:p w14:paraId="1D190421">
      <w:pPr>
        <w:spacing w:line="400" w:lineRule="exact"/>
        <w:ind w:firstLine="840" w:firstLineChars="400"/>
        <w:rPr>
          <w:rFonts w:hint="default" w:ascii="宋体" w:hAnsi="宋体" w:cs="仿宋"/>
          <w:sz w:val="21"/>
          <w:szCs w:val="21"/>
          <w:highlight w:val="none"/>
          <w:lang w:val="en-US" w:eastAsia="zh-CN"/>
        </w:rPr>
      </w:pPr>
    </w:p>
    <w:p w14:paraId="2D3A37A7">
      <w:pPr>
        <w:spacing w:line="400" w:lineRule="exact"/>
        <w:ind w:firstLine="422" w:firstLineChars="200"/>
        <w:rPr>
          <w:rFonts w:hint="eastAsia"/>
          <w:b/>
          <w:szCs w:val="21"/>
        </w:rPr>
      </w:pPr>
      <w:r>
        <w:rPr>
          <w:rFonts w:hint="eastAsia"/>
          <w:b/>
          <w:szCs w:val="21"/>
        </w:rPr>
        <w:t>一、工程概况：</w:t>
      </w:r>
    </w:p>
    <w:p w14:paraId="1D9CA9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Cs w:val="21"/>
          <w:highlight w:val="none"/>
        </w:rPr>
      </w:pPr>
      <w:r>
        <w:rPr>
          <w:rFonts w:hint="eastAsia" w:ascii="宋体" w:hAnsi="宋体" w:cs="宋体"/>
          <w:szCs w:val="21"/>
          <w:highlight w:val="none"/>
        </w:rPr>
        <w:t>中国国际园林博览会（以下简称园博会）是我国园林绿化行业层次最高、规模最大且最具代表性和国际影响力的国家级展会。由住房城乡建设部主办，温州市人民政府和浙江省住房和城乡建设厅联合承办的第十五届中国国际园林博览会拟于2026年</w:t>
      </w:r>
      <w:r>
        <w:rPr>
          <w:rFonts w:hint="eastAsia" w:ascii="宋体" w:hAnsi="宋体" w:cs="宋体"/>
          <w:szCs w:val="21"/>
          <w:highlight w:val="none"/>
          <w:lang w:val="en-US" w:eastAsia="zh-CN"/>
        </w:rPr>
        <w:t>4</w:t>
      </w:r>
      <w:r>
        <w:rPr>
          <w:rFonts w:hint="eastAsia" w:ascii="宋体" w:hAnsi="宋体" w:cs="宋体"/>
          <w:szCs w:val="21"/>
          <w:highlight w:val="none"/>
        </w:rPr>
        <w:t>月-7月在温州市举办。</w:t>
      </w:r>
    </w:p>
    <w:p w14:paraId="659F28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Cs w:val="21"/>
          <w:highlight w:val="none"/>
        </w:rPr>
      </w:pPr>
      <w:r>
        <w:rPr>
          <w:rFonts w:hint="eastAsia" w:ascii="宋体" w:hAnsi="宋体" w:cs="宋体"/>
          <w:szCs w:val="21"/>
          <w:highlight w:val="none"/>
        </w:rPr>
        <w:t>温州园博园位于温州高铁新城核心区域，用地面积约 230.5公顷，共分为国际城市展区、 国内城市展区、浙山浙水展区等多个展区。其中，浙山浙水展区面积21150平方米，嘉兴展园面积约为1850平方米。</w:t>
      </w:r>
    </w:p>
    <w:p w14:paraId="2AD38A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Cs w:val="21"/>
          <w:highlight w:val="none"/>
        </w:rPr>
      </w:pPr>
      <w:r>
        <w:rPr>
          <w:rFonts w:hint="eastAsia" w:ascii="宋体" w:hAnsi="宋体" w:cs="宋体"/>
          <w:szCs w:val="21"/>
          <w:highlight w:val="none"/>
        </w:rPr>
        <w:t>嘉兴展园将围绕本届园博会主题和建设要求，充分挖掘嘉兴地方特色和历史文化，展示我市在园林绿化、城市建设和古镇园林等方面取得的成就，基于传统园林格局，以现代景观手法及材料演绎水乡生活，从江南园林韵味、全域格局构建、文化基因传承、产业融合创新、水乡生活滋味多角度诠释嘉兴在地性的生产生活生态和园林文化。充分利用新材料、新技术、新工艺，表达自然与科技融合创新思路，体现生态、节约、长效发展理念，展现水绿交织、生态宜居的城市风貌。主要工作内容为苗木绿化、景观铺装、景观水系、古建、景观亭、小品等。</w:t>
      </w:r>
    </w:p>
    <w:p w14:paraId="1F6EE3D7">
      <w:pPr>
        <w:spacing w:line="400" w:lineRule="exact"/>
        <w:ind w:firstLine="422" w:firstLineChars="200"/>
        <w:rPr>
          <w:rFonts w:hint="eastAsia"/>
          <w:b/>
          <w:szCs w:val="21"/>
        </w:rPr>
      </w:pPr>
      <w:r>
        <w:rPr>
          <w:rFonts w:hint="eastAsia"/>
          <w:b/>
          <w:szCs w:val="21"/>
        </w:rPr>
        <w:t>二、招标范围：</w:t>
      </w:r>
    </w:p>
    <w:p w14:paraId="7AD11CA0">
      <w:pPr>
        <w:spacing w:line="400" w:lineRule="exact"/>
        <w:ind w:firstLine="420" w:firstLineChars="200"/>
        <w:rPr>
          <w:rFonts w:hint="eastAsia"/>
          <w:szCs w:val="21"/>
          <w:highlight w:val="yellow"/>
        </w:rPr>
      </w:pPr>
      <w:r>
        <w:rPr>
          <w:rFonts w:hint="eastAsia"/>
          <w:szCs w:val="21"/>
          <w:lang w:val="en-US" w:eastAsia="zh-CN"/>
        </w:rPr>
        <w:t>初设设计</w:t>
      </w:r>
      <w:r>
        <w:rPr>
          <w:rFonts w:hint="eastAsia"/>
          <w:szCs w:val="21"/>
        </w:rPr>
        <w:t>施工图范围内</w:t>
      </w:r>
      <w:r>
        <w:rPr>
          <w:rFonts w:hint="eastAsia" w:ascii="宋体" w:hAnsi="宋体" w:cs="宋体"/>
          <w:szCs w:val="21"/>
          <w:highlight w:val="none"/>
        </w:rPr>
        <w:t>苗木绿化、景观铺装、景观水系、古建、景观亭、小品等</w:t>
      </w:r>
      <w:r>
        <w:rPr>
          <w:rFonts w:hint="eastAsia" w:ascii="宋体" w:hAnsi="宋体" w:cs="宋体"/>
          <w:szCs w:val="21"/>
          <w:highlight w:val="none"/>
          <w:lang w:val="en-US" w:eastAsia="zh-CN"/>
        </w:rPr>
        <w:t>,</w:t>
      </w:r>
      <w:r>
        <w:rPr>
          <w:rFonts w:hint="eastAsia" w:ascii="宋体" w:hAnsi="宋体" w:cs="宋体"/>
          <w:szCs w:val="21"/>
          <w:highlight w:val="none"/>
        </w:rPr>
        <w:t>具体详见工程量清单及初步设计图纸</w:t>
      </w:r>
    </w:p>
    <w:p w14:paraId="0E706968">
      <w:pPr>
        <w:spacing w:line="400" w:lineRule="exact"/>
        <w:ind w:firstLine="422" w:firstLineChars="200"/>
        <w:rPr>
          <w:rFonts w:hint="eastAsia"/>
          <w:szCs w:val="21"/>
        </w:rPr>
      </w:pPr>
      <w:r>
        <w:rPr>
          <w:rFonts w:hint="eastAsia"/>
          <w:b/>
          <w:szCs w:val="21"/>
        </w:rPr>
        <w:t>三、清单编制依据：</w:t>
      </w:r>
    </w:p>
    <w:p w14:paraId="7CFC64A2">
      <w:pPr>
        <w:spacing w:line="400" w:lineRule="exact"/>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1</w:t>
      </w:r>
      <w:r>
        <w:rPr>
          <w:rFonts w:hint="eastAsia" w:ascii="Times New Roman" w:hAnsi="Times New Roman" w:eastAsia="宋体" w:cs="Times New Roman"/>
          <w:szCs w:val="21"/>
          <w:highlight w:val="none"/>
        </w:rPr>
        <w:t>、</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浙江省房屋建筑和市政基础设施项目工程总承包项目清单指引（2018 版）</w:t>
      </w:r>
      <w:r>
        <w:rPr>
          <w:rFonts w:hint="eastAsia" w:ascii="Times New Roman" w:hAnsi="Times New Roman" w:eastAsia="宋体" w:cs="Times New Roman"/>
          <w:szCs w:val="21"/>
          <w:highlight w:val="none"/>
          <w:lang w:eastAsia="zh-CN"/>
        </w:rPr>
        <w:t>》</w:t>
      </w:r>
    </w:p>
    <w:p w14:paraId="5F94432A">
      <w:pPr>
        <w:spacing w:line="400" w:lineRule="exact"/>
        <w:ind w:firstLine="420" w:firstLineChars="200"/>
        <w:rPr>
          <w:rFonts w:hint="eastAsia" w:ascii="Times New Roman" w:hAnsi="Times New Roman" w:eastAsia="宋体" w:cs="Times New Roman"/>
          <w:szCs w:val="21"/>
          <w:highlight w:val="none"/>
          <w:lang w:eastAsia="zh-CN"/>
        </w:rPr>
      </w:pPr>
      <w:r>
        <w:rPr>
          <w:rFonts w:hint="eastAsia" w:cs="Times New Roman"/>
          <w:szCs w:val="21"/>
          <w:highlight w:val="none"/>
          <w:lang w:val="en-US" w:eastAsia="zh-CN"/>
        </w:rPr>
        <w:t>2</w:t>
      </w:r>
      <w:r>
        <w:rPr>
          <w:rFonts w:hint="eastAsia" w:ascii="Times New Roman" w:hAnsi="Times New Roman" w:eastAsia="宋体" w:cs="Times New Roman"/>
          <w:szCs w:val="21"/>
          <w:highlight w:val="none"/>
          <w:lang w:eastAsia="zh-CN"/>
        </w:rPr>
        <w:t>、《浙江省房屋建筑与装饰工程概算定额》（2018版）</w:t>
      </w:r>
    </w:p>
    <w:p w14:paraId="6A97A5E7">
      <w:pPr>
        <w:spacing w:line="400" w:lineRule="exact"/>
        <w:ind w:firstLine="420" w:firstLineChars="200"/>
        <w:rPr>
          <w:rFonts w:hint="eastAsia" w:ascii="Times New Roman" w:hAnsi="Times New Roman" w:eastAsia="宋体" w:cs="Times New Roman"/>
          <w:szCs w:val="21"/>
          <w:highlight w:val="none"/>
          <w:lang w:eastAsia="zh-CN"/>
        </w:rPr>
      </w:pPr>
      <w:r>
        <w:rPr>
          <w:rFonts w:hint="eastAsia" w:cs="Times New Roman"/>
          <w:szCs w:val="21"/>
          <w:highlight w:val="none"/>
          <w:lang w:val="en-US" w:eastAsia="zh-CN"/>
        </w:rPr>
        <w:t>3</w:t>
      </w:r>
      <w:r>
        <w:rPr>
          <w:rFonts w:hint="eastAsia" w:ascii="Times New Roman" w:hAnsi="Times New Roman" w:eastAsia="宋体" w:cs="Times New Roman"/>
          <w:szCs w:val="21"/>
          <w:highlight w:val="none"/>
          <w:lang w:eastAsia="zh-CN"/>
        </w:rPr>
        <w:t>、《浙江省通用安装工程概算定额》（2018版）</w:t>
      </w:r>
    </w:p>
    <w:p w14:paraId="57ECC902">
      <w:pPr>
        <w:spacing w:line="400" w:lineRule="exact"/>
        <w:ind w:firstLine="420" w:firstLineChars="200"/>
        <w:rPr>
          <w:rFonts w:hint="eastAsia" w:ascii="Times New Roman" w:hAnsi="Times New Roman" w:eastAsia="宋体" w:cs="Times New Roman"/>
          <w:szCs w:val="21"/>
          <w:highlight w:val="none"/>
        </w:rPr>
      </w:pPr>
      <w:r>
        <w:rPr>
          <w:rFonts w:hint="eastAsia" w:cs="Times New Roman"/>
          <w:szCs w:val="21"/>
          <w:highlight w:val="none"/>
          <w:lang w:val="en-US" w:eastAsia="zh-CN"/>
        </w:rPr>
        <w:t>4</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浙江省市政工程概算定额</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（2018版）</w:t>
      </w:r>
    </w:p>
    <w:p w14:paraId="53723D16">
      <w:pPr>
        <w:spacing w:line="400" w:lineRule="exact"/>
        <w:ind w:firstLine="420" w:firstLineChars="200"/>
        <w:rPr>
          <w:rFonts w:hint="eastAsia" w:ascii="Times New Roman" w:hAnsi="Times New Roman" w:eastAsia="宋体" w:cs="Times New Roman"/>
          <w:szCs w:val="21"/>
          <w:highlight w:val="none"/>
        </w:rPr>
      </w:pPr>
      <w:r>
        <w:rPr>
          <w:rFonts w:hint="eastAsia" w:cs="Times New Roman"/>
          <w:szCs w:val="21"/>
          <w:highlight w:val="none"/>
          <w:lang w:val="en-US" w:eastAsia="zh-CN"/>
        </w:rPr>
        <w:t>5</w:t>
      </w:r>
      <w:r>
        <w:rPr>
          <w:rFonts w:hint="eastAsia" w:ascii="Times New Roman" w:hAnsi="Times New Roman" w:eastAsia="宋体" w:cs="Times New Roman"/>
          <w:szCs w:val="21"/>
          <w:highlight w:val="none"/>
          <w:lang w:eastAsia="zh-CN"/>
        </w:rPr>
        <w:t>、《浙江省房屋建筑与装饰工程预算定额》</w:t>
      </w:r>
      <w:r>
        <w:rPr>
          <w:rFonts w:hint="eastAsia" w:ascii="Times New Roman" w:hAnsi="Times New Roman" w:eastAsia="宋体" w:cs="Times New Roman"/>
          <w:szCs w:val="21"/>
          <w:highlight w:val="none"/>
        </w:rPr>
        <w:t>（2018版）</w:t>
      </w:r>
    </w:p>
    <w:p w14:paraId="64327117">
      <w:pPr>
        <w:spacing w:line="400" w:lineRule="exact"/>
        <w:ind w:firstLine="420" w:firstLineChars="200"/>
        <w:rPr>
          <w:rFonts w:hint="eastAsia" w:ascii="Times New Roman" w:hAnsi="Times New Roman" w:eastAsia="宋体" w:cs="Times New Roman"/>
          <w:szCs w:val="21"/>
          <w:highlight w:val="none"/>
        </w:rPr>
      </w:pPr>
      <w:r>
        <w:rPr>
          <w:rFonts w:hint="eastAsia" w:cs="Times New Roman"/>
          <w:szCs w:val="21"/>
          <w:highlight w:val="none"/>
          <w:lang w:val="en-US" w:eastAsia="zh-CN"/>
        </w:rPr>
        <w:t>6</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浙江省市政工程预算定额定额</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（2018版）</w:t>
      </w:r>
    </w:p>
    <w:p w14:paraId="35FCD177">
      <w:pPr>
        <w:spacing w:line="400" w:lineRule="exact"/>
        <w:ind w:firstLine="420" w:firstLineChars="200"/>
        <w:rPr>
          <w:rFonts w:hint="eastAsia" w:ascii="Times New Roman" w:hAnsi="Times New Roman" w:eastAsia="宋体" w:cs="Times New Roman"/>
          <w:szCs w:val="21"/>
          <w:highlight w:val="none"/>
        </w:rPr>
      </w:pPr>
      <w:r>
        <w:rPr>
          <w:rFonts w:hint="eastAsia" w:cs="Times New Roman"/>
          <w:szCs w:val="21"/>
          <w:highlight w:val="none"/>
          <w:lang w:val="en-US" w:eastAsia="zh-CN"/>
        </w:rPr>
        <w:t>7</w:t>
      </w:r>
      <w:r>
        <w:rPr>
          <w:rFonts w:hint="eastAsia" w:ascii="Times New Roman" w:hAnsi="Times New Roman" w:eastAsia="宋体" w:cs="Times New Roman"/>
          <w:szCs w:val="21"/>
          <w:highlight w:val="none"/>
          <w:lang w:eastAsia="zh-CN"/>
        </w:rPr>
        <w:t>、《浙江省通用安装工程预算定额》</w:t>
      </w:r>
      <w:r>
        <w:rPr>
          <w:rFonts w:hint="eastAsia" w:ascii="Times New Roman" w:hAnsi="Times New Roman" w:eastAsia="宋体" w:cs="Times New Roman"/>
          <w:szCs w:val="21"/>
          <w:highlight w:val="none"/>
        </w:rPr>
        <w:t>（2018版）</w:t>
      </w:r>
    </w:p>
    <w:p w14:paraId="744ADE0B">
      <w:pPr>
        <w:spacing w:line="400" w:lineRule="exact"/>
        <w:ind w:firstLine="420" w:firstLineChars="200"/>
        <w:rPr>
          <w:rFonts w:hint="eastAsia" w:ascii="Times New Roman" w:hAnsi="Times New Roman" w:eastAsia="宋体" w:cs="Times New Roman"/>
          <w:szCs w:val="21"/>
          <w:highlight w:val="none"/>
          <w:lang w:eastAsia="zh-CN"/>
        </w:rPr>
      </w:pPr>
      <w:r>
        <w:rPr>
          <w:rFonts w:hint="eastAsia" w:cs="Times New Roman"/>
          <w:szCs w:val="21"/>
          <w:highlight w:val="none"/>
          <w:lang w:val="en-US" w:eastAsia="zh-CN"/>
        </w:rPr>
        <w:t>8、</w:t>
      </w:r>
      <w:r>
        <w:rPr>
          <w:rFonts w:hint="eastAsia" w:ascii="Times New Roman" w:hAnsi="Times New Roman" w:eastAsia="宋体" w:cs="Times New Roman"/>
          <w:szCs w:val="21"/>
          <w:highlight w:val="none"/>
          <w:lang w:eastAsia="zh-CN"/>
        </w:rPr>
        <w:t>《浙江省通用安装工程预算定额》（2018版）</w:t>
      </w:r>
    </w:p>
    <w:p w14:paraId="6FAC0FC3">
      <w:pPr>
        <w:spacing w:line="400" w:lineRule="exact"/>
        <w:ind w:firstLine="420" w:firstLineChars="200"/>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9、《浙江省园林绿化及仿古建筑工程预算定额》（2018版）</w:t>
      </w:r>
    </w:p>
    <w:p w14:paraId="48D3BC44">
      <w:pPr>
        <w:spacing w:line="400" w:lineRule="exact"/>
        <w:ind w:firstLine="420" w:firstLineChars="200"/>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10、《浙江省建设工程计价规则》（2018版）</w:t>
      </w:r>
    </w:p>
    <w:p w14:paraId="26533F6E">
      <w:pPr>
        <w:spacing w:line="400" w:lineRule="exact"/>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11</w:t>
      </w:r>
      <w:r>
        <w:rPr>
          <w:rFonts w:hint="eastAsia" w:ascii="Times New Roman" w:hAnsi="Times New Roman" w:eastAsia="宋体" w:cs="Times New Roman"/>
          <w:szCs w:val="21"/>
          <w:highlight w:val="none"/>
          <w:lang w:eastAsia="zh-CN"/>
        </w:rPr>
        <w:t>、《关于增值税调整后我省建设工程计价依据增值税税率及有关计价调整的通知》（浙建建发〔2019〕92号）</w:t>
      </w:r>
    </w:p>
    <w:p w14:paraId="007BAF0D">
      <w:pPr>
        <w:spacing w:line="400" w:lineRule="exact"/>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12</w:t>
      </w:r>
      <w:r>
        <w:rPr>
          <w:rFonts w:hint="eastAsia" w:ascii="Times New Roman" w:hAnsi="Times New Roman" w:eastAsia="宋体" w:cs="Times New Roman"/>
          <w:szCs w:val="21"/>
          <w:highlight w:val="none"/>
          <w:lang w:eastAsia="zh-CN"/>
        </w:rPr>
        <w:t>、《省建设厅关于调整建筑工程安全文明施工费的通知》（浙建建发〔2022〕37号）</w:t>
      </w:r>
    </w:p>
    <w:p w14:paraId="184B4FD3">
      <w:pPr>
        <w:spacing w:line="400" w:lineRule="exact"/>
        <w:ind w:firstLine="420" w:firstLineChars="200"/>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13、初步设计文件(电子稿)、、前期提供的资料等；</w:t>
      </w:r>
    </w:p>
    <w:p w14:paraId="3F60F69A">
      <w:pPr>
        <w:spacing w:line="400" w:lineRule="exact"/>
        <w:ind w:firstLine="420" w:firstLineChars="200"/>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14、本工程的招标文件；</w:t>
      </w:r>
    </w:p>
    <w:p w14:paraId="5AD63F3A">
      <w:pPr>
        <w:spacing w:line="400" w:lineRule="exact"/>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15、其他</w:t>
      </w:r>
      <w:r>
        <w:rPr>
          <w:rFonts w:hint="eastAsia" w:ascii="Times New Roman" w:hAnsi="Times New Roman" w:eastAsia="宋体" w:cs="Times New Roman"/>
          <w:szCs w:val="21"/>
          <w:highlight w:val="none"/>
          <w:lang w:eastAsia="zh-CN"/>
        </w:rPr>
        <w:t>政策文件</w:t>
      </w:r>
    </w:p>
    <w:p w14:paraId="7F297F00">
      <w:pPr>
        <w:spacing w:line="400" w:lineRule="exact"/>
        <w:ind w:firstLine="422" w:firstLineChars="200"/>
        <w:rPr>
          <w:rFonts w:hint="eastAsia"/>
          <w:b/>
          <w:szCs w:val="21"/>
        </w:rPr>
      </w:pPr>
      <w:r>
        <w:rPr>
          <w:rFonts w:hint="eastAsia"/>
          <w:b/>
          <w:szCs w:val="21"/>
        </w:rPr>
        <w:t>四、工程质量、工期、材料、施工等达到招标文件及相关规范要求。</w:t>
      </w:r>
    </w:p>
    <w:p w14:paraId="5FB8792B">
      <w:pPr>
        <w:spacing w:line="440" w:lineRule="atLeast"/>
        <w:ind w:firstLine="422" w:firstLineChars="200"/>
        <w:rPr>
          <w:rFonts w:hint="eastAsia"/>
        </w:rPr>
      </w:pPr>
      <w:r>
        <w:rPr>
          <w:rFonts w:hint="eastAsia"/>
          <w:b/>
          <w:szCs w:val="21"/>
          <w:highlight w:val="none"/>
          <w:lang w:val="en-US" w:eastAsia="zh-CN"/>
        </w:rPr>
        <w:t>五</w:t>
      </w:r>
      <w:r>
        <w:rPr>
          <w:rFonts w:hint="eastAsia"/>
          <w:b/>
          <w:szCs w:val="21"/>
          <w:highlight w:val="none"/>
        </w:rPr>
        <w:t>、工程量清单编制说明事项：</w:t>
      </w:r>
    </w:p>
    <w:p w14:paraId="3C60784A">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1、展厅工程量清单建筑面积按设计图纸说明136.5平米再加木结构戏台外廊面积29.6平米计入；</w:t>
      </w:r>
    </w:p>
    <w:p w14:paraId="77C964F5">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2、入口门厅工程量清单建筑面积按设计图纸说明34.15平米计入；</w:t>
      </w:r>
    </w:p>
    <w:p w14:paraId="34246D57">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3、室外面积按设计单位提供的总室外面积2014.65平米，此面积未含建筑占地面积，但包括红线外364.9平米；</w:t>
      </w:r>
    </w:p>
    <w:p w14:paraId="1A57EC8C">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4、绿化养护按业主要求养护至园博会结束时间点（2025年7月底）；</w:t>
      </w:r>
    </w:p>
    <w:p w14:paraId="5E17019D">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5、本项目暂列金额18.3533万元（预留金），本项费用不可竞争，供建设单位后期使用，费用列在展厅房屋建筑工程中其他暂列金额中；</w:t>
      </w:r>
    </w:p>
    <w:p w14:paraId="00ECB0EE">
      <w:pPr>
        <w:spacing w:line="360" w:lineRule="auto"/>
        <w:ind w:firstLine="315" w:firstLineChars="150"/>
        <w:outlineLvl w:val="0"/>
        <w:rPr>
          <w:rFonts w:hint="default" w:ascii="宋体" w:hAnsi="宋体" w:eastAsia="宋体" w:cs="Times New Roman"/>
          <w:lang w:val="en-US" w:eastAsia="zh-CN"/>
        </w:rPr>
      </w:pPr>
      <w:r>
        <w:rPr>
          <w:rFonts w:hint="eastAsia" w:ascii="宋体" w:hAnsi="宋体" w:eastAsia="宋体" w:cs="Times New Roman"/>
          <w:lang w:val="en-US" w:eastAsia="zh-CN"/>
        </w:rPr>
        <w:t>6、嘉兴园展陈项目清单要求配套的设备清单详后附表1；</w:t>
      </w:r>
      <w:bookmarkStart w:id="0" w:name="_GoBack"/>
      <w:bookmarkEnd w:id="0"/>
    </w:p>
    <w:p w14:paraId="72D105F3">
      <w:pPr>
        <w:spacing w:line="360" w:lineRule="auto"/>
        <w:ind w:firstLine="527" w:firstLineChars="250"/>
        <w:rPr>
          <w:rFonts w:hint="eastAsia" w:ascii="宋体" w:hAnsi="宋体" w:eastAsia="宋体" w:cs="Times New Roman"/>
          <w:b/>
          <w:bCs/>
          <w:lang w:val="zh-CN"/>
        </w:rPr>
      </w:pPr>
      <w:r>
        <w:rPr>
          <w:rFonts w:hint="eastAsia" w:ascii="宋体" w:hAnsi="宋体" w:eastAsia="宋体" w:cs="Times New Roman"/>
          <w:b/>
          <w:bCs/>
          <w:lang w:val="en-US" w:eastAsia="zh-CN"/>
        </w:rPr>
        <w:t>六</w:t>
      </w:r>
      <w:r>
        <w:rPr>
          <w:rFonts w:hint="eastAsia" w:ascii="宋体" w:hAnsi="宋体" w:eastAsia="宋体" w:cs="Times New Roman"/>
          <w:b/>
          <w:bCs/>
        </w:rPr>
        <w:t>、</w:t>
      </w:r>
      <w:r>
        <w:rPr>
          <w:rFonts w:hint="eastAsia" w:ascii="宋体" w:hAnsi="宋体" w:eastAsia="宋体" w:cs="Times New Roman"/>
          <w:b/>
          <w:bCs/>
          <w:lang w:val="zh-CN"/>
        </w:rPr>
        <w:t>推荐品牌</w:t>
      </w:r>
    </w:p>
    <w:p w14:paraId="4018B0F6">
      <w:pPr>
        <w:spacing w:line="360" w:lineRule="auto"/>
        <w:ind w:firstLine="315" w:firstLineChars="150"/>
        <w:outlineLvl w:val="0"/>
        <w:rPr>
          <w:rFonts w:hint="eastAsia" w:ascii="宋体" w:hAnsi="宋体" w:eastAsia="宋体" w:cs="Times New Roman"/>
          <w:lang w:val="zh-CN" w:eastAsia="zh-CN"/>
        </w:rPr>
      </w:pPr>
      <w:r>
        <w:rPr>
          <w:rFonts w:hint="eastAsia" w:ascii="宋体" w:hAnsi="宋体" w:eastAsia="宋体" w:cs="Times New Roman"/>
          <w:lang w:val="zh-CN" w:eastAsia="zh-CN"/>
        </w:rPr>
        <w:t>本工程部分材料由招标人推荐品牌供投标人选择(详见后附 EXCLE 表格)，投标人应在投标文件中明确选择投标品牌(有推荐系列的还需明确系列)并据此报价。投标人在投标文件中不作选择的，不作否决投标处理，并且视为投标人的商务报价认可推荐品牌(推荐系列)，并放弃选择的权利，招标人可在合同中注明所推荐品牌(推荐系列)，且投标人的报价不作调整，中标人如拒绝采纳，则视为中标人放弃中标；不论选定品牌(系列)由哪种方式确定，如在施工期间由于市场原因无法采购到选定品牌(系列)产品的，则</w:t>
      </w:r>
      <w:r>
        <w:rPr>
          <w:rFonts w:hint="eastAsia" w:ascii="宋体" w:hAnsi="宋体" w:eastAsia="宋体" w:cs="Times New Roman"/>
          <w:lang w:val="en-US" w:eastAsia="zh-CN"/>
        </w:rPr>
        <w:t>中标</w:t>
      </w:r>
      <w:r>
        <w:rPr>
          <w:rFonts w:hint="eastAsia" w:ascii="宋体" w:hAnsi="宋体" w:eastAsia="宋体" w:cs="Times New Roman"/>
          <w:lang w:val="zh-CN" w:eastAsia="zh-CN"/>
        </w:rPr>
        <w:t>人必须向</w:t>
      </w:r>
      <w:r>
        <w:rPr>
          <w:rFonts w:hint="eastAsia" w:ascii="宋体" w:hAnsi="宋体" w:eastAsia="宋体" w:cs="Times New Roman"/>
          <w:lang w:val="en-US" w:eastAsia="zh-CN"/>
        </w:rPr>
        <w:t>招标人</w:t>
      </w:r>
      <w:r>
        <w:rPr>
          <w:rFonts w:hint="eastAsia" w:ascii="宋体" w:hAnsi="宋体" w:eastAsia="宋体" w:cs="Times New Roman"/>
          <w:lang w:val="zh-CN" w:eastAsia="zh-CN"/>
        </w:rPr>
        <w:t>申请在同等档次(或高于)品牌(系列)中另择厂家产品代替，并必须经</w:t>
      </w:r>
      <w:r>
        <w:rPr>
          <w:rFonts w:hint="eastAsia" w:ascii="宋体" w:hAnsi="宋体" w:eastAsia="宋体" w:cs="Times New Roman"/>
          <w:lang w:val="en-US" w:eastAsia="zh-CN"/>
        </w:rPr>
        <w:t>招标人、</w:t>
      </w:r>
      <w:r>
        <w:rPr>
          <w:rFonts w:hint="eastAsia" w:ascii="宋体" w:hAnsi="宋体" w:eastAsia="宋体" w:cs="Times New Roman"/>
          <w:lang w:val="zh-CN" w:eastAsia="zh-CN"/>
        </w:rPr>
        <w:t>建设单位、监理单位、</w:t>
      </w:r>
      <w:r>
        <w:rPr>
          <w:rFonts w:hint="eastAsia" w:ascii="宋体" w:hAnsi="宋体" w:eastAsia="宋体" w:cs="Times New Roman"/>
          <w:lang w:val="en-US" w:eastAsia="zh-CN"/>
        </w:rPr>
        <w:t>全咨单位</w:t>
      </w:r>
      <w:r>
        <w:rPr>
          <w:rFonts w:hint="eastAsia" w:ascii="宋体" w:hAnsi="宋体" w:eastAsia="宋体" w:cs="Times New Roman"/>
          <w:lang w:val="zh-CN" w:eastAsia="zh-CN"/>
        </w:rPr>
        <w:t>书面批准，且价格不予调整。</w:t>
      </w:r>
    </w:p>
    <w:p w14:paraId="2CC09584">
      <w:pPr>
        <w:spacing w:line="360" w:lineRule="auto"/>
        <w:ind w:firstLine="315" w:firstLineChars="150"/>
        <w:outlineLvl w:val="0"/>
        <w:rPr>
          <w:rFonts w:hint="default" w:ascii="宋体" w:hAnsi="宋体" w:eastAsia="宋体" w:cs="Times New Roman"/>
          <w:lang w:val="en-US" w:eastAsia="zh-CN"/>
        </w:rPr>
      </w:pPr>
      <w:r>
        <w:rPr>
          <w:rFonts w:hint="eastAsia" w:ascii="宋体" w:hAnsi="宋体" w:eastAsia="宋体" w:cs="Times New Roman"/>
          <w:lang w:val="zh-CN" w:eastAsia="zh-CN"/>
        </w:rPr>
        <w:t>根据建设单位要求材料均为优等品，进场前须报</w:t>
      </w:r>
      <w:r>
        <w:rPr>
          <w:rFonts w:hint="eastAsia" w:ascii="宋体" w:hAnsi="宋体" w:eastAsia="宋体" w:cs="Times New Roman"/>
          <w:lang w:val="en-US" w:eastAsia="zh-CN"/>
        </w:rPr>
        <w:t>招标人、建设单位</w:t>
      </w:r>
      <w:r>
        <w:rPr>
          <w:rFonts w:hint="eastAsia" w:ascii="宋体" w:hAnsi="宋体" w:eastAsia="宋体" w:cs="Times New Roman"/>
          <w:lang w:val="zh-CN" w:eastAsia="zh-CN"/>
        </w:rPr>
        <w:t>、监理单位书面确认后方可使用。</w:t>
      </w:r>
      <w:r>
        <w:rPr>
          <w:rFonts w:hint="eastAsia" w:ascii="宋体" w:hAnsi="宋体" w:eastAsia="宋体" w:cs="Times New Roman"/>
          <w:lang w:val="en-US" w:eastAsia="zh-CN"/>
        </w:rPr>
        <w:t>具体材料品牌如下：</w:t>
      </w:r>
    </w:p>
    <w:p w14:paraId="567B200A">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1、实心塑木板：新森泰、格林美、志诚；</w:t>
      </w:r>
    </w:p>
    <w:p w14:paraId="4EC4A8E3">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 xml:space="preserve">2、外墙涂料、内墙涂料：立邦、多乐士、三棵树； </w:t>
      </w:r>
    </w:p>
    <w:p w14:paraId="61336F9B">
      <w:pPr>
        <w:spacing w:line="360" w:lineRule="auto"/>
        <w:ind w:firstLine="315" w:firstLineChars="150"/>
        <w:outlineLvl w:val="0"/>
        <w:rPr>
          <w:rFonts w:hint="default" w:ascii="宋体" w:hAnsi="宋体" w:eastAsia="宋体" w:cs="Times New Roman"/>
          <w:lang w:val="en-US" w:eastAsia="zh-CN"/>
        </w:rPr>
      </w:pPr>
      <w:r>
        <w:rPr>
          <w:rFonts w:hint="eastAsia" w:ascii="宋体" w:hAnsi="宋体" w:eastAsia="宋体" w:cs="Times New Roman"/>
          <w:lang w:val="en-US" w:eastAsia="zh-CN"/>
        </w:rPr>
        <w:t>3、地砖：马可波罗、诺贝尔、简一</w:t>
      </w:r>
    </w:p>
    <w:p w14:paraId="7B2D9D9C">
      <w:pPr>
        <w:spacing w:line="360" w:lineRule="auto"/>
        <w:ind w:firstLine="315" w:firstLineChars="150"/>
        <w:outlineLvl w:val="0"/>
        <w:rPr>
          <w:rFonts w:hint="default" w:ascii="宋体" w:hAnsi="宋体" w:eastAsia="宋体" w:cs="Times New Roman"/>
          <w:lang w:val="en-US" w:eastAsia="zh-CN"/>
        </w:rPr>
      </w:pPr>
      <w:r>
        <w:rPr>
          <w:rFonts w:hint="eastAsia" w:ascii="宋体" w:hAnsi="宋体" w:eastAsia="宋体" w:cs="Times New Roman"/>
          <w:lang w:val="en-US" w:eastAsia="zh-CN"/>
        </w:rPr>
        <w:t>4、玻璃（原片）： 信义、南玻、台玻、耀皮</w:t>
      </w:r>
    </w:p>
    <w:p w14:paraId="5315C775">
      <w:pPr>
        <w:spacing w:line="360" w:lineRule="auto"/>
        <w:ind w:firstLine="315" w:firstLineChars="150"/>
        <w:outlineLvl w:val="0"/>
        <w:rPr>
          <w:rFonts w:hint="default" w:ascii="宋体" w:hAnsi="宋体" w:eastAsia="宋体" w:cs="Times New Roman"/>
          <w:lang w:val="en-US" w:eastAsia="zh-CN"/>
        </w:rPr>
      </w:pPr>
      <w:r>
        <w:rPr>
          <w:rFonts w:hint="eastAsia" w:ascii="宋体" w:hAnsi="宋体" w:eastAsia="宋体" w:cs="Times New Roman"/>
          <w:lang w:val="en-US" w:eastAsia="zh-CN"/>
        </w:rPr>
        <w:t>5、铝合金型材：亚铝、凤铝、坚美、栋梁</w:t>
      </w:r>
    </w:p>
    <w:p w14:paraId="763B767E">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6、电线、电缆：万马、元通、五丰、杭州中策</w:t>
      </w:r>
    </w:p>
    <w:p w14:paraId="0930F893">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7、监控摄像机：宇视科技、海康威视、大华；</w:t>
      </w:r>
    </w:p>
    <w:p w14:paraId="616703CC">
      <w:pPr>
        <w:spacing w:line="360" w:lineRule="auto"/>
        <w:ind w:firstLine="315" w:firstLineChars="150"/>
        <w:outlineLvl w:val="0"/>
        <w:rPr>
          <w:rFonts w:hint="eastAsia" w:ascii="宋体" w:hAnsi="宋体" w:eastAsia="宋体" w:cs="Times New Roman"/>
          <w:lang w:val="en-US" w:eastAsia="zh-CN"/>
        </w:rPr>
      </w:pPr>
      <w:r>
        <w:rPr>
          <w:rFonts w:hint="eastAsia" w:ascii="宋体" w:hAnsi="宋体" w:eastAsia="宋体" w:cs="Times New Roman"/>
          <w:lang w:val="en-US" w:eastAsia="zh-CN"/>
        </w:rPr>
        <w:t>8、室外泛光照明灯具：德科、飞利浦、罗莱迪思</w:t>
      </w:r>
    </w:p>
    <w:p w14:paraId="2A3188CB">
      <w:pPr>
        <w:spacing w:line="360" w:lineRule="auto"/>
        <w:ind w:firstLine="315" w:firstLineChars="150"/>
        <w:outlineLvl w:val="0"/>
        <w:rPr>
          <w:rFonts w:hint="eastAsia" w:ascii="宋体" w:hAnsi="宋体" w:eastAsia="宋体" w:cs="Times New Roman"/>
          <w:lang w:val="en-US" w:eastAsia="zh-CN"/>
        </w:rPr>
      </w:pPr>
    </w:p>
    <w:p w14:paraId="01584DAC">
      <w:pPr>
        <w:spacing w:line="360" w:lineRule="auto"/>
        <w:ind w:firstLine="315" w:firstLineChars="150"/>
        <w:outlineLvl w:val="0"/>
        <w:rPr>
          <w:rFonts w:hint="eastAsia" w:ascii="宋体" w:hAnsi="宋体" w:eastAsia="宋体" w:cs="Times New Roman"/>
          <w:lang w:val="en-US" w:eastAsia="zh-CN"/>
        </w:rPr>
      </w:pPr>
    </w:p>
    <w:p w14:paraId="7CB05443">
      <w:pPr>
        <w:spacing w:line="360" w:lineRule="auto"/>
        <w:ind w:firstLine="315" w:firstLineChars="150"/>
        <w:outlineLvl w:val="0"/>
        <w:rPr>
          <w:rFonts w:hint="eastAsia" w:ascii="宋体" w:hAnsi="宋体" w:eastAsia="宋体" w:cs="Times New Roman"/>
          <w:lang w:val="en-US" w:eastAsia="zh-CN"/>
        </w:rPr>
      </w:pPr>
    </w:p>
    <w:p w14:paraId="0F1E63FE">
      <w:pPr>
        <w:spacing w:line="360" w:lineRule="auto"/>
        <w:ind w:firstLine="315" w:firstLineChars="150"/>
        <w:outlineLvl w:val="0"/>
        <w:rPr>
          <w:rFonts w:hint="eastAsia" w:ascii="宋体" w:hAnsi="宋体" w:eastAsia="宋体" w:cs="Times New Roman"/>
          <w:lang w:val="en-US" w:eastAsia="zh-CN"/>
        </w:rPr>
      </w:pPr>
    </w:p>
    <w:p w14:paraId="7694C1D0">
      <w:pPr>
        <w:spacing w:line="360" w:lineRule="auto"/>
        <w:ind w:firstLine="315" w:firstLineChars="150"/>
        <w:outlineLvl w:val="0"/>
        <w:rPr>
          <w:rFonts w:hint="eastAsia" w:ascii="宋体" w:hAnsi="宋体" w:eastAsia="宋体" w:cs="Times New Roman"/>
          <w:lang w:val="en-US" w:eastAsia="zh-CN"/>
        </w:rPr>
      </w:pPr>
    </w:p>
    <w:p w14:paraId="474E9D65">
      <w:pPr>
        <w:spacing w:line="360" w:lineRule="auto"/>
        <w:ind w:firstLine="315" w:firstLineChars="150"/>
        <w:outlineLvl w:val="0"/>
        <w:rPr>
          <w:rFonts w:hint="eastAsia" w:ascii="宋体" w:hAnsi="宋体" w:eastAsia="宋体" w:cs="Times New Roman"/>
          <w:lang w:val="en-US" w:eastAsia="zh-CN"/>
        </w:rPr>
      </w:pPr>
    </w:p>
    <w:p w14:paraId="6C335A4F">
      <w:pPr>
        <w:spacing w:line="360" w:lineRule="auto"/>
        <w:ind w:firstLine="315" w:firstLineChars="150"/>
        <w:outlineLvl w:val="0"/>
        <w:rPr>
          <w:rFonts w:hint="eastAsia" w:ascii="宋体" w:hAnsi="宋体" w:eastAsia="宋体" w:cs="Times New Roman"/>
          <w:lang w:val="en-US" w:eastAsia="zh-CN"/>
        </w:rPr>
      </w:pPr>
    </w:p>
    <w:p w14:paraId="3E664FEA">
      <w:pPr>
        <w:spacing w:line="360" w:lineRule="auto"/>
        <w:ind w:firstLine="315" w:firstLineChars="150"/>
        <w:outlineLvl w:val="0"/>
        <w:rPr>
          <w:rFonts w:hint="eastAsia" w:ascii="宋体" w:hAnsi="宋体" w:eastAsia="宋体" w:cs="Times New Roman"/>
          <w:lang w:val="en-US" w:eastAsia="zh-CN"/>
        </w:rPr>
      </w:pPr>
    </w:p>
    <w:p w14:paraId="068E5F8A">
      <w:pPr>
        <w:spacing w:line="360" w:lineRule="auto"/>
        <w:ind w:firstLine="315" w:firstLineChars="150"/>
        <w:outlineLvl w:val="0"/>
        <w:rPr>
          <w:rFonts w:hint="eastAsia" w:ascii="宋体" w:hAnsi="宋体" w:eastAsia="宋体" w:cs="Times New Roman"/>
          <w:lang w:val="en-US" w:eastAsia="zh-CN"/>
        </w:rPr>
      </w:pPr>
    </w:p>
    <w:p w14:paraId="6AD7C53D">
      <w:pPr>
        <w:spacing w:line="360" w:lineRule="auto"/>
        <w:ind w:firstLine="315" w:firstLineChars="150"/>
        <w:outlineLvl w:val="0"/>
        <w:rPr>
          <w:rFonts w:hint="eastAsia" w:ascii="宋体" w:hAnsi="宋体" w:eastAsia="宋体" w:cs="Times New Roman"/>
          <w:lang w:val="en-US" w:eastAsia="zh-CN"/>
        </w:rPr>
      </w:pPr>
    </w:p>
    <w:p w14:paraId="289698AB">
      <w:pPr>
        <w:spacing w:line="360" w:lineRule="auto"/>
        <w:ind w:firstLine="315" w:firstLineChars="150"/>
        <w:outlineLvl w:val="0"/>
        <w:rPr>
          <w:rFonts w:hint="eastAsia" w:ascii="宋体" w:hAnsi="宋体" w:eastAsia="宋体" w:cs="Times New Roman"/>
          <w:lang w:val="en-US" w:eastAsia="zh-CN"/>
        </w:rPr>
      </w:pPr>
    </w:p>
    <w:p w14:paraId="35D31481">
      <w:pPr>
        <w:spacing w:line="360" w:lineRule="auto"/>
        <w:ind w:firstLine="315" w:firstLineChars="150"/>
        <w:outlineLvl w:val="0"/>
        <w:rPr>
          <w:rFonts w:hint="eastAsia" w:ascii="宋体" w:hAnsi="宋体" w:eastAsia="宋体" w:cs="Times New Roman"/>
          <w:lang w:val="en-US" w:eastAsia="zh-CN"/>
        </w:rPr>
      </w:pPr>
    </w:p>
    <w:p w14:paraId="722BD684">
      <w:pPr>
        <w:spacing w:line="360" w:lineRule="auto"/>
        <w:ind w:firstLine="315" w:firstLineChars="150"/>
        <w:outlineLvl w:val="0"/>
        <w:rPr>
          <w:rFonts w:hint="eastAsia" w:ascii="宋体" w:hAnsi="宋体" w:eastAsia="宋体" w:cs="Times New Roman"/>
          <w:lang w:val="en-US" w:eastAsia="zh-CN"/>
        </w:rPr>
      </w:pPr>
    </w:p>
    <w:p w14:paraId="7D666124">
      <w:pPr>
        <w:spacing w:line="360" w:lineRule="auto"/>
        <w:ind w:firstLine="315" w:firstLineChars="150"/>
        <w:outlineLvl w:val="0"/>
        <w:rPr>
          <w:rFonts w:hint="eastAsia" w:ascii="宋体" w:hAnsi="宋体" w:eastAsia="宋体" w:cs="Times New Roman"/>
          <w:lang w:val="en-US" w:eastAsia="zh-CN"/>
        </w:rPr>
      </w:pPr>
    </w:p>
    <w:p w14:paraId="73B91669">
      <w:pPr>
        <w:spacing w:line="360" w:lineRule="auto"/>
        <w:ind w:firstLine="315" w:firstLineChars="150"/>
        <w:outlineLvl w:val="0"/>
        <w:rPr>
          <w:rFonts w:hint="eastAsia" w:ascii="宋体" w:hAnsi="宋体" w:eastAsia="宋体" w:cs="Times New Roman"/>
          <w:lang w:val="en-US" w:eastAsia="zh-CN"/>
        </w:rPr>
      </w:pPr>
    </w:p>
    <w:p w14:paraId="740BA12B">
      <w:pPr>
        <w:spacing w:line="360" w:lineRule="auto"/>
        <w:ind w:firstLine="315" w:firstLineChars="150"/>
        <w:outlineLvl w:val="0"/>
        <w:rPr>
          <w:rFonts w:hint="eastAsia" w:ascii="宋体" w:hAnsi="宋体" w:eastAsia="宋体" w:cs="Times New Roman"/>
          <w:lang w:val="en-US" w:eastAsia="zh-CN"/>
        </w:rPr>
      </w:pPr>
    </w:p>
    <w:p w14:paraId="1F537B16">
      <w:pPr>
        <w:spacing w:line="360" w:lineRule="auto"/>
        <w:ind w:firstLine="315" w:firstLineChars="150"/>
        <w:outlineLvl w:val="0"/>
        <w:rPr>
          <w:rFonts w:hint="eastAsia" w:ascii="宋体" w:hAnsi="宋体" w:eastAsia="宋体" w:cs="Times New Roman"/>
          <w:lang w:val="en-US" w:eastAsia="zh-CN"/>
        </w:rPr>
      </w:pPr>
    </w:p>
    <w:p w14:paraId="0063522E">
      <w:pPr>
        <w:spacing w:line="360" w:lineRule="auto"/>
        <w:ind w:firstLine="315" w:firstLineChars="150"/>
        <w:outlineLvl w:val="0"/>
        <w:rPr>
          <w:rFonts w:hint="eastAsia" w:ascii="宋体" w:hAnsi="宋体" w:eastAsia="宋体" w:cs="Times New Roman"/>
          <w:lang w:val="en-US" w:eastAsia="zh-CN"/>
        </w:rPr>
      </w:pPr>
    </w:p>
    <w:p w14:paraId="7915C4AE">
      <w:pPr>
        <w:spacing w:line="360" w:lineRule="auto"/>
        <w:ind w:firstLine="315" w:firstLineChars="150"/>
        <w:outlineLvl w:val="0"/>
        <w:rPr>
          <w:rFonts w:hint="eastAsia" w:ascii="宋体" w:hAnsi="宋体" w:eastAsia="宋体" w:cs="Times New Roman"/>
          <w:lang w:val="en-US" w:eastAsia="zh-CN"/>
        </w:rPr>
      </w:pPr>
    </w:p>
    <w:p w14:paraId="495DC161">
      <w:pPr>
        <w:spacing w:line="360" w:lineRule="auto"/>
        <w:ind w:firstLine="315" w:firstLineChars="150"/>
        <w:outlineLvl w:val="0"/>
        <w:rPr>
          <w:rFonts w:hint="eastAsia" w:ascii="宋体" w:hAnsi="宋体" w:eastAsia="宋体" w:cs="Times New Roman"/>
          <w:lang w:val="en-US" w:eastAsia="zh-CN"/>
        </w:rPr>
      </w:pPr>
    </w:p>
    <w:p w14:paraId="590839D4">
      <w:pPr>
        <w:spacing w:line="360" w:lineRule="auto"/>
        <w:ind w:firstLine="315" w:firstLineChars="150"/>
        <w:outlineLvl w:val="0"/>
        <w:rPr>
          <w:rFonts w:hint="eastAsia" w:ascii="宋体" w:hAnsi="宋体" w:eastAsia="宋体" w:cs="Times New Roman"/>
          <w:lang w:val="en-US" w:eastAsia="zh-CN"/>
        </w:rPr>
      </w:pPr>
    </w:p>
    <w:p w14:paraId="3150A980">
      <w:pPr>
        <w:spacing w:line="360" w:lineRule="auto"/>
        <w:ind w:firstLine="315" w:firstLineChars="150"/>
        <w:outlineLvl w:val="0"/>
        <w:rPr>
          <w:rFonts w:hint="eastAsia" w:ascii="宋体" w:hAnsi="宋体" w:eastAsia="宋体" w:cs="Times New Roman"/>
          <w:lang w:val="en-US" w:eastAsia="zh-CN"/>
        </w:rPr>
      </w:pPr>
    </w:p>
    <w:p w14:paraId="3BBCB89A">
      <w:pPr>
        <w:spacing w:line="360" w:lineRule="auto"/>
        <w:ind w:firstLine="315" w:firstLineChars="150"/>
        <w:outlineLvl w:val="0"/>
        <w:rPr>
          <w:rFonts w:hint="eastAsia" w:ascii="宋体" w:hAnsi="宋体" w:eastAsia="宋体" w:cs="Times New Roman"/>
          <w:lang w:val="en-US" w:eastAsia="zh-CN"/>
        </w:rPr>
      </w:pPr>
    </w:p>
    <w:p w14:paraId="3E1206D2">
      <w:pPr>
        <w:spacing w:line="360" w:lineRule="auto"/>
        <w:ind w:firstLine="315" w:firstLineChars="150"/>
        <w:outlineLvl w:val="0"/>
        <w:rPr>
          <w:rFonts w:hint="eastAsia" w:ascii="宋体" w:hAnsi="宋体" w:eastAsia="宋体" w:cs="Times New Roman"/>
          <w:lang w:val="en-US" w:eastAsia="zh-CN"/>
        </w:rPr>
      </w:pPr>
    </w:p>
    <w:p w14:paraId="5B57AC82">
      <w:pPr>
        <w:spacing w:line="360" w:lineRule="auto"/>
        <w:outlineLvl w:val="0"/>
        <w:rPr>
          <w:rFonts w:hint="eastAsia" w:ascii="宋体" w:hAnsi="宋体" w:eastAsia="宋体" w:cs="Times New Roman"/>
          <w:lang w:val="en-US" w:eastAsia="zh-CN"/>
        </w:rPr>
      </w:pPr>
    </w:p>
    <w:p w14:paraId="55536344">
      <w:pPr>
        <w:pStyle w:val="4"/>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26E27"/>
    <w:rsid w:val="628C5F22"/>
    <w:rsid w:val="7EFC7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Indent"/>
    <w:basedOn w:val="1"/>
    <w:next w:val="2"/>
    <w:qFormat/>
    <w:uiPriority w:val="0"/>
    <w:pPr>
      <w:ind w:firstLine="430" w:firstLineChars="205"/>
    </w:pPr>
  </w:style>
  <w:style w:type="paragraph" w:styleId="4">
    <w:name w:val="toc 1"/>
    <w:basedOn w:val="1"/>
    <w:next w:val="1"/>
    <w:unhideWhenUsed/>
    <w:qFormat/>
    <w:uiPriority w:val="39"/>
    <w:pPr>
      <w:spacing w:line="360" w:lineRule="auto"/>
      <w:jc w:val="center"/>
    </w:pPr>
    <w:rPr>
      <w:rFonts w:ascii="宋体" w:hAnsi="宋体"/>
    </w:rPr>
  </w:style>
  <w:style w:type="paragraph" w:styleId="5">
    <w:name w:val="Body Text First Indent 2"/>
    <w:basedOn w:val="3"/>
    <w:next w:val="6"/>
    <w:qFormat/>
    <w:uiPriority w:val="0"/>
    <w:pPr>
      <w:spacing w:after="120" w:line="240" w:lineRule="auto"/>
      <w:ind w:left="420" w:leftChars="200" w:firstLine="420"/>
    </w:pPr>
    <w:rPr>
      <w:rFonts w:cs="宋体"/>
      <w:sz w:val="21"/>
      <w:szCs w:val="21"/>
    </w:rPr>
  </w:style>
  <w:style w:type="paragraph" w:customStyle="1" w:styleId="6">
    <w:name w:val="xl53"/>
    <w:basedOn w:val="1"/>
    <w:qFormat/>
    <w:uiPriority w:val="0"/>
    <w:pPr>
      <w:widowControl/>
      <w:pBdr>
        <w:top w:val="single" w:color="auto" w:sz="4" w:space="0"/>
        <w:left w:val="single" w:color="auto" w:sz="4" w:space="0"/>
        <w:bottom w:val="single" w:color="auto" w:sz="4" w:space="0"/>
        <w:right w:val="single" w:color="auto" w:sz="8" w:space="0"/>
      </w:pBdr>
      <w:spacing w:before="100" w:beforeLines="0" w:beforeAutospacing="1" w:after="100" w:afterLines="0" w:afterAutospacing="1" w:line="240" w:lineRule="auto"/>
      <w:jc w:val="center"/>
    </w:pPr>
    <w:rPr>
      <w:b/>
      <w:bCs/>
      <w:color w:val="008000"/>
      <w:kern w:val="0"/>
      <w:sz w:val="24"/>
    </w:rPr>
  </w:style>
  <w:style w:type="paragraph"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35</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朱朱</cp:lastModifiedBy>
  <dcterms:modified xsi:type="dcterms:W3CDTF">2025-06-27T15:13:56Z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eyJoZGlkIjoiZjU1OGZmNDg4NDM5MDc5MWM0NzEwN2FiYjk0NGNiMDUiLCJ1c2VySWQiOiI0MTYyMzIxNjgifQ==</vt:lpwstr>
  </property>
  <property fmtid="{D5CDD505-2E9C-101B-9397-08002B2CF9AE}" pid="4" name="ICV">
    <vt:lpwstr>C173F7B7D93F46118CFF76D64B232590_12</vt:lpwstr>
  </property>
</Properties>
</file>