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8" w:line="360" w:lineRule="auto"/>
        <w:jc w:val="center"/>
        <w:rPr>
          <w:rFonts w:ascii="宋体" w:hAnsi="宋体" w:cs="宋体"/>
          <w:b/>
          <w:sz w:val="44"/>
          <w:szCs w:val="44"/>
        </w:rPr>
      </w:pPr>
      <w:bookmarkStart w:id="0" w:name="_Toc20907"/>
    </w:p>
    <w:p>
      <w:pPr>
        <w:pStyle w:val="8"/>
      </w:pPr>
    </w:p>
    <w:p>
      <w:pPr>
        <w:spacing w:before="98" w:line="360" w:lineRule="auto"/>
        <w:jc w:val="center"/>
        <w:rPr>
          <w:rFonts w:hint="eastAsia" w:ascii="宋体" w:hAnsi="宋体" w:eastAsia="宋体" w:cs="宋体"/>
          <w:b/>
          <w:sz w:val="48"/>
          <w:lang w:eastAsia="zh-CN"/>
        </w:rPr>
      </w:pPr>
      <w:r>
        <w:rPr>
          <w:rFonts w:hint="eastAsia" w:cs="宋体"/>
          <w:b/>
          <w:sz w:val="48"/>
          <w:lang w:eastAsia="zh-CN"/>
        </w:rPr>
        <w:t>飞英街道办事处关于余家漾社区幸福邻里中心（儿童之家）、新华苑社区幸福邻里中心第三方运营服务采购</w:t>
      </w:r>
      <w:r>
        <w:rPr>
          <w:rFonts w:hint="eastAsia" w:ascii="宋体" w:hAnsi="宋体" w:eastAsia="宋体" w:cs="宋体"/>
          <w:b/>
          <w:sz w:val="48"/>
          <w:lang w:eastAsia="zh-CN"/>
        </w:rPr>
        <w:t>项目</w:t>
      </w:r>
    </w:p>
    <w:p>
      <w:pPr>
        <w:spacing w:before="98"/>
        <w:jc w:val="center"/>
        <w:rPr>
          <w:rFonts w:ascii="宋体" w:hAnsi="宋体" w:cs="宋体"/>
          <w:b/>
          <w:sz w:val="40"/>
          <w:szCs w:val="40"/>
        </w:rPr>
      </w:pPr>
    </w:p>
    <w:p>
      <w:pPr>
        <w:spacing w:line="350" w:lineRule="auto"/>
        <w:jc w:val="center"/>
        <w:rPr>
          <w:rFonts w:ascii="宋体" w:hAnsi="宋体" w:cs="宋体"/>
          <w:sz w:val="32"/>
        </w:rPr>
      </w:pPr>
    </w:p>
    <w:p>
      <w:pPr>
        <w:pStyle w:val="21"/>
        <w:ind w:firstLine="320"/>
        <w:rPr>
          <w:rFonts w:ascii="宋体" w:hAnsi="宋体" w:cs="宋体"/>
          <w:sz w:val="32"/>
        </w:rPr>
      </w:pPr>
    </w:p>
    <w:p>
      <w:pPr>
        <w:pStyle w:val="8"/>
        <w:jc w:val="both"/>
      </w:pPr>
    </w:p>
    <w:p>
      <w:pPr>
        <w:pStyle w:val="21"/>
        <w:ind w:firstLine="320"/>
        <w:rPr>
          <w:rFonts w:ascii="宋体" w:hAnsi="宋体" w:cs="宋体"/>
          <w:sz w:val="32"/>
        </w:rPr>
      </w:pPr>
    </w:p>
    <w:p>
      <w:pPr>
        <w:jc w:val="center"/>
        <w:rPr>
          <w:rFonts w:ascii="宋体" w:hAnsi="宋体" w:cs="宋体"/>
          <w:sz w:val="32"/>
        </w:rPr>
      </w:pPr>
      <w:r>
        <w:rPr>
          <w:rFonts w:hint="eastAsia" w:ascii="宋体" w:hAnsi="宋体" w:cs="宋体"/>
          <w:b/>
          <w:bCs/>
          <w:sz w:val="72"/>
          <w:szCs w:val="72"/>
        </w:rPr>
        <w:t>采购文件</w:t>
      </w:r>
    </w:p>
    <w:p>
      <w:pPr>
        <w:rPr>
          <w:rFonts w:ascii="宋体" w:hAnsi="宋体" w:cs="宋体"/>
          <w:b/>
          <w:sz w:val="32"/>
        </w:rPr>
      </w:pPr>
    </w:p>
    <w:p>
      <w:pPr>
        <w:pStyle w:val="33"/>
        <w:rPr>
          <w:rFonts w:ascii="宋体" w:hAnsi="宋体" w:cs="宋体"/>
          <w:b/>
          <w:sz w:val="32"/>
        </w:rPr>
      </w:pPr>
    </w:p>
    <w:p>
      <w:pPr>
        <w:pStyle w:val="33"/>
        <w:rPr>
          <w:rFonts w:ascii="宋体" w:hAnsi="宋体" w:cs="宋体"/>
          <w:b/>
          <w:sz w:val="32"/>
        </w:rPr>
      </w:pPr>
    </w:p>
    <w:p>
      <w:pPr>
        <w:pStyle w:val="33"/>
        <w:rPr>
          <w:rFonts w:ascii="宋体" w:hAnsi="宋体" w:cs="宋体"/>
          <w:b/>
          <w:sz w:val="32"/>
        </w:rPr>
      </w:pPr>
    </w:p>
    <w:p>
      <w:pPr>
        <w:pStyle w:val="33"/>
        <w:rPr>
          <w:rFonts w:ascii="宋体" w:hAnsi="宋体" w:cs="宋体"/>
          <w:b/>
          <w:sz w:val="32"/>
        </w:rPr>
      </w:pPr>
    </w:p>
    <w:p>
      <w:pPr>
        <w:pStyle w:val="21"/>
        <w:spacing w:after="0" w:line="480" w:lineRule="auto"/>
        <w:ind w:left="1560" w:leftChars="557" w:firstLine="218" w:firstLineChars="68"/>
        <w:rPr>
          <w:rFonts w:hint="default" w:ascii="宋体" w:hAnsi="宋体" w:eastAsia="宋体" w:cs="宋体"/>
          <w:b/>
          <w:sz w:val="32"/>
          <w:lang w:val="en-US" w:eastAsia="zh-CN"/>
        </w:rPr>
      </w:pPr>
      <w:r>
        <w:rPr>
          <w:rFonts w:hint="eastAsia" w:ascii="宋体" w:hAnsi="宋体" w:cs="宋体"/>
          <w:b/>
          <w:sz w:val="32"/>
        </w:rPr>
        <w:t>项目编号：</w:t>
      </w:r>
      <w:r>
        <w:rPr>
          <w:rFonts w:hint="eastAsia" w:ascii="宋体" w:hAnsi="宋体" w:cs="宋体"/>
          <w:b/>
          <w:sz w:val="32"/>
          <w:lang w:eastAsia="zh-CN"/>
        </w:rPr>
        <w:t>H</w:t>
      </w:r>
      <w:bookmarkStart w:id="31" w:name="_GoBack"/>
      <w:bookmarkEnd w:id="31"/>
      <w:r>
        <w:rPr>
          <w:rFonts w:hint="eastAsia" w:ascii="宋体" w:hAnsi="宋体" w:cs="宋体"/>
          <w:b/>
          <w:sz w:val="32"/>
          <w:lang w:eastAsia="zh-CN"/>
        </w:rPr>
        <w:t>ZXM(202</w:t>
      </w:r>
      <w:r>
        <w:rPr>
          <w:rFonts w:hint="eastAsia" w:ascii="宋体" w:hAnsi="宋体" w:cs="宋体"/>
          <w:b/>
          <w:sz w:val="32"/>
          <w:lang w:val="en-US" w:eastAsia="zh-CN"/>
        </w:rPr>
        <w:t>4</w:t>
      </w:r>
      <w:r>
        <w:rPr>
          <w:rFonts w:hint="eastAsia" w:ascii="宋体" w:hAnsi="宋体" w:cs="宋体"/>
          <w:b/>
          <w:sz w:val="32"/>
          <w:lang w:eastAsia="zh-CN"/>
        </w:rPr>
        <w:t>）-0</w:t>
      </w:r>
      <w:r>
        <w:rPr>
          <w:rFonts w:hint="eastAsia" w:ascii="宋体" w:hAnsi="宋体" w:cs="宋体"/>
          <w:b/>
          <w:sz w:val="32"/>
          <w:lang w:val="en-US" w:eastAsia="zh-CN"/>
        </w:rPr>
        <w:t>02</w:t>
      </w:r>
    </w:p>
    <w:p>
      <w:pPr>
        <w:spacing w:line="480" w:lineRule="auto"/>
        <w:ind w:left="1560" w:leftChars="557" w:firstLine="218" w:firstLineChars="68"/>
        <w:rPr>
          <w:rFonts w:hint="eastAsia" w:ascii="宋体" w:hAnsi="宋体" w:eastAsia="宋体" w:cs="宋体"/>
          <w:b/>
          <w:sz w:val="32"/>
          <w:lang w:eastAsia="zh-CN"/>
        </w:rPr>
      </w:pPr>
      <w:r>
        <w:rPr>
          <w:rFonts w:hint="eastAsia" w:ascii="宋体" w:hAnsi="宋体" w:cs="宋体"/>
          <w:b/>
          <w:sz w:val="32"/>
        </w:rPr>
        <w:t>采购人：</w:t>
      </w:r>
      <w:r>
        <w:rPr>
          <w:rFonts w:hint="eastAsia" w:ascii="宋体" w:hAnsi="宋体" w:cs="宋体"/>
          <w:b/>
          <w:sz w:val="32"/>
          <w:lang w:eastAsia="zh-CN"/>
        </w:rPr>
        <w:t>湖州市吴兴区人民政府飞英街道办事处</w:t>
      </w:r>
    </w:p>
    <w:p>
      <w:pPr>
        <w:pStyle w:val="21"/>
        <w:spacing w:after="0" w:line="480" w:lineRule="auto"/>
        <w:ind w:left="1560" w:leftChars="557" w:firstLine="218" w:firstLineChars="68"/>
        <w:rPr>
          <w:rFonts w:hint="eastAsia" w:ascii="宋体" w:hAnsi="宋体" w:eastAsia="宋体" w:cs="宋体"/>
          <w:b/>
          <w:sz w:val="32"/>
          <w:lang w:eastAsia="zh-CN"/>
        </w:rPr>
      </w:pPr>
      <w:r>
        <w:rPr>
          <w:rFonts w:hint="eastAsia" w:ascii="宋体" w:hAnsi="宋体" w:cs="宋体"/>
          <w:b/>
          <w:sz w:val="32"/>
        </w:rPr>
        <w:t>采购代理机构：</w:t>
      </w:r>
      <w:r>
        <w:rPr>
          <w:rFonts w:hint="eastAsia" w:ascii="宋体" w:hAnsi="宋体" w:cs="宋体"/>
          <w:b/>
          <w:sz w:val="32"/>
          <w:lang w:eastAsia="zh-CN"/>
        </w:rPr>
        <w:t>湖州鑫梦工程咨询有限公司</w:t>
      </w:r>
    </w:p>
    <w:p>
      <w:pPr>
        <w:pStyle w:val="21"/>
        <w:spacing w:after="0" w:line="480" w:lineRule="auto"/>
        <w:ind w:left="1560" w:leftChars="557" w:firstLine="218" w:firstLineChars="68"/>
        <w:jc w:val="center"/>
        <w:rPr>
          <w:rFonts w:hint="eastAsia" w:ascii="宋体" w:hAnsi="宋体" w:cs="宋体"/>
          <w:b/>
          <w:sz w:val="32"/>
        </w:rPr>
      </w:pPr>
      <w:r>
        <w:rPr>
          <w:rFonts w:hint="eastAsia" w:ascii="宋体" w:hAnsi="宋体" w:cs="宋体"/>
          <w:b/>
          <w:sz w:val="32"/>
        </w:rPr>
        <w:t>日期：202</w:t>
      </w:r>
      <w:r>
        <w:rPr>
          <w:rFonts w:hint="eastAsia" w:ascii="宋体" w:hAnsi="宋体" w:cs="宋体"/>
          <w:b/>
          <w:sz w:val="32"/>
          <w:lang w:val="en-US" w:eastAsia="zh-CN"/>
        </w:rPr>
        <w:t>4</w:t>
      </w:r>
      <w:r>
        <w:rPr>
          <w:rFonts w:hint="eastAsia" w:ascii="宋体" w:hAnsi="宋体" w:cs="宋体"/>
          <w:b/>
          <w:sz w:val="32"/>
        </w:rPr>
        <w:t>年</w:t>
      </w:r>
      <w:r>
        <w:rPr>
          <w:rFonts w:hint="eastAsia" w:ascii="宋体" w:hAnsi="宋体" w:cs="宋体"/>
          <w:b/>
          <w:sz w:val="32"/>
          <w:lang w:val="en-US" w:eastAsia="zh-CN"/>
        </w:rPr>
        <w:t>4</w:t>
      </w:r>
      <w:r>
        <w:rPr>
          <w:rFonts w:hint="eastAsia" w:ascii="宋体" w:hAnsi="宋体" w:cs="宋体"/>
          <w:b/>
          <w:sz w:val="32"/>
        </w:rPr>
        <w:t>月</w:t>
      </w:r>
    </w:p>
    <w:p>
      <w:pPr>
        <w:pStyle w:val="21"/>
        <w:spacing w:after="0" w:line="480" w:lineRule="auto"/>
        <w:jc w:val="center"/>
        <w:rPr>
          <w:rFonts w:ascii="宋体" w:hAnsi="宋体" w:cs="宋体"/>
        </w:rPr>
      </w:pPr>
      <w:r>
        <w:rPr>
          <w:rFonts w:hint="eastAsia" w:ascii="宋体" w:hAnsi="宋体" w:cs="宋体"/>
          <w:b/>
          <w:sz w:val="44"/>
          <w:szCs w:val="44"/>
        </w:rPr>
        <w:t>目  录</w:t>
      </w:r>
      <w:bookmarkEnd w:id="0"/>
    </w:p>
    <w:p>
      <w:pPr>
        <w:tabs>
          <w:tab w:val="left" w:pos="3724"/>
        </w:tabs>
        <w:adjustRightInd w:val="0"/>
        <w:snapToGrid w:val="0"/>
        <w:spacing w:line="360" w:lineRule="auto"/>
        <w:rPr>
          <w:rFonts w:ascii="宋体" w:hAnsi="宋体" w:cs="宋体"/>
          <w:sz w:val="30"/>
          <w:szCs w:val="30"/>
        </w:rPr>
      </w:pPr>
      <w:r>
        <w:rPr>
          <w:rFonts w:hint="eastAsia" w:ascii="宋体" w:hAnsi="宋体" w:cs="宋体"/>
          <w:sz w:val="30"/>
          <w:szCs w:val="30"/>
        </w:rPr>
        <w:tab/>
      </w:r>
    </w:p>
    <w:p>
      <w:pPr>
        <w:adjustRightInd w:val="0"/>
        <w:snapToGrid w:val="0"/>
        <w:spacing w:line="360" w:lineRule="auto"/>
        <w:rPr>
          <w:rFonts w:ascii="宋体" w:hAnsi="宋体" w:cs="宋体"/>
          <w:sz w:val="30"/>
          <w:szCs w:val="30"/>
        </w:rPr>
      </w:pPr>
    </w:p>
    <w:p>
      <w:pPr>
        <w:pStyle w:val="36"/>
        <w:tabs>
          <w:tab w:val="right" w:leader="dot" w:pos="9532"/>
        </w:tabs>
        <w:spacing w:line="360" w:lineRule="auto"/>
        <w:rPr>
          <w:rFonts w:ascii="宋体" w:hAnsi="宋体" w:cs="宋体"/>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"_Toc28990" </w:instrText>
      </w:r>
      <w:r>
        <w:fldChar w:fldCharType="separate"/>
      </w:r>
      <w:r>
        <w:rPr>
          <w:rFonts w:hint="eastAsia" w:ascii="宋体" w:hAnsi="宋体" w:cs="宋体"/>
          <w:sz w:val="30"/>
          <w:szCs w:val="30"/>
        </w:rPr>
        <w:t>第一章  公开招标采购公告</w:t>
      </w:r>
      <w:r>
        <w:rPr>
          <w:rFonts w:hint="eastAsia" w:ascii="宋体" w:hAnsi="宋体" w:cs="宋体"/>
          <w:sz w:val="30"/>
          <w:szCs w:val="30"/>
        </w:rPr>
        <w:tab/>
      </w:r>
      <w:r>
        <w:rPr>
          <w:rFonts w:hint="eastAsia" w:ascii="宋体" w:hAnsi="宋体" w:cs="宋体"/>
          <w:sz w:val="30"/>
          <w:szCs w:val="30"/>
        </w:rPr>
        <w:t>3</w:t>
      </w:r>
      <w:r>
        <w:rPr>
          <w:rFonts w:hint="eastAsia" w:ascii="宋体" w:hAnsi="宋体" w:cs="宋体"/>
          <w:sz w:val="30"/>
          <w:szCs w:val="30"/>
        </w:rPr>
        <w:fldChar w:fldCharType="end"/>
      </w:r>
    </w:p>
    <w:p>
      <w:pPr>
        <w:pStyle w:val="36"/>
        <w:tabs>
          <w:tab w:val="right" w:leader="dot" w:pos="9532"/>
        </w:tabs>
        <w:spacing w:line="360" w:lineRule="auto"/>
        <w:rPr>
          <w:rFonts w:ascii="宋体" w:hAnsi="宋体" w:cs="宋体"/>
          <w:sz w:val="30"/>
          <w:szCs w:val="30"/>
        </w:rPr>
      </w:pPr>
      <w:r>
        <w:fldChar w:fldCharType="begin"/>
      </w:r>
      <w:r>
        <w:instrText xml:space="preserve"> HYPERLINK \l "_Toc27574" </w:instrText>
      </w:r>
      <w:r>
        <w:fldChar w:fldCharType="separate"/>
      </w:r>
      <w:r>
        <w:rPr>
          <w:rFonts w:hint="eastAsia" w:ascii="宋体" w:hAnsi="宋体" w:cs="宋体"/>
          <w:sz w:val="30"/>
          <w:szCs w:val="30"/>
        </w:rPr>
        <w:t>第二章  招标需求</w:t>
      </w:r>
      <w:r>
        <w:rPr>
          <w:rFonts w:hint="eastAsia" w:ascii="宋体" w:hAnsi="宋体" w:cs="宋体"/>
          <w:sz w:val="30"/>
          <w:szCs w:val="30"/>
        </w:rPr>
        <w:tab/>
      </w:r>
      <w:r>
        <w:rPr>
          <w:rFonts w:hint="eastAsia" w:ascii="宋体" w:hAnsi="宋体" w:cs="宋体"/>
          <w:sz w:val="30"/>
          <w:szCs w:val="30"/>
        </w:rPr>
        <w:t>9</w:t>
      </w:r>
      <w:r>
        <w:rPr>
          <w:rFonts w:hint="eastAsia" w:ascii="宋体" w:hAnsi="宋体" w:cs="宋体"/>
          <w:sz w:val="30"/>
          <w:szCs w:val="30"/>
        </w:rPr>
        <w:fldChar w:fldCharType="end"/>
      </w:r>
    </w:p>
    <w:p>
      <w:pPr>
        <w:pStyle w:val="36"/>
        <w:tabs>
          <w:tab w:val="right" w:leader="dot" w:pos="9532"/>
        </w:tabs>
        <w:spacing w:line="360" w:lineRule="auto"/>
        <w:rPr>
          <w:rFonts w:ascii="宋体" w:hAnsi="宋体" w:cs="宋体"/>
          <w:sz w:val="30"/>
          <w:szCs w:val="30"/>
        </w:rPr>
      </w:pPr>
      <w:r>
        <w:fldChar w:fldCharType="begin"/>
      </w:r>
      <w:r>
        <w:instrText xml:space="preserve"> HYPERLINK \l "_Toc23238" </w:instrText>
      </w:r>
      <w:r>
        <w:fldChar w:fldCharType="separate"/>
      </w:r>
      <w:r>
        <w:rPr>
          <w:rFonts w:hint="eastAsia" w:ascii="宋体" w:hAnsi="宋体" w:cs="宋体"/>
          <w:sz w:val="30"/>
          <w:szCs w:val="30"/>
        </w:rPr>
        <w:t>第三章  投标供应商须知</w:t>
      </w:r>
      <w:r>
        <w:rPr>
          <w:rFonts w:hint="eastAsia" w:ascii="宋体" w:hAnsi="宋体" w:cs="宋体"/>
          <w:sz w:val="30"/>
          <w:szCs w:val="30"/>
        </w:rPr>
        <w:tab/>
      </w:r>
      <w:r>
        <w:rPr>
          <w:rFonts w:hint="eastAsia" w:ascii="宋体" w:hAnsi="宋体" w:cs="宋体"/>
          <w:sz w:val="30"/>
          <w:szCs w:val="30"/>
        </w:rPr>
        <w:t>1</w:t>
      </w:r>
      <w:r>
        <w:rPr>
          <w:rFonts w:hint="eastAsia" w:ascii="宋体" w:hAnsi="宋体" w:cs="宋体"/>
          <w:sz w:val="30"/>
          <w:szCs w:val="30"/>
        </w:rPr>
        <w:fldChar w:fldCharType="end"/>
      </w:r>
      <w:r>
        <w:rPr>
          <w:rFonts w:hint="eastAsia" w:ascii="宋体" w:hAnsi="宋体" w:cs="宋体"/>
          <w:sz w:val="30"/>
          <w:szCs w:val="30"/>
        </w:rPr>
        <w:t>3</w:t>
      </w:r>
    </w:p>
    <w:p>
      <w:pPr>
        <w:pStyle w:val="40"/>
        <w:tabs>
          <w:tab w:val="right" w:leader="dot" w:pos="9532"/>
        </w:tabs>
        <w:spacing w:line="360" w:lineRule="auto"/>
        <w:ind w:left="560"/>
        <w:rPr>
          <w:rFonts w:ascii="宋体" w:hAnsi="宋体" w:cs="宋体"/>
          <w:sz w:val="30"/>
          <w:szCs w:val="30"/>
        </w:rPr>
      </w:pPr>
      <w:r>
        <w:fldChar w:fldCharType="begin"/>
      </w:r>
      <w:r>
        <w:instrText xml:space="preserve"> HYPERLINK \l "_Toc9577" </w:instrText>
      </w:r>
      <w:r>
        <w:fldChar w:fldCharType="separate"/>
      </w:r>
      <w:r>
        <w:rPr>
          <w:rFonts w:hint="eastAsia" w:ascii="宋体" w:hAnsi="宋体" w:cs="宋体"/>
          <w:sz w:val="30"/>
          <w:szCs w:val="30"/>
        </w:rPr>
        <w:t>一、总  则</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_Toc9577 </w:instrText>
      </w:r>
      <w:r>
        <w:rPr>
          <w:rFonts w:hint="eastAsia" w:ascii="宋体" w:hAnsi="宋体" w:cs="宋体"/>
          <w:sz w:val="30"/>
          <w:szCs w:val="30"/>
        </w:rPr>
        <w:fldChar w:fldCharType="separate"/>
      </w:r>
      <w:r>
        <w:rPr>
          <w:rFonts w:ascii="宋体" w:hAnsi="宋体" w:cs="宋体"/>
          <w:sz w:val="30"/>
          <w:szCs w:val="30"/>
        </w:rPr>
        <w:t>23</w:t>
      </w:r>
      <w:r>
        <w:rPr>
          <w:rFonts w:hint="eastAsia" w:ascii="宋体" w:hAnsi="宋体" w:cs="宋体"/>
          <w:sz w:val="30"/>
          <w:szCs w:val="30"/>
        </w:rPr>
        <w:fldChar w:fldCharType="end"/>
      </w:r>
      <w:r>
        <w:rPr>
          <w:rFonts w:hint="eastAsia" w:ascii="宋体" w:hAnsi="宋体" w:cs="宋体"/>
          <w:sz w:val="30"/>
          <w:szCs w:val="30"/>
        </w:rPr>
        <w:fldChar w:fldCharType="end"/>
      </w:r>
    </w:p>
    <w:p>
      <w:pPr>
        <w:pStyle w:val="40"/>
        <w:tabs>
          <w:tab w:val="right" w:leader="dot" w:pos="9532"/>
        </w:tabs>
        <w:spacing w:line="360" w:lineRule="auto"/>
        <w:ind w:left="560"/>
        <w:rPr>
          <w:rFonts w:ascii="宋体" w:hAnsi="宋体" w:cs="宋体"/>
          <w:sz w:val="30"/>
          <w:szCs w:val="30"/>
        </w:rPr>
      </w:pPr>
      <w:r>
        <w:fldChar w:fldCharType="begin"/>
      </w:r>
      <w:r>
        <w:instrText xml:space="preserve"> HYPERLINK \l "_Toc13309" </w:instrText>
      </w:r>
      <w:r>
        <w:fldChar w:fldCharType="separate"/>
      </w:r>
      <w:r>
        <w:rPr>
          <w:rFonts w:hint="eastAsia" w:ascii="宋体" w:hAnsi="宋体" w:cs="宋体"/>
          <w:sz w:val="30"/>
          <w:szCs w:val="30"/>
        </w:rPr>
        <w:t>二、采购文件</w:t>
      </w:r>
      <w:r>
        <w:rPr>
          <w:rFonts w:hint="eastAsia" w:ascii="宋体" w:hAnsi="宋体" w:cs="宋体"/>
          <w:sz w:val="30"/>
          <w:szCs w:val="30"/>
        </w:rPr>
        <w:tab/>
      </w:r>
      <w:r>
        <w:rPr>
          <w:rFonts w:hint="eastAsia" w:ascii="宋体" w:hAnsi="宋体" w:cs="宋体"/>
          <w:sz w:val="30"/>
          <w:szCs w:val="30"/>
        </w:rPr>
        <w:t>1</w:t>
      </w:r>
      <w:r>
        <w:rPr>
          <w:rFonts w:hint="eastAsia" w:ascii="宋体" w:hAnsi="宋体" w:cs="宋体"/>
          <w:sz w:val="30"/>
          <w:szCs w:val="30"/>
        </w:rPr>
        <w:fldChar w:fldCharType="end"/>
      </w:r>
      <w:r>
        <w:rPr>
          <w:rFonts w:hint="eastAsia" w:ascii="宋体" w:hAnsi="宋体" w:cs="宋体"/>
          <w:sz w:val="30"/>
          <w:szCs w:val="30"/>
        </w:rPr>
        <w:t>8</w:t>
      </w:r>
    </w:p>
    <w:p>
      <w:pPr>
        <w:pStyle w:val="40"/>
        <w:tabs>
          <w:tab w:val="right" w:leader="dot" w:pos="9532"/>
        </w:tabs>
        <w:spacing w:line="360" w:lineRule="auto"/>
        <w:ind w:left="560"/>
        <w:rPr>
          <w:rFonts w:ascii="宋体" w:hAnsi="宋体" w:cs="宋体"/>
          <w:sz w:val="30"/>
          <w:szCs w:val="30"/>
        </w:rPr>
      </w:pPr>
      <w:r>
        <w:fldChar w:fldCharType="begin"/>
      </w:r>
      <w:r>
        <w:instrText xml:space="preserve"> HYPERLINK \l "_Toc3451" </w:instrText>
      </w:r>
      <w:r>
        <w:fldChar w:fldCharType="separate"/>
      </w:r>
      <w:r>
        <w:rPr>
          <w:rFonts w:hint="eastAsia" w:ascii="宋体" w:hAnsi="宋体" w:cs="宋体"/>
          <w:sz w:val="30"/>
          <w:szCs w:val="30"/>
        </w:rPr>
        <w:t>三、投标文件的编制要求</w:t>
      </w:r>
      <w:r>
        <w:rPr>
          <w:rFonts w:hint="eastAsia" w:ascii="宋体" w:hAnsi="宋体" w:cs="宋体"/>
          <w:sz w:val="30"/>
          <w:szCs w:val="30"/>
        </w:rPr>
        <w:tab/>
      </w:r>
      <w:r>
        <w:rPr>
          <w:rFonts w:hint="eastAsia" w:ascii="宋体" w:hAnsi="宋体" w:cs="宋体"/>
          <w:sz w:val="30"/>
          <w:szCs w:val="30"/>
        </w:rPr>
        <w:t>1</w:t>
      </w:r>
      <w:r>
        <w:rPr>
          <w:rFonts w:hint="eastAsia" w:ascii="宋体" w:hAnsi="宋体" w:cs="宋体"/>
          <w:sz w:val="30"/>
          <w:szCs w:val="30"/>
        </w:rPr>
        <w:fldChar w:fldCharType="end"/>
      </w:r>
      <w:r>
        <w:rPr>
          <w:rFonts w:hint="eastAsia" w:ascii="宋体" w:hAnsi="宋体" w:cs="宋体"/>
          <w:sz w:val="30"/>
          <w:szCs w:val="30"/>
        </w:rPr>
        <w:t>9</w:t>
      </w:r>
    </w:p>
    <w:p>
      <w:pPr>
        <w:pStyle w:val="40"/>
        <w:tabs>
          <w:tab w:val="right" w:leader="dot" w:pos="9532"/>
        </w:tabs>
        <w:spacing w:line="360" w:lineRule="auto"/>
        <w:ind w:left="560"/>
        <w:rPr>
          <w:rFonts w:ascii="宋体" w:hAnsi="宋体" w:cs="宋体"/>
          <w:sz w:val="30"/>
          <w:szCs w:val="30"/>
        </w:rPr>
      </w:pPr>
      <w:r>
        <w:fldChar w:fldCharType="begin"/>
      </w:r>
      <w:r>
        <w:instrText xml:space="preserve"> HYPERLINK \l "_Toc16193" </w:instrText>
      </w:r>
      <w:r>
        <w:fldChar w:fldCharType="separate"/>
      </w:r>
      <w:r>
        <w:rPr>
          <w:rFonts w:hint="eastAsia" w:ascii="宋体" w:hAnsi="宋体" w:cs="宋体"/>
          <w:sz w:val="30"/>
          <w:szCs w:val="30"/>
        </w:rPr>
        <w:t>四、开标</w:t>
      </w:r>
      <w:r>
        <w:rPr>
          <w:rFonts w:hint="eastAsia" w:ascii="宋体" w:hAnsi="宋体" w:cs="宋体"/>
          <w:sz w:val="30"/>
          <w:szCs w:val="30"/>
        </w:rPr>
        <w:tab/>
      </w:r>
      <w:r>
        <w:rPr>
          <w:rFonts w:hint="eastAsia" w:ascii="宋体" w:hAnsi="宋体" w:cs="宋体"/>
          <w:sz w:val="30"/>
          <w:szCs w:val="30"/>
        </w:rPr>
        <w:t>2</w:t>
      </w:r>
      <w:r>
        <w:rPr>
          <w:rFonts w:hint="eastAsia" w:ascii="宋体" w:hAnsi="宋体" w:cs="宋体"/>
          <w:sz w:val="30"/>
          <w:szCs w:val="30"/>
        </w:rPr>
        <w:fldChar w:fldCharType="end"/>
      </w:r>
      <w:r>
        <w:rPr>
          <w:rFonts w:hint="eastAsia" w:ascii="宋体" w:hAnsi="宋体" w:cs="宋体"/>
          <w:sz w:val="30"/>
          <w:szCs w:val="30"/>
        </w:rPr>
        <w:t>3</w:t>
      </w:r>
    </w:p>
    <w:p>
      <w:pPr>
        <w:pStyle w:val="40"/>
        <w:tabs>
          <w:tab w:val="right" w:leader="dot" w:pos="9532"/>
        </w:tabs>
        <w:spacing w:line="360" w:lineRule="auto"/>
        <w:ind w:left="560"/>
        <w:rPr>
          <w:rFonts w:ascii="宋体" w:hAnsi="宋体" w:cs="宋体"/>
          <w:sz w:val="30"/>
          <w:szCs w:val="30"/>
        </w:rPr>
      </w:pPr>
      <w:r>
        <w:fldChar w:fldCharType="begin"/>
      </w:r>
      <w:r>
        <w:instrText xml:space="preserve"> HYPERLINK \l "_Toc17761" </w:instrText>
      </w:r>
      <w:r>
        <w:fldChar w:fldCharType="separate"/>
      </w:r>
      <w:r>
        <w:rPr>
          <w:rFonts w:hint="eastAsia" w:ascii="宋体" w:hAnsi="宋体" w:cs="宋体"/>
          <w:sz w:val="30"/>
          <w:szCs w:val="30"/>
        </w:rPr>
        <w:t>五、评标</w:t>
      </w:r>
      <w:r>
        <w:rPr>
          <w:rFonts w:hint="eastAsia" w:ascii="宋体" w:hAnsi="宋体" w:cs="宋体"/>
          <w:sz w:val="30"/>
          <w:szCs w:val="30"/>
        </w:rPr>
        <w:tab/>
      </w:r>
      <w:r>
        <w:rPr>
          <w:rFonts w:hint="eastAsia" w:ascii="宋体" w:hAnsi="宋体" w:cs="宋体"/>
          <w:sz w:val="30"/>
          <w:szCs w:val="30"/>
        </w:rPr>
        <w:t>2</w:t>
      </w:r>
      <w:r>
        <w:rPr>
          <w:rFonts w:hint="eastAsia" w:ascii="宋体" w:hAnsi="宋体" w:cs="宋体"/>
          <w:sz w:val="30"/>
          <w:szCs w:val="30"/>
        </w:rPr>
        <w:fldChar w:fldCharType="end"/>
      </w:r>
      <w:r>
        <w:rPr>
          <w:rFonts w:hint="eastAsia" w:ascii="宋体" w:hAnsi="宋体" w:cs="宋体"/>
          <w:sz w:val="30"/>
          <w:szCs w:val="30"/>
        </w:rPr>
        <w:t>4</w:t>
      </w:r>
    </w:p>
    <w:p>
      <w:pPr>
        <w:pStyle w:val="40"/>
        <w:tabs>
          <w:tab w:val="right" w:leader="dot" w:pos="9532"/>
        </w:tabs>
        <w:spacing w:line="360" w:lineRule="auto"/>
        <w:ind w:left="560"/>
        <w:rPr>
          <w:rFonts w:ascii="宋体" w:hAnsi="宋体" w:cs="宋体"/>
          <w:sz w:val="30"/>
          <w:szCs w:val="30"/>
        </w:rPr>
      </w:pPr>
      <w:r>
        <w:fldChar w:fldCharType="begin"/>
      </w:r>
      <w:r>
        <w:instrText xml:space="preserve"> HYPERLINK \l "_Toc7711" </w:instrText>
      </w:r>
      <w:r>
        <w:fldChar w:fldCharType="separate"/>
      </w:r>
      <w:r>
        <w:rPr>
          <w:rFonts w:hint="eastAsia" w:ascii="宋体" w:hAnsi="宋体" w:cs="宋体"/>
          <w:sz w:val="30"/>
          <w:szCs w:val="30"/>
        </w:rPr>
        <w:t>六、定标</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_Toc7711 </w:instrText>
      </w:r>
      <w:r>
        <w:rPr>
          <w:rFonts w:hint="eastAsia" w:ascii="宋体" w:hAnsi="宋体" w:cs="宋体"/>
          <w:sz w:val="30"/>
          <w:szCs w:val="30"/>
        </w:rPr>
        <w:fldChar w:fldCharType="separate"/>
      </w:r>
      <w:r>
        <w:rPr>
          <w:rFonts w:ascii="宋体" w:hAnsi="宋体" w:cs="宋体"/>
          <w:sz w:val="30"/>
          <w:szCs w:val="30"/>
        </w:rPr>
        <w:t>38</w:t>
      </w:r>
      <w:r>
        <w:rPr>
          <w:rFonts w:hint="eastAsia" w:ascii="宋体" w:hAnsi="宋体" w:cs="宋体"/>
          <w:sz w:val="30"/>
          <w:szCs w:val="30"/>
        </w:rPr>
        <w:fldChar w:fldCharType="end"/>
      </w:r>
      <w:r>
        <w:rPr>
          <w:rFonts w:hint="eastAsia" w:ascii="宋体" w:hAnsi="宋体" w:cs="宋体"/>
          <w:sz w:val="30"/>
          <w:szCs w:val="30"/>
        </w:rPr>
        <w:fldChar w:fldCharType="end"/>
      </w:r>
    </w:p>
    <w:p>
      <w:pPr>
        <w:pStyle w:val="40"/>
        <w:tabs>
          <w:tab w:val="right" w:leader="dot" w:pos="9532"/>
        </w:tabs>
        <w:spacing w:line="360" w:lineRule="auto"/>
        <w:ind w:left="560"/>
        <w:rPr>
          <w:rFonts w:ascii="宋体" w:hAnsi="宋体" w:cs="宋体"/>
          <w:sz w:val="30"/>
          <w:szCs w:val="30"/>
        </w:rPr>
      </w:pPr>
      <w:r>
        <w:fldChar w:fldCharType="begin"/>
      </w:r>
      <w:r>
        <w:instrText xml:space="preserve"> HYPERLINK \l "_Toc23098" </w:instrText>
      </w:r>
      <w:r>
        <w:fldChar w:fldCharType="separate"/>
      </w:r>
      <w:r>
        <w:rPr>
          <w:rFonts w:hint="eastAsia" w:ascii="宋体" w:hAnsi="宋体" w:cs="宋体"/>
          <w:sz w:val="30"/>
          <w:szCs w:val="30"/>
        </w:rPr>
        <w:t>七、合同授予</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_Toc23098 </w:instrText>
      </w:r>
      <w:r>
        <w:rPr>
          <w:rFonts w:hint="eastAsia" w:ascii="宋体" w:hAnsi="宋体" w:cs="宋体"/>
          <w:sz w:val="30"/>
          <w:szCs w:val="30"/>
        </w:rPr>
        <w:fldChar w:fldCharType="separate"/>
      </w:r>
      <w:r>
        <w:rPr>
          <w:rFonts w:ascii="宋体" w:hAnsi="宋体" w:cs="宋体"/>
          <w:sz w:val="30"/>
          <w:szCs w:val="30"/>
        </w:rPr>
        <w:t>38</w:t>
      </w:r>
      <w:r>
        <w:rPr>
          <w:rFonts w:hint="eastAsia" w:ascii="宋体" w:hAnsi="宋体" w:cs="宋体"/>
          <w:sz w:val="30"/>
          <w:szCs w:val="30"/>
        </w:rPr>
        <w:fldChar w:fldCharType="end"/>
      </w:r>
      <w:r>
        <w:rPr>
          <w:rFonts w:hint="eastAsia" w:ascii="宋体" w:hAnsi="宋体" w:cs="宋体"/>
          <w:sz w:val="30"/>
          <w:szCs w:val="30"/>
        </w:rPr>
        <w:fldChar w:fldCharType="end"/>
      </w:r>
    </w:p>
    <w:p>
      <w:pPr>
        <w:pStyle w:val="36"/>
        <w:tabs>
          <w:tab w:val="right" w:leader="dot" w:pos="9532"/>
        </w:tabs>
        <w:spacing w:line="360" w:lineRule="auto"/>
        <w:rPr>
          <w:rFonts w:ascii="宋体" w:hAnsi="宋体" w:cs="宋体"/>
          <w:sz w:val="30"/>
          <w:szCs w:val="30"/>
        </w:rPr>
      </w:pPr>
      <w:r>
        <w:fldChar w:fldCharType="begin"/>
      </w:r>
      <w:r>
        <w:instrText xml:space="preserve"> HYPERLINK \l "_Toc31705" </w:instrText>
      </w:r>
      <w:r>
        <w:fldChar w:fldCharType="separate"/>
      </w:r>
      <w:r>
        <w:rPr>
          <w:rFonts w:hint="eastAsia" w:ascii="宋体" w:hAnsi="宋体" w:cs="宋体"/>
          <w:sz w:val="30"/>
          <w:szCs w:val="30"/>
        </w:rPr>
        <w:t>第四章  评标办法及评分标准</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_Toc31705 </w:instrText>
      </w:r>
      <w:r>
        <w:rPr>
          <w:rFonts w:hint="eastAsia" w:ascii="宋体" w:hAnsi="宋体" w:cs="宋体"/>
          <w:sz w:val="30"/>
          <w:szCs w:val="30"/>
        </w:rPr>
        <w:fldChar w:fldCharType="separate"/>
      </w:r>
      <w:r>
        <w:rPr>
          <w:rFonts w:ascii="宋体" w:hAnsi="宋体" w:cs="宋体"/>
          <w:sz w:val="30"/>
          <w:szCs w:val="30"/>
        </w:rPr>
        <w:t>40</w:t>
      </w:r>
      <w:r>
        <w:rPr>
          <w:rFonts w:hint="eastAsia" w:ascii="宋体" w:hAnsi="宋体" w:cs="宋体"/>
          <w:sz w:val="30"/>
          <w:szCs w:val="30"/>
        </w:rPr>
        <w:fldChar w:fldCharType="end"/>
      </w:r>
      <w:r>
        <w:rPr>
          <w:rFonts w:hint="eastAsia" w:ascii="宋体" w:hAnsi="宋体" w:cs="宋体"/>
          <w:sz w:val="30"/>
          <w:szCs w:val="30"/>
        </w:rPr>
        <w:fldChar w:fldCharType="end"/>
      </w:r>
    </w:p>
    <w:p>
      <w:pPr>
        <w:pStyle w:val="36"/>
        <w:tabs>
          <w:tab w:val="right" w:leader="dot" w:pos="9532"/>
        </w:tabs>
        <w:spacing w:line="360" w:lineRule="auto"/>
        <w:rPr>
          <w:rFonts w:ascii="宋体" w:hAnsi="宋体" w:cs="宋体"/>
          <w:sz w:val="30"/>
          <w:szCs w:val="30"/>
        </w:rPr>
      </w:pPr>
      <w:r>
        <w:fldChar w:fldCharType="begin"/>
      </w:r>
      <w:r>
        <w:instrText xml:space="preserve"> HYPERLINK \l "_Toc16549" </w:instrText>
      </w:r>
      <w:r>
        <w:fldChar w:fldCharType="separate"/>
      </w:r>
      <w:r>
        <w:rPr>
          <w:rFonts w:hint="eastAsia" w:ascii="宋体" w:hAnsi="宋体" w:cs="宋体"/>
          <w:sz w:val="30"/>
          <w:szCs w:val="30"/>
        </w:rPr>
        <w:t>第五章  合同主要条款</w:t>
      </w:r>
      <w:r>
        <w:rPr>
          <w:rFonts w:hint="eastAsia" w:ascii="宋体" w:hAnsi="宋体" w:cs="宋体"/>
          <w:sz w:val="30"/>
          <w:szCs w:val="30"/>
        </w:rPr>
        <w:tab/>
      </w:r>
      <w:r>
        <w:rPr>
          <w:rFonts w:hint="eastAsia" w:ascii="宋体" w:hAnsi="宋体" w:cs="宋体"/>
          <w:sz w:val="30"/>
          <w:szCs w:val="30"/>
        </w:rPr>
        <w:fldChar w:fldCharType="begin"/>
      </w:r>
      <w:r>
        <w:rPr>
          <w:rFonts w:hint="eastAsia" w:ascii="宋体" w:hAnsi="宋体" w:cs="宋体"/>
          <w:sz w:val="30"/>
          <w:szCs w:val="30"/>
        </w:rPr>
        <w:instrText xml:space="preserve"> PAGEREF _Toc16549 </w:instrText>
      </w:r>
      <w:r>
        <w:rPr>
          <w:rFonts w:hint="eastAsia" w:ascii="宋体" w:hAnsi="宋体" w:cs="宋体"/>
          <w:sz w:val="30"/>
          <w:szCs w:val="30"/>
        </w:rPr>
        <w:fldChar w:fldCharType="separate"/>
      </w:r>
      <w:r>
        <w:rPr>
          <w:rFonts w:ascii="宋体" w:hAnsi="宋体" w:cs="宋体"/>
          <w:sz w:val="30"/>
          <w:szCs w:val="30"/>
        </w:rPr>
        <w:t>41</w:t>
      </w:r>
      <w:r>
        <w:rPr>
          <w:rFonts w:hint="eastAsia" w:ascii="宋体" w:hAnsi="宋体" w:cs="宋体"/>
          <w:sz w:val="30"/>
          <w:szCs w:val="30"/>
        </w:rPr>
        <w:fldChar w:fldCharType="end"/>
      </w:r>
      <w:r>
        <w:rPr>
          <w:rFonts w:hint="eastAsia" w:ascii="宋体" w:hAnsi="宋体" w:cs="宋体"/>
          <w:sz w:val="30"/>
          <w:szCs w:val="30"/>
        </w:rPr>
        <w:fldChar w:fldCharType="end"/>
      </w:r>
    </w:p>
    <w:p>
      <w:pPr>
        <w:pStyle w:val="36"/>
        <w:tabs>
          <w:tab w:val="right" w:leader="dot" w:pos="9532"/>
        </w:tabs>
        <w:spacing w:line="360" w:lineRule="auto"/>
        <w:rPr>
          <w:rFonts w:ascii="宋体" w:hAnsi="宋体" w:cs="宋体"/>
          <w:sz w:val="30"/>
          <w:szCs w:val="30"/>
        </w:rPr>
      </w:pPr>
      <w:r>
        <w:fldChar w:fldCharType="begin"/>
      </w:r>
      <w:r>
        <w:instrText xml:space="preserve"> HYPERLINK \l "_Toc11931" </w:instrText>
      </w:r>
      <w:r>
        <w:fldChar w:fldCharType="separate"/>
      </w:r>
      <w:r>
        <w:rPr>
          <w:rFonts w:hint="eastAsia" w:ascii="宋体" w:hAnsi="宋体" w:cs="宋体"/>
          <w:sz w:val="30"/>
          <w:szCs w:val="30"/>
        </w:rPr>
        <w:t>第六章  投标文件格式</w:t>
      </w:r>
      <w:r>
        <w:rPr>
          <w:rFonts w:hint="eastAsia" w:ascii="宋体" w:hAnsi="宋体" w:cs="宋体"/>
          <w:sz w:val="30"/>
          <w:szCs w:val="30"/>
        </w:rPr>
        <w:tab/>
      </w:r>
      <w:r>
        <w:rPr>
          <w:rFonts w:hint="eastAsia" w:ascii="宋体" w:hAnsi="宋体" w:cs="宋体"/>
          <w:sz w:val="30"/>
          <w:szCs w:val="30"/>
        </w:rPr>
        <w:t>3</w:t>
      </w:r>
      <w:r>
        <w:rPr>
          <w:rFonts w:hint="eastAsia" w:ascii="宋体" w:hAnsi="宋体" w:cs="宋体"/>
          <w:sz w:val="30"/>
          <w:szCs w:val="30"/>
        </w:rPr>
        <w:fldChar w:fldCharType="end"/>
      </w:r>
      <w:r>
        <w:rPr>
          <w:rFonts w:hint="eastAsia" w:ascii="宋体" w:hAnsi="宋体" w:cs="宋体"/>
          <w:sz w:val="30"/>
          <w:szCs w:val="30"/>
        </w:rPr>
        <w:t>8</w:t>
      </w:r>
    </w:p>
    <w:p>
      <w:pPr>
        <w:adjustRightInd w:val="0"/>
        <w:snapToGrid w:val="0"/>
        <w:spacing w:line="360" w:lineRule="auto"/>
        <w:ind w:firstLine="600"/>
        <w:rPr>
          <w:rFonts w:ascii="宋体" w:hAnsi="宋体" w:cs="宋体"/>
          <w:sz w:val="30"/>
          <w:szCs w:val="30"/>
        </w:rPr>
      </w:pPr>
      <w:r>
        <w:rPr>
          <w:rFonts w:hint="eastAsia" w:ascii="宋体" w:hAnsi="宋体" w:cs="宋体"/>
          <w:sz w:val="30"/>
          <w:szCs w:val="30"/>
        </w:rPr>
        <w:fldChar w:fldCharType="end"/>
      </w:r>
    </w:p>
    <w:p>
      <w:pPr>
        <w:adjustRightInd w:val="0"/>
        <w:snapToGrid w:val="0"/>
        <w:spacing w:line="360" w:lineRule="auto"/>
        <w:ind w:firstLine="600"/>
        <w:rPr>
          <w:rFonts w:ascii="宋体" w:hAnsi="宋体" w:cs="宋体"/>
          <w:sz w:val="30"/>
          <w:szCs w:val="30"/>
        </w:rPr>
      </w:pPr>
    </w:p>
    <w:p>
      <w:pPr>
        <w:adjustRightInd w:val="0"/>
        <w:snapToGrid w:val="0"/>
        <w:spacing w:line="360" w:lineRule="auto"/>
        <w:ind w:firstLine="600"/>
        <w:rPr>
          <w:rFonts w:ascii="宋体" w:hAnsi="宋体" w:cs="宋体"/>
          <w:sz w:val="30"/>
          <w:szCs w:val="30"/>
        </w:rPr>
      </w:pPr>
    </w:p>
    <w:p>
      <w:pPr>
        <w:adjustRightInd w:val="0"/>
        <w:snapToGrid w:val="0"/>
        <w:spacing w:line="360" w:lineRule="auto"/>
        <w:ind w:firstLine="600"/>
        <w:rPr>
          <w:rFonts w:ascii="宋体" w:hAnsi="宋体" w:cs="宋体"/>
          <w:sz w:val="30"/>
          <w:szCs w:val="30"/>
        </w:rPr>
      </w:pPr>
    </w:p>
    <w:p>
      <w:pPr>
        <w:adjustRightInd w:val="0"/>
        <w:snapToGrid w:val="0"/>
        <w:spacing w:line="360" w:lineRule="auto"/>
        <w:ind w:firstLine="600"/>
        <w:rPr>
          <w:rFonts w:ascii="宋体" w:hAnsi="宋体" w:cs="宋体"/>
          <w:sz w:val="30"/>
          <w:szCs w:val="30"/>
        </w:rPr>
      </w:pPr>
    </w:p>
    <w:p>
      <w:pPr>
        <w:adjustRightInd w:val="0"/>
        <w:snapToGrid w:val="0"/>
        <w:spacing w:line="360" w:lineRule="auto"/>
        <w:ind w:firstLine="600"/>
        <w:rPr>
          <w:rFonts w:ascii="宋体" w:hAnsi="宋体" w:cs="宋体"/>
          <w:sz w:val="30"/>
          <w:szCs w:val="30"/>
        </w:rPr>
      </w:pPr>
    </w:p>
    <w:p>
      <w:pPr>
        <w:jc w:val="center"/>
        <w:outlineLvl w:val="0"/>
        <w:rPr>
          <w:rFonts w:hint="eastAsia" w:ascii="宋体" w:hAnsi="宋体" w:cs="宋体"/>
          <w:b/>
          <w:sz w:val="44"/>
          <w:szCs w:val="44"/>
        </w:rPr>
        <w:sectPr>
          <w:footerReference r:id="rId3" w:type="default"/>
          <w:pgSz w:w="11907" w:h="16839"/>
          <w:pgMar w:top="1405" w:right="1106" w:bottom="1309" w:left="1402" w:header="0" w:footer="1133" w:gutter="0"/>
          <w:pgNumType w:fmt="decimal"/>
          <w:cols w:space="720" w:num="1"/>
        </w:sectPr>
      </w:pPr>
      <w:bookmarkStart w:id="1" w:name="_Toc28990"/>
    </w:p>
    <w:p>
      <w:pPr>
        <w:jc w:val="center"/>
        <w:outlineLvl w:val="0"/>
        <w:rPr>
          <w:rFonts w:ascii="宋体" w:hAnsi="宋体" w:cs="宋体"/>
          <w:b/>
          <w:sz w:val="44"/>
          <w:szCs w:val="44"/>
        </w:rPr>
      </w:pPr>
      <w:r>
        <w:rPr>
          <w:rFonts w:hint="eastAsia" w:ascii="宋体" w:hAnsi="宋体" w:cs="宋体"/>
          <w:b/>
          <w:sz w:val="44"/>
          <w:szCs w:val="44"/>
        </w:rPr>
        <w:t>第一章 公开招标采购公告</w:t>
      </w:r>
      <w:bookmarkEnd w:id="1"/>
    </w:p>
    <w:p>
      <w:pPr>
        <w:pStyle w:val="32"/>
        <w:adjustRightInd w:val="0"/>
        <w:snapToGrid w:val="0"/>
        <w:spacing w:line="460" w:lineRule="exact"/>
        <w:ind w:firstLine="48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根据《中华人民共和国政府采购法》等规定，经</w:t>
      </w:r>
      <w:r>
        <w:rPr>
          <w:rFonts w:hint="eastAsia" w:cs="宋体" w:asciiTheme="minorEastAsia" w:hAnsiTheme="minorEastAsia" w:eastAsiaTheme="minorEastAsia"/>
          <w:kern w:val="0"/>
          <w:sz w:val="24"/>
          <w:szCs w:val="24"/>
          <w:u w:val="single"/>
        </w:rPr>
        <w:t>湖州市吴兴区财政局</w:t>
      </w:r>
      <w:r>
        <w:rPr>
          <w:rFonts w:hint="eastAsia" w:cs="宋体" w:asciiTheme="minorEastAsia" w:hAnsiTheme="minorEastAsia" w:eastAsiaTheme="minorEastAsia"/>
          <w:sz w:val="24"/>
          <w:szCs w:val="24"/>
        </w:rPr>
        <w:t>批准（财政审批编号:</w:t>
      </w:r>
      <w:r>
        <w:rPr>
          <w:rFonts w:hint="eastAsia" w:cs="宋体" w:asciiTheme="minorEastAsia" w:hAnsiTheme="minorEastAsia" w:eastAsiaTheme="minorEastAsia"/>
          <w:sz w:val="24"/>
          <w:szCs w:val="24"/>
          <w:lang w:eastAsia="zh-CN"/>
        </w:rPr>
        <w:t xml:space="preserve"> </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sz w:val="24"/>
          <w:szCs w:val="24"/>
          <w:u w:val="single"/>
          <w:lang w:eastAsia="zh-CN"/>
        </w:rPr>
        <w:t>湖州鑫梦工程咨询有限公司</w:t>
      </w:r>
      <w:r>
        <w:rPr>
          <w:rFonts w:hint="eastAsia" w:cs="宋体" w:asciiTheme="minorEastAsia" w:hAnsiTheme="minorEastAsia" w:eastAsiaTheme="minorEastAsia"/>
          <w:sz w:val="24"/>
          <w:szCs w:val="24"/>
        </w:rPr>
        <w:t>受</w:t>
      </w:r>
      <w:r>
        <w:rPr>
          <w:rFonts w:hint="eastAsia" w:cs="宋体" w:asciiTheme="minorEastAsia" w:hAnsiTheme="minorEastAsia" w:eastAsiaTheme="minorEastAsia"/>
          <w:sz w:val="24"/>
          <w:szCs w:val="24"/>
          <w:u w:val="single"/>
          <w:lang w:eastAsia="zh-CN"/>
        </w:rPr>
        <w:t>湖州市吴兴区人民政府飞英街道办事处</w:t>
      </w:r>
      <w:r>
        <w:rPr>
          <w:rFonts w:hint="eastAsia" w:cs="宋体" w:asciiTheme="minorEastAsia" w:hAnsiTheme="minorEastAsia" w:eastAsiaTheme="minorEastAsia"/>
          <w:sz w:val="24"/>
          <w:szCs w:val="24"/>
        </w:rPr>
        <w:t>委托，现就</w:t>
      </w:r>
      <w:r>
        <w:rPr>
          <w:rFonts w:hint="eastAsia" w:cs="宋体"/>
          <w:sz w:val="24"/>
          <w:u w:val="single"/>
          <w:lang w:val="en-US" w:eastAsia="zh-CN"/>
        </w:rPr>
        <w:t>飞英街道办事处关于余家漾社区幸福邻里中心（儿童之家）、新华苑社区幸福邻里中心第三方运营服务采购</w:t>
      </w:r>
      <w:r>
        <w:rPr>
          <w:rFonts w:hint="eastAsia" w:ascii="宋体" w:hAnsi="宋体" w:eastAsia="宋体" w:cs="宋体"/>
          <w:sz w:val="24"/>
          <w:u w:val="single"/>
          <w:lang w:val="en-US" w:eastAsia="zh-CN"/>
        </w:rPr>
        <w:t>项目</w:t>
      </w:r>
      <w:r>
        <w:rPr>
          <w:rFonts w:hint="eastAsia" w:cs="宋体" w:asciiTheme="minorEastAsia" w:hAnsiTheme="minorEastAsia" w:eastAsiaTheme="minorEastAsia"/>
          <w:sz w:val="24"/>
          <w:szCs w:val="24"/>
        </w:rPr>
        <w:t>进行公开招标采购，欢迎中华人民共和国境内的合格投标供应商前来参加投标。</w:t>
      </w:r>
    </w:p>
    <w:p>
      <w:pPr>
        <w:pStyle w:val="32"/>
        <w:numPr>
          <w:ilvl w:val="0"/>
          <w:numId w:val="0"/>
        </w:numPr>
        <w:adjustRightInd w:val="0"/>
        <w:snapToGrid w:val="0"/>
        <w:spacing w:line="460" w:lineRule="exact"/>
        <w:ind w:firstLine="480" w:firstLineChars="200"/>
        <w:outlineLvl w:val="1"/>
        <w:rPr>
          <w:rFonts w:hint="eastAsia" w:cs="宋体" w:asciiTheme="minorEastAsia" w:hAnsiTheme="minorEastAsia" w:eastAsiaTheme="minorEastAsia"/>
          <w:sz w:val="24"/>
          <w:szCs w:val="24"/>
          <w:lang w:val="en-US" w:eastAsia="zh-CN"/>
        </w:rPr>
      </w:pPr>
      <w:bookmarkStart w:id="2" w:name="_Toc7519"/>
      <w:r>
        <w:rPr>
          <w:rFonts w:hint="eastAsia" w:cs="宋体" w:asciiTheme="minorEastAsia" w:hAnsiTheme="minorEastAsia" w:eastAsiaTheme="minorEastAsia"/>
          <w:kern w:val="2"/>
          <w:sz w:val="24"/>
          <w:szCs w:val="24"/>
          <w:lang w:val="en-US" w:eastAsia="zh-CN" w:bidi="ar-SA"/>
        </w:rPr>
        <w:t>一、</w:t>
      </w:r>
      <w:r>
        <w:rPr>
          <w:rFonts w:hint="eastAsia" w:cs="宋体" w:asciiTheme="minorEastAsia" w:hAnsiTheme="minorEastAsia" w:eastAsiaTheme="minorEastAsia"/>
          <w:b/>
          <w:sz w:val="24"/>
          <w:szCs w:val="24"/>
        </w:rPr>
        <w:t>项目编号：</w:t>
      </w:r>
      <w:bookmarkEnd w:id="2"/>
      <w:r>
        <w:rPr>
          <w:rFonts w:hint="eastAsia" w:cs="宋体" w:asciiTheme="minorEastAsia" w:hAnsiTheme="minorEastAsia" w:eastAsiaTheme="minorEastAsia"/>
          <w:sz w:val="24"/>
          <w:szCs w:val="24"/>
          <w:lang w:eastAsia="zh-CN"/>
        </w:rPr>
        <w:t>HZXM(202</w:t>
      </w:r>
      <w:r>
        <w:rPr>
          <w:rFonts w:hint="eastAsia" w:cs="宋体" w:asciiTheme="minorEastAsia" w:hAnsiTheme="minorEastAsia" w:eastAsiaTheme="minorEastAsia"/>
          <w:sz w:val="24"/>
          <w:szCs w:val="24"/>
          <w:lang w:val="en-US" w:eastAsia="zh-CN"/>
        </w:rPr>
        <w:t>4</w:t>
      </w:r>
      <w:r>
        <w:rPr>
          <w:rFonts w:hint="eastAsia" w:cs="宋体" w:asciiTheme="minorEastAsia" w:hAnsiTheme="minorEastAsia" w:eastAsiaTheme="minorEastAsia"/>
          <w:sz w:val="24"/>
          <w:szCs w:val="24"/>
          <w:lang w:eastAsia="zh-CN"/>
        </w:rPr>
        <w:t>）-0</w:t>
      </w:r>
      <w:bookmarkStart w:id="3" w:name="_Toc3936"/>
      <w:r>
        <w:rPr>
          <w:rFonts w:hint="eastAsia" w:cs="宋体" w:asciiTheme="minorEastAsia" w:hAnsiTheme="minorEastAsia" w:eastAsiaTheme="minorEastAsia"/>
          <w:sz w:val="24"/>
          <w:szCs w:val="24"/>
          <w:lang w:val="en-US" w:eastAsia="zh-CN"/>
        </w:rPr>
        <w:t>02</w:t>
      </w:r>
    </w:p>
    <w:p>
      <w:pPr>
        <w:pStyle w:val="32"/>
        <w:numPr>
          <w:ilvl w:val="0"/>
          <w:numId w:val="0"/>
        </w:numPr>
        <w:adjustRightInd w:val="0"/>
        <w:snapToGrid w:val="0"/>
        <w:spacing w:line="460" w:lineRule="exact"/>
        <w:ind w:firstLine="482" w:firstLineChars="200"/>
        <w:outlineLvl w:val="1"/>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二、项目组织类型：</w:t>
      </w:r>
      <w:r>
        <w:rPr>
          <w:rFonts w:hint="eastAsia" w:cs="宋体" w:asciiTheme="minorEastAsia" w:hAnsiTheme="minorEastAsia" w:eastAsiaTheme="minorEastAsia"/>
          <w:sz w:val="24"/>
          <w:szCs w:val="24"/>
        </w:rPr>
        <w:t>分散采购-委托代理</w:t>
      </w:r>
      <w:bookmarkEnd w:id="3"/>
    </w:p>
    <w:p>
      <w:pPr>
        <w:pStyle w:val="32"/>
        <w:adjustRightInd w:val="0"/>
        <w:snapToGrid w:val="0"/>
        <w:spacing w:line="460" w:lineRule="exact"/>
        <w:ind w:firstLine="482"/>
        <w:outlineLvl w:val="1"/>
        <w:rPr>
          <w:rFonts w:cs="宋体" w:asciiTheme="minorEastAsia" w:hAnsiTheme="minorEastAsia" w:eastAsiaTheme="minorEastAsia"/>
          <w:sz w:val="24"/>
          <w:szCs w:val="24"/>
        </w:rPr>
      </w:pPr>
      <w:bookmarkStart w:id="4" w:name="_Toc20830"/>
      <w:r>
        <w:rPr>
          <w:rFonts w:hint="eastAsia" w:cs="宋体" w:asciiTheme="minorEastAsia" w:hAnsiTheme="minorEastAsia" w:eastAsiaTheme="minorEastAsia"/>
          <w:b/>
          <w:sz w:val="24"/>
          <w:szCs w:val="24"/>
        </w:rPr>
        <w:t>三、招标方式：</w:t>
      </w:r>
      <w:r>
        <w:rPr>
          <w:rFonts w:hint="eastAsia" w:cs="宋体" w:asciiTheme="minorEastAsia" w:hAnsiTheme="minorEastAsia" w:eastAsiaTheme="minorEastAsia"/>
          <w:sz w:val="24"/>
          <w:szCs w:val="24"/>
        </w:rPr>
        <w:t>公开招标</w:t>
      </w:r>
      <w:bookmarkEnd w:id="4"/>
    </w:p>
    <w:p>
      <w:pPr>
        <w:pStyle w:val="32"/>
        <w:adjustRightInd w:val="0"/>
        <w:snapToGrid w:val="0"/>
        <w:spacing w:line="460" w:lineRule="exact"/>
        <w:ind w:firstLine="482"/>
        <w:outlineLvl w:val="1"/>
        <w:rPr>
          <w:rFonts w:cs="宋体" w:asciiTheme="minorEastAsia" w:hAnsiTheme="minorEastAsia" w:eastAsiaTheme="minorEastAsia"/>
          <w:b/>
          <w:sz w:val="24"/>
          <w:szCs w:val="24"/>
        </w:rPr>
      </w:pPr>
      <w:bookmarkStart w:id="5" w:name="_Toc4561"/>
      <w:r>
        <w:rPr>
          <w:rFonts w:hint="eastAsia" w:cs="宋体" w:asciiTheme="minorEastAsia" w:hAnsiTheme="minorEastAsia" w:eastAsiaTheme="minorEastAsia"/>
          <w:b/>
          <w:sz w:val="24"/>
          <w:szCs w:val="24"/>
        </w:rPr>
        <w:t>四、采购内容及预算：</w:t>
      </w:r>
      <w:bookmarkEnd w:id="5"/>
    </w:p>
    <w:tbl>
      <w:tblPr>
        <w:tblStyle w:val="44"/>
        <w:tblW w:w="4051" w:type="pct"/>
        <w:jc w:val="center"/>
        <w:tblLayout w:type="autofit"/>
        <w:tblCellMar>
          <w:top w:w="0" w:type="dxa"/>
          <w:left w:w="10" w:type="dxa"/>
          <w:bottom w:w="0" w:type="dxa"/>
          <w:right w:w="10" w:type="dxa"/>
        </w:tblCellMar>
      </w:tblPr>
      <w:tblGrid>
        <w:gridCol w:w="847"/>
        <w:gridCol w:w="3817"/>
        <w:gridCol w:w="1705"/>
        <w:gridCol w:w="1262"/>
      </w:tblGrid>
      <w:tr>
        <w:tblPrEx>
          <w:tblCellMar>
            <w:top w:w="0" w:type="dxa"/>
            <w:left w:w="10" w:type="dxa"/>
            <w:bottom w:w="0" w:type="dxa"/>
            <w:right w:w="10" w:type="dxa"/>
          </w:tblCellMar>
        </w:tblPrEx>
        <w:trPr>
          <w:trHeight w:val="351" w:hRule="atLeast"/>
          <w:jc w:val="center"/>
        </w:trPr>
        <w:tc>
          <w:tcPr>
            <w:tcW w:w="555" w:type="pct"/>
            <w:tcBorders>
              <w:top w:val="single" w:color="auto" w:sz="6" w:space="0"/>
              <w:left w:val="single" w:color="auto" w:sz="6" w:space="0"/>
              <w:bottom w:val="single" w:color="auto" w:sz="4" w:space="0"/>
              <w:right w:val="single" w:color="auto" w:sz="6" w:space="0"/>
            </w:tcBorders>
            <w:vAlign w:val="center"/>
          </w:tcPr>
          <w:p>
            <w:pPr>
              <w:spacing w:line="460" w:lineRule="exact"/>
              <w:jc w:val="center"/>
              <w:rPr>
                <w:rFonts w:cs="宋体" w:asciiTheme="minorEastAsia" w:hAnsiTheme="minorEastAsia" w:eastAsiaTheme="minorEastAsia"/>
                <w:sz w:val="24"/>
              </w:rPr>
            </w:pPr>
            <w:bookmarkStart w:id="6" w:name="_Toc4575"/>
            <w:r>
              <w:rPr>
                <w:rFonts w:hint="eastAsia" w:cs="宋体" w:asciiTheme="minorEastAsia" w:hAnsiTheme="minorEastAsia" w:eastAsiaTheme="minorEastAsia"/>
                <w:sz w:val="24"/>
              </w:rPr>
              <w:t>序号</w:t>
            </w:r>
          </w:p>
        </w:tc>
        <w:tc>
          <w:tcPr>
            <w:tcW w:w="2500" w:type="pct"/>
            <w:tcBorders>
              <w:top w:val="single" w:color="auto" w:sz="6" w:space="0"/>
              <w:left w:val="single" w:color="auto" w:sz="6" w:space="0"/>
              <w:bottom w:val="single" w:color="auto" w:sz="4" w:space="0"/>
              <w:right w:val="single" w:color="auto" w:sz="6" w:space="0"/>
            </w:tcBorders>
            <w:vAlign w:val="center"/>
          </w:tcPr>
          <w:p>
            <w:pPr>
              <w:spacing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项目名称</w:t>
            </w:r>
          </w:p>
        </w:tc>
        <w:tc>
          <w:tcPr>
            <w:tcW w:w="1117" w:type="pct"/>
            <w:tcBorders>
              <w:top w:val="single" w:color="auto" w:sz="6" w:space="0"/>
              <w:left w:val="single" w:color="auto" w:sz="6" w:space="0"/>
              <w:bottom w:val="single" w:color="auto" w:sz="4" w:space="0"/>
              <w:right w:val="single" w:color="auto" w:sz="6" w:space="0"/>
            </w:tcBorders>
            <w:vAlign w:val="center"/>
          </w:tcPr>
          <w:p>
            <w:pPr>
              <w:spacing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预算金额</w:t>
            </w:r>
          </w:p>
        </w:tc>
        <w:tc>
          <w:tcPr>
            <w:tcW w:w="826" w:type="pct"/>
            <w:tcBorders>
              <w:top w:val="single" w:color="auto" w:sz="6" w:space="0"/>
              <w:left w:val="single" w:color="auto" w:sz="6" w:space="0"/>
              <w:bottom w:val="single" w:color="auto" w:sz="4" w:space="0"/>
              <w:right w:val="single" w:color="auto" w:sz="6" w:space="0"/>
            </w:tcBorders>
            <w:vAlign w:val="center"/>
          </w:tcPr>
          <w:p>
            <w:pPr>
              <w:spacing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服务期</w:t>
            </w:r>
          </w:p>
        </w:tc>
      </w:tr>
      <w:tr>
        <w:tblPrEx>
          <w:tblCellMar>
            <w:top w:w="0" w:type="dxa"/>
            <w:left w:w="10" w:type="dxa"/>
            <w:bottom w:w="0" w:type="dxa"/>
            <w:right w:w="10" w:type="dxa"/>
          </w:tblCellMar>
        </w:tblPrEx>
        <w:trPr>
          <w:trHeight w:val="1076" w:hRule="atLeast"/>
          <w:jc w:val="center"/>
        </w:trPr>
        <w:tc>
          <w:tcPr>
            <w:tcW w:w="555" w:type="pct"/>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2500" w:type="pct"/>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hint="default"/>
                <w:lang w:val="en-US" w:eastAsia="zh-CN"/>
              </w:rPr>
            </w:pPr>
            <w:r>
              <w:rPr>
                <w:rFonts w:hint="eastAsia" w:cs="宋体"/>
                <w:sz w:val="24"/>
                <w:lang w:val="en-US" w:eastAsia="zh-CN"/>
              </w:rPr>
              <w:t>余家漾社区幸福邻里中心（儿童之家）第三方运营服务采购</w:t>
            </w:r>
            <w:r>
              <w:rPr>
                <w:rFonts w:hint="eastAsia" w:ascii="宋体" w:hAnsi="宋体" w:eastAsia="宋体" w:cs="宋体"/>
                <w:sz w:val="24"/>
                <w:lang w:val="en-US" w:eastAsia="zh-CN"/>
              </w:rPr>
              <w:t>项目</w:t>
            </w:r>
          </w:p>
        </w:tc>
        <w:tc>
          <w:tcPr>
            <w:tcW w:w="1117" w:type="pct"/>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46</w:t>
            </w:r>
            <w:r>
              <w:rPr>
                <w:rFonts w:hint="eastAsia" w:cs="宋体" w:asciiTheme="minorEastAsia" w:hAnsiTheme="minorEastAsia" w:eastAsiaTheme="minorEastAsia"/>
                <w:sz w:val="24"/>
              </w:rPr>
              <w:t>万元</w:t>
            </w:r>
          </w:p>
        </w:tc>
        <w:tc>
          <w:tcPr>
            <w:tcW w:w="826" w:type="pct"/>
            <w:tcBorders>
              <w:top w:val="single" w:color="auto" w:sz="4" w:space="0"/>
              <w:left w:val="single" w:color="auto" w:sz="6" w:space="0"/>
              <w:bottom w:val="single" w:color="auto" w:sz="4" w:space="0"/>
              <w:right w:val="single" w:color="auto" w:sz="4" w:space="0"/>
            </w:tcBorders>
            <w:vAlign w:val="center"/>
          </w:tcPr>
          <w:p>
            <w:pPr>
              <w:spacing w:line="460" w:lineRule="exact"/>
              <w:jc w:val="center"/>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2年</w:t>
            </w:r>
          </w:p>
        </w:tc>
      </w:tr>
      <w:tr>
        <w:tblPrEx>
          <w:tblCellMar>
            <w:top w:w="0" w:type="dxa"/>
            <w:left w:w="10" w:type="dxa"/>
            <w:bottom w:w="0" w:type="dxa"/>
            <w:right w:w="10" w:type="dxa"/>
          </w:tblCellMar>
        </w:tblPrEx>
        <w:trPr>
          <w:trHeight w:val="1076" w:hRule="atLeast"/>
          <w:jc w:val="center"/>
        </w:trPr>
        <w:tc>
          <w:tcPr>
            <w:tcW w:w="555" w:type="pct"/>
            <w:tcBorders>
              <w:top w:val="single" w:color="auto" w:sz="4" w:space="0"/>
              <w:left w:val="single" w:color="auto" w:sz="4" w:space="0"/>
              <w:bottom w:val="single" w:color="auto" w:sz="4" w:space="0"/>
              <w:right w:val="single" w:color="auto" w:sz="6" w:space="0"/>
            </w:tcBorders>
            <w:vAlign w:val="center"/>
          </w:tcPr>
          <w:p>
            <w:pPr>
              <w:spacing w:line="460" w:lineRule="exact"/>
              <w:jc w:val="center"/>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2</w:t>
            </w:r>
          </w:p>
        </w:tc>
        <w:tc>
          <w:tcPr>
            <w:tcW w:w="2500" w:type="pct"/>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hint="eastAsia" w:cs="宋体"/>
                <w:sz w:val="24"/>
                <w:lang w:val="en-US" w:eastAsia="zh-CN"/>
              </w:rPr>
            </w:pPr>
            <w:r>
              <w:rPr>
                <w:rFonts w:hint="eastAsia" w:cs="宋体"/>
                <w:sz w:val="24"/>
                <w:lang w:val="en-US" w:eastAsia="zh-CN"/>
              </w:rPr>
              <w:t>新华苑社区幸福邻里中心第三方运营服务采购</w:t>
            </w:r>
            <w:r>
              <w:rPr>
                <w:rFonts w:hint="eastAsia" w:ascii="宋体" w:hAnsi="宋体" w:eastAsia="宋体" w:cs="宋体"/>
                <w:sz w:val="24"/>
                <w:lang w:val="en-US" w:eastAsia="zh-CN"/>
              </w:rPr>
              <w:t>项目</w:t>
            </w:r>
          </w:p>
        </w:tc>
        <w:tc>
          <w:tcPr>
            <w:tcW w:w="1117" w:type="pct"/>
            <w:tcBorders>
              <w:top w:val="single" w:color="auto" w:sz="4" w:space="0"/>
              <w:left w:val="single" w:color="auto" w:sz="6" w:space="0"/>
              <w:bottom w:val="single" w:color="auto" w:sz="4" w:space="0"/>
              <w:right w:val="single" w:color="auto" w:sz="6" w:space="0"/>
            </w:tcBorders>
            <w:vAlign w:val="center"/>
          </w:tcPr>
          <w:p>
            <w:pPr>
              <w:spacing w:line="460" w:lineRule="exact"/>
              <w:jc w:val="center"/>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40万元</w:t>
            </w:r>
          </w:p>
        </w:tc>
        <w:tc>
          <w:tcPr>
            <w:tcW w:w="826" w:type="pct"/>
            <w:tcBorders>
              <w:top w:val="single" w:color="auto" w:sz="4" w:space="0"/>
              <w:left w:val="single" w:color="auto" w:sz="6" w:space="0"/>
              <w:bottom w:val="single" w:color="auto" w:sz="4" w:space="0"/>
              <w:right w:val="single" w:color="auto" w:sz="4" w:space="0"/>
            </w:tcBorders>
            <w:vAlign w:val="center"/>
          </w:tcPr>
          <w:p>
            <w:pPr>
              <w:spacing w:line="460" w:lineRule="exact"/>
              <w:jc w:val="center"/>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2年</w:t>
            </w:r>
          </w:p>
        </w:tc>
      </w:tr>
    </w:tbl>
    <w:p>
      <w:pPr>
        <w:spacing w:line="460" w:lineRule="exact"/>
        <w:ind w:right="60"/>
        <w:rPr>
          <w:rFonts w:ascii="Times New Roman" w:hAnsi="Times New Roman"/>
          <w:b/>
          <w:sz w:val="24"/>
          <w:szCs w:val="24"/>
        </w:rPr>
      </w:pPr>
      <w:r>
        <w:rPr>
          <w:rFonts w:hint="eastAsia" w:ascii="Times New Roman" w:hAnsi="Times New Roman"/>
          <w:b/>
          <w:color w:val="auto"/>
          <w:sz w:val="24"/>
          <w:szCs w:val="24"/>
          <w:highlight w:val="none"/>
        </w:rPr>
        <w:t>▲注：</w:t>
      </w:r>
      <w:r>
        <w:rPr>
          <w:rFonts w:hint="eastAsia" w:ascii="宋体" w:hAnsi="宋体" w:cs="宋体"/>
          <w:b/>
          <w:kern w:val="0"/>
          <w:sz w:val="24"/>
        </w:rPr>
        <w:t>本项目</w:t>
      </w:r>
      <w:r>
        <w:rPr>
          <w:rFonts w:hint="eastAsia" w:ascii="宋体" w:hAnsi="宋体" w:cs="宋体"/>
          <w:b/>
          <w:kern w:val="0"/>
          <w:sz w:val="24"/>
          <w:lang w:val="en-US" w:eastAsia="zh-CN"/>
        </w:rPr>
        <w:t>2</w:t>
      </w:r>
      <w:r>
        <w:rPr>
          <w:rFonts w:hint="eastAsia" w:ascii="宋体" w:hAnsi="宋体" w:cs="宋体"/>
          <w:b/>
          <w:kern w:val="0"/>
          <w:sz w:val="24"/>
        </w:rPr>
        <w:t>个标项一同开标，开标顺序按标项顺序（先开标项1再开标项2），投标供应商最多允许中</w:t>
      </w:r>
      <w:r>
        <w:rPr>
          <w:rFonts w:hint="eastAsia" w:ascii="宋体" w:hAnsi="宋体" w:cs="宋体"/>
          <w:b/>
          <w:kern w:val="0"/>
          <w:sz w:val="24"/>
          <w:lang w:val="en-US" w:eastAsia="zh-CN"/>
        </w:rPr>
        <w:t>1</w:t>
      </w:r>
      <w:r>
        <w:rPr>
          <w:rFonts w:hint="eastAsia" w:ascii="宋体" w:hAnsi="宋体" w:cs="宋体"/>
          <w:b/>
          <w:kern w:val="0"/>
          <w:sz w:val="24"/>
        </w:rPr>
        <w:t>个标项，中标顺序根据开标顺序，已中标的供应商不再推荐为剩余标项的中标供应商，但其投标文件仍然进入剩余标项的评审。供应商需按标项分别制作投标文件。</w:t>
      </w:r>
    </w:p>
    <w:p>
      <w:pPr>
        <w:pStyle w:val="32"/>
        <w:adjustRightInd w:val="0"/>
        <w:snapToGrid w:val="0"/>
        <w:spacing w:line="460" w:lineRule="exact"/>
        <w:ind w:firstLine="482"/>
        <w:outlineLvl w:val="1"/>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五、合格投标供应商的资格要求：</w:t>
      </w:r>
      <w:bookmarkEnd w:id="6"/>
    </w:p>
    <w:p>
      <w:pPr>
        <w:snapToGrid w:val="0"/>
        <w:spacing w:line="460" w:lineRule="exact"/>
        <w:ind w:firstLine="470" w:firstLineChars="196"/>
        <w:rPr>
          <w:rFonts w:cs="宋体" w:asciiTheme="minorEastAsia" w:hAnsiTheme="minorEastAsia" w:eastAsiaTheme="minorEastAsia"/>
          <w:sz w:val="24"/>
        </w:rPr>
      </w:pPr>
      <w:bookmarkStart w:id="7" w:name="_Toc3951"/>
      <w:r>
        <w:rPr>
          <w:rFonts w:hint="eastAsia" w:cs="宋体" w:asciiTheme="minorEastAsia" w:hAnsiTheme="minorEastAsia" w:eastAsiaTheme="minorEastAsia"/>
          <w:sz w:val="24"/>
        </w:rPr>
        <w:t>1.符合《政府采购法》第二十二条规定,且未被“信用中国”（www.creditchina.gov.cn）、中国政府采购网（www.ccgp.gov.cn）列入失信被执行人、重大税收违法案件当事人名单、政府采购严重违法失信行为记录名单；</w:t>
      </w:r>
    </w:p>
    <w:p>
      <w:pPr>
        <w:snapToGrid w:val="0"/>
        <w:spacing w:line="460" w:lineRule="exact"/>
        <w:ind w:firstLine="470" w:firstLineChars="196"/>
        <w:rPr>
          <w:rFonts w:cs="宋体" w:asciiTheme="minorEastAsia" w:hAnsiTheme="minorEastAsia" w:eastAsiaTheme="minorEastAsia"/>
          <w:sz w:val="24"/>
        </w:rPr>
      </w:pPr>
      <w:r>
        <w:rPr>
          <w:rFonts w:hint="eastAsia" w:cs="宋体" w:asciiTheme="minorEastAsia" w:hAnsiTheme="minorEastAsia" w:eastAsiaTheme="minorEastAsia"/>
          <w:sz w:val="24"/>
        </w:rPr>
        <w:t>2.落实政府采购政策需满足的资格要求：无；</w:t>
      </w:r>
    </w:p>
    <w:p>
      <w:pPr>
        <w:snapToGrid w:val="0"/>
        <w:spacing w:line="460" w:lineRule="exact"/>
        <w:ind w:firstLine="470" w:firstLineChars="196"/>
        <w:rPr>
          <w:rFonts w:cs="宋体" w:asciiTheme="minorEastAsia" w:hAnsiTheme="minorEastAsia" w:eastAsiaTheme="minorEastAsia"/>
          <w:sz w:val="24"/>
        </w:rPr>
      </w:pPr>
      <w:r>
        <w:rPr>
          <w:rFonts w:hint="eastAsia" w:cs="宋体" w:asciiTheme="minorEastAsia" w:hAnsiTheme="minorEastAsia" w:eastAsiaTheme="minorEastAsia"/>
          <w:sz w:val="24"/>
        </w:rPr>
        <w:t>3.本项目不接受联合体投标。</w:t>
      </w:r>
    </w:p>
    <w:p>
      <w:pPr>
        <w:pStyle w:val="32"/>
        <w:adjustRightInd w:val="0"/>
        <w:snapToGrid w:val="0"/>
        <w:spacing w:line="460" w:lineRule="exact"/>
        <w:ind w:firstLine="482"/>
        <w:outlineLvl w:val="1"/>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六、采购文件获取：</w:t>
      </w:r>
      <w:bookmarkEnd w:id="7"/>
    </w:p>
    <w:p>
      <w:pPr>
        <w:widowControl/>
        <w:spacing w:line="460" w:lineRule="exact"/>
        <w:ind w:firstLine="480" w:firstLineChars="200"/>
        <w:jc w:val="left"/>
        <w:rPr>
          <w:rFonts w:cs="宋体" w:asciiTheme="minorEastAsia" w:hAnsiTheme="minorEastAsia" w:eastAsiaTheme="minorEastAsia"/>
          <w:sz w:val="24"/>
        </w:rPr>
      </w:pPr>
      <w:bookmarkStart w:id="8" w:name="_Toc6085"/>
      <w:r>
        <w:rPr>
          <w:rFonts w:hint="eastAsia" w:cs="宋体" w:asciiTheme="minorEastAsia" w:hAnsiTheme="minorEastAsia" w:eastAsiaTheme="minorEastAsia"/>
          <w:sz w:val="24"/>
        </w:rPr>
        <w:t>1.获取文件时间：</w:t>
      </w:r>
      <w:r>
        <w:rPr>
          <w:rFonts w:hint="eastAsia" w:cs="宋体" w:asciiTheme="minorEastAsia" w:hAnsiTheme="minorEastAsia" w:eastAsiaTheme="minorEastAsia"/>
          <w:sz w:val="24"/>
          <w:lang w:val="en-US" w:eastAsia="zh-CN"/>
        </w:rPr>
        <w:t>招标公告发布</w:t>
      </w:r>
      <w:r>
        <w:rPr>
          <w:rFonts w:hint="eastAsia" w:cs="宋体" w:asciiTheme="minorEastAsia" w:hAnsiTheme="minorEastAsia" w:eastAsiaTheme="minorEastAsia"/>
          <w:sz w:val="24"/>
        </w:rPr>
        <w:t>至投标截止时间前（潜在供应商获取</w:t>
      </w:r>
      <w:r>
        <w:rPr>
          <w:rFonts w:hint="eastAsia" w:cs="宋体" w:asciiTheme="minorEastAsia" w:hAnsiTheme="minorEastAsia" w:eastAsiaTheme="minorEastAsia"/>
          <w:sz w:val="24"/>
          <w:lang w:eastAsia="zh-CN"/>
        </w:rPr>
        <w:t>采购文件</w:t>
      </w:r>
      <w:r>
        <w:rPr>
          <w:rFonts w:hint="eastAsia" w:cs="宋体" w:asciiTheme="minorEastAsia" w:hAnsiTheme="minorEastAsia" w:eastAsiaTheme="minorEastAsia"/>
          <w:sz w:val="24"/>
        </w:rPr>
        <w:t>前应当在电子交易平台上注册账号并登录,截止时间后不再接受潜在供应商获取</w:t>
      </w:r>
      <w:r>
        <w:rPr>
          <w:rFonts w:hint="eastAsia" w:cs="宋体" w:asciiTheme="minorEastAsia" w:hAnsiTheme="minorEastAsia" w:eastAsiaTheme="minorEastAsia"/>
          <w:sz w:val="24"/>
          <w:lang w:eastAsia="zh-CN"/>
        </w:rPr>
        <w:t>采购文件</w:t>
      </w:r>
      <w:r>
        <w:rPr>
          <w:rFonts w:hint="eastAsia" w:cs="宋体" w:asciiTheme="minorEastAsia" w:hAnsiTheme="minorEastAsia" w:eastAsiaTheme="minorEastAsia"/>
          <w:sz w:val="24"/>
        </w:rPr>
        <w:t>）</w:t>
      </w:r>
    </w:p>
    <w:p>
      <w:pPr>
        <w:snapToGrid w:val="0"/>
        <w:spacing w:line="4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本项目实行网上报名，不接受投标供应商现场报名，投标供应商登录浙江政府采购网(http://zfcg.czt.zj.gov.cn/)进入政采云系统“项目采购”模块“获取采购文件”菜单，进行网上获取采购文件。（“政采云”注册账号、密码登录系统后获取采购文件）。</w:t>
      </w:r>
    </w:p>
    <w:p>
      <w:pPr>
        <w:snapToGrid w:val="0"/>
        <w:spacing w:line="460" w:lineRule="exact"/>
        <w:ind w:firstLine="200"/>
        <w:rPr>
          <w:rFonts w:cs="宋体" w:asciiTheme="minorEastAsia" w:hAnsiTheme="minorEastAsia" w:eastAsiaTheme="minorEastAsia"/>
          <w:sz w:val="24"/>
        </w:rPr>
      </w:pP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lang w:val="en-US" w:eastAsia="zh-CN"/>
        </w:rPr>
        <w:t>3</w:t>
      </w:r>
      <w:r>
        <w:rPr>
          <w:rFonts w:hint="eastAsia" w:cs="宋体" w:asciiTheme="minorEastAsia" w:hAnsiTheme="minorEastAsia" w:eastAsiaTheme="minorEastAsia"/>
          <w:sz w:val="24"/>
        </w:rPr>
        <w:t>.未注册投标供应商可登录浙江政府采购网(http://zfcg.czt.zj.gov.cn/)查看公告下附件或在湖州市吴兴区公共资源交易中心</w:t>
      </w:r>
      <w:r>
        <w:rPr>
          <w:rFonts w:hint="eastAsia" w:cs="宋体" w:asciiTheme="minorEastAsia" w:hAnsiTheme="minorEastAsia" w:eastAsiaTheme="minorEastAsia"/>
          <w:kern w:val="0"/>
          <w:sz w:val="24"/>
        </w:rPr>
        <w:t>http://www.wuxing.gov.cn/hzgov/front/s127/sy/index.html</w:t>
      </w:r>
      <w:r>
        <w:rPr>
          <w:rFonts w:hint="eastAsia" w:cs="宋体" w:asciiTheme="minorEastAsia" w:hAnsiTheme="minorEastAsia" w:eastAsiaTheme="minorEastAsia"/>
          <w:sz w:val="24"/>
        </w:rPr>
        <w:t>“政府采购”--“招标公告”版块公告附件下载。招标公告附件内的采购文件仅供阅览使用，投标供应商只有在“政府采购云平台”完成获取采购文件申请并下载了采购文件后才视作依法获取采购文件（投标供应商获取采购文件时间以投标供应商完成获取采购文件申请后下载采购文件的时间为准）。请投标供应商按上述要求获取采购文件，如未在“政采云”系统内完成相关流程，引起的投标无效责任自负。</w:t>
      </w:r>
    </w:p>
    <w:p>
      <w:pPr>
        <w:snapToGrid w:val="0"/>
        <w:spacing w:line="4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.免费注册网址：浙江政府采购网（投标供应商注册页面）：https://middle.zcygov.cn/v-settle-front/registry“政采云”, 如遇平台技术问题咨询电话：400-881-7190。</w:t>
      </w:r>
    </w:p>
    <w:p>
      <w:pPr>
        <w:snapToGrid w:val="0"/>
        <w:spacing w:line="4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已经注册成功的投标供应商无需重复注册。</w:t>
      </w:r>
    </w:p>
    <w:p>
      <w:pPr>
        <w:snapToGrid w:val="0"/>
        <w:spacing w:line="460" w:lineRule="exact"/>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七、</w:t>
      </w:r>
      <w:bookmarkEnd w:id="8"/>
      <w:bookmarkStart w:id="9" w:name="_Toc3484"/>
      <w:bookmarkStart w:id="10" w:name="_Toc140"/>
      <w:r>
        <w:rPr>
          <w:rFonts w:hint="eastAsia" w:cs="宋体" w:asciiTheme="minorEastAsia" w:hAnsiTheme="minorEastAsia" w:eastAsiaTheme="minorEastAsia"/>
          <w:b/>
          <w:bCs/>
          <w:sz w:val="24"/>
        </w:rPr>
        <w:t>投标截止时间和投标文件递交地点：</w:t>
      </w:r>
      <w:bookmarkEnd w:id="9"/>
      <w:bookmarkEnd w:id="10"/>
    </w:p>
    <w:p>
      <w:pPr>
        <w:snapToGrid w:val="0"/>
        <w:spacing w:line="4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（1）投标截止时间：202</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16</w:t>
      </w:r>
      <w:r>
        <w:rPr>
          <w:rFonts w:hint="eastAsia" w:cs="宋体" w:asciiTheme="minorEastAsia" w:hAnsiTheme="minorEastAsia" w:eastAsiaTheme="minorEastAsia"/>
          <w:sz w:val="24"/>
        </w:rPr>
        <w:t>日1</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时</w:t>
      </w:r>
      <w:r>
        <w:rPr>
          <w:rFonts w:hint="eastAsia" w:cs="宋体" w:asciiTheme="minorEastAsia" w:hAnsiTheme="minorEastAsia" w:eastAsiaTheme="minorEastAsia"/>
          <w:sz w:val="24"/>
          <w:lang w:val="en-US" w:eastAsia="zh-CN"/>
        </w:rPr>
        <w:t>0</w:t>
      </w:r>
      <w:r>
        <w:rPr>
          <w:rFonts w:hint="eastAsia" w:cs="宋体" w:asciiTheme="minorEastAsia" w:hAnsiTheme="minorEastAsia" w:eastAsiaTheme="minorEastAsia"/>
          <w:sz w:val="24"/>
        </w:rPr>
        <w:t>0分整。</w:t>
      </w:r>
    </w:p>
    <w:p>
      <w:pPr>
        <w:snapToGrid w:val="0"/>
        <w:spacing w:line="4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（2）投标文件递交地点：本项目通过“政府采购云平台（www.zcygov.cn）”实行在线投标响应（电子投标）。 </w:t>
      </w:r>
    </w:p>
    <w:p>
      <w:pPr>
        <w:snapToGrid w:val="0"/>
        <w:spacing w:line="4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投标供应商应当在投标截止时间前，将生成的文件格式“.jmbs”的“电子加密投标文件”上传递交至“政府采购云平台”实行在线投标响应。投标截止时间以后上传递交的投标文件将被“政府采购云平台”拒收。</w:t>
      </w:r>
    </w:p>
    <w:p>
      <w:pPr>
        <w:snapToGrid w:val="0"/>
        <w:spacing w:line="460" w:lineRule="exact"/>
        <w:ind w:firstLine="482" w:firstLineChars="200"/>
        <w:rPr>
          <w:rFonts w:cs="宋体" w:asciiTheme="minorEastAsia" w:hAnsiTheme="minorEastAsia" w:eastAsiaTheme="minorEastAsia"/>
          <w:b/>
          <w:bCs/>
          <w:sz w:val="24"/>
        </w:rPr>
      </w:pPr>
      <w:bookmarkStart w:id="11" w:name="_Toc25948"/>
      <w:bookmarkStart w:id="12" w:name="_Toc1896"/>
      <w:r>
        <w:rPr>
          <w:rFonts w:hint="eastAsia" w:cs="宋体" w:asciiTheme="minorEastAsia" w:hAnsiTheme="minorEastAsia" w:eastAsiaTheme="minorEastAsia"/>
          <w:b/>
          <w:bCs/>
          <w:sz w:val="24"/>
        </w:rPr>
        <w:t>八、开标时间及地点：</w:t>
      </w:r>
      <w:bookmarkEnd w:id="11"/>
      <w:bookmarkEnd w:id="12"/>
    </w:p>
    <w:p>
      <w:pPr>
        <w:snapToGrid w:val="0"/>
        <w:spacing w:line="4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开标时间：202</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16</w:t>
      </w:r>
      <w:r>
        <w:rPr>
          <w:rFonts w:hint="eastAsia" w:cs="宋体" w:asciiTheme="minorEastAsia" w:hAnsiTheme="minorEastAsia" w:eastAsiaTheme="minorEastAsia"/>
          <w:sz w:val="24"/>
        </w:rPr>
        <w:t>日1</w:t>
      </w:r>
      <w:r>
        <w:rPr>
          <w:rFonts w:hint="eastAsia" w:cs="宋体" w:asciiTheme="minorEastAsia" w:hAnsiTheme="minorEastAsia" w:eastAsiaTheme="minorEastAsia"/>
          <w:sz w:val="24"/>
          <w:lang w:val="en-US" w:eastAsia="zh-CN"/>
        </w:rPr>
        <w:t>4</w:t>
      </w:r>
      <w:r>
        <w:rPr>
          <w:rFonts w:hint="eastAsia" w:cs="宋体" w:asciiTheme="minorEastAsia" w:hAnsiTheme="minorEastAsia" w:eastAsiaTheme="minorEastAsia"/>
          <w:sz w:val="24"/>
        </w:rPr>
        <w:t>时</w:t>
      </w:r>
      <w:r>
        <w:rPr>
          <w:rFonts w:hint="eastAsia" w:cs="宋体" w:asciiTheme="minorEastAsia" w:hAnsiTheme="minorEastAsia" w:eastAsiaTheme="minorEastAsia"/>
          <w:sz w:val="24"/>
          <w:lang w:val="en-US" w:eastAsia="zh-CN"/>
        </w:rPr>
        <w:t>0</w:t>
      </w:r>
      <w:r>
        <w:rPr>
          <w:rFonts w:hint="eastAsia" w:cs="宋体" w:asciiTheme="minorEastAsia" w:hAnsiTheme="minorEastAsia" w:eastAsiaTheme="minorEastAsia"/>
          <w:sz w:val="24"/>
        </w:rPr>
        <w:t>0分整。</w:t>
      </w:r>
    </w:p>
    <w:p>
      <w:pPr>
        <w:snapToGrid w:val="0"/>
        <w:spacing w:line="4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开标地点：采购代理机构在湖州市吴兴区公共资源交易中心开标室【湖州市吴兴区区府路1188 号总部自由港E 幢4楼】对本项目进行开标。投标供应商应在投标截止时间前委派投标代表（法定代表人或授权委托人）登入“政府采购云平台（www.zcygov.cn）”在线参与开标，并CA锁在线解密投标文件等完成相关工作 。</w:t>
      </w:r>
    </w:p>
    <w:p>
      <w:pPr>
        <w:snapToGrid w:val="0"/>
        <w:spacing w:line="460" w:lineRule="exact"/>
        <w:ind w:firstLine="482" w:firstLineChars="200"/>
        <w:rPr>
          <w:rFonts w:cs="宋体" w:asciiTheme="minorEastAsia" w:hAnsiTheme="minorEastAsia" w:eastAsiaTheme="minorEastAsia"/>
          <w:b/>
          <w:bCs/>
          <w:sz w:val="24"/>
        </w:rPr>
      </w:pPr>
      <w:r>
        <w:rPr>
          <w:rFonts w:hint="eastAsia" w:cs="宋体" w:asciiTheme="minorEastAsia" w:hAnsiTheme="minorEastAsia" w:eastAsiaTheme="minorEastAsia"/>
          <w:b/>
          <w:bCs/>
          <w:sz w:val="24"/>
        </w:rPr>
        <w:t>九、在线投标响应（电子投标）说明</w:t>
      </w:r>
    </w:p>
    <w:p>
      <w:pPr>
        <w:snapToGrid w:val="0"/>
        <w:spacing w:line="460" w:lineRule="exact"/>
        <w:ind w:firstLine="480" w:firstLineChars="200"/>
        <w:rPr>
          <w:rFonts w:cs="宋体" w:asciiTheme="minorEastAsia" w:hAnsiTheme="minorEastAsia" w:eastAsiaTheme="minorEastAsia"/>
          <w:sz w:val="24"/>
        </w:rPr>
      </w:pPr>
      <w:bookmarkStart w:id="13" w:name="_Toc4490"/>
      <w:bookmarkStart w:id="14" w:name="_Toc32145"/>
      <w:r>
        <w:rPr>
          <w:rFonts w:hint="eastAsia" w:cs="宋体" w:asciiTheme="minorEastAsia" w:hAnsiTheme="minorEastAsia" w:eastAsiaTheme="minorEastAsia"/>
          <w:sz w:val="24"/>
        </w:rPr>
        <w:t>1.本项目通过“政府采购云平台（www.zcygov.cn）”实行在线投标（电子投标），投标供应商应先安装“政采云电子交易客户端”，“政采云电子交易客户端”请自行前往“浙江政府采购网-下载专区-电子交易客户端”进行下载；投标供应商电子交易操作指南详见网址：</w:t>
      </w:r>
      <w:r>
        <w:fldChar w:fldCharType="begin"/>
      </w:r>
      <w:r>
        <w:instrText xml:space="preserve"> HYPERLINK "https://help.zcygov.cn/web/site_2/2018/12-28/2573.html" </w:instrText>
      </w:r>
      <w:r>
        <w:fldChar w:fldCharType="separate"/>
      </w:r>
      <w:r>
        <w:rPr>
          <w:rFonts w:hint="eastAsia" w:cs="宋体" w:asciiTheme="minorEastAsia" w:hAnsiTheme="minorEastAsia" w:eastAsiaTheme="minorEastAsia"/>
          <w:sz w:val="24"/>
        </w:rPr>
        <w:t>https://help.zcygov.cn/web/site_2/2018/12-28/2573.html</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rPr>
        <w:t>。</w:t>
      </w:r>
    </w:p>
    <w:p>
      <w:pPr>
        <w:spacing w:line="460" w:lineRule="exact"/>
        <w:ind w:firstLine="200"/>
        <w:outlineLvl w:val="0"/>
        <w:rPr>
          <w:rFonts w:cs="宋体" w:asciiTheme="minorEastAsia" w:hAnsiTheme="minorEastAsia" w:eastAsiaTheme="minorEastAsia"/>
          <w:sz w:val="24"/>
        </w:rPr>
      </w:pPr>
      <w:r>
        <w:rPr>
          <w:rFonts w:hint="eastAsia" w:cs="宋体" w:asciiTheme="minorEastAsia" w:hAnsiTheme="minorEastAsia" w:eastAsiaTheme="minorEastAsia"/>
          <w:sz w:val="24"/>
        </w:rPr>
        <w:t>2. 为确保网上操作合法、有效和安全，投标供应商应当在开标截止时间前完成在“政府采购云平台”的身份认证，确保在电子投标过程中能够对相关数据电文进行加密和使用电子签章。使用“政采云电子交易客户端”需要提前申领CA数字证书（完成CA数字证书办理预计一周左右，建议各投标供应商自行把握时间），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cs="宋体" w:asciiTheme="minorEastAsia" w:hAnsiTheme="minorEastAsia" w:eastAsiaTheme="minorEastAsia"/>
          <w:sz w:val="24"/>
        </w:rPr>
        <w:t>CA驱动和申领流程</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rPr>
        <w:t>”进行查阅。</w:t>
      </w:r>
    </w:p>
    <w:p>
      <w:pPr>
        <w:spacing w:line="460" w:lineRule="exact"/>
        <w:ind w:firstLine="470" w:firstLineChars="196"/>
        <w:outlineLvl w:val="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3.投标文件递交方式：</w:t>
      </w:r>
    </w:p>
    <w:p>
      <w:pPr>
        <w:snapToGrid w:val="0"/>
        <w:spacing w:line="460" w:lineRule="exact"/>
        <w:ind w:firstLine="470" w:firstLineChars="19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3.1供应商应当在202</w:t>
      </w:r>
      <w:r>
        <w:rPr>
          <w:rFonts w:hint="eastAsia" w:cs="宋体" w:asciiTheme="minorEastAsia" w:hAnsiTheme="minorEastAsia" w:eastAsiaTheme="minorEastAsia"/>
          <w:kern w:val="0"/>
          <w:sz w:val="24"/>
          <w:lang w:val="en-US" w:eastAsia="zh-CN"/>
        </w:rPr>
        <w:t>4</w:t>
      </w:r>
      <w:r>
        <w:rPr>
          <w:rFonts w:hint="eastAsia" w:cs="宋体" w:asciiTheme="minorEastAsia" w:hAnsiTheme="minorEastAsia" w:eastAsiaTheme="minorEastAsia"/>
          <w:kern w:val="0"/>
          <w:sz w:val="24"/>
        </w:rPr>
        <w:t>年</w:t>
      </w:r>
      <w:r>
        <w:rPr>
          <w:rFonts w:hint="eastAsia" w:cs="宋体" w:asciiTheme="minorEastAsia" w:hAnsiTheme="minorEastAsia" w:eastAsiaTheme="minorEastAsia"/>
          <w:kern w:val="0"/>
          <w:sz w:val="24"/>
          <w:lang w:val="en-US" w:eastAsia="zh-CN"/>
        </w:rPr>
        <w:t>5</w:t>
      </w:r>
      <w:r>
        <w:rPr>
          <w:rFonts w:hint="eastAsia" w:cs="宋体" w:asciiTheme="minorEastAsia" w:hAnsiTheme="minorEastAsia" w:eastAsiaTheme="minorEastAsia"/>
          <w:kern w:val="0"/>
          <w:sz w:val="24"/>
        </w:rPr>
        <w:t>月</w:t>
      </w:r>
      <w:r>
        <w:rPr>
          <w:rFonts w:hint="eastAsia" w:cs="宋体" w:asciiTheme="minorEastAsia" w:hAnsiTheme="minorEastAsia" w:eastAsiaTheme="minorEastAsia"/>
          <w:kern w:val="0"/>
          <w:sz w:val="24"/>
          <w:lang w:val="en-US" w:eastAsia="zh-CN"/>
        </w:rPr>
        <w:t>16</w:t>
      </w:r>
      <w:r>
        <w:rPr>
          <w:rFonts w:hint="eastAsia" w:cs="宋体" w:asciiTheme="minorEastAsia" w:hAnsiTheme="minorEastAsia" w:eastAsiaTheme="minorEastAsia"/>
          <w:kern w:val="0"/>
          <w:sz w:val="24"/>
        </w:rPr>
        <w:t>日1</w:t>
      </w:r>
      <w:r>
        <w:rPr>
          <w:rFonts w:hint="eastAsia" w:cs="宋体" w:asciiTheme="minorEastAsia" w:hAnsiTheme="minorEastAsia" w:eastAsiaTheme="minorEastAsia"/>
          <w:kern w:val="0"/>
          <w:sz w:val="24"/>
          <w:lang w:val="en-US" w:eastAsia="zh-CN"/>
        </w:rPr>
        <w:t>4</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en-US" w:eastAsia="zh-CN"/>
        </w:rPr>
        <w:t>0</w:t>
      </w:r>
      <w:r>
        <w:rPr>
          <w:rFonts w:hint="eastAsia" w:cs="宋体" w:asciiTheme="minorEastAsia" w:hAnsiTheme="minorEastAsia" w:eastAsiaTheme="minorEastAsia"/>
          <w:kern w:val="0"/>
          <w:sz w:val="24"/>
        </w:rPr>
        <w:t>0 时（北京时间）前，将生成的“电子加密投标文件”上传递交至“政采云平台”。（未准时上传的视为放弃投标资格，作无效标处理）。</w:t>
      </w:r>
    </w:p>
    <w:p>
      <w:pPr>
        <w:snapToGrid w:val="0"/>
        <w:spacing w:line="460" w:lineRule="exact"/>
        <w:ind w:firstLine="470" w:firstLineChars="19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3.2数据电子备份投标文件（U 盘）：以 U 盘形式提供的数据电子备份投标文件格式及内容须与政采云平台项目采购-电子交易操作指南中制作、加密并递交的电子投标文件格式及内容一致。）</w:t>
      </w:r>
    </w:p>
    <w:p>
      <w:pPr>
        <w:snapToGrid w:val="0"/>
        <w:spacing w:line="460" w:lineRule="exact"/>
        <w:ind w:firstLine="470" w:firstLineChars="19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3.3供应商可以以现场递交或邮寄的形式递交以介质存储的数据电文形式的备份投标文件，供应商若采用邮寄方式递交数据电子备份投标文件（快递单上请注明项目编号及供应商名称）</w:t>
      </w:r>
      <w:r>
        <w:rPr>
          <w:rFonts w:hint="eastAsia" w:cs="宋体" w:asciiTheme="minorEastAsia" w:hAnsiTheme="minorEastAsia" w:eastAsiaTheme="minorEastAsia"/>
          <w:kern w:val="0"/>
          <w:sz w:val="24"/>
          <w:lang w:eastAsia="zh-CN"/>
        </w:rPr>
        <w:t>。</w:t>
      </w:r>
      <w:r>
        <w:rPr>
          <w:rFonts w:hint="eastAsia" w:cs="宋体" w:asciiTheme="minorEastAsia" w:hAnsiTheme="minorEastAsia" w:eastAsiaTheme="minorEastAsia"/>
          <w:kern w:val="0"/>
          <w:sz w:val="24"/>
        </w:rPr>
        <w:t>现场递交</w:t>
      </w:r>
      <w:r>
        <w:rPr>
          <w:rFonts w:hint="eastAsia" w:cs="宋体" w:asciiTheme="minorEastAsia" w:hAnsiTheme="minorEastAsia" w:eastAsiaTheme="minorEastAsia"/>
          <w:kern w:val="0"/>
          <w:sz w:val="24"/>
          <w:lang w:eastAsia="zh-CN"/>
        </w:rPr>
        <w:t>及</w:t>
      </w:r>
      <w:r>
        <w:rPr>
          <w:rFonts w:hint="eastAsia" w:cs="宋体" w:asciiTheme="minorEastAsia" w:hAnsiTheme="minorEastAsia" w:eastAsiaTheme="minorEastAsia"/>
          <w:kern w:val="0"/>
          <w:sz w:val="24"/>
        </w:rPr>
        <w:t>邮寄地址为：</w:t>
      </w:r>
      <w:r>
        <w:rPr>
          <w:rFonts w:hint="eastAsia" w:cs="宋体" w:asciiTheme="minorEastAsia" w:hAnsiTheme="minorEastAsia" w:eastAsiaTheme="minorEastAsia"/>
          <w:b/>
          <w:bCs/>
          <w:kern w:val="0"/>
          <w:sz w:val="24"/>
          <w:lang w:eastAsia="zh-CN"/>
        </w:rPr>
        <w:t>湖州鑫梦工程咨询有限公司</w:t>
      </w:r>
      <w:r>
        <w:rPr>
          <w:rFonts w:hint="eastAsia" w:cs="宋体" w:asciiTheme="minorEastAsia" w:hAnsiTheme="minorEastAsia" w:eastAsiaTheme="minorEastAsia"/>
          <w:b/>
          <w:bCs/>
          <w:kern w:val="0"/>
          <w:sz w:val="24"/>
        </w:rPr>
        <w:t>[</w:t>
      </w:r>
      <w:r>
        <w:rPr>
          <w:rFonts w:hint="eastAsia" w:cs="宋体" w:asciiTheme="minorEastAsia" w:hAnsiTheme="minorEastAsia" w:eastAsiaTheme="minorEastAsia"/>
          <w:b/>
          <w:bCs/>
          <w:kern w:val="0"/>
          <w:sz w:val="24"/>
          <w:lang w:eastAsia="zh-CN"/>
        </w:rPr>
        <w:t>湖州市腊山路398号8幢2层</w:t>
      </w:r>
      <w:r>
        <w:rPr>
          <w:rFonts w:hint="eastAsia" w:cs="宋体" w:asciiTheme="minorEastAsia" w:hAnsiTheme="minorEastAsia" w:eastAsiaTheme="minorEastAsia"/>
          <w:b/>
          <w:bCs/>
          <w:kern w:val="0"/>
          <w:sz w:val="24"/>
        </w:rPr>
        <w:t>]</w:t>
      </w:r>
      <w:r>
        <w:rPr>
          <w:rFonts w:hint="eastAsia" w:cs="宋体" w:asciiTheme="minorEastAsia" w:hAnsiTheme="minorEastAsia" w:eastAsiaTheme="minorEastAsia"/>
          <w:kern w:val="0"/>
          <w:sz w:val="24"/>
        </w:rPr>
        <w:t>，联系电话：</w:t>
      </w:r>
      <w:r>
        <w:rPr>
          <w:rFonts w:hint="eastAsia" w:cs="宋体" w:asciiTheme="minorEastAsia" w:hAnsiTheme="minorEastAsia" w:eastAsiaTheme="minorEastAsia"/>
          <w:kern w:val="0"/>
          <w:sz w:val="24"/>
          <w:lang w:eastAsia="zh-CN"/>
        </w:rPr>
        <w:t>15257277770</w:t>
      </w:r>
      <w:r>
        <w:rPr>
          <w:rFonts w:hint="eastAsia" w:cs="宋体" w:asciiTheme="minorEastAsia" w:hAnsiTheme="minorEastAsia" w:eastAsiaTheme="minorEastAsia"/>
          <w:kern w:val="0"/>
          <w:sz w:val="24"/>
        </w:rPr>
        <w:t>。数据电子备份投标文件（U 盘）接收截止时间：</w:t>
      </w:r>
      <w:r>
        <w:rPr>
          <w:rFonts w:hint="eastAsia" w:cs="宋体" w:asciiTheme="minorEastAsia" w:hAnsiTheme="minorEastAsia" w:eastAsiaTheme="minorEastAsia"/>
          <w:b/>
          <w:bCs/>
          <w:kern w:val="0"/>
          <w:sz w:val="24"/>
        </w:rPr>
        <w:t>202</w:t>
      </w:r>
      <w:r>
        <w:rPr>
          <w:rFonts w:hint="eastAsia" w:cs="宋体" w:asciiTheme="minorEastAsia" w:hAnsiTheme="minorEastAsia" w:eastAsiaTheme="minorEastAsia"/>
          <w:b/>
          <w:bCs/>
          <w:kern w:val="0"/>
          <w:sz w:val="24"/>
          <w:lang w:val="en-US" w:eastAsia="zh-CN"/>
        </w:rPr>
        <w:t>4</w:t>
      </w:r>
      <w:r>
        <w:rPr>
          <w:rFonts w:hint="eastAsia" w:cs="宋体" w:asciiTheme="minorEastAsia" w:hAnsiTheme="minorEastAsia" w:eastAsiaTheme="minorEastAsia"/>
          <w:b/>
          <w:bCs/>
          <w:kern w:val="0"/>
          <w:sz w:val="24"/>
        </w:rPr>
        <w:t>年</w:t>
      </w:r>
      <w:r>
        <w:rPr>
          <w:rFonts w:hint="eastAsia" w:cs="宋体" w:asciiTheme="minorEastAsia" w:hAnsiTheme="minorEastAsia" w:eastAsiaTheme="minorEastAsia"/>
          <w:b/>
          <w:bCs/>
          <w:kern w:val="0"/>
          <w:sz w:val="24"/>
          <w:lang w:val="en-US" w:eastAsia="zh-CN"/>
        </w:rPr>
        <w:t>5</w:t>
      </w:r>
      <w:r>
        <w:rPr>
          <w:rFonts w:hint="eastAsia" w:cs="宋体" w:asciiTheme="minorEastAsia" w:hAnsiTheme="minorEastAsia" w:eastAsiaTheme="minorEastAsia"/>
          <w:b/>
          <w:bCs/>
          <w:kern w:val="0"/>
          <w:sz w:val="24"/>
        </w:rPr>
        <w:t>月</w:t>
      </w:r>
      <w:r>
        <w:rPr>
          <w:rFonts w:hint="eastAsia" w:cs="宋体" w:asciiTheme="minorEastAsia" w:hAnsiTheme="minorEastAsia" w:eastAsiaTheme="minorEastAsia"/>
          <w:b/>
          <w:bCs/>
          <w:kern w:val="0"/>
          <w:sz w:val="24"/>
          <w:lang w:val="en-US" w:eastAsia="zh-CN"/>
        </w:rPr>
        <w:t>15</w:t>
      </w:r>
      <w:r>
        <w:rPr>
          <w:rFonts w:hint="eastAsia" w:cs="宋体" w:asciiTheme="minorEastAsia" w:hAnsiTheme="minorEastAsia" w:eastAsiaTheme="minorEastAsia"/>
          <w:b/>
          <w:bCs/>
          <w:kern w:val="0"/>
          <w:sz w:val="24"/>
        </w:rPr>
        <w:t>日1</w:t>
      </w:r>
      <w:r>
        <w:rPr>
          <w:rFonts w:hint="eastAsia" w:cs="宋体" w:asciiTheme="minorEastAsia" w:hAnsiTheme="minorEastAsia" w:eastAsiaTheme="minorEastAsia"/>
          <w:b/>
          <w:bCs/>
          <w:kern w:val="0"/>
          <w:sz w:val="24"/>
          <w:lang w:val="en-US" w:eastAsia="zh-CN"/>
        </w:rPr>
        <w:t>7</w:t>
      </w:r>
      <w:r>
        <w:rPr>
          <w:rFonts w:hint="eastAsia" w:cs="宋体" w:asciiTheme="minorEastAsia" w:hAnsiTheme="minorEastAsia" w:eastAsiaTheme="minorEastAsia"/>
          <w:b/>
          <w:bCs/>
          <w:kern w:val="0"/>
          <w:sz w:val="24"/>
        </w:rPr>
        <w:t>:00 时前</w:t>
      </w:r>
      <w:r>
        <w:rPr>
          <w:rFonts w:hint="eastAsia" w:cs="宋体" w:asciiTheme="minorEastAsia" w:hAnsiTheme="minorEastAsia" w:eastAsiaTheme="minorEastAsia"/>
          <w:kern w:val="0"/>
          <w:sz w:val="24"/>
        </w:rPr>
        <w:t>，逾期送达或未密封的将被拒收。由代理公司二名人员（一名接收人、一名监督人员）统一负责接收数据电子备份投标文件（U 盘），二人均在接收记录单上对数据电子备份投标文件（U 盘）快递包裹的相关情况签字确认，与投标资料一并归档，接收文件全过程将录音录像。</w:t>
      </w:r>
    </w:p>
    <w:p>
      <w:pPr>
        <w:snapToGrid w:val="0"/>
        <w:spacing w:line="460" w:lineRule="exact"/>
        <w:ind w:firstLine="470" w:firstLineChars="19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注：1）供应商应权衡利弊考虑是否提供数据电子备份投标文件（U盘），采购人及采购代理机构不做强制性要求，若因下一条款（第4条）原因须启用数据电子备份投标文件（U盘）时，而供应商未提供的，视为放弃投标资格，作无效标处理；2）供应商应对提供的数据电子备份投标文件（U盘）进行加密处理，若需要启用数据电子备份投标文件（U盘）时，再由供应商告知采购人及采购代理机构加密信息进行解密；3）若供应商未提供数据电子备份投标文件（U盘），招标公告及采购文件中关于数据电子备份投标文件（U盘）的要求及内容不再适用。</w:t>
      </w:r>
    </w:p>
    <w:p>
      <w:pPr>
        <w:snapToGrid w:val="0"/>
        <w:spacing w:line="460" w:lineRule="exact"/>
        <w:ind w:firstLine="470" w:firstLineChars="19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3.4.CA 锁解密时间为开标当日投标截止时间后，各供应商须提供符合要求的 CA 加密后的电子投标文件、有效的 CA 锁供开标当天解密，投标截止时间止未完成上传的电子投标文件或未按采购文件要求密封、包装的数据电子备份投标文件（U 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 盘），数据电子备份投标文件（U 盘）未提供或因供应商问题造成无法打开的，作无效标处理。若正常解密成功，则数据电子备份投标文件（U 盘）不予开启。在下一顺位的投标文件启用时，前一顺位的投标文件自动失效。</w:t>
      </w:r>
    </w:p>
    <w:p>
      <w:pPr>
        <w:snapToGrid w:val="0"/>
        <w:spacing w:line="460" w:lineRule="exact"/>
        <w:ind w:firstLine="470" w:firstLineChars="19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4.供应商须在线获取CA数字证书（完成CA数字证书办理预计一周左右，建议各供应商自行把握时间，办理流程详见</w:t>
      </w:r>
    </w:p>
    <w:p>
      <w:pPr>
        <w:snapToGrid w:val="0"/>
        <w:spacing w:line="460" w:lineRule="exact"/>
        <w:ind w:firstLine="470" w:firstLineChars="19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http://zfcg.czt.zj.gov.cn/bidClientTemplate/2019-05-27/12945.html），并登陆“浙江省政府采购网”(</w:t>
      </w:r>
      <w:r>
        <w:rPr>
          <w:rFonts w:hint="eastAsia" w:cs="宋体" w:asciiTheme="minorEastAsia" w:hAnsiTheme="minorEastAsia" w:eastAsiaTheme="minorEastAsia"/>
          <w:sz w:val="24"/>
        </w:rPr>
        <w:t>http://zfcg.czt.zj.gov.cn/</w:t>
      </w:r>
      <w:r>
        <w:rPr>
          <w:rFonts w:hint="eastAsia" w:cs="宋体" w:asciiTheme="minorEastAsia" w:hAnsiTheme="minorEastAsia" w:eastAsiaTheme="minorEastAsia"/>
          <w:kern w:val="0"/>
          <w:sz w:val="24"/>
        </w:rPr>
        <w:t>)，进入“下载专区”下载“电子交易客户端”，制作投标文件。</w:t>
      </w:r>
    </w:p>
    <w:p>
      <w:pPr>
        <w:snapToGrid w:val="0"/>
        <w:spacing w:line="460" w:lineRule="exact"/>
        <w:ind w:firstLine="470" w:firstLineChars="19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5.供应商须将制作、加密后的电子版投标文件于投标截止时间前上传到政采云系统中，超过投标截止时间上传的，均按无效标处理。</w:t>
      </w:r>
    </w:p>
    <w:p>
      <w:pPr>
        <w:snapToGrid w:val="0"/>
        <w:spacing w:line="460" w:lineRule="exact"/>
        <w:ind w:firstLine="470" w:firstLineChars="19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供应商通过政采云平台电子投标工具制作投标文件，电子投标工具请供应商自行前往浙江省政府采购网下载并安装，（下载网址：http://zfcg.czt.zj.gov.cn/bidClientTemplate/2019-09-24/12975.html），供应商电子交易操作指南详见网址：https://help.zcygov.cn/web/site_2/2018/12-28/2573.html）；</w:t>
      </w:r>
    </w:p>
    <w:p>
      <w:pPr>
        <w:snapToGrid w:val="0"/>
        <w:spacing w:line="460" w:lineRule="exact"/>
        <w:ind w:firstLine="470" w:firstLineChars="196"/>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具体的投标文件加密上传等操作详见政采云平台操作指南。</w:t>
      </w:r>
    </w:p>
    <w:p>
      <w:pPr>
        <w:snapToGrid w:val="0"/>
        <w:spacing w:line="460" w:lineRule="exact"/>
        <w:ind w:firstLine="548" w:firstLineChars="196"/>
        <w:rPr>
          <w:rFonts w:cs="宋体" w:asciiTheme="minorEastAsia" w:hAnsiTheme="minorEastAsia" w:eastAsiaTheme="minorEastAsia"/>
          <w:kern w:val="0"/>
          <w:sz w:val="24"/>
        </w:rPr>
      </w:pPr>
      <w:r>
        <w:fldChar w:fldCharType="begin"/>
      </w:r>
      <w:r>
        <w:instrText xml:space="preserve"> HYPERLINK "https://edu.zcygov.cn/luban/e-biding?utm=a0004.2ef5001f.0001.0109.da8b35e0da8611e98d8937b7ef8a3544" </w:instrText>
      </w:r>
      <w:r>
        <w:fldChar w:fldCharType="separate"/>
      </w:r>
      <w:r>
        <w:rPr>
          <w:rFonts w:hint="eastAsia" w:cs="宋体" w:asciiTheme="minorEastAsia" w:hAnsiTheme="minorEastAsia" w:eastAsiaTheme="minorEastAsia"/>
          <w:kern w:val="0"/>
          <w:sz w:val="24"/>
        </w:rPr>
        <w:t>https://edu.zcygov.cn/luban/e-biding?utm=a0004.2ef5001f.0001.0109.da8b35e0da8611e98d8937b7ef8a3544</w:t>
      </w:r>
      <w:r>
        <w:rPr>
          <w:rFonts w:hint="eastAsia" w:cs="宋体" w:asciiTheme="minorEastAsia" w:hAnsiTheme="minorEastAsia" w:eastAsiaTheme="minorEastAsia"/>
          <w:kern w:val="0"/>
          <w:sz w:val="24"/>
        </w:rPr>
        <w:fldChar w:fldCharType="end"/>
      </w:r>
    </w:p>
    <w:p>
      <w:pPr>
        <w:snapToGrid w:val="0"/>
        <w:spacing w:line="460" w:lineRule="exact"/>
        <w:ind w:firstLine="472" w:firstLineChars="196"/>
        <w:rPr>
          <w:rFonts w:cs="宋体" w:asciiTheme="minorEastAsia" w:hAnsiTheme="minorEastAsia" w:eastAsiaTheme="minorEastAsia"/>
          <w:b/>
          <w:sz w:val="24"/>
        </w:rPr>
      </w:pPr>
      <w:r>
        <w:rPr>
          <w:rFonts w:hint="eastAsia" w:cs="宋体" w:asciiTheme="minorEastAsia" w:hAnsiTheme="minorEastAsia" w:eastAsiaTheme="minorEastAsia"/>
          <w:b/>
          <w:sz w:val="24"/>
        </w:rPr>
        <w:t>十、发布采购公告的媒体为：</w:t>
      </w:r>
    </w:p>
    <w:p>
      <w:pPr>
        <w:widowControl/>
        <w:tabs>
          <w:tab w:val="left" w:pos="418"/>
        </w:tabs>
        <w:spacing w:line="46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浙江政府采购网 （</w:t>
      </w:r>
      <w:r>
        <w:rPr>
          <w:rFonts w:hint="eastAsia" w:cs="宋体" w:asciiTheme="minorEastAsia" w:hAnsiTheme="minorEastAsia" w:eastAsiaTheme="minorEastAsia"/>
          <w:sz w:val="24"/>
        </w:rPr>
        <w:t>http://zfcg.czt.zj.gov.cn/</w:t>
      </w:r>
      <w:r>
        <w:rPr>
          <w:rFonts w:hint="eastAsia" w:cs="宋体" w:asciiTheme="minorEastAsia" w:hAnsiTheme="minorEastAsia" w:eastAsiaTheme="minorEastAsia"/>
          <w:kern w:val="0"/>
          <w:sz w:val="24"/>
        </w:rPr>
        <w:t>）；</w:t>
      </w:r>
    </w:p>
    <w:p>
      <w:pPr>
        <w:pStyle w:val="32"/>
        <w:adjustRightInd w:val="0"/>
        <w:snapToGrid w:val="0"/>
        <w:spacing w:line="460" w:lineRule="exact"/>
        <w:ind w:firstLine="482"/>
        <w:outlineLvl w:val="1"/>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十</w:t>
      </w:r>
      <w:bookmarkEnd w:id="13"/>
      <w:bookmarkEnd w:id="14"/>
      <w:r>
        <w:rPr>
          <w:rFonts w:hint="eastAsia" w:cs="宋体" w:asciiTheme="minorEastAsia" w:hAnsiTheme="minorEastAsia" w:eastAsiaTheme="minorEastAsia"/>
          <w:b/>
          <w:sz w:val="24"/>
          <w:szCs w:val="24"/>
          <w:lang w:eastAsia="zh-CN"/>
        </w:rPr>
        <w:t>一</w:t>
      </w:r>
      <w:r>
        <w:rPr>
          <w:rFonts w:hint="eastAsia" w:cs="宋体" w:asciiTheme="minorEastAsia" w:hAnsiTheme="minorEastAsia" w:eastAsiaTheme="minorEastAsia"/>
          <w:b/>
          <w:sz w:val="24"/>
          <w:szCs w:val="24"/>
        </w:rPr>
        <w:t>、其它事项：</w:t>
      </w:r>
    </w:p>
    <w:p>
      <w:pPr>
        <w:snapToGrid w:val="0"/>
        <w:spacing w:line="460" w:lineRule="exact"/>
        <w:ind w:firstLine="480" w:firstLineChars="200"/>
        <w:rPr>
          <w:rFonts w:cs="宋体" w:asciiTheme="minorEastAsia" w:hAnsiTheme="minorEastAsia" w:eastAsiaTheme="minorEastAsia"/>
          <w:kern w:val="0"/>
          <w:sz w:val="24"/>
        </w:rPr>
      </w:pPr>
      <w:bookmarkStart w:id="15" w:name="_Toc20737"/>
      <w:r>
        <w:rPr>
          <w:rFonts w:hint="eastAsia" w:cs="宋体" w:asciiTheme="minorEastAsia" w:hAnsiTheme="minorEastAsia" w:eastAsiaTheme="minorEastAsia"/>
          <w:kern w:val="0"/>
          <w:sz w:val="24"/>
        </w:rPr>
        <w:t>1.本项目为电子招投标项目，实行网上招投标，应按照本采购文件及政采云平台的要求编制、加密并要求投标供应商通过政采云系统在线开标响应，开标截止时间前须完成电子投标文件的上传。投标供应商在使用系统进行响应的过程中遇到涉及平台使用的任何问题，可致电政采云平台技术支持热线咨询，联系方式：400-881-7190。</w:t>
      </w:r>
    </w:p>
    <w:p>
      <w:pPr>
        <w:snapToGrid w:val="0"/>
        <w:spacing w:line="46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2.本项目公告期限：5个工作日。</w:t>
      </w:r>
    </w:p>
    <w:p>
      <w:pPr>
        <w:snapToGrid w:val="0"/>
        <w:spacing w:line="4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rPr>
        <w:t>3.</w:t>
      </w:r>
      <w:r>
        <w:rPr>
          <w:rFonts w:hint="eastAsia" w:cs="宋体" w:asciiTheme="minorEastAsia" w:hAnsiTheme="minorEastAsia" w:eastAsiaTheme="minorEastAsia"/>
          <w:sz w:val="24"/>
        </w:rPr>
        <w:t>供应商认为采购文件使自己的权益受到损害的，可以自收到采购文件之日（发售截止日之后收到采购文件的，以发售截止日为准）或者采购文件公告期限届满之日（公告发布后的第6个工作日）起7个工作日内</w:t>
      </w:r>
      <w:r>
        <w:rPr>
          <w:rFonts w:hint="eastAsia" w:cs="宋体" w:asciiTheme="minorEastAsia" w:hAnsiTheme="minorEastAsia" w:eastAsiaTheme="minorEastAsia"/>
          <w:b/>
          <w:sz w:val="24"/>
        </w:rPr>
        <w:t>（逾期将不再受理）</w:t>
      </w:r>
      <w:r>
        <w:rPr>
          <w:rFonts w:hint="eastAsia" w:cs="宋体" w:asciiTheme="minorEastAsia" w:hAnsiTheme="minorEastAsia" w:eastAsiaTheme="minorEastAsia"/>
          <w:sz w:val="24"/>
        </w:rPr>
        <w:t>，以书面或在线的形式向采购人和采购代理公司提出质疑。</w:t>
      </w:r>
      <w:r>
        <w:rPr>
          <w:rFonts w:hint="eastAsia" w:cs="宋体" w:asciiTheme="minorEastAsia" w:hAnsiTheme="minorEastAsia" w:eastAsiaTheme="minorEastAsia"/>
          <w:kern w:val="0"/>
          <w:sz w:val="24"/>
        </w:rPr>
        <w:t>采购人将在规定的时间内统一进行澄清和修改，并书面（含传真）通知所有认购采购文件的投标供应商。投标供应商未按规定要求提出的，则视同认可采购文件，但法律法规及规范性文件有明确规定的除外。</w:t>
      </w:r>
    </w:p>
    <w:p>
      <w:pPr>
        <w:snapToGrid w:val="0"/>
        <w:spacing w:line="46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kern w:val="0"/>
          <w:sz w:val="24"/>
        </w:rPr>
        <w:t>4.投标供应商如认为开标过程和成交结果使自身的合法权益受到损害的，应于自成交结果公告之日起七个工作日内以书面形式向采购机构提出质疑，逾期不予受理。投标供应商对采购代理机构的质疑答复不满意或者采购代理机构未在规定时间内做出答复的，可以在答复期满后十五个工作日内向同级政府采购监督管理部门投诉。</w:t>
      </w:r>
    </w:p>
    <w:p>
      <w:pPr>
        <w:snapToGrid w:val="0"/>
        <w:spacing w:line="46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5.参与政府采购项目的注册投标供应商，需登录浙江政府采购云平台(http://www.zcygov.cn)进行网上报名；尚未注册的投标供应商应当先在浙江政府采购云平台上申请注册，注册终审通过后再进行网上报名。</w:t>
      </w:r>
    </w:p>
    <w:p>
      <w:pPr>
        <w:snapToGrid w:val="0"/>
        <w:spacing w:line="460" w:lineRule="exact"/>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6.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产品。具体操作方式可在“绿贷通”或“政采贷”平台网站查询，也可向“绿贷通”或“政采贷”平台电话咨询（“绿贷通”联系电话：0572-2392590、“政采贷”联系电话：0572-2151055、18698580797）。</w:t>
      </w:r>
    </w:p>
    <w:p>
      <w:pPr>
        <w:snapToGrid w:val="0"/>
        <w:spacing w:line="460" w:lineRule="exact"/>
        <w:ind w:firstLine="482" w:firstLineChars="200"/>
        <w:rPr>
          <w:rFonts w:cs="宋体" w:asciiTheme="minorEastAsia" w:hAnsiTheme="minorEastAsia" w:eastAsiaTheme="minorEastAsia"/>
          <w:b/>
          <w:bCs/>
          <w:kern w:val="0"/>
          <w:sz w:val="24"/>
        </w:rPr>
      </w:pPr>
      <w:r>
        <w:rPr>
          <w:rFonts w:hint="eastAsia" w:cs="宋体" w:asciiTheme="minorEastAsia" w:hAnsiTheme="minorEastAsia" w:eastAsiaTheme="minorEastAsia"/>
          <w:b/>
          <w:bCs/>
          <w:kern w:val="0"/>
          <w:sz w:val="24"/>
        </w:rPr>
        <w:t>7.本项目是否专门面向中小企业采购：否。</w:t>
      </w:r>
    </w:p>
    <w:p>
      <w:pPr>
        <w:pStyle w:val="32"/>
        <w:adjustRightInd w:val="0"/>
        <w:snapToGrid w:val="0"/>
        <w:spacing w:line="460" w:lineRule="exact"/>
        <w:ind w:firstLine="482"/>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十</w:t>
      </w:r>
      <w:r>
        <w:rPr>
          <w:rFonts w:hint="eastAsia" w:cs="宋体" w:asciiTheme="minorEastAsia" w:hAnsiTheme="minorEastAsia" w:eastAsiaTheme="minorEastAsia"/>
          <w:b/>
          <w:sz w:val="24"/>
          <w:szCs w:val="24"/>
          <w:lang w:eastAsia="zh-CN"/>
        </w:rPr>
        <w:t>二</w:t>
      </w:r>
      <w:r>
        <w:rPr>
          <w:rFonts w:hint="eastAsia" w:cs="宋体" w:asciiTheme="minorEastAsia" w:hAnsiTheme="minorEastAsia" w:eastAsiaTheme="minorEastAsia"/>
          <w:b/>
          <w:sz w:val="24"/>
          <w:szCs w:val="24"/>
        </w:rPr>
        <w:t>、业务咨询：</w:t>
      </w:r>
      <w:bookmarkEnd w:id="15"/>
    </w:p>
    <w:p>
      <w:pPr>
        <w:snapToGrid w:val="0"/>
        <w:spacing w:line="460" w:lineRule="exact"/>
        <w:ind w:firstLine="480" w:firstLineChars="200"/>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采购人：</w:t>
      </w:r>
      <w:r>
        <w:rPr>
          <w:rFonts w:hint="eastAsia" w:cs="宋体" w:asciiTheme="minorEastAsia" w:hAnsiTheme="minorEastAsia" w:eastAsiaTheme="minorEastAsia"/>
          <w:sz w:val="24"/>
          <w:lang w:eastAsia="zh-CN"/>
        </w:rPr>
        <w:t>湖州市吴兴区人民政府飞英街道办事处</w:t>
      </w:r>
    </w:p>
    <w:p>
      <w:pPr>
        <w:snapToGrid w:val="0"/>
        <w:spacing w:line="460" w:lineRule="exact"/>
        <w:ind w:firstLine="480" w:firstLineChars="200"/>
        <w:rPr>
          <w:rFonts w:hint="default" w:cs="宋体" w:asciiTheme="minorEastAsia" w:hAnsiTheme="minorEastAsia" w:eastAsiaTheme="minorEastAsia"/>
          <w:sz w:val="24"/>
          <w:lang w:val="en-US"/>
        </w:rPr>
      </w:pP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lang w:val="en-US" w:eastAsia="zh-CN"/>
        </w:rPr>
        <w:t>黄主任</w:t>
      </w:r>
      <w:r>
        <w:rPr>
          <w:rFonts w:hint="eastAsia" w:cs="宋体" w:asciiTheme="minorEastAsia" w:hAnsiTheme="minorEastAsia" w:eastAsiaTheme="minorEastAsia"/>
          <w:sz w:val="24"/>
        </w:rPr>
        <w:t xml:space="preserve"> </w:t>
      </w:r>
      <w:r>
        <w:rPr>
          <w:rFonts w:cs="宋体" w:asciiTheme="minorEastAsia" w:hAnsiTheme="minorEastAsia" w:eastAsiaTheme="minorEastAsia"/>
          <w:sz w:val="24"/>
        </w:rPr>
        <w:t xml:space="preserve">        </w:t>
      </w:r>
      <w:r>
        <w:rPr>
          <w:rFonts w:hint="eastAsia" w:cs="宋体" w:asciiTheme="minorEastAsia" w:hAnsiTheme="minorEastAsia" w:eastAsiaTheme="minorEastAsia"/>
          <w:sz w:val="24"/>
        </w:rPr>
        <w:t>联系电话：</w:t>
      </w:r>
      <w:r>
        <w:rPr>
          <w:rFonts w:hint="eastAsia" w:cs="宋体" w:asciiTheme="minorEastAsia" w:hAnsiTheme="minorEastAsia" w:eastAsiaTheme="minorEastAsia"/>
          <w:sz w:val="24"/>
          <w:lang w:val="en-US" w:eastAsia="zh-CN"/>
        </w:rPr>
        <w:t>13375721615</w:t>
      </w:r>
    </w:p>
    <w:p>
      <w:pPr>
        <w:snapToGrid w:val="0"/>
        <w:spacing w:line="460" w:lineRule="exact"/>
        <w:ind w:firstLine="480" w:firstLineChars="200"/>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代理机构：</w:t>
      </w:r>
      <w:r>
        <w:rPr>
          <w:rFonts w:hint="eastAsia" w:cs="宋体" w:asciiTheme="minorEastAsia" w:hAnsiTheme="minorEastAsia" w:eastAsiaTheme="minorEastAsia"/>
          <w:sz w:val="24"/>
          <w:lang w:eastAsia="zh-CN"/>
        </w:rPr>
        <w:t>湖州鑫梦工程咨询有限公司</w:t>
      </w:r>
    </w:p>
    <w:p>
      <w:pPr>
        <w:snapToGrid w:val="0"/>
        <w:spacing w:line="460" w:lineRule="exact"/>
        <w:ind w:firstLine="480" w:firstLineChars="200"/>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lang w:eastAsia="zh-CN"/>
        </w:rPr>
        <w:t>张泽豪</w:t>
      </w:r>
      <w:r>
        <w:rPr>
          <w:rFonts w:hint="eastAsia" w:cs="宋体" w:asciiTheme="minorEastAsia" w:hAnsiTheme="minorEastAsia" w:eastAsiaTheme="minorEastAsia"/>
          <w:sz w:val="24"/>
        </w:rPr>
        <w:t xml:space="preserve">         联系电话：</w:t>
      </w:r>
      <w:r>
        <w:rPr>
          <w:rFonts w:hint="eastAsia" w:cs="宋体" w:asciiTheme="minorEastAsia" w:hAnsiTheme="minorEastAsia" w:eastAsiaTheme="minorEastAsia"/>
          <w:sz w:val="24"/>
          <w:lang w:eastAsia="zh-CN"/>
        </w:rPr>
        <w:t>15257277770</w:t>
      </w:r>
    </w:p>
    <w:p>
      <w:pPr>
        <w:snapToGrid w:val="0"/>
        <w:spacing w:line="460" w:lineRule="exact"/>
        <w:ind w:firstLine="480" w:firstLineChars="20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kern w:val="0"/>
          <w:sz w:val="24"/>
        </w:rPr>
        <w:t>质疑函接收人：</w:t>
      </w:r>
      <w:r>
        <w:rPr>
          <w:rFonts w:hint="eastAsia" w:cs="宋体" w:asciiTheme="minorEastAsia" w:hAnsiTheme="minorEastAsia" w:eastAsiaTheme="minorEastAsia"/>
          <w:kern w:val="0"/>
          <w:sz w:val="24"/>
          <w:lang w:eastAsia="zh-CN"/>
        </w:rPr>
        <w:t>沈佳辉</w:t>
      </w:r>
      <w:r>
        <w:rPr>
          <w:rFonts w:hint="eastAsia" w:cs="宋体" w:asciiTheme="minorEastAsia" w:hAnsiTheme="minorEastAsia" w:eastAsiaTheme="minorEastAsia"/>
          <w:kern w:val="0"/>
          <w:sz w:val="24"/>
        </w:rPr>
        <w:t xml:space="preserve"> </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 xml:space="preserve"> 联系电话：</w:t>
      </w:r>
      <w:r>
        <w:rPr>
          <w:rFonts w:hint="eastAsia" w:cs="宋体" w:asciiTheme="minorEastAsia" w:hAnsiTheme="minorEastAsia" w:eastAsiaTheme="minorEastAsia"/>
          <w:kern w:val="0"/>
          <w:sz w:val="24"/>
          <w:lang w:eastAsia="zh-CN"/>
        </w:rPr>
        <w:t>18605728280</w:t>
      </w:r>
    </w:p>
    <w:p>
      <w:pPr>
        <w:snapToGrid w:val="0"/>
        <w:spacing w:line="460" w:lineRule="exact"/>
        <w:ind w:firstLine="480" w:firstLineChars="200"/>
        <w:rPr>
          <w:rFonts w:hint="eastAsia" w:cs="宋体" w:asciiTheme="minorEastAsia" w:hAnsiTheme="minorEastAsia" w:eastAsiaTheme="minorEastAsia"/>
          <w:kern w:val="0"/>
          <w:sz w:val="24"/>
          <w:lang w:eastAsia="zh-CN"/>
        </w:rPr>
      </w:pPr>
      <w:r>
        <w:rPr>
          <w:rFonts w:hint="eastAsia" w:cs="宋体" w:asciiTheme="minorEastAsia" w:hAnsiTheme="minorEastAsia" w:eastAsiaTheme="minorEastAsia"/>
          <w:sz w:val="24"/>
        </w:rPr>
        <w:t>地址：</w:t>
      </w:r>
      <w:r>
        <w:rPr>
          <w:rFonts w:hint="eastAsia" w:cs="宋体" w:asciiTheme="minorEastAsia" w:hAnsiTheme="minorEastAsia" w:eastAsiaTheme="minorEastAsia"/>
          <w:kern w:val="0"/>
          <w:sz w:val="24"/>
          <w:lang w:eastAsia="zh-CN"/>
        </w:rPr>
        <w:t>湖州市腊山路398号8幢2层</w:t>
      </w:r>
    </w:p>
    <w:p>
      <w:pPr>
        <w:snapToGrid w:val="0"/>
        <w:spacing w:line="460" w:lineRule="exact"/>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政府采购行政监管及投诉受理部门：湖州市吴兴区财政局政府采购监管科       </w:t>
      </w:r>
    </w:p>
    <w:p>
      <w:pPr>
        <w:snapToGrid w:val="0"/>
        <w:spacing w:line="460" w:lineRule="exact"/>
        <w:ind w:firstLine="480" w:firstLineChars="200"/>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lang w:val="en-US" w:eastAsia="zh-CN"/>
        </w:rPr>
        <w:t>沈先生</w:t>
      </w:r>
      <w:r>
        <w:rPr>
          <w:rFonts w:hint="eastAsia" w:cs="宋体" w:asciiTheme="minorEastAsia" w:hAnsiTheme="minorEastAsia" w:eastAsiaTheme="minorEastAsia"/>
          <w:sz w:val="24"/>
        </w:rPr>
        <w:t xml:space="preserve">         联系电话：0572-228970</w:t>
      </w:r>
      <w:r>
        <w:rPr>
          <w:rFonts w:hint="eastAsia" w:cs="宋体" w:asciiTheme="minorEastAsia" w:hAnsiTheme="minorEastAsia" w:eastAsiaTheme="minorEastAsia"/>
          <w:sz w:val="24"/>
          <w:lang w:val="en-US" w:eastAsia="zh-CN"/>
        </w:rPr>
        <w:t>0</w:t>
      </w:r>
    </w:p>
    <w:p>
      <w:pPr>
        <w:pStyle w:val="24"/>
        <w:spacing w:after="0" w:line="460" w:lineRule="exact"/>
        <w:ind w:left="0" w:leftChars="0" w:firstLine="480"/>
        <w:rPr>
          <w:rFonts w:hint="eastAsia" w:cs="宋体" w:asciiTheme="minorEastAsia" w:hAnsiTheme="minorEastAsia" w:eastAsiaTheme="minorEastAsia"/>
          <w:sz w:val="24"/>
        </w:rPr>
      </w:pPr>
      <w:r>
        <w:rPr>
          <w:rFonts w:hint="eastAsia" w:cs="宋体" w:asciiTheme="minorEastAsia" w:hAnsiTheme="minorEastAsia" w:eastAsiaTheme="minorEastAsia"/>
          <w:sz w:val="24"/>
        </w:rPr>
        <w:t>地址：湖州市吴兴区吴兴大道1号</w:t>
      </w:r>
    </w:p>
    <w:p>
      <w:pPr>
        <w:rPr>
          <w:rFonts w:hint="eastAsia" w:cs="宋体" w:asciiTheme="minorEastAsia" w:hAnsiTheme="minorEastAsia" w:eastAsiaTheme="minorEastAsia"/>
          <w:sz w:val="24"/>
        </w:rPr>
      </w:pPr>
      <w:r>
        <w:rPr>
          <w:rFonts w:hint="eastAsia" w:cs="宋体" w:asciiTheme="minorEastAsia" w:hAnsiTheme="minorEastAsia" w:eastAsiaTheme="minorEastAsia"/>
          <w:sz w:val="24"/>
        </w:rPr>
        <w:br w:type="page"/>
      </w:r>
    </w:p>
    <w:p>
      <w:pPr>
        <w:pStyle w:val="21"/>
      </w:pPr>
    </w:p>
    <w:p>
      <w:pPr>
        <w:pStyle w:val="5"/>
        <w:numPr>
          <w:ilvl w:val="0"/>
          <w:numId w:val="0"/>
        </w:numPr>
        <w:spacing w:line="360" w:lineRule="auto"/>
        <w:jc w:val="center"/>
        <w:rPr>
          <w:rFonts w:ascii="宋体" w:hAnsi="宋体" w:eastAsia="宋体" w:cs="宋体"/>
          <w:b w:val="0"/>
          <w:sz w:val="44"/>
          <w:szCs w:val="44"/>
        </w:rPr>
      </w:pPr>
      <w:bookmarkStart w:id="16" w:name="_Toc23238"/>
      <w:r>
        <w:rPr>
          <w:rFonts w:hint="eastAsia" w:ascii="宋体" w:hAnsi="宋体" w:eastAsia="宋体" w:cs="宋体"/>
          <w:b w:val="0"/>
          <w:bCs/>
          <w:kern w:val="2"/>
          <w:sz w:val="44"/>
          <w:szCs w:val="44"/>
          <w:lang w:val="en-US" w:eastAsia="zh-CN" w:bidi="ar-SA"/>
        </w:rPr>
        <w:t xml:space="preserve">第二章 </w:t>
      </w:r>
      <w:r>
        <w:rPr>
          <w:rFonts w:hint="eastAsia" w:ascii="宋体" w:hAnsi="宋体" w:eastAsia="宋体" w:cs="宋体"/>
          <w:b w:val="0"/>
          <w:sz w:val="44"/>
          <w:szCs w:val="44"/>
        </w:rPr>
        <w:t>招标需求</w:t>
      </w:r>
    </w:p>
    <w:p>
      <w:pPr>
        <w:spacing w:line="520" w:lineRule="exact"/>
        <w:ind w:firstLine="560" w:firstLineChars="200"/>
        <w:jc w:val="left"/>
        <w:outlineLvl w:val="0"/>
        <w:rPr>
          <w:rFonts w:hint="eastAsia" w:cs="宋体" w:asciiTheme="minorEastAsia" w:hAnsiTheme="minorEastAsia" w:eastAsiaTheme="minorEastAsia"/>
          <w:b/>
          <w:bCs/>
          <w:sz w:val="24"/>
          <w:lang w:eastAsia="zh-CN"/>
        </w:rPr>
      </w:pPr>
      <w:r>
        <w:rPr>
          <w:rFonts w:hint="eastAsia" w:asciiTheme="minorEastAsia" w:hAnsiTheme="minorEastAsia" w:eastAsiaTheme="minorEastAsia"/>
          <w:bCs w:val="0"/>
          <w:szCs w:val="24"/>
        </w:rPr>
        <w:t>一、采购项目：</w:t>
      </w:r>
      <w:r>
        <w:rPr>
          <w:rFonts w:hint="eastAsia" w:cs="宋体" w:asciiTheme="minorEastAsia" w:hAnsiTheme="minorEastAsia" w:eastAsiaTheme="minorEastAsia"/>
          <w:b/>
          <w:bCs/>
          <w:sz w:val="24"/>
          <w:lang w:val="en-US" w:eastAsia="zh-CN"/>
        </w:rPr>
        <w:t>飞英街道办事处关于余家漾社区幸福邻里中心（儿童之家）、新华苑社区幸福邻里中心第三方运营服务采购项目</w:t>
      </w:r>
    </w:p>
    <w:p>
      <w:pPr>
        <w:spacing w:line="520" w:lineRule="exact"/>
        <w:ind w:firstLine="482" w:firstLineChars="200"/>
        <w:jc w:val="left"/>
        <w:outlineLvl w:val="0"/>
        <w:rPr>
          <w:rFonts w:hint="eastAsia" w:cs="宋体" w:asciiTheme="minorEastAsia" w:hAnsiTheme="minorEastAsia" w:eastAsiaTheme="minorEastAsia"/>
          <w:b/>
          <w:bCs/>
          <w:sz w:val="24"/>
        </w:rPr>
      </w:pPr>
      <w:r>
        <w:rPr>
          <w:rFonts w:hint="eastAsia" w:cs="宋体" w:asciiTheme="minorEastAsia" w:hAnsiTheme="minorEastAsia" w:eastAsiaTheme="minorEastAsia"/>
          <w:b/>
          <w:bCs/>
          <w:sz w:val="24"/>
        </w:rPr>
        <w:t>二、采购内容：</w:t>
      </w:r>
    </w:p>
    <w:p>
      <w:pPr>
        <w:spacing w:line="520" w:lineRule="exact"/>
        <w:ind w:firstLine="482" w:firstLineChars="200"/>
        <w:jc w:val="left"/>
        <w:outlineLvl w:val="0"/>
        <w:rPr>
          <w:rFonts w:cs="宋体" w:asciiTheme="minorEastAsia" w:hAnsiTheme="minorEastAsia" w:eastAsiaTheme="minorEastAsia"/>
          <w:b/>
          <w:bCs/>
          <w:sz w:val="24"/>
        </w:rPr>
      </w:pPr>
      <w:r>
        <w:rPr>
          <w:rFonts w:hint="eastAsia" w:cs="宋体" w:asciiTheme="minorEastAsia" w:hAnsiTheme="minorEastAsia" w:eastAsiaTheme="minorEastAsia"/>
          <w:b/>
          <w:bCs/>
          <w:sz w:val="24"/>
        </w:rPr>
        <w:t>1.社区级幸福邻里中心</w:t>
      </w:r>
    </w:p>
    <w:p>
      <w:pPr>
        <w:spacing w:line="52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bCs/>
          <w:sz w:val="24"/>
        </w:rPr>
        <w:t>幸福邻里中心开展的服务要遵循社会工作专业理论和方法，服务内容分为基本服务和个性化服务两个方面。其中，基本服务是指服务居民、协商议事、组织培育三大类，具体为：链接辖区资源、激发社会活力，运用社工方法开展老年人服务、青少年服务、妇女儿童服务、新居民服务、残障康复服务、家庭服务、文化服务等各类服务，重点关注并服务区域内的困难家庭、边缘家庭、单亲家庭；配合有关方面，对城乡社区的公共事务、公益事业、涉及社区发展和群众利益的事项，引导居民有序参与协商议事，做到每半个月开展一次参于社区议事，每季度做一次专题课件，并形成成功案例；培育发展社会组织，组建5-6个各类志愿服务队伍，组织居民开展自助互助服务。个性化服务是指通过承接项目的形式，做好合约以外的走访、宣传、调查摸底、活动组织策划等工作。社区级幸福邻里中心运营主体应制定社会组织情况统计表及来访居民城需求信息表，每年建立社会组织及居民需求信息档案社区级不少于200份。承接运营的社会组织派驻专职社工和服务人员，开展服务活动，应统一着装，社区级幸福邻里中心专职工作人员不少于2名。</w:t>
      </w:r>
    </w:p>
    <w:p>
      <w:pPr>
        <w:spacing w:line="520" w:lineRule="exact"/>
        <w:rPr>
          <w:rFonts w:cs="宋体" w:asciiTheme="minorEastAsia" w:hAnsiTheme="minorEastAsia" w:eastAsiaTheme="minorEastAsia"/>
          <w:bCs/>
          <w:sz w:val="24"/>
        </w:rPr>
      </w:pPr>
      <w:r>
        <w:rPr>
          <w:rFonts w:hint="eastAsia" w:cs="宋体" w:asciiTheme="minorEastAsia" w:hAnsiTheme="minorEastAsia" w:eastAsiaTheme="minorEastAsia"/>
          <w:bCs/>
          <w:sz w:val="24"/>
        </w:rPr>
        <w:t xml:space="preserve">    1.1日常管理和维护</w:t>
      </w:r>
    </w:p>
    <w:p>
      <w:pPr>
        <w:pStyle w:val="23"/>
        <w:widowControl w:val="0"/>
        <w:snapToGrid w:val="0"/>
        <w:spacing w:line="520" w:lineRule="exact"/>
        <w:ind w:firstLine="420"/>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管理和维护服务设施。保持环境整洁、美观。</w:t>
      </w:r>
    </w:p>
    <w:p>
      <w:pPr>
        <w:pStyle w:val="23"/>
        <w:widowControl w:val="0"/>
        <w:snapToGrid w:val="0"/>
        <w:spacing w:line="520" w:lineRule="exact"/>
        <w:ind w:firstLine="420"/>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1.2资讯提供与转介服务</w:t>
      </w:r>
    </w:p>
    <w:p>
      <w:pPr>
        <w:pStyle w:val="23"/>
        <w:widowControl w:val="0"/>
        <w:snapToGrid w:val="0"/>
        <w:spacing w:line="520" w:lineRule="exact"/>
        <w:ind w:firstLine="420"/>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提供资讯接待、咨询服务，对前来寻求服务或帮助的居民提供接待、指引服务。对于本中心暂未能承担的专业服务需求，提供联络、指引其到相应部门或专业机构等转介服务。</w:t>
      </w:r>
    </w:p>
    <w:p>
      <w:pPr>
        <w:pStyle w:val="21"/>
        <w:spacing w:line="5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bCs/>
          <w:sz w:val="24"/>
          <w:szCs w:val="24"/>
        </w:rPr>
        <w:t>1.3老年人服务：开展多元化老年人活动。引导老年人积极参与群体生活及区域内事务，促进老年人与社会的联系、提供老年人心理健康服务。</w:t>
      </w:r>
    </w:p>
    <w:p>
      <w:pPr>
        <w:pStyle w:val="21"/>
        <w:spacing w:line="520"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1.4青少年服务：为青少年提供心理评估、发展性心理辅导、专业心理咨询、行为训练、职业规划辅导、亲子关系支持、人际关系协调及危机干预等服务；学习辅导。</w:t>
      </w:r>
    </w:p>
    <w:p>
      <w:pPr>
        <w:pStyle w:val="21"/>
        <w:spacing w:line="52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bCs/>
          <w:sz w:val="24"/>
          <w:szCs w:val="24"/>
        </w:rPr>
        <w:t>1.5残障康复服务：为残疾人士提供康复服务、就业及职业培训、文体活动、心理评估、心理咨询、社会融入、资源链接等支援服务，为有条件的残障人士提供学业服务、就业及劳动空间。对重度残疾人每月走访一次，其他残疾人每季组织一次活动，做到全年每位残疾人都享受一次关爱。</w:t>
      </w:r>
    </w:p>
    <w:p>
      <w:pPr>
        <w:pStyle w:val="21"/>
        <w:spacing w:line="520" w:lineRule="exact"/>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1.6家庭服务：提供危机介入、婚姻家庭关系调处、亲子教育、妇女儿童服务、家暴防治宣传、健康生活管理等服务。</w:t>
      </w:r>
    </w:p>
    <w:p>
      <w:pPr>
        <w:spacing w:line="52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bCs/>
          <w:sz w:val="24"/>
        </w:rPr>
        <w:t>1.7文化服务：培育和践行社会主义核心价值观，大力弘扬优秀传统文化，保护和传承城市社区的文化遗产和城市记忆，挖掘传统文化和历史人文资源，塑造心口相传的城乡社区精神。发现和宣传服务区域内的道德模范、好人好事，营造崇德向善的风尚。</w:t>
      </w:r>
      <w:r>
        <w:rPr>
          <w:rFonts w:hint="eastAsia" w:cs="宋体" w:asciiTheme="minorEastAsia" w:hAnsiTheme="minorEastAsia" w:eastAsiaTheme="minorEastAsia"/>
          <w:sz w:val="24"/>
        </w:rPr>
        <w:t>每年至少开展一次道德模范、好人好事等相关评比，文化活动每年至少开展一次大型的邻里运动会和文艺晚会。</w:t>
      </w:r>
    </w:p>
    <w:p>
      <w:pPr>
        <w:pStyle w:val="23"/>
        <w:widowControl w:val="0"/>
        <w:snapToGrid w:val="0"/>
        <w:spacing w:line="520" w:lineRule="exact"/>
        <w:ind w:firstLine="420"/>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1.8宣传报道：要求每月不少于一次主流媒体报道，街道、社区给于配合。</w:t>
      </w:r>
    </w:p>
    <w:p>
      <w:pPr>
        <w:pStyle w:val="23"/>
        <w:widowControl w:val="0"/>
        <w:snapToGrid w:val="0"/>
        <w:spacing w:line="520" w:lineRule="exact"/>
        <w:ind w:firstLine="420"/>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1.9社区治理：每季度至少开展一次社区治理协商议事会，并根据社区建设发展需要，适时牵头组织专题民情协商会。</w:t>
      </w:r>
    </w:p>
    <w:p>
      <w:pPr>
        <w:spacing w:line="520" w:lineRule="exact"/>
        <w:ind w:firstLine="590" w:firstLineChars="245"/>
        <w:jc w:val="left"/>
        <w:outlineLvl w:val="0"/>
        <w:rPr>
          <w:rFonts w:cs="宋体" w:asciiTheme="minorEastAsia" w:hAnsiTheme="minorEastAsia" w:eastAsiaTheme="minorEastAsia"/>
          <w:sz w:val="24"/>
        </w:rPr>
      </w:pPr>
      <w:r>
        <w:rPr>
          <w:rFonts w:hint="eastAsia" w:cs="宋体" w:asciiTheme="minorEastAsia" w:hAnsiTheme="minorEastAsia" w:eastAsiaTheme="minorEastAsia"/>
          <w:b/>
          <w:bCs/>
          <w:sz w:val="24"/>
        </w:rPr>
        <w:t>具体服务内容按照湖州市《幸福邻里中心建设与服务管理规范》地方标准（DB3305/T57-20</w:t>
      </w:r>
      <w:r>
        <w:rPr>
          <w:rFonts w:hint="eastAsia" w:cs="宋体" w:asciiTheme="minorEastAsia" w:hAnsiTheme="minorEastAsia" w:eastAsiaTheme="minorEastAsia"/>
          <w:b/>
          <w:bCs/>
          <w:sz w:val="24"/>
          <w:lang w:val="en-US" w:eastAsia="zh-CN"/>
        </w:rPr>
        <w:t>23</w:t>
      </w:r>
      <w:r>
        <w:rPr>
          <w:rFonts w:hint="eastAsia" w:cs="宋体" w:asciiTheme="minorEastAsia" w:hAnsiTheme="minorEastAsia" w:eastAsiaTheme="minorEastAsia"/>
          <w:b/>
          <w:bCs/>
          <w:sz w:val="24"/>
        </w:rPr>
        <w:t>）执行，并根据民政相关部门的最新标准做相应调整。</w:t>
      </w:r>
    </w:p>
    <w:p>
      <w:pPr>
        <w:pStyle w:val="21"/>
        <w:spacing w:line="520" w:lineRule="exact"/>
        <w:ind w:firstLine="595" w:firstLineChars="247"/>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2.</w:t>
      </w:r>
      <w:r>
        <w:rPr>
          <w:rFonts w:hint="eastAsia" w:asciiTheme="minorEastAsia" w:hAnsiTheme="minorEastAsia" w:eastAsiaTheme="minorEastAsia"/>
          <w:b/>
        </w:rPr>
        <w:t xml:space="preserve"> </w:t>
      </w:r>
      <w:r>
        <w:rPr>
          <w:rFonts w:hint="eastAsia" w:cs="宋体" w:asciiTheme="minorEastAsia" w:hAnsiTheme="minorEastAsia" w:eastAsiaTheme="minorEastAsia"/>
          <w:b/>
          <w:bCs/>
          <w:sz w:val="24"/>
          <w:szCs w:val="24"/>
        </w:rPr>
        <w:t>儿童之家</w:t>
      </w:r>
    </w:p>
    <w:p>
      <w:pPr>
        <w:pStyle w:val="21"/>
        <w:spacing w:line="520" w:lineRule="exact"/>
        <w:ind w:firstLine="592" w:firstLineChars="247"/>
        <w:rPr>
          <w:rFonts w:asciiTheme="minorEastAsia" w:hAnsiTheme="minorEastAsia" w:eastAsiaTheme="minorEastAsia"/>
        </w:rPr>
      </w:pPr>
      <w:r>
        <w:rPr>
          <w:rFonts w:hint="eastAsia" w:cs="宋体" w:asciiTheme="minorEastAsia" w:hAnsiTheme="minorEastAsia" w:eastAsiaTheme="minorEastAsia"/>
          <w:bCs/>
          <w:sz w:val="24"/>
          <w:szCs w:val="24"/>
        </w:rPr>
        <w:t>为不断健全留守儿童、困境儿童关爱服务体系，搭建社会力量参与儿童关爱服务平台，打通社区为儿童和家庭服务的“最后一公里”，整合政府和社会资源，因地制宜，循序渐进，推动全市示范型“儿童之家”建设和服务管理，保障儿童生存、发展和受保护权利的有效实现，促进儿童健康成长和家庭幸福和谐。具体服务内容为：</w:t>
      </w:r>
    </w:p>
    <w:p>
      <w:pPr>
        <w:spacing w:line="520" w:lineRule="exact"/>
        <w:ind w:firstLine="465"/>
        <w:jc w:val="left"/>
        <w:outlineLvl w:val="0"/>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2.1组织游戏和活动。组织开展游戏、娱乐、体育、文化、艺术、阅读、社会实践等活动。</w:t>
      </w:r>
    </w:p>
    <w:p>
      <w:pPr>
        <w:spacing w:line="520" w:lineRule="exact"/>
        <w:ind w:firstLine="465"/>
        <w:jc w:val="left"/>
        <w:outlineLvl w:val="0"/>
        <w:rPr>
          <w:rFonts w:cs="宋体" w:asciiTheme="minorEastAsia" w:hAnsiTheme="minorEastAsia" w:eastAsiaTheme="minorEastAsia"/>
          <w:sz w:val="24"/>
        </w:rPr>
      </w:pPr>
      <w:r>
        <w:rPr>
          <w:rFonts w:hint="eastAsia" w:cs="宋体" w:asciiTheme="minorEastAsia" w:hAnsiTheme="minorEastAsia" w:eastAsiaTheme="minorEastAsia"/>
          <w:bCs/>
          <w:kern w:val="0"/>
          <w:sz w:val="24"/>
        </w:rPr>
        <w:t>2.2临时照料和课后托管。</w:t>
      </w:r>
      <w:r>
        <w:rPr>
          <w:rFonts w:hint="eastAsia" w:cs="宋体" w:asciiTheme="minorEastAsia" w:hAnsiTheme="minorEastAsia" w:eastAsiaTheme="minorEastAsia"/>
          <w:sz w:val="24"/>
        </w:rPr>
        <w:t>开展儿童日间临时照料、中小学课后、寒暑假托管和课业辅导服务。</w:t>
      </w:r>
    </w:p>
    <w:p>
      <w:pPr>
        <w:spacing w:line="520" w:lineRule="exact"/>
        <w:ind w:firstLine="465"/>
        <w:jc w:val="left"/>
        <w:outlineLvl w:val="0"/>
        <w:rPr>
          <w:rFonts w:cs="宋体" w:asciiTheme="minorEastAsia" w:hAnsiTheme="minorEastAsia" w:eastAsiaTheme="minorEastAsia"/>
          <w:sz w:val="24"/>
        </w:rPr>
      </w:pPr>
      <w:r>
        <w:rPr>
          <w:rFonts w:hint="eastAsia" w:cs="宋体" w:asciiTheme="minorEastAsia" w:hAnsiTheme="minorEastAsia" w:eastAsiaTheme="minorEastAsia"/>
          <w:bCs/>
          <w:kern w:val="0"/>
          <w:sz w:val="24"/>
        </w:rPr>
        <w:t>2.3健康教育。</w:t>
      </w:r>
      <w:r>
        <w:rPr>
          <w:rFonts w:hint="eastAsia" w:cs="宋体" w:asciiTheme="minorEastAsia" w:hAnsiTheme="minorEastAsia" w:eastAsiaTheme="minorEastAsia"/>
          <w:sz w:val="24"/>
        </w:rPr>
        <w:t>面向儿童及家长开展疾病预防、卫生习惯、伤害防控和自我保护、急救知识等宣传教育和技能指导。</w:t>
      </w:r>
    </w:p>
    <w:p>
      <w:pPr>
        <w:spacing w:line="520" w:lineRule="exact"/>
        <w:ind w:firstLine="465"/>
        <w:jc w:val="left"/>
        <w:outlineLvl w:val="0"/>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2.4.品德教育与行为指导。配合学校和家庭开展社会主义核心价值观教育、公民意识教育、法治教育，培养儿童良好的品德和行为习惯，指导儿童科学合理使用互联网和新媒体。协助社区做好未成年人不良行为的预防和矫治工作。</w:t>
      </w:r>
    </w:p>
    <w:p>
      <w:pPr>
        <w:spacing w:line="520" w:lineRule="exact"/>
        <w:ind w:firstLine="465"/>
        <w:jc w:val="left"/>
        <w:outlineLvl w:val="0"/>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2.5心理社会支持。为儿童及其家庭提供基本心理健康指导服务。</w:t>
      </w:r>
    </w:p>
    <w:p>
      <w:pPr>
        <w:spacing w:line="520" w:lineRule="exact"/>
        <w:ind w:firstLine="465"/>
        <w:jc w:val="left"/>
        <w:outlineLvl w:val="0"/>
        <w:rPr>
          <w:rFonts w:cs="宋体" w:asciiTheme="minorEastAsia" w:hAnsiTheme="minorEastAsia" w:eastAsiaTheme="minorEastAsia"/>
          <w:bCs/>
          <w:kern w:val="0"/>
          <w:sz w:val="24"/>
        </w:rPr>
      </w:pPr>
      <w:r>
        <w:rPr>
          <w:rFonts w:hint="eastAsia" w:cs="宋体" w:asciiTheme="minorEastAsia" w:hAnsiTheme="minorEastAsia" w:eastAsiaTheme="minorEastAsia"/>
          <w:bCs/>
          <w:kern w:val="0"/>
          <w:sz w:val="24"/>
        </w:rPr>
        <w:t>2.6儿童保护。协助社区建立儿童档案，为识别困境儿童和留守儿童提供力所能及的支持和服务。</w:t>
      </w:r>
    </w:p>
    <w:p>
      <w:pPr>
        <w:spacing w:line="520" w:lineRule="exact"/>
        <w:ind w:firstLine="465"/>
        <w:jc w:val="left"/>
        <w:outlineLvl w:val="0"/>
        <w:rPr>
          <w:rFonts w:cs="宋体" w:asciiTheme="minorEastAsia" w:hAnsiTheme="minorEastAsia" w:eastAsiaTheme="minorEastAsia"/>
          <w:sz w:val="24"/>
        </w:rPr>
      </w:pPr>
      <w:r>
        <w:rPr>
          <w:rFonts w:hint="eastAsia" w:cs="宋体" w:asciiTheme="minorEastAsia" w:hAnsiTheme="minorEastAsia" w:eastAsiaTheme="minorEastAsia"/>
          <w:bCs/>
          <w:kern w:val="0"/>
          <w:sz w:val="24"/>
        </w:rPr>
        <w:t>2.7家庭教育指导。</w:t>
      </w:r>
    </w:p>
    <w:p>
      <w:pPr>
        <w:spacing w:line="520" w:lineRule="exact"/>
        <w:ind w:firstLine="600" w:firstLineChars="249"/>
        <w:rPr>
          <w:rFonts w:cs="宋体" w:asciiTheme="minorEastAsia" w:hAnsiTheme="minorEastAsia" w:eastAsiaTheme="minorEastAsia"/>
          <w:b/>
          <w:bCs/>
          <w:sz w:val="24"/>
        </w:rPr>
      </w:pPr>
      <w:r>
        <w:rPr>
          <w:rFonts w:hint="eastAsia" w:cs="宋体" w:asciiTheme="minorEastAsia" w:hAnsiTheme="minorEastAsia" w:eastAsiaTheme="minorEastAsia"/>
          <w:b/>
          <w:bCs/>
          <w:sz w:val="24"/>
        </w:rPr>
        <w:t>具体服务内容及运营标准按照湖州市民政局、湖州市妇女联合会关于在全市开展示范性“儿童之家”建设和服务管理工作的实施意见湖民〔2020〕8号）和湖州市民政局、湖州市财政局、湖州市妇女联合会关于进一步加强示范性儿童之家建设工作的通知（湖民〔2021〕4号）的文件要求执行，并根据民政相关部门的最新标准做相应调整。</w:t>
      </w:r>
    </w:p>
    <w:p>
      <w:pPr>
        <w:pStyle w:val="21"/>
      </w:pPr>
    </w:p>
    <w:p>
      <w:pPr>
        <w:rPr>
          <w:rFonts w:ascii="宋体" w:hAnsi="宋体" w:cs="宋体"/>
          <w:b/>
          <w:sz w:val="24"/>
        </w:rPr>
      </w:pPr>
      <w:r>
        <w:rPr>
          <w:rFonts w:hint="eastAsia" w:ascii="宋体" w:hAnsi="宋体" w:cs="宋体"/>
          <w:b/>
          <w:sz w:val="24"/>
          <w:lang w:val="en-US" w:eastAsia="zh-CN"/>
        </w:rPr>
        <w:t>三</w:t>
      </w:r>
      <w:r>
        <w:rPr>
          <w:rFonts w:hint="eastAsia" w:ascii="宋体" w:hAnsi="宋体" w:cs="宋体"/>
          <w:b/>
          <w:sz w:val="24"/>
        </w:rPr>
        <w:t>、其他说明：</w:t>
      </w:r>
    </w:p>
    <w:p>
      <w:pPr>
        <w:pStyle w:val="21"/>
        <w:spacing w:line="460" w:lineRule="exact"/>
        <w:ind w:firstLine="240"/>
        <w:rPr>
          <w:rFonts w:ascii="宋体" w:hAnsi="宋体" w:cs="宋体"/>
          <w:bCs/>
          <w:sz w:val="24"/>
          <w:szCs w:val="24"/>
        </w:rPr>
      </w:pPr>
      <w:r>
        <w:rPr>
          <w:rFonts w:hint="eastAsia" w:ascii="宋体" w:hAnsi="宋体" w:cs="宋体"/>
          <w:bCs/>
          <w:sz w:val="24"/>
          <w:szCs w:val="24"/>
        </w:rPr>
        <w:t>1、中标供应商中标后，不得将本项目的服务内容全部或部分转让、转包给他人经营。中标供应商独立承担运营过程中的债权债务和经济、安全、法律等责任，接受采购人和相关政府部门的监管。</w:t>
      </w:r>
    </w:p>
    <w:p>
      <w:pPr>
        <w:pStyle w:val="21"/>
        <w:spacing w:line="460" w:lineRule="exact"/>
        <w:ind w:firstLine="240"/>
        <w:rPr>
          <w:rFonts w:ascii="宋体" w:hAnsi="宋体" w:cs="宋体"/>
        </w:rPr>
      </w:pPr>
      <w:r>
        <w:rPr>
          <w:rFonts w:hint="eastAsia" w:ascii="宋体" w:hAnsi="宋体" w:cs="宋体"/>
          <w:bCs/>
          <w:sz w:val="24"/>
          <w:szCs w:val="24"/>
        </w:rPr>
        <w:t>2、中标供应商在服务期内，应负责对服务区域所有物品的保管与维护，并承担日常的维修及保洁费用。</w:t>
      </w:r>
    </w:p>
    <w:p>
      <w:pPr>
        <w:pStyle w:val="21"/>
        <w:spacing w:line="460" w:lineRule="exact"/>
        <w:ind w:firstLine="240"/>
        <w:rPr>
          <w:rFonts w:ascii="宋体" w:hAnsi="宋体" w:cs="宋体"/>
          <w:bCs/>
          <w:sz w:val="24"/>
          <w:szCs w:val="24"/>
        </w:rPr>
      </w:pPr>
      <w:r>
        <w:rPr>
          <w:rFonts w:hint="eastAsia" w:ascii="宋体" w:hAnsi="宋体" w:cs="宋体"/>
          <w:bCs/>
          <w:sz w:val="24"/>
          <w:szCs w:val="24"/>
        </w:rPr>
        <w:t>3、中标供应商在服务期内，自行负责参加所有活动人员的安全工作，如发生意外的一切责任与费用由中标供应商负责，采购人不承担任何责任。</w:t>
      </w:r>
    </w:p>
    <w:p>
      <w:pPr>
        <w:pStyle w:val="21"/>
        <w:spacing w:line="460" w:lineRule="exact"/>
        <w:ind w:firstLine="240"/>
        <w:rPr>
          <w:rFonts w:ascii="宋体" w:hAnsi="宋体" w:cs="宋体"/>
          <w:bCs/>
          <w:sz w:val="24"/>
          <w:szCs w:val="24"/>
        </w:rPr>
      </w:pPr>
      <w:r>
        <w:rPr>
          <w:rFonts w:hint="eastAsia" w:ascii="宋体" w:hAnsi="宋体" w:cs="宋体"/>
          <w:bCs/>
          <w:sz w:val="24"/>
          <w:szCs w:val="24"/>
        </w:rPr>
        <w:t>4、接受定期考核。运营期间，采购人及民政部门将会同有关部门对服务中心的管理、经费投入、收费标准、工作人员待遇、养老服务质量、公众评议等内容开展考核，中标人需无条件接受考核并积极配合。具体考核标准将根据有关行业规范以及中标人竞标时所提交的运营管理方案制订，并适时根据各级政府、部门新出台的文件和规范进行完善。</w:t>
      </w:r>
    </w:p>
    <w:p>
      <w:pPr>
        <w:pStyle w:val="21"/>
        <w:spacing w:line="460" w:lineRule="exact"/>
        <w:ind w:firstLine="240"/>
        <w:rPr>
          <w:rFonts w:hint="eastAsia" w:ascii="宋体" w:hAnsi="宋体" w:cs="宋体"/>
          <w:bCs/>
          <w:sz w:val="24"/>
          <w:szCs w:val="24"/>
        </w:rPr>
      </w:pPr>
      <w:r>
        <w:rPr>
          <w:rFonts w:hint="eastAsia" w:ascii="宋体" w:hAnsi="宋体" w:cs="宋体"/>
          <w:bCs/>
          <w:sz w:val="24"/>
          <w:szCs w:val="24"/>
        </w:rPr>
        <w:t>5、运营中涉及的有偿服务按照不高于市场价的原则定价，并报吴兴区民政局备案同意后实施。该中心运营中除水电外产生的运营费用均由中标供应商承担，运营中的老年人安全、生产安全、食品安全等各项安全管理工作和职责由运营方承担。</w:t>
      </w:r>
    </w:p>
    <w:p>
      <w:pPr>
        <w:ind w:firstLine="262" w:firstLineChars="100"/>
        <w:rPr>
          <w:rFonts w:hint="eastAsia" w:ascii="宋体" w:hAnsi="宋体" w:eastAsia="宋体" w:cs="宋体"/>
          <w:bCs/>
          <w:spacing w:val="11"/>
          <w:kern w:val="2"/>
          <w:sz w:val="24"/>
          <w:szCs w:val="24"/>
          <w:lang w:val="en-US" w:eastAsia="zh-CN" w:bidi="ar-SA"/>
        </w:rPr>
      </w:pPr>
      <w:r>
        <w:rPr>
          <w:rFonts w:hint="eastAsia" w:ascii="宋体" w:hAnsi="宋体" w:eastAsia="宋体" w:cs="宋体"/>
          <w:bCs/>
          <w:spacing w:val="11"/>
          <w:kern w:val="2"/>
          <w:sz w:val="24"/>
          <w:szCs w:val="24"/>
          <w:lang w:val="en-US" w:eastAsia="zh-CN" w:bidi="ar-SA"/>
        </w:rPr>
        <w:t>6、星级等级的幸福邻里中心由市民政局统一印发通报、颁发星级标牌；连续2年达不到三星级的幸福邻里中心运营机构不得参与该幸福邻里中心运营招投标资格。</w:t>
      </w:r>
    </w:p>
    <w:p>
      <w:pPr>
        <w:pStyle w:val="2"/>
        <w:ind w:left="0" w:leftChars="0" w:firstLine="274" w:firstLineChars="100"/>
        <w:rPr>
          <w:rFonts w:hint="eastAsia" w:ascii="宋体" w:hAnsi="宋体" w:cs="宋体"/>
          <w:bCs/>
          <w:spacing w:val="17"/>
          <w:kern w:val="2"/>
          <w:sz w:val="24"/>
          <w:szCs w:val="24"/>
          <w:lang w:val="en-US" w:eastAsia="zh-CN" w:bidi="ar-SA"/>
        </w:rPr>
      </w:pPr>
      <w:r>
        <w:rPr>
          <w:rFonts w:hint="eastAsia" w:ascii="宋体" w:hAnsi="宋体" w:cs="宋体"/>
          <w:bCs/>
          <w:spacing w:val="17"/>
          <w:kern w:val="2"/>
          <w:sz w:val="24"/>
          <w:szCs w:val="24"/>
          <w:lang w:val="en-US" w:eastAsia="zh-CN" w:bidi="ar-SA"/>
        </w:rPr>
        <w:t>7、幸福邻里中心人员配备实行持证上岗制度，未持证的人员原则上须在两年内取得全国社会工作者职业资格证书，驻点人员持证占比应达到50％以上，各县区对新招录的驻点人员进行岗前培训，未通过考核人员不得从事幸福邻里中心服务工作。</w:t>
      </w:r>
    </w:p>
    <w:p>
      <w:pPr>
        <w:pStyle w:val="2"/>
        <w:ind w:left="0" w:leftChars="0" w:firstLine="274" w:firstLineChars="100"/>
        <w:rPr>
          <w:rFonts w:hint="eastAsia" w:ascii="宋体" w:hAnsi="宋体" w:cs="宋体"/>
          <w:bCs/>
          <w:spacing w:val="17"/>
          <w:kern w:val="2"/>
          <w:sz w:val="24"/>
          <w:szCs w:val="24"/>
          <w:lang w:val="en-US" w:eastAsia="zh-CN" w:bidi="ar-SA"/>
        </w:rPr>
      </w:pPr>
      <w:r>
        <w:rPr>
          <w:rFonts w:hint="eastAsia" w:ascii="宋体" w:hAnsi="宋体" w:cs="宋体"/>
          <w:bCs/>
          <w:spacing w:val="17"/>
          <w:kern w:val="2"/>
          <w:sz w:val="24"/>
          <w:szCs w:val="24"/>
          <w:lang w:val="en-US" w:eastAsia="zh-CN" w:bidi="ar-SA"/>
        </w:rPr>
        <w:t>8、推出“服务八点半”等延时服务，幸福邻里中心功能站室一周开放时间不少于6天，驻点工作人员根据工作实际进行调休。</w:t>
      </w:r>
    </w:p>
    <w:p>
      <w:pPr>
        <w:pStyle w:val="2"/>
        <w:ind w:left="0" w:leftChars="0" w:firstLine="274" w:firstLineChars="100"/>
        <w:rPr>
          <w:rFonts w:hint="eastAsia" w:ascii="宋体" w:hAnsi="宋体" w:cs="宋体"/>
          <w:bCs/>
          <w:spacing w:val="17"/>
          <w:kern w:val="2"/>
          <w:sz w:val="24"/>
          <w:szCs w:val="24"/>
          <w:lang w:val="en-US" w:eastAsia="zh-CN" w:bidi="ar-SA"/>
        </w:rPr>
      </w:pPr>
      <w:r>
        <w:rPr>
          <w:rFonts w:hint="eastAsia" w:ascii="宋体" w:hAnsi="宋体" w:cs="宋体"/>
          <w:bCs/>
          <w:spacing w:val="17"/>
          <w:kern w:val="2"/>
          <w:sz w:val="24"/>
          <w:szCs w:val="24"/>
          <w:lang w:val="en-US" w:eastAsia="zh-CN" w:bidi="ar-SA"/>
        </w:rPr>
        <w:t>9、幸福邻里服务人员需服从街道安排，人员调动需经过街道认可。</w:t>
      </w:r>
    </w:p>
    <w:p>
      <w:pPr>
        <w:pStyle w:val="2"/>
        <w:ind w:left="0" w:leftChars="0" w:firstLine="274" w:firstLineChars="100"/>
        <w:rPr>
          <w:rFonts w:hint="default" w:ascii="宋体" w:hAnsi="宋体" w:cs="宋体"/>
          <w:bCs/>
          <w:spacing w:val="17"/>
          <w:kern w:val="2"/>
          <w:sz w:val="24"/>
          <w:szCs w:val="24"/>
          <w:lang w:val="en-US" w:eastAsia="zh-CN" w:bidi="ar-SA"/>
        </w:rPr>
      </w:pPr>
      <w:r>
        <w:rPr>
          <w:rFonts w:hint="eastAsia" w:ascii="宋体" w:hAnsi="宋体" w:cs="宋体"/>
          <w:bCs/>
          <w:spacing w:val="17"/>
          <w:kern w:val="2"/>
          <w:sz w:val="24"/>
          <w:szCs w:val="24"/>
          <w:lang w:val="en-US" w:eastAsia="zh-CN" w:bidi="ar-SA"/>
        </w:rPr>
        <w:t>10、幸福邻里中心（儿童之家）项目运行以及资金管理根据湖州市民政局湖州市财政局湖民〔2020〕17号</w:t>
      </w:r>
      <w:bookmarkStart w:id="17" w:name="bookmark1"/>
      <w:r>
        <w:rPr>
          <w:rFonts w:hint="eastAsia" w:ascii="宋体" w:hAnsi="宋体" w:cs="宋体"/>
          <w:bCs/>
          <w:spacing w:val="17"/>
          <w:kern w:val="2"/>
          <w:sz w:val="24"/>
          <w:szCs w:val="24"/>
          <w:lang w:val="en-US" w:eastAsia="zh-CN" w:bidi="ar-SA"/>
        </w:rPr>
        <w:t>《关于印发《湖州市区幸福邻里中心建设运营资金使用管理办法（试行）》的通知</w:t>
      </w:r>
      <w:bookmarkEnd w:id="17"/>
      <w:r>
        <w:rPr>
          <w:rFonts w:hint="eastAsia" w:ascii="宋体" w:hAnsi="宋体" w:cs="宋体"/>
          <w:bCs/>
          <w:spacing w:val="17"/>
          <w:kern w:val="2"/>
          <w:sz w:val="24"/>
          <w:szCs w:val="24"/>
          <w:lang w:val="en-US" w:eastAsia="zh-CN" w:bidi="ar-SA"/>
        </w:rPr>
        <w:t>、吴兴区民政局吴民〔2021〕10号《关于印发 &lt;湖州市吴兴区幸福邻里中心建设运营资金使用管理办法 (试行 )&gt;的通知》文件要求，湖州市民政局湖州市财政局湖民〔2023〕34号文件《关于印发幸福邻里中心关于“赋能”十条意见（试行）的通知》文件要求以及湖州市民政局、吴兴区民政局最新文件要求执行。</w:t>
      </w:r>
    </w:p>
    <w:p>
      <w:pPr>
        <w:autoSpaceDE w:val="0"/>
        <w:autoSpaceDN w:val="0"/>
        <w:adjustRightInd w:val="0"/>
        <w:snapToGrid w:val="0"/>
        <w:spacing w:line="380" w:lineRule="exact"/>
        <w:ind w:firstLine="482" w:firstLineChars="200"/>
        <w:textAlignment w:val="bottom"/>
        <w:rPr>
          <w:rFonts w:ascii="宋体" w:hAnsi="宋体" w:cs="宋体"/>
          <w:b/>
          <w:bCs/>
          <w:i/>
          <w:sz w:val="24"/>
          <w:u w:val="single"/>
        </w:rPr>
      </w:pPr>
      <w:r>
        <w:rPr>
          <w:rFonts w:hint="eastAsia" w:ascii="宋体" w:hAnsi="宋体" w:cs="宋体"/>
          <w:b/>
          <w:bCs/>
          <w:sz w:val="24"/>
        </w:rPr>
        <w:t>本采购文件中带“▲”的条款为实质性条款，竞标人必须在响应文件中全部作出响应，否则将作无效标处理；本采购文件中带“</w:t>
      </w:r>
      <w:r>
        <w:rPr>
          <w:rFonts w:hint="eastAsia" w:ascii="宋体" w:hAnsi="宋体" w:cs="宋体"/>
          <w:sz w:val="24"/>
        </w:rPr>
        <w:t>★</w:t>
      </w:r>
      <w:r>
        <w:rPr>
          <w:rFonts w:hint="eastAsia" w:ascii="宋体" w:hAnsi="宋体" w:cs="宋体"/>
          <w:b/>
          <w:bCs/>
          <w:sz w:val="24"/>
        </w:rPr>
        <w:t>”的条款为重要条款。</w:t>
      </w:r>
    </w:p>
    <w:p>
      <w:pPr>
        <w:spacing w:line="460" w:lineRule="exact"/>
        <w:ind w:firstLine="482" w:firstLineChars="200"/>
        <w:rPr>
          <w:rFonts w:ascii="宋体" w:hAnsi="宋体" w:cs="宋体"/>
          <w:b/>
          <w:sz w:val="24"/>
        </w:rPr>
      </w:pPr>
      <w:r>
        <w:rPr>
          <w:rFonts w:hint="eastAsia" w:ascii="宋体" w:hAnsi="宋体" w:cs="宋体"/>
          <w:b/>
          <w:sz w:val="24"/>
          <w:lang w:eastAsia="zh-CN"/>
        </w:rPr>
        <w:t>四</w:t>
      </w:r>
      <w:r>
        <w:rPr>
          <w:rFonts w:hint="eastAsia" w:ascii="宋体" w:hAnsi="宋体" w:cs="宋体"/>
          <w:b/>
          <w:sz w:val="24"/>
        </w:rPr>
        <w:t>、</w:t>
      </w:r>
      <w:r>
        <w:rPr>
          <w:rFonts w:hint="eastAsia" w:ascii="宋体" w:hAnsi="宋体" w:cs="宋体"/>
          <w:b/>
          <w:sz w:val="24"/>
          <w:lang w:val="en-US" w:eastAsia="zh-CN"/>
        </w:rPr>
        <w:t>商务要求</w:t>
      </w:r>
      <w:r>
        <w:rPr>
          <w:rFonts w:hint="eastAsia" w:ascii="宋体" w:hAnsi="宋体" w:cs="宋体"/>
          <w:b/>
          <w:sz w:val="24"/>
        </w:rPr>
        <w:t>：</w:t>
      </w:r>
    </w:p>
    <w:p>
      <w:pPr>
        <w:numPr>
          <w:ilvl w:val="0"/>
          <w:numId w:val="0"/>
        </w:numPr>
        <w:spacing w:line="460" w:lineRule="exact"/>
        <w:ind w:firstLine="480" w:firstLineChars="200"/>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（一）付款方式：</w:t>
      </w:r>
    </w:p>
    <w:p>
      <w:pPr>
        <w:pStyle w:val="21"/>
        <w:numPr>
          <w:ilvl w:val="0"/>
          <w:numId w:val="0"/>
        </w:numPr>
        <w:spacing w:line="440" w:lineRule="exact"/>
        <w:ind w:left="210" w:leftChars="0" w:firstLine="480" w:firstLineChars="200"/>
        <w:rPr>
          <w:rFonts w:hint="eastAsia" w:ascii="宋体" w:hAnsi="宋体" w:eastAsia="宋体" w:cs="宋体"/>
          <w:b w:val="0"/>
          <w:bCs/>
          <w:color w:val="auto"/>
          <w:sz w:val="24"/>
          <w:szCs w:val="24"/>
          <w:highlight w:val="none"/>
          <w:lang w:val="en-US" w:eastAsia="zh-Hans"/>
        </w:rPr>
      </w:pPr>
      <w:r>
        <w:rPr>
          <w:rFonts w:hint="eastAsia" w:ascii="宋体" w:hAnsi="宋体" w:eastAsia="宋体" w:cs="宋体"/>
          <w:b w:val="0"/>
          <w:bCs/>
          <w:color w:val="auto"/>
          <w:sz w:val="24"/>
          <w:szCs w:val="24"/>
          <w:highlight w:val="none"/>
          <w:lang w:val="en-US" w:eastAsia="zh-CN"/>
        </w:rPr>
        <w:t>幸福邻里中心、儿童之家一年</w:t>
      </w:r>
      <w:r>
        <w:rPr>
          <w:rFonts w:hint="eastAsia" w:ascii="宋体" w:hAnsi="宋体" w:eastAsia="宋体" w:cs="宋体"/>
          <w:b w:val="0"/>
          <w:bCs/>
          <w:color w:val="auto"/>
          <w:sz w:val="24"/>
          <w:szCs w:val="24"/>
          <w:highlight w:val="none"/>
          <w:lang w:val="en-US" w:eastAsia="zh-Hans"/>
        </w:rPr>
        <w:t>运行经费：合同生效以及</w:t>
      </w:r>
      <w:r>
        <w:rPr>
          <w:rFonts w:hint="eastAsia" w:ascii="宋体" w:hAnsi="宋体" w:eastAsia="宋体" w:cs="宋体"/>
          <w:b w:val="0"/>
          <w:bCs/>
          <w:color w:val="auto"/>
          <w:sz w:val="24"/>
          <w:szCs w:val="24"/>
          <w:highlight w:val="none"/>
          <w:lang w:val="en-US" w:eastAsia="zh-CN"/>
        </w:rPr>
        <w:t>上级资金拨款到位后</w:t>
      </w:r>
      <w:r>
        <w:rPr>
          <w:rFonts w:hint="eastAsia" w:ascii="宋体" w:hAnsi="宋体" w:cs="宋体"/>
          <w:b w:val="0"/>
          <w:bCs/>
          <w:color w:val="auto"/>
          <w:sz w:val="24"/>
          <w:szCs w:val="24"/>
          <w:highlight w:val="none"/>
          <w:lang w:val="en-US" w:eastAsia="zh-CN"/>
        </w:rPr>
        <w:t>60</w:t>
      </w:r>
      <w:r>
        <w:rPr>
          <w:rFonts w:hint="eastAsia" w:ascii="宋体" w:hAnsi="宋体" w:eastAsia="宋体" w:cs="宋体"/>
          <w:b w:val="0"/>
          <w:bCs/>
          <w:color w:val="auto"/>
          <w:sz w:val="24"/>
          <w:szCs w:val="24"/>
          <w:highlight w:val="none"/>
          <w:lang w:val="en-US" w:eastAsia="zh-Hans"/>
        </w:rPr>
        <w:t>日内</w:t>
      </w:r>
      <w:r>
        <w:rPr>
          <w:rFonts w:hint="eastAsia" w:ascii="宋体" w:hAnsi="宋体" w:eastAsia="宋体" w:cs="宋体"/>
          <w:b w:val="0"/>
          <w:bCs/>
          <w:color w:val="auto"/>
          <w:sz w:val="24"/>
          <w:szCs w:val="24"/>
          <w:highlight w:val="none"/>
          <w:lang w:val="en-US" w:eastAsia="zh-CN"/>
        </w:rPr>
        <w:t>支付中标金额的</w:t>
      </w:r>
      <w:r>
        <w:rPr>
          <w:rFonts w:hint="eastAsia" w:ascii="宋体" w:hAnsi="宋体" w:cs="宋体"/>
          <w:b w:val="0"/>
          <w:bCs/>
          <w:color w:val="auto"/>
          <w:sz w:val="24"/>
          <w:szCs w:val="24"/>
          <w:highlight w:val="none"/>
          <w:lang w:val="en-US" w:eastAsia="zh-CN"/>
        </w:rPr>
        <w:t>40</w:t>
      </w:r>
      <w:r>
        <w:rPr>
          <w:rFonts w:hint="eastAsia" w:ascii="宋体" w:hAnsi="宋体" w:eastAsia="宋体"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Hans"/>
        </w:rPr>
        <w:t>，</w:t>
      </w:r>
      <w:r>
        <w:rPr>
          <w:rFonts w:hint="eastAsia" w:ascii="宋体" w:hAnsi="宋体" w:eastAsia="宋体" w:cs="宋体"/>
          <w:b w:val="0"/>
          <w:bCs/>
          <w:color w:val="auto"/>
          <w:sz w:val="24"/>
          <w:szCs w:val="24"/>
          <w:highlight w:val="none"/>
          <w:lang w:val="en-US" w:eastAsia="zh-CN"/>
        </w:rPr>
        <w:t>中期评估合格后再支付中标金额的</w:t>
      </w:r>
      <w:r>
        <w:rPr>
          <w:rFonts w:hint="eastAsia" w:ascii="宋体" w:hAnsi="宋体" w:cs="宋体"/>
          <w:b w:val="0"/>
          <w:bCs/>
          <w:color w:val="auto"/>
          <w:sz w:val="24"/>
          <w:szCs w:val="24"/>
          <w:highlight w:val="none"/>
          <w:lang w:val="en-US" w:eastAsia="zh-CN"/>
        </w:rPr>
        <w:t>30</w:t>
      </w:r>
      <w:r>
        <w:rPr>
          <w:rFonts w:hint="eastAsia" w:ascii="宋体" w:hAnsi="宋体" w:eastAsia="宋体" w:cs="宋体"/>
          <w:b w:val="0"/>
          <w:bCs/>
          <w:color w:val="auto"/>
          <w:sz w:val="24"/>
          <w:szCs w:val="24"/>
          <w:highlight w:val="none"/>
          <w:lang w:val="en-US" w:eastAsia="zh-CN"/>
        </w:rPr>
        <w:t>%，中标金额的</w:t>
      </w:r>
      <w:r>
        <w:rPr>
          <w:rFonts w:hint="eastAsia" w:ascii="宋体" w:hAnsi="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val="en-US" w:eastAsia="zh-CN"/>
        </w:rPr>
        <w:t>0%作为期末评估考核资金</w:t>
      </w:r>
      <w:r>
        <w:rPr>
          <w:rFonts w:hint="eastAsia" w:ascii="宋体" w:hAnsi="宋体" w:eastAsia="宋体" w:cs="宋体"/>
          <w:b w:val="0"/>
          <w:bCs/>
          <w:color w:val="auto"/>
          <w:sz w:val="24"/>
          <w:szCs w:val="24"/>
          <w:highlight w:val="none"/>
          <w:lang w:val="en-US" w:eastAsia="zh-Hans"/>
        </w:rPr>
        <w:t>，</w:t>
      </w:r>
      <w:r>
        <w:rPr>
          <w:rFonts w:hint="eastAsia" w:ascii="宋体" w:hAnsi="宋体" w:eastAsia="宋体" w:cs="宋体"/>
          <w:b w:val="0"/>
          <w:bCs/>
          <w:color w:val="auto"/>
          <w:sz w:val="24"/>
          <w:szCs w:val="24"/>
          <w:highlight w:val="none"/>
          <w:lang w:val="en-US" w:eastAsia="zh-CN"/>
        </w:rPr>
        <w:t>按实际期末考核评估结果进行最终尾款的结算</w:t>
      </w:r>
      <w:r>
        <w:rPr>
          <w:rFonts w:hint="eastAsia" w:ascii="宋体" w:hAnsi="宋体" w:eastAsia="宋体" w:cs="宋体"/>
          <w:b w:val="0"/>
          <w:bCs/>
          <w:color w:val="auto"/>
          <w:sz w:val="24"/>
          <w:szCs w:val="24"/>
          <w:highlight w:val="none"/>
          <w:lang w:val="en-US" w:eastAsia="zh-Hans"/>
        </w:rPr>
        <w:t>。注：若中标供应商明确表示无需预付款或者主动要求降低预付款比例的，采购人可不适用前述规定。</w:t>
      </w:r>
    </w:p>
    <w:p>
      <w:pPr>
        <w:pStyle w:val="38"/>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kern w:val="0"/>
          <w:sz w:val="24"/>
          <w:highlight w:val="none"/>
        </w:rPr>
      </w:pPr>
      <w:r>
        <w:rPr>
          <w:rFonts w:hint="eastAsia" w:ascii="宋体" w:hAnsi="宋体" w:eastAsia="宋体" w:cs="宋体"/>
          <w:kern w:val="0"/>
          <w:sz w:val="24"/>
          <w:highlight w:val="none"/>
        </w:rPr>
        <w:t>备注:中期评估结果分为2个等次“合格”、“不合格”(</w:t>
      </w:r>
      <w:r>
        <w:rPr>
          <w:rFonts w:hint="eastAsia" w:ascii="宋体" w:hAnsi="宋体"/>
          <w:bCs/>
          <w:kern w:val="0"/>
          <w:sz w:val="24"/>
          <w:highlight w:val="none"/>
        </w:rPr>
        <w:t>70分（含70分）以上为“合格”、70分以下为“不合格”</w:t>
      </w:r>
      <w:r>
        <w:rPr>
          <w:rFonts w:hint="eastAsia" w:ascii="宋体" w:hAnsi="宋体" w:eastAsia="宋体" w:cs="宋体"/>
          <w:kern w:val="0"/>
          <w:sz w:val="24"/>
          <w:highlight w:val="none"/>
        </w:rPr>
        <w:t>)。中期评估结果</w:t>
      </w:r>
      <w:r>
        <w:rPr>
          <w:rFonts w:hint="eastAsia" w:ascii="宋体" w:hAnsi="宋体" w:eastAsia="宋体" w:cs="宋体"/>
          <w:kern w:val="0"/>
          <w:sz w:val="24"/>
          <w:highlight w:val="none"/>
          <w:lang w:eastAsia="zh-CN"/>
        </w:rPr>
        <w:t>达到</w:t>
      </w:r>
      <w:r>
        <w:rPr>
          <w:rFonts w:hint="eastAsia" w:ascii="宋体" w:hAnsi="宋体" w:eastAsia="宋体" w:cs="宋体"/>
          <w:kern w:val="0"/>
          <w:sz w:val="24"/>
          <w:highlight w:val="none"/>
        </w:rPr>
        <w:t>“合格”的，向</w:t>
      </w:r>
      <w:r>
        <w:rPr>
          <w:rFonts w:hint="eastAsia" w:ascii="宋体" w:hAnsi="宋体" w:eastAsia="宋体" w:cs="宋体"/>
          <w:kern w:val="0"/>
          <w:sz w:val="24"/>
          <w:highlight w:val="none"/>
          <w:lang w:eastAsia="zh-CN"/>
        </w:rPr>
        <w:t>乙方全额</w:t>
      </w:r>
      <w:r>
        <w:rPr>
          <w:rFonts w:hint="eastAsia" w:ascii="宋体" w:hAnsi="宋体" w:eastAsia="宋体" w:cs="宋体"/>
          <w:kern w:val="0"/>
          <w:sz w:val="24"/>
          <w:highlight w:val="none"/>
        </w:rPr>
        <w:t>拨付项目服务中期款</w:t>
      </w:r>
      <w:r>
        <w:rPr>
          <w:rFonts w:hint="eastAsia" w:ascii="宋体" w:hAnsi="宋体" w:eastAsia="宋体" w:cs="宋体"/>
          <w:kern w:val="0"/>
          <w:sz w:val="24"/>
          <w:highlight w:val="none"/>
          <w:lang w:eastAsia="zh-CN"/>
        </w:rPr>
        <w:t>（即年服务费用的</w:t>
      </w:r>
      <w:r>
        <w:rPr>
          <w:rFonts w:hint="eastAsia" w:ascii="宋体" w:hAnsi="宋体" w:eastAsia="宋体" w:cs="宋体"/>
          <w:kern w:val="0"/>
          <w:sz w:val="24"/>
          <w:highlight w:val="none"/>
          <w:lang w:val="en-US" w:eastAsia="zh-CN"/>
        </w:rPr>
        <w:t>30%</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rPr>
        <w:t>。评估结果为“不合格”的，向</w:t>
      </w:r>
      <w:r>
        <w:rPr>
          <w:rFonts w:hint="eastAsia" w:ascii="宋体" w:hAnsi="宋体" w:eastAsia="宋体" w:cs="宋体"/>
          <w:kern w:val="0"/>
          <w:sz w:val="24"/>
          <w:highlight w:val="none"/>
          <w:lang w:eastAsia="zh-CN"/>
        </w:rPr>
        <w:t>乙方</w:t>
      </w:r>
      <w:r>
        <w:rPr>
          <w:rFonts w:hint="eastAsia" w:ascii="宋体" w:hAnsi="宋体" w:eastAsia="宋体" w:cs="宋体"/>
          <w:kern w:val="0"/>
          <w:sz w:val="24"/>
          <w:highlight w:val="none"/>
        </w:rPr>
        <w:t>拨付项目服务</w:t>
      </w:r>
      <w:r>
        <w:rPr>
          <w:rFonts w:hint="eastAsia" w:ascii="宋体" w:hAnsi="宋体" w:eastAsia="宋体" w:cs="宋体"/>
          <w:kern w:val="0"/>
          <w:sz w:val="24"/>
          <w:highlight w:val="none"/>
          <w:lang w:eastAsia="zh-CN"/>
        </w:rPr>
        <w:t>中期款项的</w:t>
      </w:r>
      <w:r>
        <w:rPr>
          <w:rFonts w:hint="eastAsia" w:ascii="宋体" w:hAnsi="宋体" w:eastAsia="宋体" w:cs="宋体"/>
          <w:kern w:val="0"/>
          <w:sz w:val="24"/>
          <w:highlight w:val="none"/>
          <w:lang w:val="en-US" w:eastAsia="zh-CN"/>
        </w:rPr>
        <w:t>90%</w:t>
      </w:r>
      <w:r>
        <w:rPr>
          <w:rFonts w:hint="eastAsia" w:ascii="宋体" w:hAnsi="宋体" w:eastAsia="宋体" w:cs="宋体"/>
          <w:kern w:val="0"/>
          <w:sz w:val="24"/>
          <w:highlight w:val="none"/>
          <w:lang w:eastAsia="zh-CN"/>
        </w:rPr>
        <w:t>（即年服务费用的</w:t>
      </w:r>
      <w:r>
        <w:rPr>
          <w:rFonts w:hint="eastAsia" w:ascii="宋体" w:hAnsi="宋体" w:eastAsia="宋体" w:cs="宋体"/>
          <w:kern w:val="0"/>
          <w:sz w:val="24"/>
          <w:highlight w:val="none"/>
          <w:lang w:val="en-US" w:eastAsia="zh-CN"/>
        </w:rPr>
        <w:t>30%中的90%</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lang w:val="en-US" w:eastAsia="zh-CN"/>
        </w:rPr>
        <w:t>并</w:t>
      </w:r>
      <w:r>
        <w:rPr>
          <w:rFonts w:hint="eastAsia" w:ascii="宋体" w:hAnsi="宋体" w:eastAsia="宋体" w:cs="宋体"/>
          <w:kern w:val="0"/>
          <w:sz w:val="24"/>
          <w:highlight w:val="none"/>
          <w:lang w:eastAsia="zh-CN"/>
        </w:rPr>
        <w:t>由甲方</w:t>
      </w:r>
      <w:r>
        <w:rPr>
          <w:rFonts w:hint="eastAsia" w:ascii="宋体" w:hAnsi="宋体" w:eastAsia="宋体" w:cs="宋体"/>
          <w:kern w:val="0"/>
          <w:sz w:val="24"/>
          <w:highlight w:val="none"/>
        </w:rPr>
        <w:t>责令</w:t>
      </w:r>
      <w:r>
        <w:rPr>
          <w:rFonts w:hint="eastAsia" w:ascii="宋体" w:hAnsi="宋体" w:eastAsia="宋体" w:cs="宋体"/>
          <w:kern w:val="0"/>
          <w:sz w:val="24"/>
          <w:highlight w:val="none"/>
          <w:lang w:eastAsia="zh-CN"/>
        </w:rPr>
        <w:t>乙方</w:t>
      </w:r>
      <w:r>
        <w:rPr>
          <w:rFonts w:hint="eastAsia" w:ascii="宋体" w:hAnsi="宋体" w:eastAsia="宋体" w:cs="宋体"/>
          <w:kern w:val="0"/>
          <w:sz w:val="24"/>
          <w:highlight w:val="none"/>
        </w:rPr>
        <w:t>进行整改</w:t>
      </w:r>
      <w:r>
        <w:rPr>
          <w:rFonts w:hint="eastAsia" w:ascii="宋体" w:hAnsi="宋体" w:eastAsia="宋体" w:cs="宋体"/>
          <w:kern w:val="0"/>
          <w:sz w:val="24"/>
          <w:highlight w:val="none"/>
          <w:lang w:eastAsia="zh-CN"/>
        </w:rPr>
        <w:t>到位，经甲方再次评估达到合格后再进行支付中期款项中的</w:t>
      </w:r>
      <w:r>
        <w:rPr>
          <w:rFonts w:hint="eastAsia" w:ascii="宋体" w:hAnsi="宋体" w:eastAsia="宋体" w:cs="宋体"/>
          <w:kern w:val="0"/>
          <w:sz w:val="24"/>
          <w:highlight w:val="none"/>
          <w:lang w:val="en-US" w:eastAsia="zh-CN"/>
        </w:rPr>
        <w:t>10%</w:t>
      </w:r>
      <w:r>
        <w:rPr>
          <w:rFonts w:hint="eastAsia" w:ascii="宋体" w:hAnsi="宋体" w:eastAsia="宋体" w:cs="宋体"/>
          <w:kern w:val="0"/>
          <w:sz w:val="24"/>
          <w:highlight w:val="none"/>
          <w:lang w:eastAsia="zh-CN"/>
        </w:rPr>
        <w:t>（即年服务费用的</w:t>
      </w:r>
      <w:r>
        <w:rPr>
          <w:rFonts w:hint="eastAsia" w:ascii="宋体" w:hAnsi="宋体" w:eastAsia="宋体" w:cs="宋体"/>
          <w:kern w:val="0"/>
          <w:sz w:val="24"/>
          <w:highlight w:val="none"/>
          <w:lang w:val="en-US" w:eastAsia="zh-CN"/>
        </w:rPr>
        <w:t>30%中的10%</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rPr>
        <w:t>整改后</w:t>
      </w:r>
      <w:r>
        <w:rPr>
          <w:rFonts w:hint="eastAsia" w:ascii="宋体" w:hAnsi="宋体" w:eastAsia="宋体" w:cs="宋体"/>
          <w:kern w:val="0"/>
          <w:sz w:val="24"/>
          <w:highlight w:val="none"/>
          <w:lang w:eastAsia="zh-CN"/>
        </w:rPr>
        <w:t>经甲方再次评估</w:t>
      </w:r>
      <w:r>
        <w:rPr>
          <w:rFonts w:hint="eastAsia" w:ascii="宋体" w:hAnsi="宋体" w:eastAsia="宋体" w:cs="宋体"/>
          <w:kern w:val="0"/>
          <w:sz w:val="24"/>
          <w:highlight w:val="none"/>
        </w:rPr>
        <w:t>仍不合格的，</w:t>
      </w:r>
      <w:r>
        <w:rPr>
          <w:rFonts w:hint="eastAsia" w:ascii="宋体" w:hAnsi="宋体" w:eastAsia="宋体" w:cs="宋体"/>
          <w:kern w:val="0"/>
          <w:sz w:val="24"/>
          <w:highlight w:val="none"/>
          <w:lang w:eastAsia="zh-CN"/>
        </w:rPr>
        <w:t>中期款项的</w:t>
      </w:r>
      <w:r>
        <w:rPr>
          <w:rFonts w:hint="eastAsia" w:ascii="宋体" w:hAnsi="宋体" w:eastAsia="宋体" w:cs="宋体"/>
          <w:kern w:val="0"/>
          <w:sz w:val="24"/>
          <w:highlight w:val="none"/>
          <w:lang w:val="en-US" w:eastAsia="zh-CN"/>
        </w:rPr>
        <w:t>10%将不再进行</w:t>
      </w:r>
      <w:r>
        <w:rPr>
          <w:rFonts w:hint="eastAsia" w:ascii="宋体" w:hAnsi="宋体" w:cs="宋体"/>
          <w:sz w:val="24"/>
          <w:highlight w:val="none"/>
        </w:rPr>
        <w:t>拨付</w:t>
      </w:r>
      <w:r>
        <w:rPr>
          <w:rFonts w:hint="eastAsia" w:ascii="宋体" w:hAnsi="宋体" w:eastAsia="宋体" w:cs="宋体"/>
          <w:kern w:val="0"/>
          <w:sz w:val="24"/>
          <w:highlight w:val="none"/>
        </w:rPr>
        <w:t>。</w:t>
      </w:r>
    </w:p>
    <w:p>
      <w:pPr>
        <w:pStyle w:val="38"/>
        <w:keepNext w:val="0"/>
        <w:keepLines w:val="0"/>
        <w:pageBreakBefore w:val="0"/>
        <w:widowControl w:val="0"/>
        <w:kinsoku/>
        <w:wordWrap/>
        <w:overflowPunct/>
        <w:topLinePunct w:val="0"/>
        <w:autoSpaceDE/>
        <w:autoSpaceDN/>
        <w:bidi w:val="0"/>
        <w:adjustRightInd/>
        <w:snapToGrid w:val="0"/>
        <w:spacing w:line="440" w:lineRule="exact"/>
        <w:ind w:firstLine="480" w:firstLineChars="200"/>
        <w:jc w:val="left"/>
        <w:textAlignment w:val="auto"/>
        <w:rPr>
          <w:rFonts w:hint="eastAsia" w:ascii="宋体" w:hAnsi="宋体" w:eastAsia="宋体" w:cs="宋体"/>
          <w:b/>
          <w:highlight w:val="none"/>
          <w:u w:val="single"/>
          <w:lang w:eastAsia="zh-CN"/>
        </w:rPr>
      </w:pPr>
      <w:r>
        <w:rPr>
          <w:rFonts w:hint="eastAsia" w:ascii="宋体" w:hAnsi="宋体" w:eastAsia="宋体" w:cs="宋体"/>
          <w:kern w:val="0"/>
          <w:sz w:val="24"/>
          <w:highlight w:val="none"/>
        </w:rPr>
        <w:t>期末评估。期末评估分期分</w:t>
      </w:r>
      <w:r>
        <w:rPr>
          <w:rFonts w:hint="eastAsia" w:ascii="宋体" w:hAnsi="宋体" w:eastAsia="宋体" w:cs="宋体"/>
          <w:kern w:val="0"/>
          <w:sz w:val="24"/>
          <w:highlight w:val="none"/>
          <w:lang w:val="en-US" w:eastAsia="zh-CN"/>
        </w:rPr>
        <w:t>4</w:t>
      </w:r>
      <w:r>
        <w:rPr>
          <w:rFonts w:hint="eastAsia" w:ascii="宋体" w:hAnsi="宋体" w:eastAsia="宋体" w:cs="宋体"/>
          <w:kern w:val="0"/>
          <w:sz w:val="24"/>
          <w:highlight w:val="none"/>
        </w:rPr>
        <w:t>个等次，</w:t>
      </w:r>
      <w:r>
        <w:rPr>
          <w:rFonts w:hint="eastAsia" w:ascii="宋体" w:hAnsi="宋体"/>
          <w:bCs/>
          <w:kern w:val="0"/>
          <w:sz w:val="24"/>
          <w:highlight w:val="none"/>
        </w:rPr>
        <w:t>90分（含90分）以上为“优秀”、80分（含80分）以上为“良好”、70分（含70分）以上为“合格”、70分以下为“不合格”</w:t>
      </w:r>
      <w:r>
        <w:rPr>
          <w:rFonts w:hint="eastAsia" w:ascii="宋体" w:hAnsi="宋体" w:eastAsia="宋体" w:cs="宋体"/>
          <w:kern w:val="0"/>
          <w:sz w:val="24"/>
          <w:highlight w:val="none"/>
        </w:rPr>
        <w:t>。期末评估</w:t>
      </w:r>
      <w:r>
        <w:rPr>
          <w:rFonts w:hint="eastAsia" w:ascii="宋体" w:hAnsi="宋体" w:eastAsia="宋体" w:cs="宋体"/>
          <w:kern w:val="0"/>
          <w:sz w:val="24"/>
          <w:highlight w:val="none"/>
          <w:lang w:eastAsia="zh-CN"/>
        </w:rPr>
        <w:t>考核</w:t>
      </w:r>
      <w:r>
        <w:rPr>
          <w:rFonts w:hint="eastAsia" w:ascii="宋体" w:hAnsi="宋体" w:eastAsia="宋体" w:cs="宋体"/>
          <w:kern w:val="0"/>
          <w:sz w:val="24"/>
          <w:highlight w:val="none"/>
        </w:rPr>
        <w:t>结果为</w:t>
      </w:r>
      <w:r>
        <w:rPr>
          <w:rFonts w:hint="eastAsia" w:ascii="宋体" w:hAnsi="宋体" w:eastAsia="宋体" w:cs="宋体"/>
          <w:kern w:val="0"/>
          <w:sz w:val="24"/>
          <w:highlight w:val="none"/>
          <w:lang w:eastAsia="zh-CN"/>
        </w:rPr>
        <w:t>达到良好及以上</w:t>
      </w:r>
      <w:r>
        <w:rPr>
          <w:rFonts w:hint="eastAsia" w:ascii="宋体" w:hAnsi="宋体" w:eastAsia="宋体" w:cs="宋体"/>
          <w:kern w:val="0"/>
          <w:sz w:val="24"/>
          <w:highlight w:val="none"/>
        </w:rPr>
        <w:t>的</w:t>
      </w:r>
      <w:r>
        <w:rPr>
          <w:rFonts w:hint="eastAsia" w:ascii="宋体" w:hAnsi="宋体" w:eastAsia="宋体" w:cs="宋体"/>
          <w:kern w:val="0"/>
          <w:sz w:val="24"/>
          <w:highlight w:val="none"/>
          <w:lang w:eastAsia="zh-CN"/>
        </w:rPr>
        <w:t>，向乙方全额拨付年服务费余款</w:t>
      </w:r>
      <w:r>
        <w:rPr>
          <w:rFonts w:hint="eastAsia" w:ascii="宋体" w:hAnsi="宋体" w:eastAsia="宋体" w:cs="宋体"/>
          <w:kern w:val="0"/>
          <w:sz w:val="24"/>
          <w:highlight w:val="none"/>
        </w:rPr>
        <w:t>(</w:t>
      </w:r>
      <w:r>
        <w:rPr>
          <w:rFonts w:hint="eastAsia" w:ascii="宋体" w:hAnsi="宋体" w:eastAsia="宋体" w:cs="宋体"/>
          <w:kern w:val="0"/>
          <w:sz w:val="24"/>
          <w:highlight w:val="none"/>
          <w:lang w:val="en-US" w:eastAsia="zh-CN"/>
        </w:rPr>
        <w:t>即年服务费的</w:t>
      </w:r>
      <w:r>
        <w:rPr>
          <w:rFonts w:hint="eastAsia" w:ascii="宋体" w:hAnsi="宋体" w:cs="宋体"/>
          <w:kern w:val="0"/>
          <w:sz w:val="24"/>
          <w:highlight w:val="none"/>
          <w:lang w:val="en-US" w:eastAsia="zh-CN"/>
        </w:rPr>
        <w:t>3</w:t>
      </w:r>
      <w:r>
        <w:rPr>
          <w:rFonts w:hint="eastAsia" w:ascii="宋体" w:hAnsi="宋体" w:eastAsia="宋体" w:cs="宋体"/>
          <w:kern w:val="0"/>
          <w:sz w:val="24"/>
          <w:highlight w:val="none"/>
          <w:lang w:val="en-US" w:eastAsia="zh-CN"/>
        </w:rPr>
        <w:t>0%)</w:t>
      </w:r>
      <w:r>
        <w:rPr>
          <w:rFonts w:hint="eastAsia" w:ascii="宋体" w:hAnsi="宋体" w:eastAsia="宋体" w:cs="宋体"/>
          <w:kern w:val="0"/>
          <w:sz w:val="24"/>
          <w:highlight w:val="none"/>
        </w:rPr>
        <w:t>。评估</w:t>
      </w:r>
      <w:r>
        <w:rPr>
          <w:rFonts w:hint="eastAsia" w:ascii="宋体" w:hAnsi="宋体" w:eastAsia="宋体" w:cs="宋体"/>
          <w:kern w:val="0"/>
          <w:sz w:val="24"/>
          <w:highlight w:val="none"/>
          <w:lang w:eastAsia="zh-CN"/>
        </w:rPr>
        <w:t>考核</w:t>
      </w:r>
      <w:r>
        <w:rPr>
          <w:rFonts w:hint="eastAsia" w:ascii="宋体" w:hAnsi="宋体" w:eastAsia="宋体" w:cs="宋体"/>
          <w:kern w:val="0"/>
          <w:sz w:val="24"/>
          <w:highlight w:val="none"/>
        </w:rPr>
        <w:t>结果</w:t>
      </w:r>
      <w:r>
        <w:rPr>
          <w:rFonts w:hint="eastAsia" w:ascii="宋体" w:hAnsi="宋体" w:eastAsia="宋体" w:cs="宋体"/>
          <w:kern w:val="0"/>
          <w:sz w:val="24"/>
          <w:highlight w:val="none"/>
          <w:lang w:eastAsia="zh-CN"/>
        </w:rPr>
        <w:t>达到</w:t>
      </w:r>
      <w:r>
        <w:rPr>
          <w:rFonts w:hint="eastAsia" w:ascii="宋体" w:hAnsi="宋体" w:eastAsia="宋体" w:cs="宋体"/>
          <w:kern w:val="0"/>
          <w:sz w:val="24"/>
          <w:highlight w:val="none"/>
        </w:rPr>
        <w:t>“</w:t>
      </w:r>
      <w:r>
        <w:rPr>
          <w:rFonts w:hint="eastAsia" w:ascii="宋体" w:hAnsi="宋体" w:eastAsia="宋体" w:cs="宋体"/>
          <w:kern w:val="0"/>
          <w:sz w:val="24"/>
          <w:highlight w:val="none"/>
          <w:lang w:eastAsia="zh-CN"/>
        </w:rPr>
        <w:t>合格</w:t>
      </w:r>
      <w:r>
        <w:rPr>
          <w:rFonts w:hint="eastAsia" w:ascii="宋体" w:hAnsi="宋体" w:eastAsia="宋体" w:cs="宋体"/>
          <w:kern w:val="0"/>
          <w:sz w:val="24"/>
          <w:highlight w:val="none"/>
        </w:rPr>
        <w:t>”的，</w:t>
      </w:r>
      <w:r>
        <w:rPr>
          <w:rFonts w:hint="eastAsia" w:ascii="宋体" w:hAnsi="宋体" w:eastAsia="宋体" w:cs="宋体"/>
          <w:kern w:val="0"/>
          <w:sz w:val="24"/>
          <w:highlight w:val="none"/>
          <w:lang w:eastAsia="zh-CN"/>
        </w:rPr>
        <w:t>向乙方拨付年服务费余款的</w:t>
      </w:r>
      <w:r>
        <w:rPr>
          <w:rFonts w:hint="eastAsia" w:ascii="宋体" w:hAnsi="宋体" w:eastAsia="宋体" w:cs="宋体"/>
          <w:kern w:val="0"/>
          <w:sz w:val="24"/>
          <w:highlight w:val="none"/>
          <w:lang w:val="en-US" w:eastAsia="zh-CN"/>
        </w:rPr>
        <w:t>90%</w:t>
      </w:r>
      <w:r>
        <w:rPr>
          <w:rFonts w:hint="eastAsia" w:ascii="宋体" w:hAnsi="宋体" w:eastAsia="宋体" w:cs="宋体"/>
          <w:kern w:val="0"/>
          <w:sz w:val="24"/>
          <w:highlight w:val="none"/>
          <w:lang w:eastAsia="zh-CN"/>
        </w:rPr>
        <w:t>（即年服务费用的</w:t>
      </w:r>
      <w:r>
        <w:rPr>
          <w:rFonts w:hint="eastAsia" w:ascii="宋体" w:hAnsi="宋体" w:cs="宋体"/>
          <w:kern w:val="0"/>
          <w:sz w:val="24"/>
          <w:highlight w:val="none"/>
          <w:lang w:val="en-US" w:eastAsia="zh-CN"/>
        </w:rPr>
        <w:t>3</w:t>
      </w:r>
      <w:r>
        <w:rPr>
          <w:rFonts w:hint="eastAsia" w:ascii="宋体" w:hAnsi="宋体" w:eastAsia="宋体" w:cs="宋体"/>
          <w:kern w:val="0"/>
          <w:sz w:val="24"/>
          <w:highlight w:val="none"/>
          <w:lang w:val="en-US" w:eastAsia="zh-CN"/>
        </w:rPr>
        <w:t>0%中的90%</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lang w:val="en-US" w:eastAsia="zh-CN"/>
        </w:rPr>
        <w:t>并</w:t>
      </w:r>
      <w:r>
        <w:rPr>
          <w:rFonts w:hint="eastAsia" w:ascii="宋体" w:hAnsi="宋体" w:eastAsia="宋体" w:cs="宋体"/>
          <w:kern w:val="0"/>
          <w:sz w:val="24"/>
          <w:highlight w:val="none"/>
          <w:lang w:eastAsia="zh-CN"/>
        </w:rPr>
        <w:t>由甲方</w:t>
      </w:r>
      <w:r>
        <w:rPr>
          <w:rFonts w:hint="eastAsia" w:ascii="宋体" w:hAnsi="宋体" w:eastAsia="宋体" w:cs="宋体"/>
          <w:kern w:val="0"/>
          <w:sz w:val="24"/>
          <w:highlight w:val="none"/>
        </w:rPr>
        <w:t>责令</w:t>
      </w:r>
      <w:r>
        <w:rPr>
          <w:rFonts w:hint="eastAsia" w:ascii="宋体" w:hAnsi="宋体" w:eastAsia="宋体" w:cs="宋体"/>
          <w:kern w:val="0"/>
          <w:sz w:val="24"/>
          <w:highlight w:val="none"/>
          <w:lang w:eastAsia="zh-CN"/>
        </w:rPr>
        <w:t>乙方</w:t>
      </w:r>
      <w:r>
        <w:rPr>
          <w:rFonts w:hint="eastAsia" w:ascii="宋体" w:hAnsi="宋体" w:eastAsia="宋体" w:cs="宋体"/>
          <w:kern w:val="0"/>
          <w:sz w:val="24"/>
          <w:highlight w:val="none"/>
        </w:rPr>
        <w:t>进行整改</w:t>
      </w:r>
      <w:r>
        <w:rPr>
          <w:rFonts w:hint="eastAsia" w:ascii="宋体" w:hAnsi="宋体" w:eastAsia="宋体" w:cs="宋体"/>
          <w:kern w:val="0"/>
          <w:sz w:val="24"/>
          <w:highlight w:val="none"/>
          <w:lang w:eastAsia="zh-CN"/>
        </w:rPr>
        <w:t>到位，经乙方再次评估达到良好及以上再进行支付年服务费余款中的</w:t>
      </w:r>
      <w:r>
        <w:rPr>
          <w:rFonts w:hint="eastAsia" w:ascii="宋体" w:hAnsi="宋体" w:eastAsia="宋体" w:cs="宋体"/>
          <w:kern w:val="0"/>
          <w:sz w:val="24"/>
          <w:highlight w:val="none"/>
          <w:lang w:val="en-US" w:eastAsia="zh-CN"/>
        </w:rPr>
        <w:t>10%</w:t>
      </w:r>
      <w:r>
        <w:rPr>
          <w:rFonts w:hint="eastAsia" w:ascii="宋体" w:hAnsi="宋体" w:eastAsia="宋体" w:cs="宋体"/>
          <w:kern w:val="0"/>
          <w:sz w:val="24"/>
          <w:highlight w:val="none"/>
          <w:lang w:eastAsia="zh-CN"/>
        </w:rPr>
        <w:t>（即年服务费用的</w:t>
      </w:r>
      <w:r>
        <w:rPr>
          <w:rFonts w:hint="eastAsia" w:ascii="宋体" w:hAnsi="宋体" w:cs="宋体"/>
          <w:kern w:val="0"/>
          <w:sz w:val="24"/>
          <w:highlight w:val="none"/>
          <w:lang w:val="en-US" w:eastAsia="zh-CN"/>
        </w:rPr>
        <w:t>3</w:t>
      </w:r>
      <w:r>
        <w:rPr>
          <w:rFonts w:hint="eastAsia" w:ascii="宋体" w:hAnsi="宋体" w:eastAsia="宋体" w:cs="宋体"/>
          <w:kern w:val="0"/>
          <w:sz w:val="24"/>
          <w:highlight w:val="none"/>
          <w:lang w:val="en-US" w:eastAsia="zh-CN"/>
        </w:rPr>
        <w:t>0%中的10%</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rPr>
        <w:t>整改后</w:t>
      </w:r>
      <w:r>
        <w:rPr>
          <w:rFonts w:hint="eastAsia" w:ascii="宋体" w:hAnsi="宋体" w:eastAsia="宋体" w:cs="宋体"/>
          <w:kern w:val="0"/>
          <w:sz w:val="24"/>
          <w:highlight w:val="none"/>
          <w:lang w:eastAsia="zh-CN"/>
        </w:rPr>
        <w:t>经甲方再次评估</w:t>
      </w:r>
      <w:r>
        <w:rPr>
          <w:rFonts w:hint="eastAsia" w:ascii="宋体" w:hAnsi="宋体" w:eastAsia="宋体" w:cs="宋体"/>
          <w:kern w:val="0"/>
          <w:sz w:val="24"/>
          <w:highlight w:val="none"/>
        </w:rPr>
        <w:t>仍</w:t>
      </w:r>
      <w:r>
        <w:rPr>
          <w:rFonts w:hint="eastAsia" w:ascii="宋体" w:hAnsi="宋体" w:eastAsia="宋体" w:cs="宋体"/>
          <w:kern w:val="0"/>
          <w:sz w:val="24"/>
          <w:highlight w:val="none"/>
          <w:lang w:eastAsia="zh-CN"/>
        </w:rPr>
        <w:t>达不到良好及以上</w:t>
      </w:r>
      <w:r>
        <w:rPr>
          <w:rFonts w:hint="eastAsia" w:ascii="宋体" w:hAnsi="宋体" w:eastAsia="宋体" w:cs="宋体"/>
          <w:kern w:val="0"/>
          <w:sz w:val="24"/>
          <w:highlight w:val="none"/>
        </w:rPr>
        <w:t>的，</w:t>
      </w:r>
      <w:r>
        <w:rPr>
          <w:rFonts w:hint="eastAsia" w:ascii="宋体" w:hAnsi="宋体" w:eastAsia="宋体" w:cs="宋体"/>
          <w:kern w:val="0"/>
          <w:sz w:val="24"/>
          <w:highlight w:val="none"/>
          <w:lang w:eastAsia="zh-CN"/>
        </w:rPr>
        <w:t>年服务费余款中的</w:t>
      </w:r>
      <w:r>
        <w:rPr>
          <w:rFonts w:hint="eastAsia" w:ascii="宋体" w:hAnsi="宋体" w:eastAsia="宋体" w:cs="宋体"/>
          <w:kern w:val="0"/>
          <w:sz w:val="24"/>
          <w:highlight w:val="none"/>
          <w:lang w:val="en-US" w:eastAsia="zh-CN"/>
        </w:rPr>
        <w:t>10%</w:t>
      </w:r>
      <w:r>
        <w:rPr>
          <w:rFonts w:hint="eastAsia" w:ascii="宋体" w:hAnsi="宋体" w:eastAsia="宋体" w:cs="宋体"/>
          <w:kern w:val="0"/>
          <w:sz w:val="24"/>
          <w:highlight w:val="none"/>
          <w:lang w:eastAsia="zh-CN"/>
        </w:rPr>
        <w:t>（即年服务费用的</w:t>
      </w:r>
      <w:r>
        <w:rPr>
          <w:rFonts w:hint="eastAsia" w:ascii="宋体" w:hAnsi="宋体" w:cs="宋体"/>
          <w:kern w:val="0"/>
          <w:sz w:val="24"/>
          <w:highlight w:val="none"/>
          <w:lang w:val="en-US" w:eastAsia="zh-CN"/>
        </w:rPr>
        <w:t>3</w:t>
      </w:r>
      <w:r>
        <w:rPr>
          <w:rFonts w:hint="eastAsia" w:ascii="宋体" w:hAnsi="宋体" w:eastAsia="宋体" w:cs="宋体"/>
          <w:kern w:val="0"/>
          <w:sz w:val="24"/>
          <w:highlight w:val="none"/>
          <w:lang w:val="en-US" w:eastAsia="zh-CN"/>
        </w:rPr>
        <w:t>0%中的10%</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lang w:val="en-US" w:eastAsia="zh-CN"/>
        </w:rPr>
        <w:t>将不再进行</w:t>
      </w:r>
      <w:r>
        <w:rPr>
          <w:rFonts w:hint="eastAsia" w:ascii="宋体" w:hAnsi="宋体" w:cs="宋体"/>
          <w:sz w:val="24"/>
          <w:highlight w:val="none"/>
        </w:rPr>
        <w:t>拨付</w:t>
      </w:r>
      <w:r>
        <w:rPr>
          <w:rFonts w:hint="eastAsia" w:ascii="宋体" w:hAnsi="宋体" w:eastAsia="宋体" w:cs="宋体"/>
          <w:kern w:val="0"/>
          <w:sz w:val="24"/>
          <w:highlight w:val="none"/>
        </w:rPr>
        <w:t>。</w:t>
      </w:r>
      <w:r>
        <w:rPr>
          <w:rFonts w:hint="eastAsia" w:ascii="宋体" w:hAnsi="宋体" w:eastAsia="宋体" w:cs="宋体"/>
          <w:kern w:val="0"/>
          <w:sz w:val="24"/>
          <w:highlight w:val="none"/>
          <w:lang w:val="en-US" w:eastAsia="zh-CN"/>
        </w:rPr>
        <w:t>期末评估结果</w:t>
      </w:r>
      <w:r>
        <w:rPr>
          <w:rFonts w:hint="eastAsia" w:ascii="宋体" w:hAnsi="宋体" w:cs="宋体"/>
          <w:sz w:val="24"/>
          <w:highlight w:val="none"/>
        </w:rPr>
        <w:t>为“不合格”的，</w:t>
      </w:r>
      <w:r>
        <w:rPr>
          <w:rFonts w:hint="eastAsia" w:ascii="宋体" w:hAnsi="宋体" w:eastAsia="宋体" w:cs="宋体"/>
          <w:kern w:val="0"/>
          <w:sz w:val="24"/>
          <w:highlight w:val="none"/>
          <w:lang w:eastAsia="zh-CN"/>
        </w:rPr>
        <w:t>向乙方拨付年服务费余款的</w:t>
      </w:r>
      <w:r>
        <w:rPr>
          <w:rFonts w:hint="eastAsia" w:ascii="宋体" w:hAnsi="宋体" w:cs="宋体"/>
          <w:kern w:val="0"/>
          <w:sz w:val="24"/>
          <w:highlight w:val="none"/>
          <w:lang w:val="en-US" w:eastAsia="zh-CN"/>
        </w:rPr>
        <w:t>5</w:t>
      </w:r>
      <w:r>
        <w:rPr>
          <w:rFonts w:hint="eastAsia" w:ascii="宋体" w:hAnsi="宋体" w:eastAsia="宋体" w:cs="宋体"/>
          <w:kern w:val="0"/>
          <w:sz w:val="24"/>
          <w:highlight w:val="none"/>
          <w:lang w:val="en-US" w:eastAsia="zh-CN"/>
        </w:rPr>
        <w:t>0%</w:t>
      </w:r>
      <w:r>
        <w:rPr>
          <w:rFonts w:hint="eastAsia" w:ascii="宋体" w:hAnsi="宋体" w:eastAsia="宋体" w:cs="宋体"/>
          <w:kern w:val="0"/>
          <w:sz w:val="24"/>
          <w:highlight w:val="none"/>
          <w:lang w:eastAsia="zh-CN"/>
        </w:rPr>
        <w:t>（即年服务费用的</w:t>
      </w:r>
      <w:r>
        <w:rPr>
          <w:rFonts w:hint="eastAsia" w:ascii="宋体" w:hAnsi="宋体" w:cs="宋体"/>
          <w:kern w:val="0"/>
          <w:sz w:val="24"/>
          <w:highlight w:val="none"/>
          <w:lang w:val="en-US" w:eastAsia="zh-CN"/>
        </w:rPr>
        <w:t>3</w:t>
      </w:r>
      <w:r>
        <w:rPr>
          <w:rFonts w:hint="eastAsia" w:ascii="宋体" w:hAnsi="宋体" w:eastAsia="宋体" w:cs="宋体"/>
          <w:kern w:val="0"/>
          <w:sz w:val="24"/>
          <w:highlight w:val="none"/>
          <w:lang w:val="en-US" w:eastAsia="zh-CN"/>
        </w:rPr>
        <w:t>0%中的50%</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lang w:val="en-US" w:eastAsia="zh-CN"/>
        </w:rPr>
        <w:t>并</w:t>
      </w:r>
      <w:r>
        <w:rPr>
          <w:rFonts w:hint="eastAsia" w:ascii="宋体" w:hAnsi="宋体" w:eastAsia="宋体" w:cs="宋体"/>
          <w:kern w:val="0"/>
          <w:sz w:val="24"/>
          <w:highlight w:val="none"/>
          <w:lang w:eastAsia="zh-CN"/>
        </w:rPr>
        <w:t>由甲方</w:t>
      </w:r>
      <w:r>
        <w:rPr>
          <w:rFonts w:hint="eastAsia" w:ascii="宋体" w:hAnsi="宋体" w:eastAsia="宋体" w:cs="宋体"/>
          <w:kern w:val="0"/>
          <w:sz w:val="24"/>
          <w:highlight w:val="none"/>
        </w:rPr>
        <w:t>责令</w:t>
      </w:r>
      <w:r>
        <w:rPr>
          <w:rFonts w:hint="eastAsia" w:ascii="宋体" w:hAnsi="宋体" w:eastAsia="宋体" w:cs="宋体"/>
          <w:kern w:val="0"/>
          <w:sz w:val="24"/>
          <w:highlight w:val="none"/>
          <w:lang w:eastAsia="zh-CN"/>
        </w:rPr>
        <w:t>乙方</w:t>
      </w:r>
      <w:r>
        <w:rPr>
          <w:rFonts w:hint="eastAsia" w:ascii="宋体" w:hAnsi="宋体" w:eastAsia="宋体" w:cs="宋体"/>
          <w:kern w:val="0"/>
          <w:sz w:val="24"/>
          <w:highlight w:val="none"/>
        </w:rPr>
        <w:t>进行整改</w:t>
      </w:r>
      <w:r>
        <w:rPr>
          <w:rFonts w:hint="eastAsia" w:ascii="宋体" w:hAnsi="宋体" w:eastAsia="宋体" w:cs="宋体"/>
          <w:kern w:val="0"/>
          <w:sz w:val="24"/>
          <w:highlight w:val="none"/>
          <w:lang w:eastAsia="zh-CN"/>
        </w:rPr>
        <w:t>到位，经甲方再次评估达到良好及以上再进行支付年服务费余款中的</w:t>
      </w:r>
      <w:r>
        <w:rPr>
          <w:rFonts w:hint="eastAsia" w:ascii="宋体" w:hAnsi="宋体" w:eastAsia="宋体" w:cs="宋体"/>
          <w:kern w:val="0"/>
          <w:sz w:val="24"/>
          <w:highlight w:val="none"/>
          <w:lang w:val="en-US" w:eastAsia="zh-CN"/>
        </w:rPr>
        <w:t>50%</w:t>
      </w:r>
      <w:r>
        <w:rPr>
          <w:rFonts w:hint="eastAsia" w:ascii="宋体" w:hAnsi="宋体" w:eastAsia="宋体" w:cs="宋体"/>
          <w:kern w:val="0"/>
          <w:sz w:val="24"/>
          <w:highlight w:val="none"/>
          <w:lang w:eastAsia="zh-CN"/>
        </w:rPr>
        <w:t>（即年服务费用的</w:t>
      </w:r>
      <w:r>
        <w:rPr>
          <w:rFonts w:hint="eastAsia" w:ascii="宋体" w:hAnsi="宋体" w:cs="宋体"/>
          <w:kern w:val="0"/>
          <w:sz w:val="24"/>
          <w:highlight w:val="none"/>
          <w:lang w:val="en-US" w:eastAsia="zh-CN"/>
        </w:rPr>
        <w:t>3</w:t>
      </w:r>
      <w:r>
        <w:rPr>
          <w:rFonts w:hint="eastAsia" w:ascii="宋体" w:hAnsi="宋体" w:eastAsia="宋体" w:cs="宋体"/>
          <w:kern w:val="0"/>
          <w:sz w:val="24"/>
          <w:highlight w:val="none"/>
          <w:lang w:val="en-US" w:eastAsia="zh-CN"/>
        </w:rPr>
        <w:t>0%中的50%</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rPr>
        <w:t>整改后</w:t>
      </w:r>
      <w:r>
        <w:rPr>
          <w:rFonts w:hint="eastAsia" w:ascii="宋体" w:hAnsi="宋体" w:eastAsia="宋体" w:cs="宋体"/>
          <w:kern w:val="0"/>
          <w:sz w:val="24"/>
          <w:highlight w:val="none"/>
          <w:lang w:eastAsia="zh-CN"/>
        </w:rPr>
        <w:t>经甲方再次评估</w:t>
      </w:r>
      <w:r>
        <w:rPr>
          <w:rFonts w:hint="eastAsia" w:ascii="宋体" w:hAnsi="宋体" w:eastAsia="宋体" w:cs="宋体"/>
          <w:kern w:val="0"/>
          <w:sz w:val="24"/>
          <w:highlight w:val="none"/>
        </w:rPr>
        <w:t>仍</w:t>
      </w:r>
      <w:r>
        <w:rPr>
          <w:rFonts w:hint="eastAsia" w:ascii="宋体" w:hAnsi="宋体" w:eastAsia="宋体" w:cs="宋体"/>
          <w:kern w:val="0"/>
          <w:sz w:val="24"/>
          <w:highlight w:val="none"/>
          <w:lang w:eastAsia="zh-CN"/>
        </w:rPr>
        <w:t>达不到良好及以上</w:t>
      </w:r>
      <w:r>
        <w:rPr>
          <w:rFonts w:hint="eastAsia" w:ascii="宋体" w:hAnsi="宋体" w:eastAsia="宋体" w:cs="宋体"/>
          <w:kern w:val="0"/>
          <w:sz w:val="24"/>
          <w:highlight w:val="none"/>
        </w:rPr>
        <w:t>的，</w:t>
      </w:r>
      <w:r>
        <w:rPr>
          <w:rFonts w:hint="eastAsia" w:ascii="宋体" w:hAnsi="宋体" w:eastAsia="宋体" w:cs="宋体"/>
          <w:kern w:val="0"/>
          <w:sz w:val="24"/>
          <w:highlight w:val="none"/>
          <w:lang w:eastAsia="zh-CN"/>
        </w:rPr>
        <w:t>年服务费余款中的</w:t>
      </w:r>
      <w:r>
        <w:rPr>
          <w:rFonts w:hint="eastAsia" w:ascii="宋体" w:hAnsi="宋体" w:eastAsia="宋体" w:cs="宋体"/>
          <w:kern w:val="0"/>
          <w:sz w:val="24"/>
          <w:highlight w:val="none"/>
          <w:lang w:val="en-US" w:eastAsia="zh-CN"/>
        </w:rPr>
        <w:t>50%</w:t>
      </w:r>
      <w:r>
        <w:rPr>
          <w:rFonts w:hint="eastAsia" w:ascii="宋体" w:hAnsi="宋体" w:eastAsia="宋体" w:cs="宋体"/>
          <w:kern w:val="0"/>
          <w:sz w:val="24"/>
          <w:highlight w:val="none"/>
          <w:lang w:eastAsia="zh-CN"/>
        </w:rPr>
        <w:t>（即年服务费用的</w:t>
      </w:r>
      <w:r>
        <w:rPr>
          <w:rFonts w:hint="eastAsia" w:ascii="宋体" w:hAnsi="宋体" w:cs="宋体"/>
          <w:kern w:val="0"/>
          <w:sz w:val="24"/>
          <w:highlight w:val="none"/>
          <w:lang w:val="en-US" w:eastAsia="zh-CN"/>
        </w:rPr>
        <w:t>3</w:t>
      </w:r>
      <w:r>
        <w:rPr>
          <w:rFonts w:hint="eastAsia" w:ascii="宋体" w:hAnsi="宋体" w:eastAsia="宋体" w:cs="宋体"/>
          <w:kern w:val="0"/>
          <w:sz w:val="24"/>
          <w:highlight w:val="none"/>
          <w:lang w:val="en-US" w:eastAsia="zh-CN"/>
        </w:rPr>
        <w:t>0%中的50%</w:t>
      </w:r>
      <w:r>
        <w:rPr>
          <w:rFonts w:hint="eastAsia" w:ascii="宋体" w:hAnsi="宋体" w:eastAsia="宋体" w:cs="宋体"/>
          <w:kern w:val="0"/>
          <w:sz w:val="24"/>
          <w:highlight w:val="none"/>
          <w:lang w:eastAsia="zh-CN"/>
        </w:rPr>
        <w:t>）</w:t>
      </w:r>
      <w:r>
        <w:rPr>
          <w:rFonts w:hint="eastAsia" w:ascii="宋体" w:hAnsi="宋体" w:eastAsia="宋体" w:cs="宋体"/>
          <w:kern w:val="0"/>
          <w:sz w:val="24"/>
          <w:highlight w:val="none"/>
          <w:lang w:val="en-US" w:eastAsia="zh-CN"/>
        </w:rPr>
        <w:t>将不再进行</w:t>
      </w:r>
      <w:r>
        <w:rPr>
          <w:rFonts w:hint="eastAsia" w:ascii="宋体" w:hAnsi="宋体" w:cs="宋体"/>
          <w:sz w:val="24"/>
          <w:highlight w:val="none"/>
        </w:rPr>
        <w:t>拨付</w:t>
      </w:r>
      <w:r>
        <w:rPr>
          <w:rFonts w:hint="eastAsia" w:ascii="宋体" w:hAnsi="宋体" w:eastAsia="宋体" w:cs="宋体"/>
          <w:kern w:val="0"/>
          <w:sz w:val="24"/>
          <w:highlight w:val="none"/>
        </w:rPr>
        <w:t>。</w:t>
      </w:r>
    </w:p>
    <w:p>
      <w:pPr>
        <w:spacing w:line="360" w:lineRule="auto"/>
        <w:ind w:firstLine="480" w:firstLineChars="200"/>
        <w:rPr>
          <w:rFonts w:ascii="宋体" w:hAnsi="宋体" w:cs="宋体"/>
          <w:bCs/>
          <w:sz w:val="24"/>
          <w:highlight w:val="none"/>
        </w:rPr>
      </w:pPr>
      <w:r>
        <w:rPr>
          <w:rFonts w:hint="eastAsia" w:ascii="宋体" w:hAnsi="宋体" w:cs="宋体"/>
          <w:bCs/>
          <w:sz w:val="24"/>
          <w:highlight w:val="none"/>
        </w:rPr>
        <w:t>注：1、由民政部门</w:t>
      </w:r>
      <w:r>
        <w:rPr>
          <w:rFonts w:hint="eastAsia" w:ascii="宋体" w:hAnsi="宋体" w:cs="宋体"/>
          <w:bCs/>
          <w:sz w:val="24"/>
          <w:highlight w:val="none"/>
          <w:lang w:eastAsia="zh-CN"/>
        </w:rPr>
        <w:t>及甲方</w:t>
      </w:r>
      <w:r>
        <w:rPr>
          <w:rFonts w:hint="eastAsia" w:ascii="宋体" w:hAnsi="宋体" w:cs="宋体"/>
          <w:bCs/>
          <w:sz w:val="24"/>
          <w:highlight w:val="none"/>
        </w:rPr>
        <w:t>组织开展幸福邻里中心运行情况进行中期和终期评估。评估结果作为后期拨款依据。</w:t>
      </w:r>
    </w:p>
    <w:p>
      <w:pPr>
        <w:rPr>
          <w:rFonts w:hint="eastAsia"/>
          <w:lang w:val="en-US" w:eastAsia="zh-CN"/>
        </w:rPr>
      </w:pPr>
      <w:r>
        <w:rPr>
          <w:rFonts w:hint="eastAsia" w:ascii="宋体" w:hAnsi="宋体" w:cs="宋体"/>
          <w:bCs/>
          <w:sz w:val="24"/>
          <w:highlight w:val="none"/>
        </w:rPr>
        <w:t>2、</w:t>
      </w:r>
      <w:r>
        <w:rPr>
          <w:rFonts w:hint="eastAsia" w:ascii="宋体" w:hAnsi="宋体" w:cs="宋体"/>
          <w:bCs/>
          <w:sz w:val="24"/>
          <w:highlight w:val="none"/>
          <w:lang w:eastAsia="zh-CN"/>
        </w:rPr>
        <w:t>甲方</w:t>
      </w:r>
      <w:r>
        <w:rPr>
          <w:rFonts w:hint="eastAsia" w:ascii="宋体" w:hAnsi="宋体" w:cs="宋体"/>
          <w:bCs/>
          <w:sz w:val="24"/>
          <w:highlight w:val="none"/>
        </w:rPr>
        <w:t>应自收到</w:t>
      </w:r>
      <w:r>
        <w:rPr>
          <w:rFonts w:hint="eastAsia" w:ascii="宋体" w:hAnsi="宋体" w:cs="宋体"/>
          <w:bCs/>
          <w:sz w:val="24"/>
          <w:highlight w:val="none"/>
          <w:lang w:eastAsia="zh-CN"/>
        </w:rPr>
        <w:t>乙方</w:t>
      </w:r>
      <w:r>
        <w:rPr>
          <w:rFonts w:hint="eastAsia" w:ascii="宋体" w:hAnsi="宋体" w:cs="宋体"/>
          <w:bCs/>
          <w:sz w:val="24"/>
          <w:highlight w:val="none"/>
        </w:rPr>
        <w:t>开具的发票后将上述相关款项支付到合同约定的</w:t>
      </w:r>
      <w:r>
        <w:rPr>
          <w:rFonts w:hint="eastAsia" w:ascii="宋体" w:hAnsi="宋体" w:cs="宋体"/>
          <w:bCs/>
          <w:sz w:val="24"/>
          <w:highlight w:val="none"/>
          <w:lang w:eastAsia="zh-CN"/>
        </w:rPr>
        <w:t>乙方</w:t>
      </w:r>
      <w:r>
        <w:rPr>
          <w:rFonts w:hint="eastAsia" w:ascii="宋体" w:hAnsi="宋体" w:cs="宋体"/>
          <w:bCs/>
          <w:sz w:val="24"/>
          <w:highlight w:val="none"/>
        </w:rPr>
        <w:t>账户。</w:t>
      </w:r>
    </w:p>
    <w:p>
      <w:pPr>
        <w:pStyle w:val="21"/>
        <w:numPr>
          <w:ilvl w:val="0"/>
          <w:numId w:val="0"/>
        </w:numPr>
        <w:spacing w:line="440" w:lineRule="exact"/>
        <w:ind w:left="210" w:leftChars="0" w:firstLine="480" w:firstLineChars="200"/>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幸福邻里中心、儿童之家</w:t>
      </w:r>
      <w:r>
        <w:rPr>
          <w:rFonts w:hint="eastAsia" w:ascii="宋体" w:hAnsi="宋体" w:eastAsia="宋体" w:cs="宋体"/>
          <w:b w:val="0"/>
          <w:bCs/>
          <w:color w:val="auto"/>
          <w:sz w:val="24"/>
          <w:szCs w:val="24"/>
          <w:highlight w:val="none"/>
          <w:lang w:val="en-US" w:eastAsia="zh-Hans"/>
        </w:rPr>
        <w:t>运行经费年度费用支付时</w:t>
      </w:r>
      <w:r>
        <w:rPr>
          <w:rFonts w:hint="eastAsia" w:ascii="宋体" w:hAnsi="宋体" w:cs="宋体"/>
          <w:b w:val="0"/>
          <w:bCs/>
          <w:color w:val="auto"/>
          <w:sz w:val="24"/>
          <w:szCs w:val="24"/>
          <w:highlight w:val="none"/>
          <w:lang w:val="en-US" w:eastAsia="zh-CN"/>
        </w:rPr>
        <w:t>，根据第三方、区级、街道、社区综合评定</w:t>
      </w:r>
      <w:r>
        <w:rPr>
          <w:rFonts w:hint="eastAsia" w:ascii="宋体" w:hAnsi="宋体" w:eastAsia="宋体" w:cs="宋体"/>
          <w:b w:val="0"/>
          <w:bCs/>
          <w:color w:val="auto"/>
          <w:sz w:val="24"/>
          <w:szCs w:val="24"/>
          <w:highlight w:val="none"/>
          <w:lang w:val="en-US" w:eastAsia="zh-CN"/>
        </w:rPr>
        <w:t>及上级拨付资金</w:t>
      </w:r>
      <w:r>
        <w:rPr>
          <w:rFonts w:hint="eastAsia" w:ascii="宋体" w:hAnsi="宋体" w:eastAsia="宋体" w:cs="宋体"/>
          <w:b w:val="0"/>
          <w:bCs/>
          <w:color w:val="auto"/>
          <w:sz w:val="24"/>
          <w:szCs w:val="24"/>
          <w:highlight w:val="none"/>
          <w:lang w:val="en-US" w:eastAsia="zh-Hans"/>
        </w:rPr>
        <w:t>作为支付依据，考核标准和运营经费</w:t>
      </w:r>
      <w:r>
        <w:rPr>
          <w:rFonts w:hint="eastAsia" w:ascii="宋体" w:hAnsi="宋体" w:cs="宋体"/>
          <w:b w:val="0"/>
          <w:bCs/>
          <w:color w:val="auto"/>
          <w:sz w:val="24"/>
          <w:szCs w:val="24"/>
          <w:highlight w:val="none"/>
          <w:lang w:val="en-US" w:eastAsia="zh-CN"/>
        </w:rPr>
        <w:t>支付</w:t>
      </w:r>
      <w:r>
        <w:rPr>
          <w:rFonts w:hint="eastAsia" w:ascii="宋体" w:hAnsi="宋体" w:eastAsia="宋体" w:cs="宋体"/>
          <w:b w:val="0"/>
          <w:bCs/>
          <w:color w:val="auto"/>
          <w:sz w:val="24"/>
          <w:szCs w:val="24"/>
          <w:highlight w:val="none"/>
          <w:lang w:val="en-US" w:eastAsia="zh-Hans"/>
        </w:rPr>
        <w:t>参考湖州市民政局最新文件执行</w:t>
      </w:r>
      <w:r>
        <w:rPr>
          <w:rFonts w:hint="eastAsia" w:ascii="宋体" w:hAnsi="宋体" w:eastAsia="宋体" w:cs="宋体"/>
          <w:b w:val="0"/>
          <w:bCs/>
          <w:color w:val="auto"/>
          <w:sz w:val="24"/>
          <w:szCs w:val="24"/>
          <w:highlight w:val="none"/>
          <w:lang w:val="en-US" w:eastAsia="zh-CN"/>
        </w:rPr>
        <w:t>，</w:t>
      </w:r>
      <w:r>
        <w:rPr>
          <w:rFonts w:hint="eastAsia" w:ascii="宋体" w:hAnsi="宋体" w:eastAsia="宋体" w:cs="宋体"/>
          <w:b w:val="0"/>
          <w:bCs/>
          <w:color w:val="auto"/>
          <w:sz w:val="24"/>
          <w:szCs w:val="24"/>
          <w:highlight w:val="none"/>
          <w:lang w:val="en-US" w:eastAsia="zh-Hans"/>
        </w:rPr>
        <w:t>支付时按照中标金额和实际完成的工作（根据考核文件和确定的服务内容，开展服务，建立服务台账，</w:t>
      </w:r>
      <w:r>
        <w:rPr>
          <w:rFonts w:hint="eastAsia" w:ascii="宋体" w:hAnsi="宋体" w:eastAsia="宋体" w:cs="宋体"/>
          <w:b w:val="0"/>
          <w:bCs/>
          <w:color w:val="auto"/>
          <w:sz w:val="24"/>
          <w:szCs w:val="24"/>
          <w:highlight w:val="none"/>
          <w:lang w:val="en-US" w:eastAsia="zh-CN"/>
        </w:rPr>
        <w:t>考核不合格的经费不予以支付</w:t>
      </w:r>
      <w:r>
        <w:rPr>
          <w:rFonts w:hint="eastAsia" w:ascii="宋体" w:hAnsi="宋体" w:eastAsia="宋体" w:cs="宋体"/>
          <w:b w:val="0"/>
          <w:bCs/>
          <w:color w:val="auto"/>
          <w:sz w:val="24"/>
          <w:szCs w:val="24"/>
          <w:highlight w:val="none"/>
          <w:lang w:val="en-US" w:eastAsia="zh-Hans"/>
        </w:rPr>
        <w:t>）</w:t>
      </w:r>
      <w:r>
        <w:rPr>
          <w:rFonts w:hint="eastAsia" w:ascii="宋体" w:hAnsi="宋体" w:eastAsia="宋体" w:cs="宋体"/>
          <w:b w:val="0"/>
          <w:bCs/>
          <w:color w:val="auto"/>
          <w:sz w:val="24"/>
          <w:szCs w:val="24"/>
          <w:highlight w:val="none"/>
          <w:lang w:val="en-US" w:eastAsia="zh-CN"/>
        </w:rPr>
        <w:t>，根据</w:t>
      </w:r>
      <w:r>
        <w:rPr>
          <w:rFonts w:hint="eastAsia" w:ascii="宋体" w:hAnsi="宋体" w:eastAsia="宋体" w:cs="宋体"/>
          <w:b w:val="0"/>
          <w:bCs/>
          <w:color w:val="auto"/>
          <w:kern w:val="2"/>
          <w:sz w:val="24"/>
          <w:szCs w:val="24"/>
          <w:highlight w:val="none"/>
          <w:lang w:val="en-US" w:eastAsia="zh-CN" w:bidi="ar-SA"/>
        </w:rPr>
        <w:t>《幸福邻里中心赋能提质“十条”意见(试行)》的通知，严格奖惩激励。按照《湖 州市幸福邻里中心星级评定管理办法(试行)》,实行末位淘汰机 制，按照“新增一批”"调整一批""取消一批”的要求，由对当年度星级评定排名倒数5%的幸福邻里中心扣减当年度5%运营经费；连续2年排 名倒数5%的幸福邻里中心扣减当年度10%运营经费；连续3年排名倒数5%的幸福邻里中心，终止其运营。</w:t>
      </w:r>
    </w:p>
    <w:p>
      <w:pPr>
        <w:pStyle w:val="21"/>
        <w:numPr>
          <w:ilvl w:val="0"/>
          <w:numId w:val="0"/>
        </w:numPr>
        <w:spacing w:line="440" w:lineRule="exact"/>
        <w:ind w:left="210" w:leftChars="0" w:firstLine="480" w:firstLineChars="200"/>
        <w:rPr>
          <w:color w:val="auto"/>
          <w:sz w:val="21"/>
          <w:szCs w:val="21"/>
          <w:highlight w:val="none"/>
        </w:rPr>
      </w:pPr>
      <w:r>
        <w:rPr>
          <w:rFonts w:hint="eastAsia" w:ascii="宋体" w:hAnsi="宋体" w:eastAsia="宋体" w:cs="宋体"/>
          <w:b w:val="0"/>
          <w:bCs/>
          <w:color w:val="auto"/>
          <w:sz w:val="24"/>
          <w:szCs w:val="24"/>
          <w:highlight w:val="none"/>
          <w:lang w:val="en-US" w:eastAsia="zh-CN"/>
        </w:rPr>
        <w:t>以下考核标准根据上级最新考核通知作调整</w:t>
      </w:r>
    </w:p>
    <w:p>
      <w:pPr>
        <w:keepNext w:val="0"/>
        <w:keepLines w:val="0"/>
        <w:pageBreakBefore w:val="0"/>
        <w:widowControl w:val="0"/>
        <w:numPr>
          <w:ilvl w:val="0"/>
          <w:numId w:val="0"/>
        </w:numPr>
        <w:kinsoku/>
        <w:wordWrap/>
        <w:overflowPunct/>
        <w:topLinePunct w:val="0"/>
        <w:autoSpaceDE/>
        <w:autoSpaceDN/>
        <w:bidi w:val="0"/>
        <w:adjustRightInd/>
        <w:spacing w:line="360" w:lineRule="auto"/>
        <w:jc w:val="center"/>
        <w:textAlignment w:val="auto"/>
        <w:rPr>
          <w:color w:val="auto"/>
          <w:sz w:val="21"/>
          <w:szCs w:val="21"/>
          <w:highlight w:val="none"/>
        </w:rPr>
      </w:pPr>
      <w:r>
        <w:rPr>
          <w:color w:val="auto"/>
          <w:spacing w:val="-10"/>
          <w:position w:val="7"/>
          <w:sz w:val="21"/>
          <w:szCs w:val="21"/>
          <w:highlight w:val="none"/>
        </w:rPr>
        <w:t>附</w:t>
      </w:r>
      <w:r>
        <w:rPr>
          <w:color w:val="auto"/>
          <w:spacing w:val="6"/>
          <w:position w:val="7"/>
          <w:sz w:val="21"/>
          <w:szCs w:val="21"/>
          <w:highlight w:val="none"/>
        </w:rPr>
        <w:t xml:space="preserve">  </w:t>
      </w:r>
      <w:r>
        <w:rPr>
          <w:color w:val="auto"/>
          <w:spacing w:val="-10"/>
          <w:position w:val="7"/>
          <w:sz w:val="21"/>
          <w:szCs w:val="21"/>
          <w:highlight w:val="none"/>
        </w:rPr>
        <w:t>录</w:t>
      </w:r>
      <w:r>
        <w:rPr>
          <w:color w:val="auto"/>
          <w:spacing w:val="4"/>
          <w:position w:val="7"/>
          <w:sz w:val="21"/>
          <w:szCs w:val="21"/>
          <w:highlight w:val="none"/>
        </w:rPr>
        <w:t xml:space="preserve">  </w:t>
      </w:r>
      <w:r>
        <w:rPr>
          <w:color w:val="auto"/>
          <w:spacing w:val="-10"/>
          <w:position w:val="7"/>
          <w:sz w:val="21"/>
          <w:szCs w:val="21"/>
          <w:highlight w:val="none"/>
        </w:rPr>
        <w:t>B</w:t>
      </w:r>
    </w:p>
    <w:p>
      <w:pPr>
        <w:pStyle w:val="20"/>
        <w:spacing w:line="219" w:lineRule="auto"/>
        <w:ind w:left="3980"/>
        <w:rPr>
          <w:color w:val="auto"/>
          <w:sz w:val="21"/>
          <w:szCs w:val="21"/>
          <w:highlight w:val="none"/>
        </w:rPr>
      </w:pPr>
      <w:bookmarkStart w:id="18" w:name="bookmark26"/>
      <w:bookmarkEnd w:id="18"/>
      <w:r>
        <w:rPr>
          <w:color w:val="auto"/>
          <w:spacing w:val="-5"/>
          <w:sz w:val="21"/>
          <w:szCs w:val="21"/>
          <w:highlight w:val="none"/>
        </w:rPr>
        <w:t>（规范性附录）</w:t>
      </w:r>
    </w:p>
    <w:p>
      <w:pPr>
        <w:pStyle w:val="20"/>
        <w:spacing w:before="62" w:line="219" w:lineRule="auto"/>
        <w:ind w:left="3022"/>
        <w:rPr>
          <w:color w:val="auto"/>
          <w:sz w:val="21"/>
          <w:szCs w:val="21"/>
          <w:highlight w:val="none"/>
        </w:rPr>
      </w:pPr>
      <w:r>
        <w:rPr>
          <w:color w:val="auto"/>
          <w:spacing w:val="-1"/>
          <w:sz w:val="21"/>
          <w:szCs w:val="21"/>
          <w:highlight w:val="none"/>
        </w:rPr>
        <w:t>幸福邻里中心建设与服务管理评估表</w:t>
      </w:r>
    </w:p>
    <w:p>
      <w:pPr>
        <w:spacing w:line="273" w:lineRule="auto"/>
        <w:rPr>
          <w:rFonts w:ascii="Arial"/>
          <w:color w:val="auto"/>
          <w:sz w:val="21"/>
          <w:highlight w:val="none"/>
        </w:rPr>
      </w:pPr>
    </w:p>
    <w:p>
      <w:pPr>
        <w:pStyle w:val="20"/>
        <w:spacing w:before="69" w:line="219" w:lineRule="auto"/>
        <w:ind w:left="1919"/>
        <w:rPr>
          <w:color w:val="auto"/>
          <w:sz w:val="21"/>
          <w:szCs w:val="21"/>
          <w:highlight w:val="none"/>
        </w:rPr>
      </w:pPr>
      <w:r>
        <w:rPr>
          <w:color w:val="auto"/>
          <w:sz w:val="21"/>
          <w:szCs w:val="21"/>
          <w:highlight w:val="none"/>
        </w:rPr>
        <w:t>表B.1  乡镇（街道）级幸福邻里中心建设</w:t>
      </w:r>
      <w:r>
        <w:rPr>
          <w:color w:val="auto"/>
          <w:spacing w:val="-1"/>
          <w:sz w:val="21"/>
          <w:szCs w:val="21"/>
          <w:highlight w:val="none"/>
        </w:rPr>
        <w:t>与服务管理评估表</w:t>
      </w:r>
    </w:p>
    <w:p>
      <w:pPr>
        <w:spacing w:line="167" w:lineRule="exact"/>
        <w:rPr>
          <w:color w:val="auto"/>
          <w:highlight w:val="none"/>
        </w:rPr>
      </w:pPr>
    </w:p>
    <w:tbl>
      <w:tblPr>
        <w:tblStyle w:val="171"/>
        <w:tblW w:w="938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7"/>
        <w:gridCol w:w="8393"/>
        <w:gridCol w:w="4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74" w:hRule="atLeast"/>
        </w:trPr>
        <w:tc>
          <w:tcPr>
            <w:tcW w:w="587" w:type="dxa"/>
            <w:noWrap w:val="0"/>
            <w:vAlign w:val="top"/>
          </w:tcPr>
          <w:p>
            <w:pPr>
              <w:pStyle w:val="170"/>
              <w:spacing w:before="189" w:line="220" w:lineRule="auto"/>
              <w:ind w:left="135"/>
              <w:rPr>
                <w:color w:val="auto"/>
                <w:highlight w:val="none"/>
              </w:rPr>
            </w:pPr>
            <w:r>
              <w:rPr>
                <w:color w:val="auto"/>
                <w:spacing w:val="-9"/>
                <w:highlight w:val="none"/>
              </w:rPr>
              <w:t>内容</w:t>
            </w:r>
          </w:p>
        </w:tc>
        <w:tc>
          <w:tcPr>
            <w:tcW w:w="8393" w:type="dxa"/>
            <w:noWrap w:val="0"/>
            <w:vAlign w:val="top"/>
          </w:tcPr>
          <w:p>
            <w:pPr>
              <w:pStyle w:val="170"/>
              <w:spacing w:before="190" w:line="218" w:lineRule="auto"/>
              <w:ind w:left="3600"/>
              <w:rPr>
                <w:color w:val="auto"/>
                <w:highlight w:val="none"/>
              </w:rPr>
            </w:pPr>
            <w:r>
              <w:rPr>
                <w:color w:val="auto"/>
                <w:spacing w:val="-6"/>
                <w:highlight w:val="none"/>
              </w:rPr>
              <w:t>评</w:t>
            </w:r>
            <w:r>
              <w:rPr>
                <w:color w:val="auto"/>
                <w:spacing w:val="5"/>
                <w:highlight w:val="none"/>
              </w:rPr>
              <w:t xml:space="preserve">  </w:t>
            </w:r>
            <w:r>
              <w:rPr>
                <w:color w:val="auto"/>
                <w:spacing w:val="-6"/>
                <w:highlight w:val="none"/>
              </w:rPr>
              <w:t>估</w:t>
            </w:r>
            <w:r>
              <w:rPr>
                <w:color w:val="auto"/>
                <w:spacing w:val="4"/>
                <w:highlight w:val="none"/>
              </w:rPr>
              <w:t xml:space="preserve">  </w:t>
            </w:r>
            <w:r>
              <w:rPr>
                <w:color w:val="auto"/>
                <w:spacing w:val="-6"/>
                <w:highlight w:val="none"/>
              </w:rPr>
              <w:t>标</w:t>
            </w:r>
            <w:r>
              <w:rPr>
                <w:color w:val="auto"/>
                <w:spacing w:val="4"/>
                <w:highlight w:val="none"/>
              </w:rPr>
              <w:t xml:space="preserve">  </w:t>
            </w:r>
            <w:r>
              <w:rPr>
                <w:color w:val="auto"/>
                <w:spacing w:val="-6"/>
                <w:highlight w:val="none"/>
              </w:rPr>
              <w:t>准</w:t>
            </w:r>
          </w:p>
        </w:tc>
        <w:tc>
          <w:tcPr>
            <w:tcW w:w="402" w:type="dxa"/>
            <w:noWrap w:val="0"/>
            <w:vAlign w:val="top"/>
          </w:tcPr>
          <w:p>
            <w:pPr>
              <w:pStyle w:val="170"/>
              <w:spacing w:before="189" w:line="220" w:lineRule="auto"/>
              <w:ind w:left="25"/>
              <w:rPr>
                <w:color w:val="auto"/>
                <w:highlight w:val="none"/>
              </w:rPr>
            </w:pPr>
            <w:r>
              <w:rPr>
                <w:color w:val="auto"/>
                <w:spacing w:val="-3"/>
                <w:highlight w:val="none"/>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587" w:type="dxa"/>
            <w:vMerge w:val="restart"/>
            <w:tcBorders>
              <w:bottom w:val="nil"/>
            </w:tcBorders>
            <w:noWrap w:val="0"/>
            <w:vAlign w:val="top"/>
          </w:tcPr>
          <w:p>
            <w:pPr>
              <w:spacing w:line="446" w:lineRule="auto"/>
              <w:rPr>
                <w:rFonts w:ascii="Arial"/>
                <w:color w:val="auto"/>
                <w:sz w:val="21"/>
                <w:highlight w:val="none"/>
              </w:rPr>
            </w:pPr>
          </w:p>
          <w:p>
            <w:pPr>
              <w:pStyle w:val="170"/>
              <w:spacing w:before="59" w:line="236" w:lineRule="auto"/>
              <w:ind w:left="25" w:right="27" w:firstLine="83"/>
              <w:jc w:val="both"/>
              <w:rPr>
                <w:color w:val="auto"/>
                <w:highlight w:val="none"/>
              </w:rPr>
            </w:pPr>
            <w:r>
              <w:rPr>
                <w:color w:val="auto"/>
                <w:spacing w:val="-4"/>
                <w:highlight w:val="none"/>
              </w:rPr>
              <w:t>环境</w:t>
            </w:r>
            <w:r>
              <w:rPr>
                <w:color w:val="auto"/>
                <w:highlight w:val="none"/>
              </w:rPr>
              <w:t xml:space="preserve">  </w:t>
            </w:r>
            <w:r>
              <w:rPr>
                <w:color w:val="auto"/>
                <w:spacing w:val="38"/>
                <w:highlight w:val="none"/>
              </w:rPr>
              <w:t>设施</w:t>
            </w:r>
            <w:r>
              <w:rPr>
                <w:color w:val="auto"/>
                <w:highlight w:val="none"/>
              </w:rPr>
              <w:t xml:space="preserve">  </w:t>
            </w:r>
            <w:r>
              <w:rPr>
                <w:color w:val="auto"/>
                <w:spacing w:val="-6"/>
                <w:highlight w:val="none"/>
              </w:rPr>
              <w:t>（10）</w:t>
            </w:r>
          </w:p>
        </w:tc>
        <w:tc>
          <w:tcPr>
            <w:tcW w:w="8393" w:type="dxa"/>
            <w:noWrap w:val="0"/>
            <w:vAlign w:val="top"/>
          </w:tcPr>
          <w:p>
            <w:pPr>
              <w:pStyle w:val="170"/>
              <w:spacing w:before="182" w:line="220" w:lineRule="auto"/>
              <w:ind w:left="23"/>
              <w:rPr>
                <w:color w:val="auto"/>
                <w:highlight w:val="none"/>
              </w:rPr>
            </w:pPr>
            <w:r>
              <w:rPr>
                <w:color w:val="auto"/>
                <w:spacing w:val="-4"/>
                <w:highlight w:val="none"/>
              </w:rPr>
              <w:t>建筑面积一般不少于 800 ㎡，</w:t>
            </w:r>
            <w:r>
              <w:rPr>
                <w:color w:val="auto"/>
                <w:spacing w:val="-13"/>
                <w:highlight w:val="none"/>
              </w:rPr>
              <w:t xml:space="preserve"> </w:t>
            </w:r>
            <w:r>
              <w:rPr>
                <w:color w:val="auto"/>
                <w:spacing w:val="-4"/>
                <w:highlight w:val="none"/>
              </w:rPr>
              <w:t>并保持环境整洁、美观。</w:t>
            </w:r>
          </w:p>
        </w:tc>
        <w:tc>
          <w:tcPr>
            <w:tcW w:w="402" w:type="dxa"/>
            <w:noWrap w:val="0"/>
            <w:vAlign w:val="top"/>
          </w:tcPr>
          <w:p>
            <w:pPr>
              <w:pStyle w:val="170"/>
              <w:spacing w:before="214" w:line="180" w:lineRule="auto"/>
              <w:ind w:left="158"/>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continue"/>
            <w:tcBorders>
              <w:top w:val="nil"/>
              <w:bottom w:val="nil"/>
            </w:tcBorders>
            <w:noWrap w:val="0"/>
            <w:vAlign w:val="top"/>
          </w:tcPr>
          <w:p>
            <w:pPr>
              <w:rPr>
                <w:rFonts w:ascii="Arial"/>
                <w:color w:val="auto"/>
                <w:sz w:val="21"/>
                <w:highlight w:val="none"/>
              </w:rPr>
            </w:pPr>
          </w:p>
        </w:tc>
        <w:tc>
          <w:tcPr>
            <w:tcW w:w="8393" w:type="dxa"/>
            <w:noWrap w:val="0"/>
            <w:vAlign w:val="top"/>
          </w:tcPr>
          <w:p>
            <w:pPr>
              <w:pStyle w:val="170"/>
              <w:spacing w:before="184" w:line="219" w:lineRule="auto"/>
              <w:ind w:left="3"/>
              <w:rPr>
                <w:color w:val="auto"/>
                <w:highlight w:val="none"/>
              </w:rPr>
            </w:pPr>
            <w:r>
              <w:rPr>
                <w:color w:val="auto"/>
                <w:spacing w:val="-1"/>
                <w:highlight w:val="none"/>
              </w:rPr>
              <w:t>房屋建筑宜钢筋混凝土结构，符合消防规定，配备灭火器材，防火器具、标志标识、紧急疏散通道等。</w:t>
            </w:r>
          </w:p>
        </w:tc>
        <w:tc>
          <w:tcPr>
            <w:tcW w:w="402" w:type="dxa"/>
            <w:noWrap w:val="0"/>
            <w:vAlign w:val="top"/>
          </w:tcPr>
          <w:p>
            <w:pPr>
              <w:pStyle w:val="170"/>
              <w:spacing w:before="213" w:line="181" w:lineRule="auto"/>
              <w:ind w:left="158"/>
              <w:rPr>
                <w:color w:val="auto"/>
                <w:highlight w:val="none"/>
              </w:rPr>
            </w:pPr>
            <w:r>
              <w:rPr>
                <w:color w:val="auto"/>
                <w:highlight w:val="none"/>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continue"/>
            <w:tcBorders>
              <w:top w:val="nil"/>
            </w:tcBorders>
            <w:noWrap w:val="0"/>
            <w:vAlign w:val="top"/>
          </w:tcPr>
          <w:p>
            <w:pPr>
              <w:rPr>
                <w:rFonts w:ascii="Arial"/>
                <w:color w:val="auto"/>
                <w:sz w:val="21"/>
                <w:highlight w:val="none"/>
              </w:rPr>
            </w:pPr>
          </w:p>
        </w:tc>
        <w:tc>
          <w:tcPr>
            <w:tcW w:w="8393" w:type="dxa"/>
            <w:noWrap w:val="0"/>
            <w:vAlign w:val="top"/>
          </w:tcPr>
          <w:p>
            <w:pPr>
              <w:pStyle w:val="170"/>
              <w:spacing w:before="185" w:line="220" w:lineRule="auto"/>
              <w:ind w:left="24"/>
              <w:rPr>
                <w:color w:val="auto"/>
                <w:highlight w:val="none"/>
              </w:rPr>
            </w:pPr>
            <w:r>
              <w:rPr>
                <w:color w:val="auto"/>
                <w:spacing w:val="-2"/>
                <w:highlight w:val="none"/>
              </w:rPr>
              <w:t>室内功能齐全，设施设备维护完好，实行统一标识标牌。</w:t>
            </w:r>
          </w:p>
        </w:tc>
        <w:tc>
          <w:tcPr>
            <w:tcW w:w="402" w:type="dxa"/>
            <w:noWrap w:val="0"/>
            <w:vAlign w:val="top"/>
          </w:tcPr>
          <w:p>
            <w:pPr>
              <w:pStyle w:val="170"/>
              <w:spacing w:before="216" w:line="181" w:lineRule="auto"/>
              <w:ind w:left="157"/>
              <w:rPr>
                <w:color w:val="auto"/>
                <w:highlight w:val="none"/>
              </w:rPr>
            </w:pPr>
            <w:r>
              <w:rPr>
                <w:color w:val="auto"/>
                <w:highlight w:val="none"/>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restart"/>
            <w:tcBorders>
              <w:bottom w:val="nil"/>
            </w:tcBorders>
            <w:noWrap w:val="0"/>
            <w:vAlign w:val="top"/>
          </w:tcPr>
          <w:p>
            <w:pPr>
              <w:spacing w:line="250"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spacing w:line="251" w:lineRule="auto"/>
              <w:rPr>
                <w:rFonts w:ascii="Arial"/>
                <w:color w:val="auto"/>
                <w:sz w:val="21"/>
                <w:highlight w:val="none"/>
              </w:rPr>
            </w:pPr>
          </w:p>
          <w:p>
            <w:pPr>
              <w:pStyle w:val="170"/>
              <w:spacing w:before="59" w:line="273" w:lineRule="auto"/>
              <w:ind w:left="25" w:right="27" w:firstLine="105"/>
              <w:jc w:val="both"/>
              <w:rPr>
                <w:color w:val="auto"/>
                <w:highlight w:val="none"/>
              </w:rPr>
            </w:pPr>
            <w:r>
              <w:rPr>
                <w:color w:val="auto"/>
                <w:spacing w:val="-15"/>
                <w:highlight w:val="none"/>
              </w:rPr>
              <w:t>内部</w:t>
            </w:r>
            <w:r>
              <w:rPr>
                <w:color w:val="auto"/>
                <w:highlight w:val="none"/>
              </w:rPr>
              <w:t xml:space="preserve">  </w:t>
            </w:r>
            <w:r>
              <w:rPr>
                <w:color w:val="auto"/>
                <w:spacing w:val="38"/>
                <w:highlight w:val="none"/>
              </w:rPr>
              <w:t>管理</w:t>
            </w:r>
            <w:r>
              <w:rPr>
                <w:color w:val="auto"/>
                <w:highlight w:val="none"/>
              </w:rPr>
              <w:t xml:space="preserve">  </w:t>
            </w:r>
            <w:r>
              <w:rPr>
                <w:color w:val="auto"/>
                <w:spacing w:val="-6"/>
                <w:highlight w:val="none"/>
              </w:rPr>
              <w:t>（20）</w:t>
            </w:r>
          </w:p>
        </w:tc>
        <w:tc>
          <w:tcPr>
            <w:tcW w:w="8393" w:type="dxa"/>
            <w:noWrap w:val="0"/>
            <w:vAlign w:val="top"/>
          </w:tcPr>
          <w:p>
            <w:pPr>
              <w:pStyle w:val="170"/>
              <w:spacing w:before="186" w:line="218" w:lineRule="auto"/>
              <w:ind w:left="23"/>
              <w:rPr>
                <w:color w:val="auto"/>
                <w:highlight w:val="none"/>
              </w:rPr>
            </w:pPr>
            <w:r>
              <w:rPr>
                <w:color w:val="auto"/>
                <w:spacing w:val="-1"/>
                <w:highlight w:val="none"/>
              </w:rPr>
              <w:t>幸福邻里中心管理制度健全。对外公告开放时间、服务项目</w:t>
            </w:r>
            <w:r>
              <w:rPr>
                <w:color w:val="auto"/>
                <w:spacing w:val="-2"/>
                <w:highlight w:val="none"/>
              </w:rPr>
              <w:t>内容等。</w:t>
            </w:r>
          </w:p>
        </w:tc>
        <w:tc>
          <w:tcPr>
            <w:tcW w:w="402" w:type="dxa"/>
            <w:noWrap w:val="0"/>
            <w:vAlign w:val="top"/>
          </w:tcPr>
          <w:p>
            <w:pPr>
              <w:pStyle w:val="170"/>
              <w:spacing w:before="216" w:line="181" w:lineRule="auto"/>
              <w:ind w:left="157"/>
              <w:rPr>
                <w:color w:val="auto"/>
                <w:highlight w:val="none"/>
              </w:rPr>
            </w:pPr>
            <w:r>
              <w:rPr>
                <w:color w:val="auto"/>
                <w:highlight w:val="none"/>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trPr>
        <w:tc>
          <w:tcPr>
            <w:tcW w:w="587" w:type="dxa"/>
            <w:vMerge w:val="continue"/>
            <w:tcBorders>
              <w:top w:val="nil"/>
              <w:bottom w:val="nil"/>
            </w:tcBorders>
            <w:noWrap w:val="0"/>
            <w:vAlign w:val="top"/>
          </w:tcPr>
          <w:p>
            <w:pPr>
              <w:rPr>
                <w:rFonts w:ascii="Arial"/>
                <w:color w:val="auto"/>
                <w:sz w:val="21"/>
                <w:highlight w:val="none"/>
              </w:rPr>
            </w:pPr>
          </w:p>
        </w:tc>
        <w:tc>
          <w:tcPr>
            <w:tcW w:w="8393" w:type="dxa"/>
            <w:noWrap w:val="0"/>
            <w:vAlign w:val="top"/>
          </w:tcPr>
          <w:p>
            <w:pPr>
              <w:pStyle w:val="170"/>
              <w:spacing w:before="64" w:line="270" w:lineRule="auto"/>
              <w:ind w:left="2"/>
              <w:rPr>
                <w:color w:val="auto"/>
                <w:highlight w:val="none"/>
              </w:rPr>
            </w:pPr>
            <w:r>
              <w:rPr>
                <w:color w:val="auto"/>
                <w:spacing w:val="1"/>
                <w:highlight w:val="none"/>
              </w:rPr>
              <w:t>制定社会组织情况统计表及来访居民需求信息登记表。每年建立社会组织及居民需求信息档案不少于</w:t>
            </w:r>
            <w:r>
              <w:rPr>
                <w:color w:val="auto"/>
                <w:spacing w:val="46"/>
                <w:highlight w:val="none"/>
              </w:rPr>
              <w:t xml:space="preserve"> </w:t>
            </w:r>
            <w:r>
              <w:rPr>
                <w:color w:val="auto"/>
                <w:spacing w:val="1"/>
                <w:highlight w:val="none"/>
              </w:rPr>
              <w:t>100</w:t>
            </w:r>
            <w:r>
              <w:rPr>
                <w:color w:val="auto"/>
                <w:highlight w:val="none"/>
              </w:rPr>
              <w:t xml:space="preserve"> </w:t>
            </w:r>
            <w:r>
              <w:rPr>
                <w:color w:val="auto"/>
                <w:spacing w:val="-9"/>
                <w:highlight w:val="none"/>
              </w:rPr>
              <w:t>份。</w:t>
            </w:r>
          </w:p>
        </w:tc>
        <w:tc>
          <w:tcPr>
            <w:tcW w:w="402" w:type="dxa"/>
            <w:noWrap w:val="0"/>
            <w:vAlign w:val="top"/>
          </w:tcPr>
          <w:p>
            <w:pPr>
              <w:pStyle w:val="170"/>
              <w:spacing w:before="242" w:line="180" w:lineRule="auto"/>
              <w:ind w:left="158"/>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continue"/>
            <w:tcBorders>
              <w:top w:val="nil"/>
              <w:bottom w:val="nil"/>
            </w:tcBorders>
            <w:noWrap w:val="0"/>
            <w:vAlign w:val="top"/>
          </w:tcPr>
          <w:p>
            <w:pPr>
              <w:rPr>
                <w:rFonts w:ascii="Arial"/>
                <w:color w:val="auto"/>
                <w:sz w:val="21"/>
                <w:highlight w:val="none"/>
              </w:rPr>
            </w:pPr>
          </w:p>
        </w:tc>
        <w:tc>
          <w:tcPr>
            <w:tcW w:w="8393" w:type="dxa"/>
            <w:noWrap w:val="0"/>
            <w:vAlign w:val="top"/>
          </w:tcPr>
          <w:p>
            <w:pPr>
              <w:pStyle w:val="170"/>
              <w:spacing w:before="185" w:line="220" w:lineRule="auto"/>
              <w:ind w:left="1"/>
              <w:rPr>
                <w:color w:val="auto"/>
                <w:highlight w:val="none"/>
              </w:rPr>
            </w:pPr>
            <w:r>
              <w:rPr>
                <w:color w:val="auto"/>
                <w:spacing w:val="-1"/>
                <w:highlight w:val="none"/>
              </w:rPr>
              <w:t>对来幸福邻里中心活动的人员和参访人员进行流量及诉求登记，进行统计和有效分析。</w:t>
            </w:r>
          </w:p>
        </w:tc>
        <w:tc>
          <w:tcPr>
            <w:tcW w:w="402" w:type="dxa"/>
            <w:noWrap w:val="0"/>
            <w:vAlign w:val="top"/>
          </w:tcPr>
          <w:p>
            <w:pPr>
              <w:pStyle w:val="170"/>
              <w:spacing w:before="216" w:line="180" w:lineRule="auto"/>
              <w:ind w:left="158"/>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continue"/>
            <w:tcBorders>
              <w:top w:val="nil"/>
              <w:bottom w:val="nil"/>
            </w:tcBorders>
            <w:noWrap w:val="0"/>
            <w:vAlign w:val="top"/>
          </w:tcPr>
          <w:p>
            <w:pPr>
              <w:rPr>
                <w:rFonts w:ascii="Arial"/>
                <w:color w:val="auto"/>
                <w:sz w:val="21"/>
                <w:highlight w:val="none"/>
              </w:rPr>
            </w:pPr>
          </w:p>
        </w:tc>
        <w:tc>
          <w:tcPr>
            <w:tcW w:w="8393" w:type="dxa"/>
            <w:noWrap w:val="0"/>
            <w:vAlign w:val="top"/>
          </w:tcPr>
          <w:p>
            <w:pPr>
              <w:pStyle w:val="170"/>
              <w:spacing w:before="191" w:line="220" w:lineRule="auto"/>
              <w:ind w:left="23"/>
              <w:rPr>
                <w:color w:val="auto"/>
                <w:highlight w:val="none"/>
              </w:rPr>
            </w:pPr>
            <w:r>
              <w:rPr>
                <w:color w:val="auto"/>
                <w:spacing w:val="-2"/>
                <w:highlight w:val="none"/>
              </w:rPr>
              <w:t>按规定配备专职管理人员，统一着装。</w:t>
            </w:r>
          </w:p>
        </w:tc>
        <w:tc>
          <w:tcPr>
            <w:tcW w:w="402" w:type="dxa"/>
            <w:noWrap w:val="0"/>
            <w:vAlign w:val="top"/>
          </w:tcPr>
          <w:p>
            <w:pPr>
              <w:pStyle w:val="170"/>
              <w:spacing w:before="218" w:line="180" w:lineRule="auto"/>
              <w:ind w:left="158"/>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continue"/>
            <w:tcBorders>
              <w:top w:val="nil"/>
            </w:tcBorders>
            <w:noWrap w:val="0"/>
            <w:vAlign w:val="top"/>
          </w:tcPr>
          <w:p>
            <w:pPr>
              <w:rPr>
                <w:rFonts w:ascii="Arial"/>
                <w:color w:val="auto"/>
                <w:sz w:val="21"/>
                <w:highlight w:val="none"/>
              </w:rPr>
            </w:pPr>
          </w:p>
        </w:tc>
        <w:tc>
          <w:tcPr>
            <w:tcW w:w="8393" w:type="dxa"/>
            <w:noWrap w:val="0"/>
            <w:vAlign w:val="top"/>
          </w:tcPr>
          <w:p>
            <w:pPr>
              <w:pStyle w:val="170"/>
              <w:spacing w:before="187" w:line="220" w:lineRule="auto"/>
              <w:ind w:left="21"/>
              <w:rPr>
                <w:color w:val="auto"/>
                <w:highlight w:val="none"/>
              </w:rPr>
            </w:pPr>
            <w:r>
              <w:rPr>
                <w:color w:val="auto"/>
                <w:spacing w:val="-1"/>
                <w:highlight w:val="none"/>
              </w:rPr>
              <w:t>做好防火、防电、防食物中毒、防意外伤害等内容的管理制度和预</w:t>
            </w:r>
            <w:r>
              <w:rPr>
                <w:color w:val="auto"/>
                <w:spacing w:val="-2"/>
                <w:highlight w:val="none"/>
              </w:rPr>
              <w:t>案。</w:t>
            </w:r>
          </w:p>
        </w:tc>
        <w:tc>
          <w:tcPr>
            <w:tcW w:w="402" w:type="dxa"/>
            <w:noWrap w:val="0"/>
            <w:vAlign w:val="top"/>
          </w:tcPr>
          <w:p>
            <w:pPr>
              <w:pStyle w:val="170"/>
              <w:spacing w:before="218" w:line="181" w:lineRule="auto"/>
              <w:ind w:left="158"/>
              <w:rPr>
                <w:color w:val="auto"/>
                <w:highlight w:val="none"/>
              </w:rPr>
            </w:pPr>
            <w:r>
              <w:rPr>
                <w:color w:val="auto"/>
                <w:highlight w:val="none"/>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restart"/>
            <w:tcBorders>
              <w:bottom w:val="nil"/>
            </w:tcBorders>
            <w:noWrap w:val="0"/>
            <w:vAlign w:val="top"/>
          </w:tcPr>
          <w:p>
            <w:pPr>
              <w:spacing w:line="276" w:lineRule="auto"/>
              <w:rPr>
                <w:rFonts w:ascii="Arial"/>
                <w:color w:val="auto"/>
                <w:sz w:val="21"/>
                <w:highlight w:val="none"/>
              </w:rPr>
            </w:pPr>
          </w:p>
          <w:p>
            <w:pPr>
              <w:spacing w:line="276" w:lineRule="auto"/>
              <w:rPr>
                <w:rFonts w:ascii="Arial"/>
                <w:color w:val="auto"/>
                <w:sz w:val="21"/>
                <w:highlight w:val="none"/>
              </w:rPr>
            </w:pPr>
          </w:p>
          <w:p>
            <w:pPr>
              <w:spacing w:line="276" w:lineRule="auto"/>
              <w:rPr>
                <w:rFonts w:ascii="Arial"/>
                <w:color w:val="auto"/>
                <w:sz w:val="21"/>
                <w:highlight w:val="none"/>
              </w:rPr>
            </w:pPr>
          </w:p>
          <w:p>
            <w:pPr>
              <w:spacing w:line="276" w:lineRule="auto"/>
              <w:rPr>
                <w:rFonts w:ascii="Arial"/>
                <w:color w:val="auto"/>
                <w:sz w:val="21"/>
                <w:highlight w:val="none"/>
              </w:rPr>
            </w:pPr>
          </w:p>
          <w:p>
            <w:pPr>
              <w:spacing w:line="276" w:lineRule="auto"/>
              <w:rPr>
                <w:rFonts w:ascii="Arial"/>
                <w:color w:val="auto"/>
                <w:sz w:val="21"/>
                <w:highlight w:val="none"/>
              </w:rPr>
            </w:pPr>
          </w:p>
          <w:p>
            <w:pPr>
              <w:spacing w:line="276" w:lineRule="auto"/>
              <w:rPr>
                <w:rFonts w:ascii="Arial"/>
                <w:color w:val="auto"/>
                <w:sz w:val="21"/>
                <w:highlight w:val="none"/>
              </w:rPr>
            </w:pPr>
          </w:p>
          <w:p>
            <w:pPr>
              <w:pStyle w:val="170"/>
              <w:spacing w:before="59" w:line="218" w:lineRule="auto"/>
              <w:ind w:left="25" w:right="27" w:firstLine="83"/>
              <w:jc w:val="both"/>
              <w:rPr>
                <w:color w:val="auto"/>
                <w:highlight w:val="none"/>
              </w:rPr>
            </w:pPr>
            <w:r>
              <w:rPr>
                <w:color w:val="auto"/>
                <w:spacing w:val="-4"/>
                <w:highlight w:val="none"/>
              </w:rPr>
              <w:t>服务</w:t>
            </w:r>
            <w:r>
              <w:rPr>
                <w:color w:val="auto"/>
                <w:highlight w:val="none"/>
              </w:rPr>
              <w:t xml:space="preserve">  </w:t>
            </w:r>
            <w:r>
              <w:rPr>
                <w:color w:val="auto"/>
                <w:spacing w:val="38"/>
                <w:highlight w:val="none"/>
              </w:rPr>
              <w:t>开展</w:t>
            </w:r>
            <w:r>
              <w:rPr>
                <w:color w:val="auto"/>
                <w:highlight w:val="none"/>
              </w:rPr>
              <w:t xml:space="preserve">  </w:t>
            </w:r>
            <w:r>
              <w:rPr>
                <w:color w:val="auto"/>
                <w:spacing w:val="-6"/>
                <w:highlight w:val="none"/>
              </w:rPr>
              <w:t>（55）</w:t>
            </w:r>
          </w:p>
        </w:tc>
        <w:tc>
          <w:tcPr>
            <w:tcW w:w="8393" w:type="dxa"/>
            <w:noWrap w:val="0"/>
            <w:vAlign w:val="top"/>
          </w:tcPr>
          <w:p>
            <w:pPr>
              <w:pStyle w:val="170"/>
              <w:spacing w:before="187" w:line="220" w:lineRule="auto"/>
              <w:ind w:left="23"/>
              <w:rPr>
                <w:color w:val="auto"/>
                <w:highlight w:val="none"/>
              </w:rPr>
            </w:pPr>
            <w:r>
              <w:rPr>
                <w:color w:val="auto"/>
                <w:spacing w:val="-1"/>
                <w:highlight w:val="none"/>
              </w:rPr>
              <w:t>各功能室原则上每天按时开放，特殊情况除外，应与镇（街道）协商决</w:t>
            </w:r>
            <w:r>
              <w:rPr>
                <w:color w:val="auto"/>
                <w:spacing w:val="-2"/>
                <w:highlight w:val="none"/>
              </w:rPr>
              <w:t>定。</w:t>
            </w:r>
          </w:p>
        </w:tc>
        <w:tc>
          <w:tcPr>
            <w:tcW w:w="402" w:type="dxa"/>
            <w:noWrap w:val="0"/>
            <w:vAlign w:val="top"/>
          </w:tcPr>
          <w:p>
            <w:pPr>
              <w:pStyle w:val="170"/>
              <w:spacing w:before="219" w:line="180" w:lineRule="auto"/>
              <w:ind w:left="158"/>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continue"/>
            <w:tcBorders>
              <w:top w:val="nil"/>
              <w:bottom w:val="nil"/>
            </w:tcBorders>
            <w:noWrap w:val="0"/>
            <w:vAlign w:val="top"/>
          </w:tcPr>
          <w:p>
            <w:pPr>
              <w:rPr>
                <w:rFonts w:ascii="Arial"/>
                <w:color w:val="auto"/>
                <w:sz w:val="21"/>
                <w:highlight w:val="none"/>
              </w:rPr>
            </w:pPr>
          </w:p>
        </w:tc>
        <w:tc>
          <w:tcPr>
            <w:tcW w:w="8393" w:type="dxa"/>
            <w:noWrap w:val="0"/>
            <w:vAlign w:val="top"/>
          </w:tcPr>
          <w:p>
            <w:pPr>
              <w:pStyle w:val="170"/>
              <w:spacing w:before="191" w:line="219" w:lineRule="auto"/>
              <w:ind w:left="2"/>
              <w:rPr>
                <w:color w:val="auto"/>
                <w:highlight w:val="none"/>
              </w:rPr>
            </w:pPr>
            <w:r>
              <w:rPr>
                <w:color w:val="auto"/>
                <w:spacing w:val="-2"/>
                <w:highlight w:val="none"/>
              </w:rPr>
              <w:t>每年培育社会组织不少于 3</w:t>
            </w:r>
            <w:r>
              <w:rPr>
                <w:color w:val="auto"/>
                <w:spacing w:val="15"/>
                <w:highlight w:val="none"/>
              </w:rPr>
              <w:t xml:space="preserve"> </w:t>
            </w:r>
            <w:r>
              <w:rPr>
                <w:color w:val="auto"/>
                <w:spacing w:val="-2"/>
                <w:highlight w:val="none"/>
              </w:rPr>
              <w:t>个。</w:t>
            </w:r>
          </w:p>
        </w:tc>
        <w:tc>
          <w:tcPr>
            <w:tcW w:w="402" w:type="dxa"/>
            <w:noWrap w:val="0"/>
            <w:vAlign w:val="top"/>
          </w:tcPr>
          <w:p>
            <w:pPr>
              <w:pStyle w:val="170"/>
              <w:spacing w:before="218" w:line="182" w:lineRule="auto"/>
              <w:ind w:left="125"/>
              <w:rPr>
                <w:color w:val="auto"/>
                <w:highlight w:val="none"/>
              </w:rPr>
            </w:pPr>
            <w:r>
              <w:rPr>
                <w:color w:val="auto"/>
                <w:spacing w:val="-5"/>
                <w:highlight w:val="none"/>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continue"/>
            <w:tcBorders>
              <w:top w:val="nil"/>
              <w:bottom w:val="nil"/>
            </w:tcBorders>
            <w:noWrap w:val="0"/>
            <w:vAlign w:val="top"/>
          </w:tcPr>
          <w:p>
            <w:pPr>
              <w:rPr>
                <w:rFonts w:ascii="Arial"/>
                <w:color w:val="auto"/>
                <w:sz w:val="21"/>
                <w:highlight w:val="none"/>
              </w:rPr>
            </w:pPr>
          </w:p>
        </w:tc>
        <w:tc>
          <w:tcPr>
            <w:tcW w:w="8393" w:type="dxa"/>
            <w:noWrap w:val="0"/>
            <w:vAlign w:val="top"/>
          </w:tcPr>
          <w:p>
            <w:pPr>
              <w:pStyle w:val="170"/>
              <w:spacing w:before="189" w:line="219" w:lineRule="auto"/>
              <w:ind w:left="22"/>
              <w:rPr>
                <w:color w:val="auto"/>
                <w:highlight w:val="none"/>
              </w:rPr>
            </w:pPr>
            <w:r>
              <w:rPr>
                <w:color w:val="auto"/>
                <w:highlight w:val="none"/>
              </w:rPr>
              <w:t>有计划地为入驻的社会组织开展指导和培训。每年组织培训及交</w:t>
            </w:r>
            <w:r>
              <w:rPr>
                <w:color w:val="auto"/>
                <w:spacing w:val="-1"/>
                <w:highlight w:val="none"/>
              </w:rPr>
              <w:t>流活动不少于 5 次。</w:t>
            </w:r>
          </w:p>
        </w:tc>
        <w:tc>
          <w:tcPr>
            <w:tcW w:w="402" w:type="dxa"/>
            <w:noWrap w:val="0"/>
            <w:vAlign w:val="top"/>
          </w:tcPr>
          <w:p>
            <w:pPr>
              <w:pStyle w:val="170"/>
              <w:spacing w:before="219" w:line="182" w:lineRule="auto"/>
              <w:ind w:left="125"/>
              <w:rPr>
                <w:color w:val="auto"/>
                <w:highlight w:val="none"/>
              </w:rPr>
            </w:pPr>
            <w:r>
              <w:rPr>
                <w:color w:val="auto"/>
                <w:spacing w:val="-5"/>
                <w:highlight w:val="none"/>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continue"/>
            <w:tcBorders>
              <w:top w:val="nil"/>
              <w:bottom w:val="nil"/>
            </w:tcBorders>
            <w:noWrap w:val="0"/>
            <w:vAlign w:val="top"/>
          </w:tcPr>
          <w:p>
            <w:pPr>
              <w:rPr>
                <w:rFonts w:ascii="Arial"/>
                <w:color w:val="auto"/>
                <w:sz w:val="21"/>
                <w:highlight w:val="none"/>
              </w:rPr>
            </w:pPr>
          </w:p>
        </w:tc>
        <w:tc>
          <w:tcPr>
            <w:tcW w:w="8393" w:type="dxa"/>
            <w:noWrap w:val="0"/>
            <w:vAlign w:val="top"/>
          </w:tcPr>
          <w:p>
            <w:pPr>
              <w:pStyle w:val="170"/>
              <w:spacing w:before="192" w:line="219" w:lineRule="auto"/>
              <w:ind w:left="26"/>
              <w:rPr>
                <w:color w:val="auto"/>
                <w:highlight w:val="none"/>
              </w:rPr>
            </w:pPr>
            <w:r>
              <w:rPr>
                <w:color w:val="auto"/>
                <w:spacing w:val="-1"/>
                <w:highlight w:val="none"/>
              </w:rPr>
              <w:t>定期提供服务居民活动，除常规服务外，每年组织开展主题活动不少于</w:t>
            </w:r>
            <w:r>
              <w:rPr>
                <w:color w:val="auto"/>
                <w:spacing w:val="23"/>
                <w:highlight w:val="none"/>
              </w:rPr>
              <w:t xml:space="preserve"> </w:t>
            </w:r>
            <w:r>
              <w:rPr>
                <w:color w:val="auto"/>
                <w:spacing w:val="-1"/>
                <w:highlight w:val="none"/>
              </w:rPr>
              <w:t>10</w:t>
            </w:r>
            <w:r>
              <w:rPr>
                <w:color w:val="auto"/>
                <w:spacing w:val="-2"/>
                <w:highlight w:val="none"/>
              </w:rPr>
              <w:t xml:space="preserve"> 次。</w:t>
            </w:r>
          </w:p>
        </w:tc>
        <w:tc>
          <w:tcPr>
            <w:tcW w:w="402" w:type="dxa"/>
            <w:noWrap w:val="0"/>
            <w:vAlign w:val="top"/>
          </w:tcPr>
          <w:p>
            <w:pPr>
              <w:pStyle w:val="170"/>
              <w:spacing w:before="222" w:line="182" w:lineRule="auto"/>
              <w:ind w:left="125"/>
              <w:rPr>
                <w:color w:val="auto"/>
                <w:highlight w:val="none"/>
              </w:rPr>
            </w:pPr>
            <w:r>
              <w:rPr>
                <w:color w:val="auto"/>
                <w:spacing w:val="-5"/>
                <w:highlight w:val="none"/>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6" w:hRule="atLeast"/>
        </w:trPr>
        <w:tc>
          <w:tcPr>
            <w:tcW w:w="587" w:type="dxa"/>
            <w:vMerge w:val="continue"/>
            <w:tcBorders>
              <w:top w:val="nil"/>
              <w:bottom w:val="nil"/>
            </w:tcBorders>
            <w:noWrap w:val="0"/>
            <w:vAlign w:val="top"/>
          </w:tcPr>
          <w:p>
            <w:pPr>
              <w:rPr>
                <w:rFonts w:ascii="Arial"/>
                <w:color w:val="auto"/>
                <w:sz w:val="21"/>
                <w:highlight w:val="none"/>
              </w:rPr>
            </w:pPr>
          </w:p>
        </w:tc>
        <w:tc>
          <w:tcPr>
            <w:tcW w:w="8393" w:type="dxa"/>
            <w:noWrap w:val="0"/>
            <w:vAlign w:val="top"/>
          </w:tcPr>
          <w:p>
            <w:pPr>
              <w:pStyle w:val="170"/>
              <w:spacing w:before="196" w:line="220" w:lineRule="auto"/>
              <w:ind w:left="3"/>
              <w:rPr>
                <w:color w:val="auto"/>
                <w:highlight w:val="none"/>
              </w:rPr>
            </w:pPr>
            <w:r>
              <w:rPr>
                <w:color w:val="auto"/>
                <w:spacing w:val="-1"/>
                <w:highlight w:val="none"/>
              </w:rPr>
              <w:t>专业服务团体活动不少于 2 个。</w:t>
            </w:r>
          </w:p>
        </w:tc>
        <w:tc>
          <w:tcPr>
            <w:tcW w:w="402" w:type="dxa"/>
            <w:noWrap w:val="0"/>
            <w:vAlign w:val="top"/>
          </w:tcPr>
          <w:p>
            <w:pPr>
              <w:pStyle w:val="170"/>
              <w:spacing w:before="224" w:line="182" w:lineRule="auto"/>
              <w:ind w:left="125"/>
              <w:rPr>
                <w:color w:val="auto"/>
                <w:highlight w:val="none"/>
              </w:rPr>
            </w:pPr>
            <w:r>
              <w:rPr>
                <w:color w:val="auto"/>
                <w:spacing w:val="-5"/>
                <w:highlight w:val="none"/>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continue"/>
            <w:tcBorders>
              <w:top w:val="nil"/>
              <w:bottom w:val="nil"/>
            </w:tcBorders>
            <w:noWrap w:val="0"/>
            <w:vAlign w:val="top"/>
          </w:tcPr>
          <w:p>
            <w:pPr>
              <w:rPr>
                <w:rFonts w:ascii="Arial"/>
                <w:color w:val="auto"/>
                <w:sz w:val="21"/>
                <w:highlight w:val="none"/>
              </w:rPr>
            </w:pPr>
          </w:p>
        </w:tc>
        <w:tc>
          <w:tcPr>
            <w:tcW w:w="8393" w:type="dxa"/>
            <w:noWrap w:val="0"/>
            <w:vAlign w:val="top"/>
          </w:tcPr>
          <w:p>
            <w:pPr>
              <w:pStyle w:val="170"/>
              <w:spacing w:before="196" w:line="220" w:lineRule="auto"/>
              <w:ind w:left="3"/>
              <w:rPr>
                <w:color w:val="auto"/>
                <w:highlight w:val="none"/>
              </w:rPr>
            </w:pPr>
            <w:r>
              <w:rPr>
                <w:color w:val="auto"/>
                <w:spacing w:val="-2"/>
                <w:highlight w:val="none"/>
              </w:rPr>
              <w:t>协商议事活动不少于 3</w:t>
            </w:r>
            <w:r>
              <w:rPr>
                <w:color w:val="auto"/>
                <w:spacing w:val="-31"/>
                <w:highlight w:val="none"/>
              </w:rPr>
              <w:t xml:space="preserve"> </w:t>
            </w:r>
            <w:r>
              <w:rPr>
                <w:color w:val="auto"/>
                <w:spacing w:val="-2"/>
                <w:highlight w:val="none"/>
              </w:rPr>
              <w:t>次。</w:t>
            </w:r>
          </w:p>
        </w:tc>
        <w:tc>
          <w:tcPr>
            <w:tcW w:w="402" w:type="dxa"/>
            <w:noWrap w:val="0"/>
            <w:vAlign w:val="top"/>
          </w:tcPr>
          <w:p>
            <w:pPr>
              <w:pStyle w:val="170"/>
              <w:spacing w:before="225" w:line="180" w:lineRule="auto"/>
              <w:ind w:left="158"/>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587" w:type="dxa"/>
            <w:vMerge w:val="continue"/>
            <w:tcBorders>
              <w:top w:val="nil"/>
            </w:tcBorders>
            <w:noWrap w:val="0"/>
            <w:vAlign w:val="top"/>
          </w:tcPr>
          <w:p>
            <w:pPr>
              <w:rPr>
                <w:rFonts w:ascii="Arial"/>
                <w:color w:val="auto"/>
                <w:sz w:val="21"/>
                <w:highlight w:val="none"/>
              </w:rPr>
            </w:pPr>
          </w:p>
        </w:tc>
        <w:tc>
          <w:tcPr>
            <w:tcW w:w="8393" w:type="dxa"/>
            <w:noWrap w:val="0"/>
            <w:vAlign w:val="top"/>
          </w:tcPr>
          <w:p>
            <w:pPr>
              <w:pStyle w:val="170"/>
              <w:spacing w:before="199" w:line="219" w:lineRule="auto"/>
              <w:ind w:left="23"/>
              <w:rPr>
                <w:color w:val="auto"/>
                <w:highlight w:val="none"/>
              </w:rPr>
            </w:pPr>
            <w:r>
              <w:rPr>
                <w:color w:val="auto"/>
                <w:spacing w:val="-1"/>
                <w:highlight w:val="none"/>
              </w:rPr>
              <w:t>幸福邻里中心须对外提供就餐服务且正常运营。无邻里食堂</w:t>
            </w:r>
            <w:r>
              <w:rPr>
                <w:color w:val="auto"/>
                <w:spacing w:val="-2"/>
                <w:highlight w:val="none"/>
              </w:rPr>
              <w:t>的为</w:t>
            </w:r>
            <w:r>
              <w:rPr>
                <w:color w:val="auto"/>
                <w:spacing w:val="-35"/>
                <w:highlight w:val="none"/>
              </w:rPr>
              <w:t xml:space="preserve"> </w:t>
            </w:r>
            <w:r>
              <w:rPr>
                <w:color w:val="auto"/>
                <w:spacing w:val="-2"/>
                <w:highlight w:val="none"/>
              </w:rPr>
              <w:t>0</w:t>
            </w:r>
            <w:r>
              <w:rPr>
                <w:color w:val="auto"/>
                <w:spacing w:val="-34"/>
                <w:highlight w:val="none"/>
              </w:rPr>
              <w:t xml:space="preserve"> </w:t>
            </w:r>
            <w:r>
              <w:rPr>
                <w:color w:val="auto"/>
                <w:spacing w:val="-2"/>
                <w:highlight w:val="none"/>
              </w:rPr>
              <w:t>分。</w:t>
            </w:r>
          </w:p>
        </w:tc>
        <w:tc>
          <w:tcPr>
            <w:tcW w:w="402" w:type="dxa"/>
            <w:noWrap w:val="0"/>
            <w:vAlign w:val="top"/>
          </w:tcPr>
          <w:p>
            <w:pPr>
              <w:pStyle w:val="170"/>
              <w:spacing w:before="226" w:line="180" w:lineRule="auto"/>
              <w:ind w:left="158"/>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5" w:hRule="atLeast"/>
        </w:trPr>
        <w:tc>
          <w:tcPr>
            <w:tcW w:w="587" w:type="dxa"/>
            <w:vMerge w:val="restart"/>
            <w:tcBorders>
              <w:bottom w:val="nil"/>
            </w:tcBorders>
            <w:noWrap w:val="0"/>
            <w:vAlign w:val="top"/>
          </w:tcPr>
          <w:p>
            <w:pPr>
              <w:pStyle w:val="170"/>
              <w:spacing w:before="279" w:line="218" w:lineRule="auto"/>
              <w:ind w:left="25" w:right="27" w:firstLine="86"/>
              <w:jc w:val="both"/>
              <w:rPr>
                <w:color w:val="auto"/>
                <w:highlight w:val="none"/>
              </w:rPr>
            </w:pPr>
            <w:r>
              <w:rPr>
                <w:color w:val="auto"/>
                <w:spacing w:val="-5"/>
                <w:highlight w:val="none"/>
              </w:rPr>
              <w:t>活动</w:t>
            </w:r>
            <w:r>
              <w:rPr>
                <w:color w:val="auto"/>
                <w:highlight w:val="none"/>
              </w:rPr>
              <w:t xml:space="preserve">  </w:t>
            </w:r>
            <w:r>
              <w:rPr>
                <w:color w:val="auto"/>
                <w:spacing w:val="38"/>
                <w:highlight w:val="none"/>
              </w:rPr>
              <w:t>成果</w:t>
            </w:r>
            <w:r>
              <w:rPr>
                <w:color w:val="auto"/>
                <w:highlight w:val="none"/>
              </w:rPr>
              <w:t xml:space="preserve">  </w:t>
            </w:r>
            <w:r>
              <w:rPr>
                <w:color w:val="auto"/>
                <w:spacing w:val="-6"/>
                <w:highlight w:val="none"/>
              </w:rPr>
              <w:t>（15）</w:t>
            </w:r>
          </w:p>
        </w:tc>
        <w:tc>
          <w:tcPr>
            <w:tcW w:w="8393" w:type="dxa"/>
            <w:noWrap w:val="0"/>
            <w:vAlign w:val="top"/>
          </w:tcPr>
          <w:p>
            <w:pPr>
              <w:pStyle w:val="170"/>
              <w:spacing w:before="196" w:line="219" w:lineRule="auto"/>
              <w:ind w:left="2"/>
              <w:rPr>
                <w:color w:val="auto"/>
                <w:highlight w:val="none"/>
              </w:rPr>
            </w:pPr>
            <w:r>
              <w:rPr>
                <w:color w:val="auto"/>
                <w:spacing w:val="-1"/>
                <w:highlight w:val="none"/>
              </w:rPr>
              <w:t>每年获省市县级媒体正面宣传不少于 3 次。</w:t>
            </w:r>
          </w:p>
        </w:tc>
        <w:tc>
          <w:tcPr>
            <w:tcW w:w="402" w:type="dxa"/>
            <w:noWrap w:val="0"/>
            <w:vAlign w:val="top"/>
          </w:tcPr>
          <w:p>
            <w:pPr>
              <w:pStyle w:val="170"/>
              <w:spacing w:before="225" w:line="180" w:lineRule="auto"/>
              <w:ind w:left="158"/>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587" w:type="dxa"/>
            <w:vMerge w:val="continue"/>
            <w:tcBorders>
              <w:top w:val="nil"/>
            </w:tcBorders>
            <w:noWrap w:val="0"/>
            <w:vAlign w:val="top"/>
          </w:tcPr>
          <w:p>
            <w:pPr>
              <w:rPr>
                <w:rFonts w:ascii="Arial"/>
                <w:color w:val="auto"/>
                <w:sz w:val="21"/>
                <w:highlight w:val="none"/>
              </w:rPr>
            </w:pPr>
          </w:p>
        </w:tc>
        <w:tc>
          <w:tcPr>
            <w:tcW w:w="8393" w:type="dxa"/>
            <w:noWrap w:val="0"/>
            <w:vAlign w:val="top"/>
          </w:tcPr>
          <w:p>
            <w:pPr>
              <w:pStyle w:val="170"/>
              <w:spacing w:before="196" w:line="219" w:lineRule="auto"/>
              <w:ind w:left="1"/>
              <w:rPr>
                <w:color w:val="auto"/>
                <w:highlight w:val="none"/>
              </w:rPr>
            </w:pPr>
            <w:r>
              <w:rPr>
                <w:color w:val="auto"/>
                <w:spacing w:val="-1"/>
                <w:highlight w:val="none"/>
              </w:rPr>
              <w:t>入驻社会组织及社区居民满意率达 85%以上。</w:t>
            </w:r>
          </w:p>
        </w:tc>
        <w:tc>
          <w:tcPr>
            <w:tcW w:w="402" w:type="dxa"/>
            <w:noWrap w:val="0"/>
            <w:vAlign w:val="top"/>
          </w:tcPr>
          <w:p>
            <w:pPr>
              <w:pStyle w:val="170"/>
              <w:spacing w:before="224" w:line="182" w:lineRule="auto"/>
              <w:ind w:left="125"/>
              <w:rPr>
                <w:color w:val="auto"/>
                <w:highlight w:val="none"/>
              </w:rPr>
            </w:pPr>
            <w:r>
              <w:rPr>
                <w:color w:val="auto"/>
                <w:spacing w:val="-5"/>
                <w:highlight w:val="none"/>
              </w:rPr>
              <w:t>10</w:t>
            </w:r>
          </w:p>
        </w:tc>
      </w:tr>
    </w:tbl>
    <w:p>
      <w:pPr>
        <w:rPr>
          <w:rFonts w:ascii="Arial"/>
          <w:color w:val="auto"/>
          <w:sz w:val="21"/>
          <w:highlight w:val="none"/>
        </w:rPr>
      </w:pPr>
    </w:p>
    <w:p>
      <w:pPr>
        <w:rPr>
          <w:rFonts w:ascii="Arial" w:hAnsi="Arial" w:eastAsia="Arial" w:cs="Arial"/>
          <w:color w:val="auto"/>
          <w:sz w:val="21"/>
          <w:szCs w:val="21"/>
          <w:highlight w:val="none"/>
        </w:rPr>
        <w:sectPr>
          <w:footerReference r:id="rId4" w:type="default"/>
          <w:pgSz w:w="11907" w:h="16839"/>
          <w:pgMar w:top="1405" w:right="1106" w:bottom="1309" w:left="1402" w:header="0" w:footer="1133" w:gutter="0"/>
          <w:pgNumType w:fmt="decimal" w:start="1"/>
          <w:cols w:space="720" w:num="1"/>
        </w:sectPr>
      </w:pPr>
    </w:p>
    <w:p>
      <w:pPr>
        <w:pStyle w:val="20"/>
        <w:spacing w:before="42" w:line="234" w:lineRule="auto"/>
        <w:ind w:right="25"/>
        <w:jc w:val="center"/>
        <w:rPr>
          <w:color w:val="auto"/>
          <w:sz w:val="21"/>
          <w:szCs w:val="21"/>
          <w:highlight w:val="none"/>
        </w:rPr>
      </w:pPr>
      <w:r>
        <w:rPr>
          <w:color w:val="auto"/>
          <w:spacing w:val="-4"/>
          <w:sz w:val="21"/>
          <w:szCs w:val="21"/>
          <w:highlight w:val="none"/>
        </w:rPr>
        <w:t>表B.2  村（社区）</w:t>
      </w:r>
      <w:r>
        <w:rPr>
          <w:color w:val="auto"/>
          <w:spacing w:val="-21"/>
          <w:sz w:val="21"/>
          <w:szCs w:val="21"/>
          <w:highlight w:val="none"/>
        </w:rPr>
        <w:t xml:space="preserve"> </w:t>
      </w:r>
      <w:r>
        <w:rPr>
          <w:color w:val="auto"/>
          <w:spacing w:val="-4"/>
          <w:sz w:val="21"/>
          <w:szCs w:val="21"/>
          <w:highlight w:val="none"/>
        </w:rPr>
        <w:t>级幸福邻里中心运营评估表</w:t>
      </w:r>
    </w:p>
    <w:p>
      <w:pPr>
        <w:spacing w:line="167" w:lineRule="exact"/>
        <w:rPr>
          <w:color w:val="auto"/>
          <w:highlight w:val="none"/>
        </w:rPr>
      </w:pPr>
    </w:p>
    <w:tbl>
      <w:tblPr>
        <w:tblStyle w:val="171"/>
        <w:tblW w:w="938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9"/>
        <w:gridCol w:w="8290"/>
        <w:gridCol w:w="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649" w:type="dxa"/>
            <w:noWrap w:val="0"/>
            <w:vAlign w:val="top"/>
          </w:tcPr>
          <w:p>
            <w:pPr>
              <w:pStyle w:val="170"/>
              <w:spacing w:before="213" w:line="220" w:lineRule="auto"/>
              <w:ind w:left="160"/>
              <w:rPr>
                <w:color w:val="auto"/>
                <w:highlight w:val="none"/>
              </w:rPr>
            </w:pPr>
            <w:r>
              <w:rPr>
                <w:color w:val="auto"/>
                <w:spacing w:val="-7"/>
                <w:highlight w:val="none"/>
              </w:rPr>
              <w:t>内容</w:t>
            </w:r>
          </w:p>
        </w:tc>
        <w:tc>
          <w:tcPr>
            <w:tcW w:w="8290" w:type="dxa"/>
            <w:noWrap w:val="0"/>
            <w:vAlign w:val="top"/>
          </w:tcPr>
          <w:p>
            <w:pPr>
              <w:pStyle w:val="170"/>
              <w:spacing w:before="214" w:line="218" w:lineRule="auto"/>
              <w:ind w:left="3528"/>
              <w:rPr>
                <w:color w:val="auto"/>
                <w:highlight w:val="none"/>
              </w:rPr>
            </w:pPr>
            <w:r>
              <w:rPr>
                <w:color w:val="auto"/>
                <w:spacing w:val="-6"/>
                <w:highlight w:val="none"/>
              </w:rPr>
              <w:t>评</w:t>
            </w:r>
            <w:r>
              <w:rPr>
                <w:color w:val="auto"/>
                <w:spacing w:val="5"/>
                <w:highlight w:val="none"/>
              </w:rPr>
              <w:t xml:space="preserve">  </w:t>
            </w:r>
            <w:r>
              <w:rPr>
                <w:color w:val="auto"/>
                <w:spacing w:val="-6"/>
                <w:highlight w:val="none"/>
              </w:rPr>
              <w:t>估</w:t>
            </w:r>
            <w:r>
              <w:rPr>
                <w:color w:val="auto"/>
                <w:spacing w:val="5"/>
                <w:highlight w:val="none"/>
              </w:rPr>
              <w:t xml:space="preserve">  </w:t>
            </w:r>
            <w:r>
              <w:rPr>
                <w:color w:val="auto"/>
                <w:spacing w:val="-6"/>
                <w:highlight w:val="none"/>
              </w:rPr>
              <w:t>标</w:t>
            </w:r>
            <w:r>
              <w:rPr>
                <w:color w:val="auto"/>
                <w:spacing w:val="6"/>
                <w:highlight w:val="none"/>
              </w:rPr>
              <w:t xml:space="preserve">  </w:t>
            </w:r>
            <w:r>
              <w:rPr>
                <w:color w:val="auto"/>
                <w:spacing w:val="-6"/>
                <w:highlight w:val="none"/>
              </w:rPr>
              <w:t>准</w:t>
            </w:r>
          </w:p>
        </w:tc>
        <w:tc>
          <w:tcPr>
            <w:tcW w:w="448" w:type="dxa"/>
            <w:noWrap w:val="0"/>
            <w:vAlign w:val="top"/>
          </w:tcPr>
          <w:p>
            <w:pPr>
              <w:pStyle w:val="170"/>
              <w:spacing w:before="213" w:line="220" w:lineRule="auto"/>
              <w:ind w:left="49"/>
              <w:rPr>
                <w:color w:val="auto"/>
                <w:highlight w:val="none"/>
              </w:rPr>
            </w:pPr>
            <w:r>
              <w:rPr>
                <w:color w:val="auto"/>
                <w:spacing w:val="-3"/>
                <w:highlight w:val="none"/>
              </w:rPr>
              <w:t>分值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649" w:type="dxa"/>
            <w:vMerge w:val="restart"/>
            <w:tcBorders>
              <w:bottom w:val="nil"/>
            </w:tcBorders>
            <w:noWrap w:val="0"/>
            <w:vAlign w:val="top"/>
          </w:tcPr>
          <w:p>
            <w:pPr>
              <w:spacing w:line="256" w:lineRule="auto"/>
              <w:rPr>
                <w:rFonts w:ascii="Arial"/>
                <w:color w:val="auto"/>
                <w:sz w:val="21"/>
                <w:highlight w:val="none"/>
              </w:rPr>
            </w:pPr>
          </w:p>
          <w:p>
            <w:pPr>
              <w:spacing w:line="256" w:lineRule="auto"/>
              <w:rPr>
                <w:rFonts w:ascii="Arial"/>
                <w:color w:val="auto"/>
                <w:sz w:val="21"/>
                <w:highlight w:val="none"/>
              </w:rPr>
            </w:pPr>
          </w:p>
          <w:p>
            <w:pPr>
              <w:pStyle w:val="170"/>
              <w:spacing w:before="58" w:line="237" w:lineRule="auto"/>
              <w:ind w:left="16" w:right="99" w:firstLine="124"/>
              <w:jc w:val="both"/>
              <w:rPr>
                <w:color w:val="auto"/>
                <w:highlight w:val="none"/>
              </w:rPr>
            </w:pPr>
            <w:r>
              <w:rPr>
                <w:color w:val="auto"/>
                <w:spacing w:val="-4"/>
                <w:highlight w:val="none"/>
              </w:rPr>
              <w:t>环境</w:t>
            </w:r>
            <w:r>
              <w:rPr>
                <w:color w:val="auto"/>
                <w:highlight w:val="none"/>
              </w:rPr>
              <w:t xml:space="preserve"> </w:t>
            </w:r>
            <w:r>
              <w:rPr>
                <w:color w:val="auto"/>
                <w:spacing w:val="13"/>
                <w:w w:val="125"/>
                <w:highlight w:val="none"/>
              </w:rPr>
              <w:t>设施</w:t>
            </w:r>
            <w:r>
              <w:rPr>
                <w:color w:val="auto"/>
                <w:highlight w:val="none"/>
              </w:rPr>
              <w:t xml:space="preserve"> </w:t>
            </w:r>
            <w:r>
              <w:rPr>
                <w:color w:val="auto"/>
                <w:spacing w:val="-6"/>
                <w:highlight w:val="none"/>
              </w:rPr>
              <w:t>（10）</w:t>
            </w:r>
          </w:p>
        </w:tc>
        <w:tc>
          <w:tcPr>
            <w:tcW w:w="8290" w:type="dxa"/>
            <w:noWrap w:val="0"/>
            <w:vAlign w:val="top"/>
          </w:tcPr>
          <w:p>
            <w:pPr>
              <w:pStyle w:val="170"/>
              <w:spacing w:before="205" w:line="220" w:lineRule="auto"/>
              <w:ind w:left="2"/>
              <w:rPr>
                <w:color w:val="auto"/>
                <w:highlight w:val="none"/>
              </w:rPr>
            </w:pPr>
            <w:r>
              <w:rPr>
                <w:color w:val="auto"/>
                <w:spacing w:val="-4"/>
                <w:highlight w:val="none"/>
              </w:rPr>
              <w:t>建筑面积一般不少于 500 ㎡，</w:t>
            </w:r>
            <w:r>
              <w:rPr>
                <w:color w:val="auto"/>
                <w:spacing w:val="-13"/>
                <w:highlight w:val="none"/>
              </w:rPr>
              <w:t xml:space="preserve"> </w:t>
            </w:r>
            <w:r>
              <w:rPr>
                <w:color w:val="auto"/>
                <w:spacing w:val="-4"/>
                <w:highlight w:val="none"/>
              </w:rPr>
              <w:t>并保持环境整洁、美观。</w:t>
            </w:r>
          </w:p>
        </w:tc>
        <w:tc>
          <w:tcPr>
            <w:tcW w:w="448" w:type="dxa"/>
            <w:noWrap w:val="0"/>
            <w:vAlign w:val="top"/>
          </w:tcPr>
          <w:p>
            <w:pPr>
              <w:pStyle w:val="170"/>
              <w:spacing w:before="237" w:line="180" w:lineRule="auto"/>
              <w:ind w:left="182"/>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649" w:type="dxa"/>
            <w:vMerge w:val="continue"/>
            <w:tcBorders>
              <w:top w:val="nil"/>
              <w:bottom w:val="nil"/>
            </w:tcBorders>
            <w:noWrap w:val="0"/>
            <w:vAlign w:val="top"/>
          </w:tcPr>
          <w:p>
            <w:pPr>
              <w:rPr>
                <w:rFonts w:ascii="Arial"/>
                <w:color w:val="auto"/>
                <w:sz w:val="21"/>
                <w:highlight w:val="none"/>
              </w:rPr>
            </w:pPr>
          </w:p>
        </w:tc>
        <w:tc>
          <w:tcPr>
            <w:tcW w:w="8290" w:type="dxa"/>
            <w:noWrap w:val="0"/>
            <w:vAlign w:val="top"/>
          </w:tcPr>
          <w:p>
            <w:pPr>
              <w:pStyle w:val="170"/>
              <w:spacing w:before="205" w:line="219" w:lineRule="auto"/>
              <w:ind w:left="1"/>
              <w:rPr>
                <w:color w:val="auto"/>
                <w:highlight w:val="none"/>
              </w:rPr>
            </w:pPr>
            <w:r>
              <w:rPr>
                <w:color w:val="auto"/>
                <w:spacing w:val="-1"/>
                <w:highlight w:val="none"/>
              </w:rPr>
              <w:t>房屋建筑宜钢筋混凝土结构，符合消防规定，配备灭火器材，防火器具、标志标识、紧急疏散通道等。</w:t>
            </w:r>
          </w:p>
        </w:tc>
        <w:tc>
          <w:tcPr>
            <w:tcW w:w="448" w:type="dxa"/>
            <w:noWrap w:val="0"/>
            <w:vAlign w:val="top"/>
          </w:tcPr>
          <w:p>
            <w:pPr>
              <w:pStyle w:val="170"/>
              <w:spacing w:before="236" w:line="181" w:lineRule="auto"/>
              <w:ind w:left="182"/>
              <w:rPr>
                <w:color w:val="auto"/>
                <w:highlight w:val="none"/>
              </w:rPr>
            </w:pPr>
            <w:r>
              <w:rPr>
                <w:color w:val="auto"/>
                <w:highlight w:val="none"/>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649" w:type="dxa"/>
            <w:vMerge w:val="continue"/>
            <w:tcBorders>
              <w:top w:val="nil"/>
            </w:tcBorders>
            <w:noWrap w:val="0"/>
            <w:vAlign w:val="top"/>
          </w:tcPr>
          <w:p>
            <w:pPr>
              <w:rPr>
                <w:rFonts w:ascii="Arial"/>
                <w:color w:val="auto"/>
                <w:sz w:val="21"/>
                <w:highlight w:val="none"/>
              </w:rPr>
            </w:pPr>
          </w:p>
        </w:tc>
        <w:tc>
          <w:tcPr>
            <w:tcW w:w="8290" w:type="dxa"/>
            <w:noWrap w:val="0"/>
            <w:vAlign w:val="top"/>
          </w:tcPr>
          <w:p>
            <w:pPr>
              <w:pStyle w:val="170"/>
              <w:spacing w:before="206" w:line="220" w:lineRule="auto"/>
              <w:ind w:left="3"/>
              <w:rPr>
                <w:color w:val="auto"/>
                <w:highlight w:val="none"/>
              </w:rPr>
            </w:pPr>
            <w:r>
              <w:rPr>
                <w:color w:val="auto"/>
                <w:spacing w:val="-2"/>
                <w:highlight w:val="none"/>
              </w:rPr>
              <w:t>室内功能齐全，设施设备维护完好，实行统一标识标牌。</w:t>
            </w:r>
          </w:p>
        </w:tc>
        <w:tc>
          <w:tcPr>
            <w:tcW w:w="448" w:type="dxa"/>
            <w:noWrap w:val="0"/>
            <w:vAlign w:val="top"/>
          </w:tcPr>
          <w:p>
            <w:pPr>
              <w:pStyle w:val="170"/>
              <w:spacing w:before="237" w:line="181" w:lineRule="auto"/>
              <w:ind w:left="181"/>
              <w:rPr>
                <w:color w:val="auto"/>
                <w:highlight w:val="none"/>
              </w:rPr>
            </w:pPr>
            <w:r>
              <w:rPr>
                <w:color w:val="auto"/>
                <w:highlight w:val="none"/>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649" w:type="dxa"/>
            <w:vMerge w:val="restart"/>
            <w:tcBorders>
              <w:bottom w:val="nil"/>
            </w:tcBorders>
            <w:noWrap w:val="0"/>
            <w:vAlign w:val="top"/>
          </w:tcPr>
          <w:p>
            <w:pPr>
              <w:spacing w:line="297" w:lineRule="auto"/>
              <w:rPr>
                <w:rFonts w:ascii="Arial"/>
                <w:color w:val="auto"/>
                <w:sz w:val="21"/>
                <w:highlight w:val="none"/>
              </w:rPr>
            </w:pPr>
          </w:p>
          <w:p>
            <w:pPr>
              <w:spacing w:line="297" w:lineRule="auto"/>
              <w:rPr>
                <w:rFonts w:ascii="Arial"/>
                <w:color w:val="auto"/>
                <w:sz w:val="21"/>
                <w:highlight w:val="none"/>
              </w:rPr>
            </w:pPr>
          </w:p>
          <w:p>
            <w:pPr>
              <w:spacing w:line="297" w:lineRule="auto"/>
              <w:rPr>
                <w:rFonts w:ascii="Arial"/>
                <w:color w:val="auto"/>
                <w:sz w:val="21"/>
                <w:highlight w:val="none"/>
              </w:rPr>
            </w:pPr>
          </w:p>
          <w:p>
            <w:pPr>
              <w:spacing w:line="298" w:lineRule="auto"/>
              <w:rPr>
                <w:rFonts w:ascii="Arial"/>
                <w:color w:val="auto"/>
                <w:sz w:val="21"/>
                <w:highlight w:val="none"/>
              </w:rPr>
            </w:pPr>
          </w:p>
          <w:p>
            <w:pPr>
              <w:pStyle w:val="170"/>
              <w:spacing w:before="59" w:line="218" w:lineRule="auto"/>
              <w:ind w:left="54" w:right="60" w:firstLine="108"/>
              <w:jc w:val="both"/>
              <w:rPr>
                <w:color w:val="auto"/>
                <w:highlight w:val="none"/>
              </w:rPr>
            </w:pPr>
            <w:r>
              <w:rPr>
                <w:color w:val="auto"/>
                <w:spacing w:val="-15"/>
                <w:highlight w:val="none"/>
              </w:rPr>
              <w:t>内部</w:t>
            </w:r>
            <w:r>
              <w:rPr>
                <w:color w:val="auto"/>
                <w:highlight w:val="none"/>
              </w:rPr>
              <w:t xml:space="preserve">  </w:t>
            </w:r>
            <w:r>
              <w:rPr>
                <w:color w:val="auto"/>
                <w:spacing w:val="39"/>
                <w:highlight w:val="none"/>
              </w:rPr>
              <w:t>管理</w:t>
            </w:r>
            <w:r>
              <w:rPr>
                <w:color w:val="auto"/>
                <w:highlight w:val="none"/>
              </w:rPr>
              <w:t xml:space="preserve">  </w:t>
            </w:r>
            <w:r>
              <w:rPr>
                <w:color w:val="auto"/>
                <w:spacing w:val="-6"/>
                <w:highlight w:val="none"/>
              </w:rPr>
              <w:t>（20）</w:t>
            </w:r>
          </w:p>
        </w:tc>
        <w:tc>
          <w:tcPr>
            <w:tcW w:w="8290" w:type="dxa"/>
            <w:noWrap w:val="0"/>
            <w:vAlign w:val="top"/>
          </w:tcPr>
          <w:p>
            <w:pPr>
              <w:pStyle w:val="170"/>
              <w:spacing w:before="208" w:line="218" w:lineRule="auto"/>
              <w:ind w:left="1"/>
              <w:rPr>
                <w:color w:val="auto"/>
                <w:highlight w:val="none"/>
              </w:rPr>
            </w:pPr>
            <w:r>
              <w:rPr>
                <w:color w:val="auto"/>
                <w:spacing w:val="-1"/>
                <w:highlight w:val="none"/>
              </w:rPr>
              <w:t>幸福邻里中心管理制度健全。对外公告开放时间、服务项目</w:t>
            </w:r>
            <w:r>
              <w:rPr>
                <w:color w:val="auto"/>
                <w:spacing w:val="-2"/>
                <w:highlight w:val="none"/>
              </w:rPr>
              <w:t>内容等。</w:t>
            </w:r>
          </w:p>
        </w:tc>
        <w:tc>
          <w:tcPr>
            <w:tcW w:w="448" w:type="dxa"/>
            <w:noWrap w:val="0"/>
            <w:vAlign w:val="top"/>
          </w:tcPr>
          <w:p>
            <w:pPr>
              <w:pStyle w:val="170"/>
              <w:spacing w:before="238" w:line="181" w:lineRule="auto"/>
              <w:ind w:left="181"/>
              <w:rPr>
                <w:color w:val="auto"/>
                <w:highlight w:val="none"/>
              </w:rPr>
            </w:pPr>
            <w:r>
              <w:rPr>
                <w:color w:val="auto"/>
                <w:highlight w:val="none"/>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0" w:hRule="atLeast"/>
        </w:trPr>
        <w:tc>
          <w:tcPr>
            <w:tcW w:w="649" w:type="dxa"/>
            <w:vMerge w:val="continue"/>
            <w:tcBorders>
              <w:top w:val="nil"/>
              <w:bottom w:val="nil"/>
            </w:tcBorders>
            <w:noWrap w:val="0"/>
            <w:vAlign w:val="top"/>
          </w:tcPr>
          <w:p>
            <w:pPr>
              <w:rPr>
                <w:rFonts w:ascii="Arial"/>
                <w:color w:val="auto"/>
                <w:sz w:val="21"/>
                <w:highlight w:val="none"/>
              </w:rPr>
            </w:pPr>
          </w:p>
        </w:tc>
        <w:tc>
          <w:tcPr>
            <w:tcW w:w="8290" w:type="dxa"/>
            <w:noWrap w:val="0"/>
            <w:vAlign w:val="top"/>
          </w:tcPr>
          <w:p>
            <w:pPr>
              <w:pStyle w:val="170"/>
              <w:spacing w:before="207" w:line="220" w:lineRule="auto"/>
              <w:ind w:left="1"/>
              <w:rPr>
                <w:color w:val="auto"/>
                <w:highlight w:val="none"/>
              </w:rPr>
            </w:pPr>
            <w:r>
              <w:rPr>
                <w:color w:val="auto"/>
                <w:highlight w:val="none"/>
              </w:rPr>
              <w:t>制定居民信息和需求调查登记表。每年建立居民</w:t>
            </w:r>
            <w:r>
              <w:rPr>
                <w:color w:val="auto"/>
                <w:spacing w:val="-1"/>
                <w:highlight w:val="none"/>
              </w:rPr>
              <w:t>信息档案不少于 200 份。</w:t>
            </w:r>
          </w:p>
        </w:tc>
        <w:tc>
          <w:tcPr>
            <w:tcW w:w="448" w:type="dxa"/>
            <w:noWrap w:val="0"/>
            <w:vAlign w:val="top"/>
          </w:tcPr>
          <w:p>
            <w:pPr>
              <w:pStyle w:val="170"/>
              <w:spacing w:before="239" w:line="180" w:lineRule="auto"/>
              <w:ind w:left="182"/>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649" w:type="dxa"/>
            <w:vMerge w:val="continue"/>
            <w:tcBorders>
              <w:top w:val="nil"/>
              <w:bottom w:val="nil"/>
            </w:tcBorders>
            <w:noWrap w:val="0"/>
            <w:vAlign w:val="top"/>
          </w:tcPr>
          <w:p>
            <w:pPr>
              <w:rPr>
                <w:rFonts w:ascii="Arial"/>
                <w:color w:val="auto"/>
                <w:sz w:val="21"/>
                <w:highlight w:val="none"/>
              </w:rPr>
            </w:pPr>
          </w:p>
        </w:tc>
        <w:tc>
          <w:tcPr>
            <w:tcW w:w="8290" w:type="dxa"/>
            <w:noWrap w:val="0"/>
            <w:vAlign w:val="top"/>
          </w:tcPr>
          <w:p>
            <w:pPr>
              <w:pStyle w:val="170"/>
              <w:spacing w:before="216" w:line="220" w:lineRule="auto"/>
              <w:rPr>
                <w:color w:val="auto"/>
                <w:highlight w:val="none"/>
              </w:rPr>
            </w:pPr>
            <w:r>
              <w:rPr>
                <w:color w:val="auto"/>
                <w:spacing w:val="-1"/>
                <w:highlight w:val="none"/>
              </w:rPr>
              <w:t>对来幸福邻里中心活动的人员和参访人员进行流量及诉求登记，进行统计和有效分析。</w:t>
            </w:r>
          </w:p>
        </w:tc>
        <w:tc>
          <w:tcPr>
            <w:tcW w:w="448" w:type="dxa"/>
            <w:noWrap w:val="0"/>
            <w:vAlign w:val="top"/>
          </w:tcPr>
          <w:p>
            <w:pPr>
              <w:pStyle w:val="170"/>
              <w:spacing w:before="241" w:line="180" w:lineRule="auto"/>
              <w:ind w:left="182"/>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649" w:type="dxa"/>
            <w:vMerge w:val="continue"/>
            <w:tcBorders>
              <w:top w:val="nil"/>
              <w:bottom w:val="nil"/>
            </w:tcBorders>
            <w:noWrap w:val="0"/>
            <w:vAlign w:val="top"/>
          </w:tcPr>
          <w:p>
            <w:pPr>
              <w:rPr>
                <w:rFonts w:ascii="Arial"/>
                <w:color w:val="auto"/>
                <w:sz w:val="21"/>
                <w:highlight w:val="none"/>
              </w:rPr>
            </w:pPr>
          </w:p>
        </w:tc>
        <w:tc>
          <w:tcPr>
            <w:tcW w:w="8290" w:type="dxa"/>
            <w:noWrap w:val="0"/>
            <w:vAlign w:val="top"/>
          </w:tcPr>
          <w:p>
            <w:pPr>
              <w:pStyle w:val="170"/>
              <w:spacing w:before="214" w:line="220" w:lineRule="auto"/>
              <w:ind w:left="1"/>
              <w:rPr>
                <w:color w:val="auto"/>
                <w:highlight w:val="none"/>
              </w:rPr>
            </w:pPr>
            <w:r>
              <w:rPr>
                <w:color w:val="auto"/>
                <w:spacing w:val="-2"/>
                <w:highlight w:val="none"/>
              </w:rPr>
              <w:t>按规定配备专职管理人员，统一着装，确保“幸福邻里</w:t>
            </w:r>
            <w:r>
              <w:rPr>
                <w:color w:val="auto"/>
                <w:spacing w:val="-53"/>
                <w:highlight w:val="none"/>
              </w:rPr>
              <w:t xml:space="preserve"> </w:t>
            </w:r>
            <w:r>
              <w:rPr>
                <w:color w:val="auto"/>
                <w:spacing w:val="-2"/>
                <w:highlight w:val="none"/>
              </w:rPr>
              <w:t>”中心正常运营。</w:t>
            </w:r>
          </w:p>
        </w:tc>
        <w:tc>
          <w:tcPr>
            <w:tcW w:w="448" w:type="dxa"/>
            <w:noWrap w:val="0"/>
            <w:vAlign w:val="top"/>
          </w:tcPr>
          <w:p>
            <w:pPr>
              <w:pStyle w:val="170"/>
              <w:spacing w:before="241" w:line="180" w:lineRule="auto"/>
              <w:ind w:left="182"/>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649" w:type="dxa"/>
            <w:vMerge w:val="continue"/>
            <w:tcBorders>
              <w:top w:val="nil"/>
            </w:tcBorders>
            <w:noWrap w:val="0"/>
            <w:vAlign w:val="top"/>
          </w:tcPr>
          <w:p>
            <w:pPr>
              <w:rPr>
                <w:rFonts w:ascii="Arial"/>
                <w:color w:val="auto"/>
                <w:sz w:val="21"/>
                <w:highlight w:val="none"/>
              </w:rPr>
            </w:pPr>
          </w:p>
        </w:tc>
        <w:tc>
          <w:tcPr>
            <w:tcW w:w="8290" w:type="dxa"/>
            <w:noWrap w:val="0"/>
            <w:vAlign w:val="top"/>
          </w:tcPr>
          <w:p>
            <w:pPr>
              <w:pStyle w:val="170"/>
              <w:spacing w:before="210" w:line="220" w:lineRule="auto"/>
              <w:rPr>
                <w:color w:val="auto"/>
                <w:highlight w:val="none"/>
              </w:rPr>
            </w:pPr>
            <w:r>
              <w:rPr>
                <w:color w:val="auto"/>
                <w:spacing w:val="-1"/>
                <w:highlight w:val="none"/>
              </w:rPr>
              <w:t>做好防火、防电、防食物中毒、防意外伤害等内容在内的安全防范工作。</w:t>
            </w:r>
          </w:p>
        </w:tc>
        <w:tc>
          <w:tcPr>
            <w:tcW w:w="448" w:type="dxa"/>
            <w:noWrap w:val="0"/>
            <w:vAlign w:val="top"/>
          </w:tcPr>
          <w:p>
            <w:pPr>
              <w:pStyle w:val="170"/>
              <w:spacing w:before="241" w:line="181" w:lineRule="auto"/>
              <w:ind w:left="182"/>
              <w:rPr>
                <w:color w:val="auto"/>
                <w:highlight w:val="none"/>
              </w:rPr>
            </w:pPr>
            <w:r>
              <w:rPr>
                <w:color w:val="auto"/>
                <w:highlight w:val="none"/>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61" w:hRule="atLeast"/>
        </w:trPr>
        <w:tc>
          <w:tcPr>
            <w:tcW w:w="649" w:type="dxa"/>
            <w:vMerge w:val="restart"/>
            <w:tcBorders>
              <w:bottom w:val="nil"/>
            </w:tcBorders>
            <w:noWrap w:val="0"/>
            <w:vAlign w:val="top"/>
          </w:tcPr>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2"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pStyle w:val="170"/>
              <w:spacing w:before="58" w:line="218" w:lineRule="auto"/>
              <w:ind w:left="54" w:right="60" w:firstLine="86"/>
              <w:jc w:val="both"/>
              <w:rPr>
                <w:color w:val="auto"/>
                <w:highlight w:val="none"/>
              </w:rPr>
            </w:pPr>
            <w:r>
              <w:rPr>
                <w:color w:val="auto"/>
                <w:spacing w:val="-4"/>
                <w:highlight w:val="none"/>
              </w:rPr>
              <w:t>服务</w:t>
            </w:r>
            <w:r>
              <w:rPr>
                <w:color w:val="auto"/>
                <w:highlight w:val="none"/>
              </w:rPr>
              <w:t xml:space="preserve">  </w:t>
            </w:r>
            <w:r>
              <w:rPr>
                <w:color w:val="auto"/>
                <w:spacing w:val="39"/>
                <w:highlight w:val="none"/>
              </w:rPr>
              <w:t>开展</w:t>
            </w:r>
            <w:r>
              <w:rPr>
                <w:color w:val="auto"/>
                <w:highlight w:val="none"/>
              </w:rPr>
              <w:t xml:space="preserve">  </w:t>
            </w:r>
            <w:r>
              <w:rPr>
                <w:color w:val="auto"/>
                <w:spacing w:val="-6"/>
                <w:highlight w:val="none"/>
              </w:rPr>
              <w:t>（55）</w:t>
            </w:r>
          </w:p>
        </w:tc>
        <w:tc>
          <w:tcPr>
            <w:tcW w:w="8290" w:type="dxa"/>
            <w:noWrap w:val="0"/>
            <w:vAlign w:val="top"/>
          </w:tcPr>
          <w:p>
            <w:pPr>
              <w:pStyle w:val="170"/>
              <w:spacing w:before="210" w:line="220" w:lineRule="auto"/>
              <w:ind w:left="2"/>
              <w:rPr>
                <w:color w:val="auto"/>
                <w:highlight w:val="none"/>
              </w:rPr>
            </w:pPr>
            <w:r>
              <w:rPr>
                <w:color w:val="auto"/>
                <w:spacing w:val="-1"/>
                <w:highlight w:val="none"/>
              </w:rPr>
              <w:t>各功能室原则上每天按时开放，特殊情况除外，应与社区</w:t>
            </w:r>
            <w:r>
              <w:rPr>
                <w:color w:val="auto"/>
                <w:spacing w:val="-2"/>
                <w:highlight w:val="none"/>
              </w:rPr>
              <w:t>协商决定。</w:t>
            </w:r>
          </w:p>
        </w:tc>
        <w:tc>
          <w:tcPr>
            <w:tcW w:w="448" w:type="dxa"/>
            <w:noWrap w:val="0"/>
            <w:vAlign w:val="top"/>
          </w:tcPr>
          <w:p>
            <w:pPr>
              <w:pStyle w:val="170"/>
              <w:spacing w:before="241" w:line="181" w:lineRule="auto"/>
              <w:ind w:left="182"/>
              <w:rPr>
                <w:color w:val="auto"/>
                <w:highlight w:val="none"/>
              </w:rPr>
            </w:pPr>
            <w:r>
              <w:rPr>
                <w:color w:val="auto"/>
                <w:highlight w:val="none"/>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6" w:hRule="atLeast"/>
        </w:trPr>
        <w:tc>
          <w:tcPr>
            <w:tcW w:w="649" w:type="dxa"/>
            <w:vMerge w:val="continue"/>
            <w:tcBorders>
              <w:top w:val="nil"/>
              <w:bottom w:val="nil"/>
            </w:tcBorders>
            <w:noWrap w:val="0"/>
            <w:vAlign w:val="top"/>
          </w:tcPr>
          <w:p>
            <w:pPr>
              <w:rPr>
                <w:rFonts w:ascii="Arial"/>
                <w:color w:val="auto"/>
                <w:sz w:val="21"/>
                <w:highlight w:val="none"/>
              </w:rPr>
            </w:pPr>
          </w:p>
        </w:tc>
        <w:tc>
          <w:tcPr>
            <w:tcW w:w="8290" w:type="dxa"/>
            <w:noWrap w:val="0"/>
            <w:vAlign w:val="top"/>
          </w:tcPr>
          <w:p>
            <w:pPr>
              <w:pStyle w:val="170"/>
              <w:spacing w:before="91" w:line="213" w:lineRule="auto"/>
              <w:ind w:left="3" w:firstLine="7"/>
              <w:jc w:val="both"/>
              <w:rPr>
                <w:color w:val="auto"/>
                <w:highlight w:val="none"/>
              </w:rPr>
            </w:pPr>
            <w:r>
              <w:rPr>
                <w:color w:val="auto"/>
                <w:spacing w:val="-4"/>
                <w:highlight w:val="none"/>
              </w:rPr>
              <w:t>除常规服务外， 有组织性的为老年人开展服</w:t>
            </w:r>
            <w:r>
              <w:rPr>
                <w:color w:val="auto"/>
                <w:spacing w:val="-5"/>
                <w:highlight w:val="none"/>
              </w:rPr>
              <w:t>务活动每星期不少于</w:t>
            </w:r>
            <w:r>
              <w:rPr>
                <w:color w:val="auto"/>
                <w:spacing w:val="22"/>
                <w:highlight w:val="none"/>
              </w:rPr>
              <w:t xml:space="preserve"> </w:t>
            </w:r>
            <w:r>
              <w:rPr>
                <w:color w:val="auto"/>
                <w:spacing w:val="-5"/>
                <w:highlight w:val="none"/>
              </w:rPr>
              <w:t>1 次；为青少年开展服务活动每个月不少</w:t>
            </w:r>
            <w:r>
              <w:rPr>
                <w:color w:val="auto"/>
                <w:highlight w:val="none"/>
              </w:rPr>
              <w:t xml:space="preserve"> </w:t>
            </w:r>
            <w:r>
              <w:rPr>
                <w:color w:val="auto"/>
                <w:spacing w:val="-1"/>
                <w:highlight w:val="none"/>
              </w:rPr>
              <w:t>于 1 次，寒暑假期应增加活动频次；为妇女家庭开展服务活动每个月不少于 1</w:t>
            </w:r>
            <w:r>
              <w:rPr>
                <w:color w:val="auto"/>
                <w:spacing w:val="30"/>
                <w:highlight w:val="none"/>
              </w:rPr>
              <w:t xml:space="preserve"> </w:t>
            </w:r>
            <w:r>
              <w:rPr>
                <w:color w:val="auto"/>
                <w:spacing w:val="-1"/>
                <w:highlight w:val="none"/>
              </w:rPr>
              <w:t>次；开展村（社区）文化</w:t>
            </w:r>
            <w:r>
              <w:rPr>
                <w:color w:val="auto"/>
                <w:highlight w:val="none"/>
              </w:rPr>
              <w:t xml:space="preserve"> </w:t>
            </w:r>
            <w:r>
              <w:rPr>
                <w:color w:val="auto"/>
                <w:spacing w:val="-2"/>
                <w:highlight w:val="none"/>
              </w:rPr>
              <w:t>活动每个月不少于</w:t>
            </w:r>
            <w:r>
              <w:rPr>
                <w:color w:val="auto"/>
                <w:spacing w:val="-24"/>
                <w:highlight w:val="none"/>
              </w:rPr>
              <w:t xml:space="preserve"> </w:t>
            </w:r>
            <w:r>
              <w:rPr>
                <w:color w:val="auto"/>
                <w:spacing w:val="-2"/>
                <w:highlight w:val="none"/>
              </w:rPr>
              <w:t>1</w:t>
            </w:r>
            <w:r>
              <w:rPr>
                <w:color w:val="auto"/>
                <w:spacing w:val="-30"/>
                <w:highlight w:val="none"/>
              </w:rPr>
              <w:t xml:space="preserve"> </w:t>
            </w:r>
            <w:r>
              <w:rPr>
                <w:color w:val="auto"/>
                <w:spacing w:val="-2"/>
                <w:highlight w:val="none"/>
              </w:rPr>
              <w:t>次。为组织残疾人及其他特殊人群开展服务活动的酌情加分。</w:t>
            </w:r>
          </w:p>
        </w:tc>
        <w:tc>
          <w:tcPr>
            <w:tcW w:w="448" w:type="dxa"/>
            <w:noWrap w:val="0"/>
            <w:vAlign w:val="top"/>
          </w:tcPr>
          <w:p>
            <w:pPr>
              <w:spacing w:line="265" w:lineRule="auto"/>
              <w:rPr>
                <w:rFonts w:ascii="Arial"/>
                <w:color w:val="auto"/>
                <w:sz w:val="21"/>
                <w:highlight w:val="none"/>
              </w:rPr>
            </w:pPr>
          </w:p>
          <w:p>
            <w:pPr>
              <w:pStyle w:val="170"/>
              <w:spacing w:before="58" w:line="182" w:lineRule="auto"/>
              <w:ind w:left="149"/>
              <w:rPr>
                <w:color w:val="auto"/>
                <w:highlight w:val="none"/>
              </w:rPr>
            </w:pPr>
            <w:r>
              <w:rPr>
                <w:color w:val="auto"/>
                <w:spacing w:val="-5"/>
                <w:highlight w:val="none"/>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9" w:hRule="atLeast"/>
        </w:trPr>
        <w:tc>
          <w:tcPr>
            <w:tcW w:w="649" w:type="dxa"/>
            <w:vMerge w:val="continue"/>
            <w:tcBorders>
              <w:top w:val="nil"/>
              <w:bottom w:val="nil"/>
            </w:tcBorders>
            <w:noWrap w:val="0"/>
            <w:vAlign w:val="top"/>
          </w:tcPr>
          <w:p>
            <w:pPr>
              <w:rPr>
                <w:rFonts w:ascii="Arial"/>
                <w:color w:val="auto"/>
                <w:sz w:val="21"/>
                <w:highlight w:val="none"/>
              </w:rPr>
            </w:pPr>
          </w:p>
        </w:tc>
        <w:tc>
          <w:tcPr>
            <w:tcW w:w="8290" w:type="dxa"/>
            <w:noWrap w:val="0"/>
            <w:vAlign w:val="top"/>
          </w:tcPr>
          <w:p>
            <w:pPr>
              <w:pStyle w:val="170"/>
              <w:spacing w:before="212" w:line="219" w:lineRule="auto"/>
              <w:rPr>
                <w:color w:val="auto"/>
                <w:highlight w:val="none"/>
              </w:rPr>
            </w:pPr>
            <w:r>
              <w:rPr>
                <w:color w:val="auto"/>
                <w:spacing w:val="-1"/>
                <w:highlight w:val="none"/>
              </w:rPr>
              <w:t>对辖区内的孤寡独居老人、困境儿童、重病家庭等特殊群体联动其他单位开展上门走访慰问活动。</w:t>
            </w:r>
          </w:p>
        </w:tc>
        <w:tc>
          <w:tcPr>
            <w:tcW w:w="448" w:type="dxa"/>
            <w:noWrap w:val="0"/>
            <w:vAlign w:val="top"/>
          </w:tcPr>
          <w:p>
            <w:pPr>
              <w:pStyle w:val="170"/>
              <w:spacing w:before="243" w:line="181" w:lineRule="auto"/>
              <w:ind w:left="182"/>
              <w:rPr>
                <w:color w:val="auto"/>
                <w:highlight w:val="none"/>
              </w:rPr>
            </w:pPr>
            <w:r>
              <w:rPr>
                <w:color w:val="auto"/>
                <w:highlight w:val="none"/>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8" w:hRule="atLeast"/>
        </w:trPr>
        <w:tc>
          <w:tcPr>
            <w:tcW w:w="649" w:type="dxa"/>
            <w:vMerge w:val="continue"/>
            <w:tcBorders>
              <w:top w:val="nil"/>
              <w:bottom w:val="nil"/>
            </w:tcBorders>
            <w:noWrap w:val="0"/>
            <w:vAlign w:val="top"/>
          </w:tcPr>
          <w:p>
            <w:pPr>
              <w:rPr>
                <w:rFonts w:ascii="Arial"/>
                <w:color w:val="auto"/>
                <w:sz w:val="21"/>
                <w:highlight w:val="none"/>
              </w:rPr>
            </w:pPr>
          </w:p>
        </w:tc>
        <w:tc>
          <w:tcPr>
            <w:tcW w:w="8290" w:type="dxa"/>
            <w:noWrap w:val="0"/>
            <w:vAlign w:val="top"/>
          </w:tcPr>
          <w:p>
            <w:pPr>
              <w:pStyle w:val="170"/>
              <w:spacing w:before="219" w:line="219" w:lineRule="auto"/>
              <w:ind w:left="1"/>
              <w:rPr>
                <w:color w:val="auto"/>
                <w:highlight w:val="none"/>
              </w:rPr>
            </w:pPr>
            <w:r>
              <w:rPr>
                <w:color w:val="auto"/>
                <w:spacing w:val="-1"/>
                <w:highlight w:val="none"/>
              </w:rPr>
              <w:t>幸福邻里中心须对外提供就餐服务且正常运营。无邻里食堂</w:t>
            </w:r>
            <w:r>
              <w:rPr>
                <w:color w:val="auto"/>
                <w:spacing w:val="-2"/>
                <w:highlight w:val="none"/>
              </w:rPr>
              <w:t>的为</w:t>
            </w:r>
            <w:r>
              <w:rPr>
                <w:color w:val="auto"/>
                <w:spacing w:val="-35"/>
                <w:highlight w:val="none"/>
              </w:rPr>
              <w:t xml:space="preserve"> </w:t>
            </w:r>
            <w:r>
              <w:rPr>
                <w:color w:val="auto"/>
                <w:spacing w:val="-2"/>
                <w:highlight w:val="none"/>
              </w:rPr>
              <w:t>0</w:t>
            </w:r>
            <w:r>
              <w:rPr>
                <w:color w:val="auto"/>
                <w:spacing w:val="-34"/>
                <w:highlight w:val="none"/>
              </w:rPr>
              <w:t xml:space="preserve"> </w:t>
            </w:r>
            <w:r>
              <w:rPr>
                <w:color w:val="auto"/>
                <w:spacing w:val="-2"/>
                <w:highlight w:val="none"/>
              </w:rPr>
              <w:t>分。</w:t>
            </w:r>
          </w:p>
        </w:tc>
        <w:tc>
          <w:tcPr>
            <w:tcW w:w="448" w:type="dxa"/>
            <w:noWrap w:val="0"/>
            <w:vAlign w:val="top"/>
          </w:tcPr>
          <w:p>
            <w:pPr>
              <w:pStyle w:val="170"/>
              <w:spacing w:before="244" w:line="181" w:lineRule="auto"/>
              <w:ind w:left="178"/>
              <w:rPr>
                <w:color w:val="auto"/>
                <w:highlight w:val="none"/>
              </w:rPr>
            </w:pPr>
            <w:r>
              <w:rPr>
                <w:color w:val="auto"/>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6" w:hRule="atLeast"/>
        </w:trPr>
        <w:tc>
          <w:tcPr>
            <w:tcW w:w="649" w:type="dxa"/>
            <w:vMerge w:val="continue"/>
            <w:tcBorders>
              <w:top w:val="nil"/>
              <w:bottom w:val="nil"/>
            </w:tcBorders>
            <w:noWrap w:val="0"/>
            <w:vAlign w:val="top"/>
          </w:tcPr>
          <w:p>
            <w:pPr>
              <w:rPr>
                <w:rFonts w:ascii="Arial"/>
                <w:color w:val="auto"/>
                <w:sz w:val="21"/>
                <w:highlight w:val="none"/>
              </w:rPr>
            </w:pPr>
          </w:p>
        </w:tc>
        <w:tc>
          <w:tcPr>
            <w:tcW w:w="8290" w:type="dxa"/>
            <w:noWrap w:val="0"/>
            <w:vAlign w:val="top"/>
          </w:tcPr>
          <w:p>
            <w:pPr>
              <w:pStyle w:val="170"/>
              <w:spacing w:before="212" w:line="219" w:lineRule="auto"/>
              <w:rPr>
                <w:color w:val="auto"/>
                <w:highlight w:val="none"/>
              </w:rPr>
            </w:pPr>
            <w:r>
              <w:rPr>
                <w:color w:val="auto"/>
                <w:spacing w:val="-1"/>
                <w:highlight w:val="none"/>
              </w:rPr>
              <w:t>每年培育社区社会组织不少于 2 个。</w:t>
            </w:r>
          </w:p>
        </w:tc>
        <w:tc>
          <w:tcPr>
            <w:tcW w:w="448" w:type="dxa"/>
            <w:noWrap w:val="0"/>
            <w:vAlign w:val="top"/>
          </w:tcPr>
          <w:p>
            <w:pPr>
              <w:pStyle w:val="170"/>
              <w:spacing w:before="243" w:line="181" w:lineRule="auto"/>
              <w:ind w:left="180"/>
              <w:rPr>
                <w:color w:val="auto"/>
                <w:highlight w:val="none"/>
              </w:rPr>
            </w:pPr>
            <w:r>
              <w:rPr>
                <w:color w:val="auto"/>
                <w:highlight w:val="none"/>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649" w:type="dxa"/>
            <w:vMerge w:val="continue"/>
            <w:tcBorders>
              <w:top w:val="nil"/>
              <w:bottom w:val="nil"/>
            </w:tcBorders>
            <w:noWrap w:val="0"/>
            <w:vAlign w:val="top"/>
          </w:tcPr>
          <w:p>
            <w:pPr>
              <w:rPr>
                <w:rFonts w:ascii="Arial"/>
                <w:color w:val="auto"/>
                <w:sz w:val="21"/>
                <w:highlight w:val="none"/>
              </w:rPr>
            </w:pPr>
          </w:p>
        </w:tc>
        <w:tc>
          <w:tcPr>
            <w:tcW w:w="8290" w:type="dxa"/>
            <w:noWrap w:val="0"/>
            <w:vAlign w:val="top"/>
          </w:tcPr>
          <w:p>
            <w:pPr>
              <w:pStyle w:val="170"/>
              <w:spacing w:before="217" w:line="220" w:lineRule="auto"/>
              <w:ind w:left="1"/>
              <w:rPr>
                <w:color w:val="auto"/>
                <w:highlight w:val="none"/>
              </w:rPr>
            </w:pPr>
            <w:r>
              <w:rPr>
                <w:color w:val="auto"/>
                <w:spacing w:val="-2"/>
                <w:highlight w:val="none"/>
              </w:rPr>
              <w:t>专业个案服务不少于 3</w:t>
            </w:r>
            <w:r>
              <w:rPr>
                <w:color w:val="auto"/>
                <w:spacing w:val="12"/>
                <w:highlight w:val="none"/>
              </w:rPr>
              <w:t xml:space="preserve"> </w:t>
            </w:r>
            <w:r>
              <w:rPr>
                <w:color w:val="auto"/>
                <w:spacing w:val="-2"/>
                <w:highlight w:val="none"/>
              </w:rPr>
              <w:t>个。</w:t>
            </w:r>
          </w:p>
        </w:tc>
        <w:tc>
          <w:tcPr>
            <w:tcW w:w="448" w:type="dxa"/>
            <w:noWrap w:val="0"/>
            <w:vAlign w:val="top"/>
          </w:tcPr>
          <w:p>
            <w:pPr>
              <w:pStyle w:val="170"/>
              <w:spacing w:before="245" w:line="182" w:lineRule="auto"/>
              <w:ind w:left="149"/>
              <w:rPr>
                <w:color w:val="auto"/>
                <w:highlight w:val="none"/>
              </w:rPr>
            </w:pPr>
            <w:r>
              <w:rPr>
                <w:color w:val="auto"/>
                <w:spacing w:val="-5"/>
                <w:highlight w:val="none"/>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649" w:type="dxa"/>
            <w:vMerge w:val="continue"/>
            <w:tcBorders>
              <w:top w:val="nil"/>
              <w:bottom w:val="nil"/>
            </w:tcBorders>
            <w:noWrap w:val="0"/>
            <w:vAlign w:val="top"/>
          </w:tcPr>
          <w:p>
            <w:pPr>
              <w:rPr>
                <w:rFonts w:ascii="Arial"/>
                <w:color w:val="auto"/>
                <w:sz w:val="21"/>
                <w:highlight w:val="none"/>
              </w:rPr>
            </w:pPr>
          </w:p>
        </w:tc>
        <w:tc>
          <w:tcPr>
            <w:tcW w:w="8290" w:type="dxa"/>
            <w:noWrap w:val="0"/>
            <w:vAlign w:val="top"/>
          </w:tcPr>
          <w:p>
            <w:pPr>
              <w:pStyle w:val="170"/>
              <w:spacing w:before="218" w:line="220" w:lineRule="auto"/>
              <w:ind w:left="1"/>
              <w:rPr>
                <w:color w:val="auto"/>
                <w:highlight w:val="none"/>
              </w:rPr>
            </w:pPr>
            <w:r>
              <w:rPr>
                <w:color w:val="auto"/>
                <w:spacing w:val="-6"/>
                <w:highlight w:val="none"/>
              </w:rPr>
              <w:t>专业小组活动不少于 2</w:t>
            </w:r>
            <w:r>
              <w:rPr>
                <w:color w:val="auto"/>
                <w:spacing w:val="9"/>
                <w:highlight w:val="none"/>
              </w:rPr>
              <w:t xml:space="preserve"> </w:t>
            </w:r>
            <w:r>
              <w:rPr>
                <w:color w:val="auto"/>
                <w:spacing w:val="-6"/>
                <w:highlight w:val="none"/>
              </w:rPr>
              <w:t>个， 10 节次。</w:t>
            </w:r>
          </w:p>
        </w:tc>
        <w:tc>
          <w:tcPr>
            <w:tcW w:w="448" w:type="dxa"/>
            <w:noWrap w:val="0"/>
            <w:vAlign w:val="top"/>
          </w:tcPr>
          <w:p>
            <w:pPr>
              <w:pStyle w:val="170"/>
              <w:spacing w:before="246" w:line="182" w:lineRule="auto"/>
              <w:ind w:left="149"/>
              <w:rPr>
                <w:color w:val="auto"/>
                <w:highlight w:val="none"/>
              </w:rPr>
            </w:pPr>
            <w:r>
              <w:rPr>
                <w:color w:val="auto"/>
                <w:spacing w:val="-5"/>
                <w:highlight w:val="none"/>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3" w:hRule="atLeast"/>
        </w:trPr>
        <w:tc>
          <w:tcPr>
            <w:tcW w:w="649" w:type="dxa"/>
            <w:vMerge w:val="continue"/>
            <w:tcBorders>
              <w:top w:val="nil"/>
              <w:bottom w:val="nil"/>
            </w:tcBorders>
            <w:noWrap w:val="0"/>
            <w:vAlign w:val="top"/>
          </w:tcPr>
          <w:p>
            <w:pPr>
              <w:rPr>
                <w:rFonts w:ascii="Arial"/>
                <w:color w:val="auto"/>
                <w:sz w:val="21"/>
                <w:highlight w:val="none"/>
              </w:rPr>
            </w:pPr>
          </w:p>
        </w:tc>
        <w:tc>
          <w:tcPr>
            <w:tcW w:w="8290" w:type="dxa"/>
            <w:noWrap w:val="0"/>
            <w:vAlign w:val="top"/>
          </w:tcPr>
          <w:p>
            <w:pPr>
              <w:pStyle w:val="170"/>
              <w:spacing w:before="219" w:line="220" w:lineRule="auto"/>
              <w:ind w:left="1"/>
              <w:rPr>
                <w:color w:val="auto"/>
                <w:highlight w:val="none"/>
              </w:rPr>
            </w:pPr>
            <w:r>
              <w:rPr>
                <w:color w:val="auto"/>
                <w:spacing w:val="-2"/>
                <w:highlight w:val="none"/>
              </w:rPr>
              <w:t>协商议事活动不少于 3</w:t>
            </w:r>
            <w:r>
              <w:rPr>
                <w:color w:val="auto"/>
                <w:spacing w:val="14"/>
                <w:highlight w:val="none"/>
              </w:rPr>
              <w:t xml:space="preserve"> </w:t>
            </w:r>
            <w:r>
              <w:rPr>
                <w:color w:val="auto"/>
                <w:spacing w:val="-2"/>
                <w:highlight w:val="none"/>
              </w:rPr>
              <w:t>次。</w:t>
            </w:r>
          </w:p>
        </w:tc>
        <w:tc>
          <w:tcPr>
            <w:tcW w:w="448" w:type="dxa"/>
            <w:noWrap w:val="0"/>
            <w:vAlign w:val="top"/>
          </w:tcPr>
          <w:p>
            <w:pPr>
              <w:pStyle w:val="170"/>
              <w:spacing w:before="248" w:line="180" w:lineRule="auto"/>
              <w:ind w:left="182"/>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649" w:type="dxa"/>
            <w:vMerge w:val="continue"/>
            <w:tcBorders>
              <w:top w:val="nil"/>
            </w:tcBorders>
            <w:noWrap w:val="0"/>
            <w:vAlign w:val="top"/>
          </w:tcPr>
          <w:p>
            <w:pPr>
              <w:rPr>
                <w:rFonts w:ascii="Arial"/>
                <w:color w:val="auto"/>
                <w:sz w:val="21"/>
                <w:highlight w:val="none"/>
              </w:rPr>
            </w:pPr>
          </w:p>
        </w:tc>
        <w:tc>
          <w:tcPr>
            <w:tcW w:w="8290" w:type="dxa"/>
            <w:noWrap w:val="0"/>
            <w:vAlign w:val="top"/>
          </w:tcPr>
          <w:p>
            <w:pPr>
              <w:pStyle w:val="170"/>
              <w:spacing w:before="217" w:line="220" w:lineRule="auto"/>
              <w:ind w:left="1"/>
              <w:rPr>
                <w:color w:val="auto"/>
                <w:highlight w:val="none"/>
              </w:rPr>
            </w:pPr>
            <w:r>
              <w:rPr>
                <w:color w:val="auto"/>
                <w:spacing w:val="-3"/>
                <w:highlight w:val="none"/>
              </w:rPr>
              <w:t>开展大型活动每季度不少于</w:t>
            </w:r>
            <w:r>
              <w:rPr>
                <w:color w:val="auto"/>
                <w:spacing w:val="34"/>
                <w:highlight w:val="none"/>
              </w:rPr>
              <w:t xml:space="preserve"> </w:t>
            </w:r>
            <w:r>
              <w:rPr>
                <w:color w:val="auto"/>
                <w:spacing w:val="-3"/>
                <w:highlight w:val="none"/>
              </w:rPr>
              <w:t>1 次。</w:t>
            </w:r>
          </w:p>
        </w:tc>
        <w:tc>
          <w:tcPr>
            <w:tcW w:w="448" w:type="dxa"/>
            <w:noWrap w:val="0"/>
            <w:vAlign w:val="top"/>
          </w:tcPr>
          <w:p>
            <w:pPr>
              <w:pStyle w:val="170"/>
              <w:spacing w:before="245" w:line="181" w:lineRule="auto"/>
              <w:ind w:left="178"/>
              <w:rPr>
                <w:color w:val="auto"/>
                <w:highlight w:val="none"/>
              </w:rPr>
            </w:pPr>
            <w:r>
              <w:rPr>
                <w:color w:val="auto"/>
                <w:highlight w:val="none"/>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1" w:hRule="atLeast"/>
        </w:trPr>
        <w:tc>
          <w:tcPr>
            <w:tcW w:w="649" w:type="dxa"/>
            <w:vMerge w:val="restart"/>
            <w:tcBorders>
              <w:bottom w:val="nil"/>
            </w:tcBorders>
            <w:noWrap w:val="0"/>
            <w:vAlign w:val="top"/>
          </w:tcPr>
          <w:p>
            <w:pPr>
              <w:spacing w:line="264" w:lineRule="auto"/>
              <w:rPr>
                <w:rFonts w:ascii="Arial"/>
                <w:color w:val="auto"/>
                <w:sz w:val="21"/>
                <w:highlight w:val="none"/>
              </w:rPr>
            </w:pPr>
          </w:p>
          <w:p>
            <w:pPr>
              <w:pStyle w:val="170"/>
              <w:spacing w:before="59" w:line="218" w:lineRule="auto"/>
              <w:ind w:left="16" w:right="99" w:firstLine="127"/>
              <w:jc w:val="both"/>
              <w:rPr>
                <w:color w:val="auto"/>
                <w:highlight w:val="none"/>
              </w:rPr>
            </w:pPr>
            <w:r>
              <w:rPr>
                <w:color w:val="auto"/>
                <w:spacing w:val="-5"/>
                <w:highlight w:val="none"/>
              </w:rPr>
              <w:t>活动</w:t>
            </w:r>
            <w:r>
              <w:rPr>
                <w:color w:val="auto"/>
                <w:highlight w:val="none"/>
              </w:rPr>
              <w:t xml:space="preserve"> </w:t>
            </w:r>
            <w:r>
              <w:rPr>
                <w:color w:val="auto"/>
                <w:spacing w:val="19"/>
                <w:w w:val="122"/>
                <w:highlight w:val="none"/>
              </w:rPr>
              <w:t>成果</w:t>
            </w:r>
            <w:r>
              <w:rPr>
                <w:color w:val="auto"/>
                <w:highlight w:val="none"/>
              </w:rPr>
              <w:t xml:space="preserve"> </w:t>
            </w:r>
            <w:r>
              <w:rPr>
                <w:color w:val="auto"/>
                <w:spacing w:val="-6"/>
                <w:highlight w:val="none"/>
              </w:rPr>
              <w:t>（15）</w:t>
            </w:r>
          </w:p>
        </w:tc>
        <w:tc>
          <w:tcPr>
            <w:tcW w:w="8290" w:type="dxa"/>
            <w:noWrap w:val="0"/>
            <w:vAlign w:val="top"/>
          </w:tcPr>
          <w:p>
            <w:pPr>
              <w:pStyle w:val="170"/>
              <w:spacing w:before="220" w:line="219" w:lineRule="auto"/>
              <w:rPr>
                <w:color w:val="auto"/>
                <w:highlight w:val="none"/>
              </w:rPr>
            </w:pPr>
            <w:r>
              <w:rPr>
                <w:color w:val="auto"/>
                <w:spacing w:val="-1"/>
                <w:highlight w:val="none"/>
              </w:rPr>
              <w:t>每年获省市县级媒体正面宣传不少于 2 次。</w:t>
            </w:r>
          </w:p>
        </w:tc>
        <w:tc>
          <w:tcPr>
            <w:tcW w:w="448" w:type="dxa"/>
            <w:noWrap w:val="0"/>
            <w:vAlign w:val="top"/>
          </w:tcPr>
          <w:p>
            <w:pPr>
              <w:pStyle w:val="170"/>
              <w:spacing w:before="249" w:line="180" w:lineRule="auto"/>
              <w:ind w:left="182"/>
              <w:rPr>
                <w:color w:val="auto"/>
                <w:highlight w:val="none"/>
              </w:rPr>
            </w:pPr>
            <w:r>
              <w:rPr>
                <w:color w:val="auto"/>
                <w:highlight w:val="none"/>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2" w:hRule="atLeast"/>
        </w:trPr>
        <w:tc>
          <w:tcPr>
            <w:tcW w:w="649" w:type="dxa"/>
            <w:vMerge w:val="continue"/>
            <w:tcBorders>
              <w:top w:val="nil"/>
            </w:tcBorders>
            <w:noWrap w:val="0"/>
            <w:vAlign w:val="top"/>
          </w:tcPr>
          <w:p>
            <w:pPr>
              <w:rPr>
                <w:rFonts w:ascii="Arial"/>
                <w:color w:val="auto"/>
                <w:sz w:val="21"/>
                <w:highlight w:val="none"/>
              </w:rPr>
            </w:pPr>
          </w:p>
        </w:tc>
        <w:tc>
          <w:tcPr>
            <w:tcW w:w="8290" w:type="dxa"/>
            <w:noWrap w:val="0"/>
            <w:vAlign w:val="top"/>
          </w:tcPr>
          <w:p>
            <w:pPr>
              <w:pStyle w:val="170"/>
              <w:spacing w:before="220" w:line="219" w:lineRule="auto"/>
              <w:ind w:left="1"/>
              <w:rPr>
                <w:color w:val="auto"/>
                <w:highlight w:val="none"/>
              </w:rPr>
            </w:pPr>
            <w:r>
              <w:rPr>
                <w:color w:val="auto"/>
                <w:spacing w:val="-2"/>
                <w:highlight w:val="none"/>
              </w:rPr>
              <w:t>村（社区）居民满意率达 85%以上。</w:t>
            </w:r>
          </w:p>
        </w:tc>
        <w:tc>
          <w:tcPr>
            <w:tcW w:w="448" w:type="dxa"/>
            <w:noWrap w:val="0"/>
            <w:vAlign w:val="top"/>
          </w:tcPr>
          <w:p>
            <w:pPr>
              <w:pStyle w:val="170"/>
              <w:spacing w:before="248" w:line="182" w:lineRule="auto"/>
              <w:ind w:left="149"/>
              <w:rPr>
                <w:color w:val="auto"/>
                <w:highlight w:val="none"/>
              </w:rPr>
            </w:pPr>
            <w:r>
              <w:rPr>
                <w:color w:val="auto"/>
                <w:spacing w:val="-5"/>
                <w:highlight w:val="none"/>
              </w:rPr>
              <w:t>10</w:t>
            </w:r>
          </w:p>
        </w:tc>
      </w:tr>
    </w:tbl>
    <w:p>
      <w:pPr>
        <w:pStyle w:val="38"/>
        <w:rPr>
          <w:rFonts w:hint="eastAsia" w:ascii="宋体" w:hAnsi="宋体" w:eastAsia="宋体" w:cs="宋体"/>
          <w:b w:val="0"/>
          <w:bCs/>
          <w:color w:val="auto"/>
          <w:sz w:val="24"/>
          <w:szCs w:val="24"/>
          <w:highlight w:val="none"/>
          <w:lang w:val="en-US" w:eastAsia="zh-Hans"/>
        </w:rPr>
        <w:sectPr>
          <w:footerReference r:id="rId5" w:type="default"/>
          <w:pgSz w:w="11906" w:h="16838"/>
          <w:pgMar w:top="1417" w:right="1417" w:bottom="1417" w:left="1417" w:header="850" w:footer="1128" w:gutter="0"/>
          <w:pgNumType w:fmt="decimal"/>
          <w:cols w:space="720" w:num="1"/>
          <w:rtlGutter w:val="0"/>
          <w:docGrid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华文中宋" w:eastAsia="方正小标宋简体" w:cs="Times New Roman"/>
          <w:color w:val="auto"/>
          <w:spacing w:val="0"/>
          <w:sz w:val="44"/>
          <w:szCs w:val="44"/>
          <w:highlight w:val="none"/>
        </w:rPr>
      </w:pPr>
      <w:r>
        <w:rPr>
          <w:rFonts w:hint="eastAsia" w:ascii="方正小标宋简体" w:hAnsi="华文中宋" w:eastAsia="方正小标宋简体" w:cs="Times New Roman"/>
          <w:color w:val="auto"/>
          <w:spacing w:val="0"/>
          <w:sz w:val="44"/>
          <w:szCs w:val="44"/>
          <w:highlight w:val="none"/>
        </w:rPr>
        <w:t>湖州市幸福邻里中心星级评定标准（试行）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cs="Times New Roman"/>
          <w:color w:val="auto"/>
          <w:sz w:val="32"/>
          <w:szCs w:val="32"/>
          <w:highlight w:val="none"/>
        </w:rPr>
      </w:pPr>
      <w:r>
        <w:rPr>
          <w:rFonts w:ascii="楷体" w:hAnsi="楷体" w:eastAsia="楷体" w:cs="Times New Roman"/>
          <w:color w:val="auto"/>
          <w:sz w:val="32"/>
          <w:szCs w:val="32"/>
          <w:highlight w:val="none"/>
        </w:rPr>
        <w:t>乡镇（街道）级</w:t>
      </w:r>
    </w:p>
    <w:tbl>
      <w:tblPr>
        <w:tblStyle w:val="44"/>
        <w:tblpPr w:leftFromText="180" w:rightFromText="180" w:vertAnchor="text" w:horzAnchor="page" w:tblpX="1451" w:tblpY="373"/>
        <w:tblOverlap w:val="never"/>
        <w:tblW w:w="14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2"/>
        <w:gridCol w:w="1985"/>
        <w:gridCol w:w="992"/>
        <w:gridCol w:w="9033"/>
        <w:gridCol w:w="27"/>
        <w:gridCol w:w="12"/>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8" w:hRule="atLeast"/>
          <w:tblHeader/>
        </w:trPr>
        <w:tc>
          <w:tcPr>
            <w:tcW w:w="116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bCs/>
                <w:color w:val="auto"/>
                <w:sz w:val="24"/>
                <w:highlight w:val="none"/>
              </w:rPr>
            </w:pPr>
            <w:r>
              <w:rPr>
                <w:rFonts w:ascii="Times New Roman" w:hAnsi="仿宋" w:eastAsia="仿宋" w:cs="Times New Roman"/>
                <w:b/>
                <w:bCs/>
                <w:color w:val="auto"/>
                <w:sz w:val="24"/>
                <w:szCs w:val="24"/>
                <w:highlight w:val="none"/>
              </w:rPr>
              <w:t>内容</w:t>
            </w: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bCs/>
                <w:color w:val="auto"/>
                <w:sz w:val="24"/>
                <w:highlight w:val="none"/>
              </w:rPr>
            </w:pPr>
            <w:r>
              <w:rPr>
                <w:rFonts w:ascii="Times New Roman" w:hAnsi="仿宋" w:eastAsia="仿宋" w:cs="Times New Roman"/>
                <w:b/>
                <w:bCs/>
                <w:color w:val="auto"/>
                <w:sz w:val="24"/>
                <w:szCs w:val="24"/>
                <w:highlight w:val="none"/>
              </w:rPr>
              <w:t>标准</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bCs/>
                <w:color w:val="auto"/>
                <w:sz w:val="24"/>
                <w:highlight w:val="none"/>
              </w:rPr>
            </w:pPr>
            <w:r>
              <w:rPr>
                <w:rFonts w:ascii="Times New Roman" w:hAnsi="仿宋" w:eastAsia="仿宋" w:cs="Times New Roman"/>
                <w:b/>
                <w:bCs/>
                <w:color w:val="auto"/>
                <w:sz w:val="24"/>
                <w:szCs w:val="24"/>
                <w:highlight w:val="none"/>
              </w:rPr>
              <w:t>分值</w:t>
            </w:r>
          </w:p>
        </w:tc>
        <w:tc>
          <w:tcPr>
            <w:tcW w:w="90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auto"/>
                <w:kern w:val="0"/>
                <w:sz w:val="24"/>
                <w:highlight w:val="none"/>
              </w:rPr>
            </w:pPr>
            <w:r>
              <w:rPr>
                <w:rFonts w:ascii="Times New Roman" w:hAnsi="仿宋" w:eastAsia="仿宋" w:cs="Times New Roman"/>
                <w:b/>
                <w:color w:val="auto"/>
                <w:kern w:val="0"/>
                <w:sz w:val="24"/>
                <w:szCs w:val="24"/>
                <w:highlight w:val="none"/>
              </w:rPr>
              <w:t>评分规则</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auto"/>
                <w:kern w:val="0"/>
                <w:sz w:val="24"/>
                <w:highlight w:val="none"/>
              </w:rPr>
            </w:pPr>
            <w:r>
              <w:rPr>
                <w:rFonts w:ascii="Times New Roman" w:hAnsi="Times New Roman" w:eastAsia="仿宋" w:cs="Times New Roman"/>
                <w:b/>
                <w:color w:val="auto"/>
                <w:kern w:val="0"/>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8" w:hRule="atLeast"/>
          <w:tblHeader/>
        </w:trPr>
        <w:tc>
          <w:tcPr>
            <w:tcW w:w="1162"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党建引领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w:t>
            </w:r>
            <w:r>
              <w:rPr>
                <w:rFonts w:ascii="Times New Roman" w:hAnsi="Times New Roman" w:eastAsia="仿宋" w:cs="Times New Roman"/>
                <w:color w:val="auto"/>
                <w:sz w:val="24"/>
                <w:highlight w:val="none"/>
              </w:rPr>
              <w:t>10</w:t>
            </w:r>
            <w:r>
              <w:rPr>
                <w:rFonts w:ascii="Times New Roman" w:hAnsi="仿宋" w:eastAsia="仿宋" w:cs="Times New Roman"/>
                <w:color w:val="auto"/>
                <w:sz w:val="24"/>
                <w:highlight w:val="none"/>
              </w:rPr>
              <w:t>分）</w:t>
            </w: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坚持党组织领导</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运营组织负责人坚持党的领导，政治意识坚定，建立党组织得</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szCs w:val="24"/>
                <w:highlight w:val="none"/>
                <w:lang w:val="zh-CN"/>
              </w:rPr>
              <w:t>，未建立党组织但有党建工作联络员得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szCs w:val="24"/>
                <w:highlight w:val="none"/>
                <w:lang w:val="zh-CN"/>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8"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工作有计划有总结</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积极主动与乡镇（街道）进行对接联系，年度对接商定工作计划得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szCs w:val="24"/>
                <w:highlight w:val="none"/>
                <w:lang w:val="zh-CN"/>
              </w:rPr>
              <w:t>，月度对接商定工作计划得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szCs w:val="24"/>
                <w:highlight w:val="none"/>
                <w:lang w:val="zh-CN"/>
              </w:rPr>
              <w:t>，少</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次扣</w:t>
            </w:r>
            <w:r>
              <w:rPr>
                <w:rFonts w:ascii="Times New Roman" w:hAnsi="Times New Roman" w:eastAsia="仿宋" w:cs="Times New Roman"/>
                <w:color w:val="auto"/>
                <w:sz w:val="24"/>
                <w:szCs w:val="24"/>
                <w:highlight w:val="none"/>
              </w:rPr>
              <w:t>0.2</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szCs w:val="24"/>
                <w:highlight w:val="none"/>
                <w:lang w:val="zh-CN"/>
              </w:rPr>
              <w:t>年中年末均进行工作总结得</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rPr>
              <w:t>分，少一次扣</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szCs w:val="24"/>
                <w:highlight w:val="none"/>
                <w:lang w:val="zh-CN"/>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15"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主动参与基层党建活动</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与乡镇（街道）共同讨论制订基层党建活动计划得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szCs w:val="24"/>
                <w:highlight w:val="none"/>
                <w:lang w:val="zh-CN"/>
              </w:rPr>
              <w:t>，开展党建活动每年不少于</w:t>
            </w:r>
            <w:r>
              <w:rPr>
                <w:rFonts w:ascii="Times New Roman" w:hAnsi="Times New Roman" w:eastAsia="仿宋" w:cs="Times New Roman"/>
                <w:color w:val="auto"/>
                <w:sz w:val="24"/>
                <w:szCs w:val="24"/>
                <w:highlight w:val="none"/>
              </w:rPr>
              <w:t>4</w:t>
            </w:r>
            <w:r>
              <w:rPr>
                <w:rFonts w:ascii="Times New Roman" w:hAnsi="仿宋" w:eastAsia="仿宋" w:cs="Times New Roman"/>
                <w:color w:val="auto"/>
                <w:sz w:val="24"/>
                <w:szCs w:val="24"/>
                <w:highlight w:val="none"/>
              </w:rPr>
              <w:t>次得</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rPr>
              <w:t>分，少</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次扣</w:t>
            </w:r>
            <w:r>
              <w:rPr>
                <w:rFonts w:ascii="Times New Roman" w:hAnsi="Times New Roman" w:eastAsia="仿宋" w:cs="Times New Roman"/>
                <w:color w:val="auto"/>
                <w:sz w:val="24"/>
                <w:szCs w:val="24"/>
                <w:highlight w:val="none"/>
              </w:rPr>
              <w:t>0.25</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szCs w:val="24"/>
                <w:highlight w:val="none"/>
                <w:lang w:val="zh-CN"/>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62"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rPr>
            </w:pPr>
            <w:r>
              <w:rPr>
                <w:rFonts w:ascii="Times New Roman" w:hAnsi="仿宋" w:eastAsia="仿宋" w:cs="Times New Roman"/>
                <w:color w:val="auto"/>
                <w:sz w:val="24"/>
                <w:szCs w:val="24"/>
                <w:highlight w:val="none"/>
              </w:rPr>
              <w:t>环境设施</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szCs w:val="24"/>
                <w:highlight w:val="none"/>
              </w:rPr>
              <w:t>（</w:t>
            </w:r>
            <w:r>
              <w:rPr>
                <w:rFonts w:ascii="Times New Roman" w:hAnsi="Times New Roman" w:eastAsia="仿宋" w:cs="Times New Roman"/>
                <w:color w:val="auto"/>
                <w:sz w:val="24"/>
                <w:szCs w:val="24"/>
                <w:highlight w:val="none"/>
              </w:rPr>
              <w:t>10</w:t>
            </w:r>
            <w:r>
              <w:rPr>
                <w:rFonts w:ascii="Times New Roman" w:hAnsi="仿宋" w:eastAsia="仿宋" w:cs="Times New Roman"/>
                <w:color w:val="auto"/>
                <w:sz w:val="24"/>
                <w:szCs w:val="24"/>
                <w:highlight w:val="none"/>
              </w:rPr>
              <w:t>分）</w:t>
            </w: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场地面积、功能设施和标识标牌</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Times New Roman"/>
                <w:color w:val="auto"/>
                <w:kern w:val="0"/>
                <w:sz w:val="24"/>
                <w:highlight w:val="none"/>
                <w:lang w:eastAsia="zh-CN"/>
              </w:rPr>
            </w:pPr>
            <w:r>
              <w:rPr>
                <w:rFonts w:ascii="Times New Roman" w:hAnsi="仿宋" w:eastAsia="仿宋" w:cs="Times New Roman"/>
                <w:color w:val="auto"/>
                <w:kern w:val="0"/>
                <w:sz w:val="24"/>
                <w:szCs w:val="24"/>
                <w:highlight w:val="none"/>
              </w:rPr>
              <w:t>邻里中心空间布局合理，建筑总面积不少于</w:t>
            </w:r>
            <w:r>
              <w:rPr>
                <w:rFonts w:ascii="Times New Roman" w:hAnsi="Times New Roman" w:eastAsia="仿宋" w:cs="Times New Roman"/>
                <w:color w:val="auto"/>
                <w:kern w:val="0"/>
                <w:sz w:val="24"/>
                <w:szCs w:val="24"/>
                <w:highlight w:val="none"/>
              </w:rPr>
              <w:t>800</w:t>
            </w:r>
            <w:r>
              <w:rPr>
                <w:rFonts w:ascii="Times New Roman" w:hAnsi="仿宋" w:eastAsia="仿宋" w:cs="Times New Roman"/>
                <w:color w:val="auto"/>
                <w:kern w:val="0"/>
                <w:sz w:val="24"/>
                <w:szCs w:val="24"/>
                <w:highlight w:val="none"/>
              </w:rPr>
              <w:t>㎡得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分；标识标牌要有辨识度，符合标准规定得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分；邻里中心文化特色鲜明，常态化宣传推广市、区县、乡镇（街道）特色工作和邻里中心工作得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分；功能设施完好得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w:t>
            </w:r>
            <w:r>
              <w:rPr>
                <w:rFonts w:ascii="Times New Roman" w:hAnsi="仿宋" w:eastAsia="仿宋" w:cs="Times New Roman"/>
                <w:color w:val="auto"/>
                <w:kern w:val="0"/>
                <w:sz w:val="24"/>
                <w:highlight w:val="none"/>
              </w:rPr>
              <w:t>破损且影响使用的</w:t>
            </w:r>
            <w:r>
              <w:rPr>
                <w:rFonts w:ascii="Times New Roman" w:hAnsi="仿宋" w:eastAsia="仿宋" w:cs="Times New Roman"/>
                <w:color w:val="auto"/>
                <w:kern w:val="0"/>
                <w:sz w:val="24"/>
                <w:szCs w:val="24"/>
                <w:highlight w:val="none"/>
              </w:rPr>
              <w:t>发现一处扣</w:t>
            </w:r>
            <w:r>
              <w:rPr>
                <w:rFonts w:ascii="Times New Roman" w:hAnsi="Times New Roman" w:eastAsia="仿宋" w:cs="Times New Roman"/>
                <w:color w:val="auto"/>
                <w:kern w:val="0"/>
                <w:sz w:val="24"/>
                <w:szCs w:val="24"/>
                <w:highlight w:val="none"/>
              </w:rPr>
              <w:t>0.2</w:t>
            </w:r>
            <w:r>
              <w:rPr>
                <w:rFonts w:ascii="Times New Roman" w:hAnsi="仿宋" w:eastAsia="仿宋" w:cs="Times New Roman"/>
                <w:color w:val="auto"/>
                <w:kern w:val="0"/>
                <w:sz w:val="24"/>
                <w:szCs w:val="24"/>
                <w:highlight w:val="none"/>
              </w:rPr>
              <w:t>分；功能室全部对外开放得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分，发现没开放一处扣</w:t>
            </w:r>
            <w:r>
              <w:rPr>
                <w:rFonts w:ascii="Times New Roman" w:hAnsi="Times New Roman" w:eastAsia="仿宋" w:cs="Times New Roman"/>
                <w:color w:val="auto"/>
                <w:kern w:val="0"/>
                <w:sz w:val="24"/>
                <w:szCs w:val="24"/>
                <w:highlight w:val="none"/>
              </w:rPr>
              <w:t>0.1</w:t>
            </w:r>
            <w:r>
              <w:rPr>
                <w:rFonts w:ascii="Times New Roman" w:hAnsi="仿宋" w:eastAsia="仿宋" w:cs="Times New Roman"/>
                <w:color w:val="auto"/>
                <w:kern w:val="0"/>
                <w:sz w:val="24"/>
                <w:szCs w:val="24"/>
                <w:highlight w:val="none"/>
              </w:rPr>
              <w:t>分</w:t>
            </w:r>
            <w:r>
              <w:rPr>
                <w:rFonts w:hint="eastAsia" w:ascii="Times New Roman" w:hAnsi="仿宋" w:eastAsia="仿宋" w:cs="Times New Roman"/>
                <w:color w:val="auto"/>
                <w:kern w:val="0"/>
                <w:sz w:val="24"/>
                <w:szCs w:val="24"/>
                <w:highlight w:val="none"/>
                <w:lang w:eastAsia="zh-CN"/>
              </w:rPr>
              <w:t>。</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资源整合</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有效统筹整合乡镇（街道）辖区内的平台阵地、公共服务类资源，搭建服务网络，建立资源库，并用于具体服务活动中。资源整合好的得</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分，整合不到位酌情扣分。</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8"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环境卫生</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7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落实垃圾分类管理制度得</w:t>
            </w:r>
            <w:r>
              <w:rPr>
                <w:rFonts w:ascii="Times New Roman" w:hAnsi="Times New Roman" w:eastAsia="仿宋" w:cs="Times New Roman"/>
                <w:color w:val="auto"/>
                <w:kern w:val="0"/>
                <w:sz w:val="24"/>
                <w:szCs w:val="24"/>
                <w:highlight w:val="none"/>
              </w:rPr>
              <w:t>2</w:t>
            </w:r>
            <w:r>
              <w:rPr>
                <w:rFonts w:ascii="Times New Roman" w:hAnsi="仿宋" w:eastAsia="仿宋" w:cs="Times New Roman"/>
                <w:color w:val="auto"/>
                <w:kern w:val="0"/>
                <w:sz w:val="24"/>
                <w:szCs w:val="24"/>
                <w:highlight w:val="none"/>
              </w:rPr>
              <w:t>分，未落实不得分。室内环境卫生整洁，地面无烟蒂、纸屑等垃圾和积水现象，墙体没有乱涂乱画、污质和脱落现象，得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分，发现一处扣</w:t>
            </w:r>
            <w:r>
              <w:rPr>
                <w:rFonts w:ascii="Times New Roman" w:hAnsi="Times New Roman" w:eastAsia="仿宋" w:cs="Times New Roman"/>
                <w:color w:val="auto"/>
                <w:kern w:val="0"/>
                <w:sz w:val="24"/>
                <w:szCs w:val="24"/>
                <w:highlight w:val="none"/>
              </w:rPr>
              <w:t>0.2</w:t>
            </w:r>
            <w:r>
              <w:rPr>
                <w:rFonts w:ascii="Times New Roman" w:hAnsi="仿宋" w:eastAsia="仿宋" w:cs="Times New Roman"/>
                <w:color w:val="auto"/>
                <w:kern w:val="0"/>
                <w:sz w:val="24"/>
                <w:szCs w:val="24"/>
                <w:highlight w:val="none"/>
              </w:rPr>
              <w:t>分；室外周边环境整洁，无乱堆乱放、乱停车等现象，得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分，发现一处扣</w:t>
            </w:r>
            <w:r>
              <w:rPr>
                <w:rFonts w:ascii="Times New Roman" w:hAnsi="Times New Roman" w:eastAsia="仿宋" w:cs="Times New Roman"/>
                <w:color w:val="auto"/>
                <w:kern w:val="0"/>
                <w:sz w:val="24"/>
                <w:szCs w:val="24"/>
                <w:highlight w:val="none"/>
              </w:rPr>
              <w:t>0.2</w:t>
            </w:r>
            <w:r>
              <w:rPr>
                <w:rFonts w:ascii="Times New Roman" w:hAnsi="仿宋" w:eastAsia="仿宋" w:cs="Times New Roman"/>
                <w:color w:val="auto"/>
                <w:kern w:val="0"/>
                <w:sz w:val="24"/>
                <w:szCs w:val="24"/>
                <w:highlight w:val="none"/>
              </w:rPr>
              <w:t>分。</w:t>
            </w:r>
          </w:p>
        </w:tc>
        <w:tc>
          <w:tcPr>
            <w:tcW w:w="992"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0" w:hRule="atLeast"/>
          <w:tblHeader/>
        </w:trPr>
        <w:tc>
          <w:tcPr>
            <w:tcW w:w="1162"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szCs w:val="24"/>
                <w:highlight w:val="none"/>
              </w:rPr>
              <w:t>制度建设</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szCs w:val="24"/>
                <w:highlight w:val="none"/>
              </w:rPr>
              <w:t>（</w:t>
            </w:r>
            <w:r>
              <w:rPr>
                <w:rFonts w:ascii="Times New Roman" w:hAnsi="Times New Roman" w:eastAsia="仿宋" w:cs="Times New Roman"/>
                <w:color w:val="auto"/>
                <w:sz w:val="24"/>
                <w:szCs w:val="24"/>
                <w:highlight w:val="none"/>
              </w:rPr>
              <w:t>15</w:t>
            </w:r>
            <w:r>
              <w:rPr>
                <w:rFonts w:ascii="Times New Roman" w:hAnsi="仿宋" w:eastAsia="仿宋" w:cs="Times New Roman"/>
                <w:color w:val="auto"/>
                <w:sz w:val="24"/>
                <w:szCs w:val="24"/>
                <w:highlight w:val="none"/>
              </w:rPr>
              <w:t>分）</w:t>
            </w: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管理制度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建立社会工作者管理制度、岗位职责和工作守则，建立完善得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分。通过资料查阅和人员访谈考查制度落实情况，严格</w:t>
            </w:r>
            <w:r>
              <w:rPr>
                <w:rFonts w:ascii="Times New Roman" w:hAnsi="仿宋" w:eastAsia="仿宋" w:cs="Times New Roman"/>
                <w:color w:val="auto"/>
                <w:sz w:val="24"/>
                <w:szCs w:val="24"/>
                <w:highlight w:val="none"/>
              </w:rPr>
              <w:t>按制度规定执行，得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分；存在部分不一致之处，得</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分；大部分未落实或者完全不落实，得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0"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财务制度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szCs w:val="24"/>
                <w:highlight w:val="none"/>
              </w:rPr>
            </w:pPr>
            <w:r>
              <w:rPr>
                <w:rFonts w:ascii="Times New Roman" w:hAnsi="仿宋" w:eastAsia="仿宋" w:cs="Times New Roman"/>
                <w:color w:val="auto"/>
                <w:sz w:val="24"/>
                <w:szCs w:val="24"/>
                <w:highlight w:val="none"/>
              </w:rPr>
              <w:t>运营组织根据实际情况建立各项较为完善的财务管理制度，并严格按制度执行，得</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rPr>
              <w:t>分。运营经费独立核算，资金使用规范得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分。账目记录清晰，账务处理及时，票据使用规范，凭证档案装订整齐得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6"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档案制度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建立档案管理制度，制度建立完善得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分，比较完善得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分。通过检查档案，</w:t>
            </w:r>
            <w:r>
              <w:rPr>
                <w:rFonts w:ascii="Times New Roman" w:hAnsi="仿宋" w:eastAsia="仿宋" w:cs="Times New Roman"/>
                <w:color w:val="auto"/>
                <w:sz w:val="24"/>
                <w:szCs w:val="24"/>
                <w:highlight w:val="none"/>
              </w:rPr>
              <w:t>按制度执行，得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分；存在部分不一致之处，得</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分；大部分未落实或者完全不落实，得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8"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运营制度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建立场地及功能室使用制度等管理制度</w:t>
            </w:r>
            <w:r>
              <w:rPr>
                <w:rFonts w:ascii="Times New Roman" w:hAnsi="仿宋" w:eastAsia="仿宋" w:cs="Times New Roman"/>
                <w:color w:val="auto"/>
                <w:kern w:val="0"/>
                <w:sz w:val="24"/>
                <w:szCs w:val="24"/>
                <w:highlight w:val="none"/>
              </w:rPr>
              <w:t>，建立完善得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分，比较完善得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分。通过资料查阅和人员访谈考查制度落实情况，</w:t>
            </w:r>
            <w:r>
              <w:rPr>
                <w:rFonts w:ascii="Times New Roman" w:hAnsi="仿宋" w:eastAsia="仿宋" w:cs="Times New Roman"/>
                <w:color w:val="auto"/>
                <w:sz w:val="24"/>
                <w:szCs w:val="24"/>
                <w:highlight w:val="none"/>
              </w:rPr>
              <w:t>按制度执行，得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分；存在部分不一致之处，得</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分；大部分未落实或者完全不落实，得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安全制度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各项消防安全制度建立完善得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分，比较完善得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w:t>
            </w:r>
            <w:r>
              <w:rPr>
                <w:rFonts w:ascii="Times New Roman" w:hAnsi="仿宋" w:eastAsia="仿宋" w:cs="Times New Roman"/>
                <w:color w:val="auto"/>
                <w:sz w:val="24"/>
                <w:szCs w:val="24"/>
                <w:highlight w:val="none"/>
              </w:rPr>
              <w:t>经常性开展消防安全教育培训得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分，教育培训记录不完整扣</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分，未开展教育培训，得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分。定期开展消防安全巡查，发现安全隐患立即消除，得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分；发现隐患未能及时整改，每处扣</w:t>
            </w:r>
            <w:r>
              <w:rPr>
                <w:rFonts w:ascii="Times New Roman" w:hAnsi="Times New Roman" w:eastAsia="仿宋" w:cs="Times New Roman"/>
                <w:color w:val="auto"/>
                <w:sz w:val="24"/>
                <w:szCs w:val="24"/>
                <w:highlight w:val="none"/>
              </w:rPr>
              <w:t>0.2</w:t>
            </w:r>
            <w:r>
              <w:rPr>
                <w:rFonts w:ascii="Times New Roman" w:hAnsi="仿宋" w:eastAsia="仿宋" w:cs="Times New Roman"/>
                <w:color w:val="auto"/>
                <w:sz w:val="24"/>
                <w:szCs w:val="24"/>
                <w:highlight w:val="none"/>
              </w:rPr>
              <w:t>分；巡查记录不完备，扣</w:t>
            </w:r>
            <w:r>
              <w:rPr>
                <w:rFonts w:ascii="Times New Roman" w:hAnsi="Times New Roman" w:eastAsia="仿宋" w:cs="Times New Roman"/>
                <w:color w:val="auto"/>
                <w:sz w:val="24"/>
                <w:szCs w:val="24"/>
                <w:highlight w:val="none"/>
              </w:rPr>
              <w:t>0.2</w:t>
            </w:r>
            <w:r>
              <w:rPr>
                <w:rFonts w:ascii="Times New Roman" w:hAnsi="仿宋" w:eastAsia="仿宋" w:cs="Times New Roman"/>
                <w:color w:val="auto"/>
                <w:sz w:val="24"/>
                <w:szCs w:val="24"/>
                <w:highlight w:val="none"/>
              </w:rPr>
              <w:t>分；未定期开展巡查，得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监督制度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建立监督评议制度，建立完善得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分，比较完善得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w:t>
            </w:r>
            <w:r>
              <w:rPr>
                <w:rFonts w:ascii="Times New Roman" w:hAnsi="仿宋" w:eastAsia="仿宋" w:cs="Times New Roman"/>
                <w:color w:val="auto"/>
                <w:sz w:val="24"/>
                <w:szCs w:val="24"/>
                <w:highlight w:val="none"/>
              </w:rPr>
              <w:t>通过查阅服务记录、电话核实及人员访谈的形式，严格按制度执行得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分；存在部分不一致之处，得</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分；大部分未落实或者完全不落实，得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5" w:hRule="atLeast"/>
          <w:tblHeader/>
        </w:trPr>
        <w:tc>
          <w:tcPr>
            <w:tcW w:w="1162"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人员配置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w:t>
            </w:r>
            <w:r>
              <w:rPr>
                <w:rFonts w:ascii="Times New Roman" w:hAnsi="Times New Roman" w:eastAsia="仿宋" w:cs="Times New Roman"/>
                <w:color w:val="auto"/>
                <w:sz w:val="24"/>
                <w:szCs w:val="24"/>
                <w:highlight w:val="none"/>
              </w:rPr>
              <w:t>10</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highlight w:val="none"/>
              </w:rPr>
              <w:t>）</w:t>
            </w: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lang w:val="zh-CN"/>
              </w:rPr>
            </w:pPr>
            <w:r>
              <w:rPr>
                <w:rFonts w:ascii="Times New Roman" w:hAnsi="仿宋" w:eastAsia="仿宋" w:cs="Times New Roman"/>
                <w:color w:val="auto"/>
                <w:sz w:val="24"/>
                <w:highlight w:val="none"/>
                <w:lang w:val="zh-CN"/>
              </w:rPr>
              <w:t>专职人员配备</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符合相关文件和合同协议的要求，配备</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名专职工作人员</w:t>
            </w:r>
            <w:r>
              <w:rPr>
                <w:rFonts w:ascii="Times New Roman" w:hAnsi="Times New Roman" w:eastAsia="仿宋" w:cs="Times New Roman"/>
                <w:color w:val="auto"/>
                <w:sz w:val="24"/>
                <w:szCs w:val="24"/>
                <w:highlight w:val="none"/>
              </w:rPr>
              <w:t>(</w:t>
            </w:r>
            <w:r>
              <w:rPr>
                <w:rFonts w:ascii="Times New Roman" w:hAnsi="仿宋" w:eastAsia="仿宋" w:cs="Times New Roman"/>
                <w:bCs/>
                <w:color w:val="auto"/>
                <w:sz w:val="24"/>
                <w:szCs w:val="24"/>
                <w:highlight w:val="none"/>
              </w:rPr>
              <w:t>以签订合同和社保为准</w:t>
            </w:r>
            <w:r>
              <w:rPr>
                <w:rFonts w:ascii="Times New Roman" w:hAnsi="Times New Roman" w:eastAsia="仿宋" w:cs="Times New Roman"/>
                <w:bCs/>
                <w:color w:val="auto"/>
                <w:sz w:val="24"/>
                <w:szCs w:val="24"/>
                <w:highlight w:val="none"/>
              </w:rPr>
              <w:t>)</w:t>
            </w:r>
            <w:r>
              <w:rPr>
                <w:rFonts w:ascii="Times New Roman" w:hAnsi="仿宋" w:eastAsia="仿宋" w:cs="Times New Roman"/>
                <w:bCs/>
                <w:color w:val="auto"/>
                <w:sz w:val="24"/>
                <w:szCs w:val="24"/>
                <w:highlight w:val="none"/>
              </w:rPr>
              <w:t>，专职工作人员须统一着装，不符合要求不得分。（如有退休返聘人员，需签订服务合同，每个中心最多</w:t>
            </w:r>
            <w:r>
              <w:rPr>
                <w:rFonts w:ascii="Times New Roman" w:hAnsi="Times New Roman" w:eastAsia="仿宋" w:cs="Times New Roman"/>
                <w:bCs/>
                <w:color w:val="auto"/>
                <w:sz w:val="24"/>
                <w:szCs w:val="24"/>
                <w:highlight w:val="none"/>
              </w:rPr>
              <w:t>1</w:t>
            </w:r>
            <w:r>
              <w:rPr>
                <w:rFonts w:ascii="Times New Roman" w:hAnsi="仿宋" w:eastAsia="仿宋" w:cs="Times New Roman"/>
                <w:bCs/>
                <w:color w:val="auto"/>
                <w:sz w:val="24"/>
                <w:szCs w:val="24"/>
                <w:highlight w:val="none"/>
              </w:rPr>
              <w:t>人，须持有社会工作者职业水平证书，凭工资流水、证书和合同三者俱全才能核定为专职工作人员）</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30"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lang w:val="zh-CN"/>
              </w:rPr>
            </w:pPr>
            <w:r>
              <w:rPr>
                <w:rFonts w:ascii="Times New Roman" w:hAnsi="仿宋" w:eastAsia="仿宋" w:cs="Times New Roman"/>
                <w:color w:val="auto"/>
                <w:sz w:val="24"/>
                <w:highlight w:val="none"/>
                <w:lang w:val="zh-CN"/>
              </w:rPr>
              <w:t>持证社工配备</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中心专职工作人员须有</w:t>
            </w:r>
            <w:r>
              <w:rPr>
                <w:rFonts w:ascii="Times New Roman" w:hAnsi="Times New Roman" w:eastAsia="仿宋" w:cs="Times New Roman"/>
                <w:color w:val="auto"/>
                <w:sz w:val="24"/>
                <w:szCs w:val="24"/>
                <w:highlight w:val="none"/>
              </w:rPr>
              <w:t>50%</w:t>
            </w:r>
            <w:r>
              <w:rPr>
                <w:rFonts w:ascii="Times New Roman" w:hAnsi="仿宋" w:eastAsia="仿宋" w:cs="Times New Roman"/>
                <w:color w:val="auto"/>
                <w:sz w:val="24"/>
                <w:szCs w:val="24"/>
                <w:highlight w:val="none"/>
              </w:rPr>
              <w:t>以上</w:t>
            </w:r>
            <w:r>
              <w:rPr>
                <w:rFonts w:ascii="Times New Roman" w:hAnsi="仿宋" w:eastAsia="仿宋" w:cs="Times New Roman"/>
                <w:color w:val="auto"/>
                <w:sz w:val="24"/>
                <w:szCs w:val="24"/>
                <w:highlight w:val="none"/>
                <w:lang w:val="zh-CN"/>
              </w:rPr>
              <w:t>取得社会工作者职业水平证书</w:t>
            </w:r>
            <w:r>
              <w:rPr>
                <w:rFonts w:ascii="Times New Roman" w:hAnsi="仿宋" w:eastAsia="仿宋" w:cs="Times New Roman"/>
                <w:color w:val="auto"/>
                <w:sz w:val="24"/>
                <w:szCs w:val="24"/>
                <w:highlight w:val="none"/>
              </w:rPr>
              <w:t>，少一个扣</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分，扣完为止。</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60"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lang w:val="zh-CN"/>
              </w:rPr>
            </w:pPr>
            <w:r>
              <w:rPr>
                <w:rFonts w:ascii="Times New Roman" w:hAnsi="仿宋" w:eastAsia="仿宋" w:cs="Times New Roman"/>
                <w:color w:val="auto"/>
                <w:sz w:val="24"/>
                <w:szCs w:val="24"/>
                <w:highlight w:val="none"/>
                <w:lang w:val="zh-CN"/>
              </w:rPr>
              <w:t>社会工作服务经验</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全体专职工作人员都有一年以上社会工作服务经验的，得</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lang w:val="zh-CN"/>
              </w:rPr>
              <w:t>分；</w:t>
            </w:r>
            <w:r>
              <w:rPr>
                <w:rFonts w:ascii="Times New Roman" w:hAnsi="Times New Roman" w:eastAsia="仿宋" w:cs="Times New Roman"/>
                <w:color w:val="auto"/>
                <w:sz w:val="24"/>
                <w:szCs w:val="24"/>
                <w:highlight w:val="none"/>
              </w:rPr>
              <w:t>1—2</w:t>
            </w:r>
            <w:r>
              <w:rPr>
                <w:rFonts w:ascii="Times New Roman" w:hAnsi="仿宋" w:eastAsia="仿宋" w:cs="Times New Roman"/>
                <w:color w:val="auto"/>
                <w:sz w:val="24"/>
                <w:szCs w:val="24"/>
                <w:highlight w:val="none"/>
              </w:rPr>
              <w:t>人有</w:t>
            </w:r>
            <w:r>
              <w:rPr>
                <w:rFonts w:ascii="Times New Roman" w:hAnsi="仿宋" w:eastAsia="仿宋" w:cs="Times New Roman"/>
                <w:color w:val="auto"/>
                <w:sz w:val="24"/>
                <w:szCs w:val="24"/>
                <w:highlight w:val="none"/>
                <w:lang w:val="zh-CN"/>
              </w:rPr>
              <w:t>一年以上社会工作服务经验的得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lang w:val="zh-CN"/>
              </w:rPr>
              <w:t>分；没有不得分。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5"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接受培训督导</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每个专职工作人员接受内外部相关教育培训时数不少于</w:t>
            </w:r>
            <w:r>
              <w:rPr>
                <w:rFonts w:ascii="Times New Roman" w:hAnsi="Times New Roman" w:eastAsia="仿宋" w:cs="Times New Roman"/>
                <w:color w:val="auto"/>
                <w:sz w:val="24"/>
                <w:szCs w:val="24"/>
                <w:highlight w:val="none"/>
              </w:rPr>
              <w:t>50</w:t>
            </w:r>
            <w:r>
              <w:rPr>
                <w:rFonts w:ascii="Times New Roman" w:hAnsi="仿宋" w:eastAsia="仿宋" w:cs="Times New Roman"/>
                <w:color w:val="auto"/>
                <w:sz w:val="24"/>
                <w:szCs w:val="24"/>
                <w:highlight w:val="none"/>
              </w:rPr>
              <w:t>课时（每课时为</w:t>
            </w:r>
            <w:r>
              <w:rPr>
                <w:rFonts w:ascii="Times New Roman" w:hAnsi="Times New Roman" w:eastAsia="仿宋" w:cs="Times New Roman"/>
                <w:color w:val="auto"/>
                <w:sz w:val="24"/>
                <w:szCs w:val="24"/>
                <w:highlight w:val="none"/>
              </w:rPr>
              <w:t>40</w:t>
            </w:r>
            <w:r>
              <w:rPr>
                <w:rFonts w:ascii="Times New Roman" w:hAnsi="仿宋" w:eastAsia="仿宋" w:cs="Times New Roman"/>
                <w:color w:val="auto"/>
                <w:sz w:val="24"/>
                <w:szCs w:val="24"/>
                <w:highlight w:val="none"/>
              </w:rPr>
              <w:t>分钟，需提供培训通知、培训记录、培训图片等证明），按规定执行得</w:t>
            </w:r>
            <w:r>
              <w:rPr>
                <w:rFonts w:ascii="Times New Roman" w:hAnsi="Times New Roman" w:eastAsia="仿宋" w:cs="Times New Roman"/>
                <w:color w:val="auto"/>
                <w:sz w:val="24"/>
                <w:szCs w:val="24"/>
                <w:highlight w:val="none"/>
              </w:rPr>
              <w:t>1.5</w:t>
            </w:r>
            <w:r>
              <w:rPr>
                <w:rFonts w:ascii="Times New Roman" w:hAnsi="仿宋" w:eastAsia="仿宋" w:cs="Times New Roman"/>
                <w:color w:val="auto"/>
                <w:sz w:val="24"/>
                <w:szCs w:val="24"/>
                <w:highlight w:val="none"/>
              </w:rPr>
              <w:t>分，教育培训少于规定课时的，少一个课时扣</w:t>
            </w:r>
            <w:r>
              <w:rPr>
                <w:rFonts w:ascii="Times New Roman" w:hAnsi="Times New Roman" w:eastAsia="仿宋" w:cs="Times New Roman"/>
                <w:color w:val="auto"/>
                <w:sz w:val="24"/>
                <w:szCs w:val="24"/>
                <w:highlight w:val="none"/>
              </w:rPr>
              <w:t>0.2</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szCs w:val="24"/>
                <w:highlight w:val="none"/>
                <w:lang w:val="zh-CN"/>
              </w:rPr>
              <w:t>运营组织须建有督导制度，对专职工作人员每月至少开展</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次</w:t>
            </w:r>
            <w:r>
              <w:rPr>
                <w:rFonts w:ascii="Times New Roman" w:hAnsi="仿宋" w:eastAsia="仿宋" w:cs="Times New Roman"/>
                <w:color w:val="auto"/>
                <w:sz w:val="24"/>
                <w:szCs w:val="24"/>
                <w:highlight w:val="none"/>
                <w:lang w:val="zh-CN"/>
              </w:rPr>
              <w:t>督导服务，督导资质以政府部门的文件为准（国家、省督导和南太湖社会工作领军人才，且须持有助理社会工作师证书并从事社会工作满</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年以上</w:t>
            </w:r>
            <w:r>
              <w:rPr>
                <w:rFonts w:ascii="Times New Roman" w:hAnsi="仿宋" w:eastAsia="仿宋" w:cs="Times New Roman"/>
                <w:color w:val="auto"/>
                <w:sz w:val="24"/>
                <w:szCs w:val="24"/>
                <w:highlight w:val="none"/>
                <w:lang w:val="zh-CN"/>
              </w:rPr>
              <w:t>），</w:t>
            </w:r>
            <w:r>
              <w:rPr>
                <w:rFonts w:ascii="Times New Roman" w:hAnsi="仿宋" w:eastAsia="仿宋" w:cs="Times New Roman"/>
                <w:color w:val="auto"/>
                <w:sz w:val="24"/>
                <w:szCs w:val="24"/>
                <w:highlight w:val="none"/>
              </w:rPr>
              <w:t>按规定执行得</w:t>
            </w:r>
            <w:r>
              <w:rPr>
                <w:rFonts w:ascii="Times New Roman" w:hAnsi="Times New Roman" w:eastAsia="仿宋" w:cs="Times New Roman"/>
                <w:color w:val="auto"/>
                <w:sz w:val="24"/>
                <w:szCs w:val="24"/>
                <w:highlight w:val="none"/>
              </w:rPr>
              <w:t>1.5</w:t>
            </w:r>
            <w:r>
              <w:rPr>
                <w:rFonts w:ascii="Times New Roman" w:hAnsi="仿宋" w:eastAsia="仿宋" w:cs="Times New Roman"/>
                <w:color w:val="auto"/>
                <w:sz w:val="24"/>
                <w:szCs w:val="24"/>
                <w:highlight w:val="none"/>
              </w:rPr>
              <w:t>分，少一次扣</w:t>
            </w:r>
            <w:r>
              <w:rPr>
                <w:rFonts w:ascii="Times New Roman" w:hAnsi="Times New Roman" w:eastAsia="仿宋" w:cs="Times New Roman"/>
                <w:color w:val="auto"/>
                <w:sz w:val="24"/>
                <w:szCs w:val="24"/>
                <w:highlight w:val="none"/>
              </w:rPr>
              <w:t>0.2</w:t>
            </w:r>
            <w:r>
              <w:rPr>
                <w:rFonts w:ascii="Times New Roman" w:hAnsi="仿宋" w:eastAsia="仿宋" w:cs="Times New Roman"/>
                <w:color w:val="auto"/>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 w:hRule="atLeast"/>
          <w:tblHeader/>
        </w:trPr>
        <w:tc>
          <w:tcPr>
            <w:tcW w:w="1162"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服务开展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w:t>
            </w:r>
            <w:r>
              <w:rPr>
                <w:rFonts w:ascii="Times New Roman" w:hAnsi="Times New Roman" w:eastAsia="仿宋" w:cs="Times New Roman"/>
                <w:color w:val="auto"/>
                <w:sz w:val="24"/>
                <w:highlight w:val="none"/>
              </w:rPr>
              <w:t>47</w:t>
            </w:r>
            <w:r>
              <w:rPr>
                <w:rFonts w:ascii="Times New Roman" w:hAnsi="仿宋" w:eastAsia="仿宋" w:cs="Times New Roman"/>
                <w:color w:val="auto"/>
                <w:sz w:val="24"/>
                <w:highlight w:val="none"/>
              </w:rPr>
              <w:t>分）</w:t>
            </w: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正常开放服务</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每月须提前制定月度活动安排，并告之服务对象，得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分，未制定活动安排或未告之服务对象不得分。每天开放时间不少于</w:t>
            </w:r>
            <w:r>
              <w:rPr>
                <w:rFonts w:ascii="Times New Roman" w:hAnsi="Times New Roman" w:eastAsia="仿宋" w:cs="Times New Roman"/>
                <w:color w:val="auto"/>
                <w:sz w:val="24"/>
                <w:szCs w:val="24"/>
                <w:highlight w:val="none"/>
              </w:rPr>
              <w:t>8</w:t>
            </w:r>
            <w:r>
              <w:rPr>
                <w:rFonts w:ascii="Times New Roman" w:hAnsi="仿宋" w:eastAsia="仿宋" w:cs="Times New Roman"/>
                <w:color w:val="auto"/>
                <w:sz w:val="24"/>
                <w:szCs w:val="24"/>
                <w:highlight w:val="none"/>
              </w:rPr>
              <w:t>小时，开放天数每周不少于</w:t>
            </w:r>
            <w:r>
              <w:rPr>
                <w:rFonts w:ascii="Times New Roman" w:hAnsi="Times New Roman" w:eastAsia="仿宋" w:cs="Times New Roman"/>
                <w:color w:val="auto"/>
                <w:sz w:val="24"/>
                <w:szCs w:val="24"/>
                <w:highlight w:val="none"/>
              </w:rPr>
              <w:t>5</w:t>
            </w:r>
            <w:r>
              <w:rPr>
                <w:rFonts w:ascii="Times New Roman" w:hAnsi="仿宋" w:eastAsia="仿宋" w:cs="Times New Roman"/>
                <w:color w:val="auto"/>
                <w:sz w:val="24"/>
                <w:szCs w:val="24"/>
                <w:highlight w:val="none"/>
              </w:rPr>
              <w:t>天，</w:t>
            </w:r>
            <w:r>
              <w:rPr>
                <w:rFonts w:ascii="Times New Roman" w:hAnsi="仿宋" w:eastAsia="仿宋" w:cs="Times New Roman"/>
                <w:bCs/>
                <w:color w:val="auto"/>
                <w:sz w:val="24"/>
                <w:szCs w:val="24"/>
                <w:highlight w:val="none"/>
              </w:rPr>
              <w:t>周末须有一天必须对外开放，开放时间须对外公告，得</w:t>
            </w:r>
            <w:r>
              <w:rPr>
                <w:rFonts w:ascii="Times New Roman" w:hAnsi="Times New Roman" w:eastAsia="仿宋" w:cs="Times New Roman"/>
                <w:bCs/>
                <w:color w:val="auto"/>
                <w:sz w:val="24"/>
                <w:szCs w:val="24"/>
                <w:highlight w:val="none"/>
              </w:rPr>
              <w:t>3</w:t>
            </w:r>
            <w:r>
              <w:rPr>
                <w:rFonts w:ascii="Times New Roman" w:hAnsi="仿宋" w:eastAsia="仿宋" w:cs="Times New Roman"/>
                <w:bCs/>
                <w:color w:val="auto"/>
                <w:sz w:val="24"/>
                <w:szCs w:val="24"/>
                <w:highlight w:val="none"/>
              </w:rPr>
              <w:t>分，没有对外公告扣</w:t>
            </w:r>
            <w:r>
              <w:rPr>
                <w:rFonts w:ascii="Times New Roman" w:hAnsi="Times New Roman" w:eastAsia="仿宋" w:cs="Times New Roman"/>
                <w:bCs/>
                <w:color w:val="auto"/>
                <w:sz w:val="24"/>
                <w:szCs w:val="24"/>
                <w:highlight w:val="none"/>
              </w:rPr>
              <w:t>0.5</w:t>
            </w:r>
            <w:r>
              <w:rPr>
                <w:rFonts w:ascii="Times New Roman" w:hAnsi="仿宋" w:eastAsia="仿宋" w:cs="Times New Roman"/>
                <w:bCs/>
                <w:color w:val="auto"/>
                <w:sz w:val="24"/>
                <w:szCs w:val="24"/>
                <w:highlight w:val="none"/>
              </w:rPr>
              <w:t>分，少对外开放一天扣</w:t>
            </w:r>
            <w:r>
              <w:rPr>
                <w:rFonts w:ascii="Times New Roman" w:hAnsi="Times New Roman" w:eastAsia="仿宋" w:cs="Times New Roman"/>
                <w:bCs/>
                <w:color w:val="auto"/>
                <w:sz w:val="24"/>
                <w:szCs w:val="24"/>
                <w:highlight w:val="none"/>
              </w:rPr>
              <w:t>0.5</w:t>
            </w:r>
            <w:r>
              <w:rPr>
                <w:rFonts w:ascii="Times New Roman" w:hAnsi="仿宋" w:eastAsia="仿宋" w:cs="Times New Roman"/>
                <w:bCs/>
                <w:color w:val="auto"/>
                <w:sz w:val="24"/>
                <w:szCs w:val="24"/>
                <w:highlight w:val="none"/>
              </w:rPr>
              <w:t>分，周末未对外开放扣</w:t>
            </w:r>
            <w:r>
              <w:rPr>
                <w:rFonts w:ascii="Times New Roman" w:hAnsi="Times New Roman" w:eastAsia="仿宋" w:cs="Times New Roman"/>
                <w:bCs/>
                <w:color w:val="auto"/>
                <w:sz w:val="24"/>
                <w:szCs w:val="24"/>
                <w:highlight w:val="none"/>
              </w:rPr>
              <w:t>0.5</w:t>
            </w:r>
            <w:r>
              <w:rPr>
                <w:rFonts w:ascii="Times New Roman" w:hAnsi="仿宋" w:eastAsia="仿宋" w:cs="Times New Roman"/>
                <w:bCs/>
                <w:color w:val="auto"/>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0"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开展需求调查</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对辖区内各方面情况</w:t>
            </w:r>
            <w:r>
              <w:rPr>
                <w:rFonts w:ascii="Times New Roman" w:hAnsi="仿宋" w:eastAsia="仿宋" w:cs="Times New Roman"/>
                <w:color w:val="auto"/>
                <w:sz w:val="24"/>
                <w:szCs w:val="24"/>
                <w:highlight w:val="none"/>
                <w:lang w:val="zh-CN"/>
              </w:rPr>
              <w:t>进行全面了解和掌握，得</w:t>
            </w:r>
            <w:r>
              <w:rPr>
                <w:rFonts w:ascii="Times New Roman" w:hAnsi="Times New Roman" w:eastAsia="仿宋" w:cs="Times New Roman"/>
                <w:color w:val="auto"/>
                <w:sz w:val="24"/>
                <w:szCs w:val="24"/>
                <w:highlight w:val="none"/>
                <w:lang w:val="zh-CN"/>
              </w:rPr>
              <w:t>1</w:t>
            </w:r>
            <w:r>
              <w:rPr>
                <w:rFonts w:ascii="Times New Roman" w:hAnsi="仿宋" w:eastAsia="仿宋" w:cs="Times New Roman"/>
                <w:color w:val="auto"/>
                <w:sz w:val="24"/>
                <w:szCs w:val="24"/>
                <w:highlight w:val="none"/>
                <w:lang w:val="zh-CN"/>
              </w:rPr>
              <w:t>分，</w:t>
            </w:r>
            <w:r>
              <w:rPr>
                <w:rFonts w:ascii="Times New Roman" w:hAnsi="仿宋" w:eastAsia="仿宋" w:cs="Times New Roman"/>
                <w:color w:val="auto"/>
                <w:kern w:val="0"/>
                <w:sz w:val="24"/>
                <w:szCs w:val="24"/>
                <w:highlight w:val="none"/>
              </w:rPr>
              <w:t>通过资料查阅和人员访谈，情况掌握不清的酌情扣分。</w:t>
            </w:r>
            <w:r>
              <w:rPr>
                <w:rFonts w:ascii="Times New Roman" w:hAnsi="仿宋" w:eastAsia="仿宋" w:cs="Times New Roman"/>
                <w:color w:val="auto"/>
                <w:sz w:val="24"/>
                <w:szCs w:val="24"/>
                <w:highlight w:val="none"/>
                <w:lang w:val="zh-CN"/>
              </w:rPr>
              <w:t>对辖区内老年人、儿童青少年、社会救助对象</w:t>
            </w:r>
            <w:r>
              <w:rPr>
                <w:rFonts w:ascii="Times New Roman" w:hAnsi="仿宋" w:eastAsia="仿宋" w:cs="Times New Roman"/>
                <w:color w:val="auto"/>
                <w:sz w:val="24"/>
                <w:szCs w:val="24"/>
                <w:highlight w:val="none"/>
              </w:rPr>
              <w:t>等群体开展需求调查，根据需求制定针对性服务方案，得</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分；未开展调查的不得分，未制定针对性服务方案，扣</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5"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组织居民活动</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15</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有</w:t>
            </w:r>
            <w:r>
              <w:rPr>
                <w:rFonts w:ascii="Times New Roman" w:hAnsi="仿宋" w:eastAsia="仿宋" w:cs="Times New Roman"/>
                <w:color w:val="auto"/>
                <w:kern w:val="0"/>
                <w:sz w:val="24"/>
                <w:szCs w:val="24"/>
                <w:highlight w:val="none"/>
              </w:rPr>
              <w:t>组织性开展各类主题文化活动，每月不少于</w:t>
            </w:r>
            <w:r>
              <w:rPr>
                <w:rFonts w:ascii="Times New Roman" w:hAnsi="Times New Roman" w:eastAsia="仿宋" w:cs="Times New Roman"/>
                <w:color w:val="auto"/>
                <w:kern w:val="0"/>
                <w:sz w:val="24"/>
                <w:szCs w:val="24"/>
                <w:highlight w:val="none"/>
              </w:rPr>
              <w:t>5</w:t>
            </w:r>
            <w:r>
              <w:rPr>
                <w:rFonts w:ascii="Times New Roman" w:hAnsi="仿宋" w:eastAsia="仿宋" w:cs="Times New Roman"/>
                <w:color w:val="auto"/>
                <w:kern w:val="0"/>
                <w:sz w:val="24"/>
                <w:szCs w:val="24"/>
                <w:highlight w:val="none"/>
              </w:rPr>
              <w:t>场，其中</w:t>
            </w:r>
            <w:r>
              <w:rPr>
                <w:rFonts w:ascii="Times New Roman" w:hAnsi="Times New Roman" w:eastAsia="仿宋" w:cs="Times New Roman"/>
                <w:color w:val="auto"/>
                <w:kern w:val="0"/>
                <w:sz w:val="24"/>
                <w:szCs w:val="24"/>
                <w:highlight w:val="none"/>
              </w:rPr>
              <w:t>50</w:t>
            </w:r>
            <w:r>
              <w:rPr>
                <w:rFonts w:ascii="Times New Roman" w:hAnsi="仿宋" w:eastAsia="仿宋" w:cs="Times New Roman"/>
                <w:color w:val="auto"/>
                <w:kern w:val="0"/>
                <w:sz w:val="24"/>
                <w:szCs w:val="24"/>
                <w:highlight w:val="none"/>
              </w:rPr>
              <w:t>人</w:t>
            </w:r>
            <w:r>
              <w:rPr>
                <w:rFonts w:ascii="Times New Roman" w:hAnsi="Times New Roman" w:eastAsia="仿宋" w:cs="Times New Roman"/>
                <w:color w:val="auto"/>
                <w:kern w:val="0"/>
                <w:sz w:val="24"/>
                <w:szCs w:val="24"/>
                <w:highlight w:val="none"/>
              </w:rPr>
              <w:t>—100</w:t>
            </w:r>
            <w:r>
              <w:rPr>
                <w:rFonts w:ascii="Times New Roman" w:hAnsi="仿宋" w:eastAsia="仿宋" w:cs="Times New Roman"/>
                <w:color w:val="auto"/>
                <w:kern w:val="0"/>
                <w:sz w:val="24"/>
                <w:szCs w:val="24"/>
                <w:highlight w:val="none"/>
              </w:rPr>
              <w:t>人全年不少于</w:t>
            </w:r>
            <w:r>
              <w:rPr>
                <w:rFonts w:ascii="Times New Roman" w:hAnsi="Times New Roman" w:eastAsia="仿宋" w:cs="Times New Roman"/>
                <w:color w:val="auto"/>
                <w:kern w:val="0"/>
                <w:sz w:val="24"/>
                <w:szCs w:val="24"/>
                <w:highlight w:val="none"/>
              </w:rPr>
              <w:t>8</w:t>
            </w:r>
            <w:r>
              <w:rPr>
                <w:rFonts w:ascii="Times New Roman" w:hAnsi="仿宋" w:eastAsia="仿宋" w:cs="Times New Roman"/>
                <w:color w:val="auto"/>
                <w:kern w:val="0"/>
                <w:sz w:val="24"/>
                <w:szCs w:val="24"/>
                <w:highlight w:val="none"/>
              </w:rPr>
              <w:t>场，</w:t>
            </w:r>
            <w:r>
              <w:rPr>
                <w:rFonts w:ascii="Times New Roman" w:hAnsi="Times New Roman" w:eastAsia="仿宋" w:cs="Times New Roman"/>
                <w:color w:val="auto"/>
                <w:kern w:val="0"/>
                <w:sz w:val="24"/>
                <w:szCs w:val="24"/>
                <w:highlight w:val="none"/>
              </w:rPr>
              <w:t>100</w:t>
            </w:r>
            <w:r>
              <w:rPr>
                <w:rFonts w:ascii="Times New Roman" w:hAnsi="仿宋" w:eastAsia="仿宋" w:cs="Times New Roman"/>
                <w:color w:val="auto"/>
                <w:kern w:val="0"/>
                <w:sz w:val="24"/>
                <w:szCs w:val="24"/>
                <w:highlight w:val="none"/>
              </w:rPr>
              <w:t>人以上不少于</w:t>
            </w:r>
            <w:r>
              <w:rPr>
                <w:rFonts w:ascii="Times New Roman" w:hAnsi="Times New Roman" w:eastAsia="仿宋" w:cs="Times New Roman"/>
                <w:color w:val="auto"/>
                <w:kern w:val="0"/>
                <w:sz w:val="24"/>
                <w:szCs w:val="24"/>
                <w:highlight w:val="none"/>
              </w:rPr>
              <w:t>2</w:t>
            </w:r>
            <w:r>
              <w:rPr>
                <w:rFonts w:ascii="Times New Roman" w:hAnsi="仿宋" w:eastAsia="仿宋" w:cs="Times New Roman"/>
                <w:color w:val="auto"/>
                <w:kern w:val="0"/>
                <w:sz w:val="24"/>
                <w:szCs w:val="24"/>
                <w:highlight w:val="none"/>
              </w:rPr>
              <w:t>场（活动记录、通知、手写签到表、照片），得</w:t>
            </w:r>
            <w:r>
              <w:rPr>
                <w:rFonts w:ascii="Times New Roman" w:hAnsi="Times New Roman" w:eastAsia="仿宋" w:cs="Times New Roman"/>
                <w:color w:val="auto"/>
                <w:kern w:val="0"/>
                <w:sz w:val="24"/>
                <w:szCs w:val="24"/>
                <w:highlight w:val="none"/>
              </w:rPr>
              <w:t>15</w:t>
            </w:r>
            <w:r>
              <w:rPr>
                <w:rFonts w:ascii="Times New Roman" w:hAnsi="仿宋" w:eastAsia="仿宋" w:cs="Times New Roman"/>
                <w:color w:val="auto"/>
                <w:kern w:val="0"/>
                <w:sz w:val="24"/>
                <w:szCs w:val="24"/>
                <w:highlight w:val="none"/>
              </w:rPr>
              <w:t>分，少</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场扣</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5"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专业小组服务</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6</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根据</w:t>
            </w:r>
            <w:r>
              <w:rPr>
                <w:rFonts w:ascii="Times New Roman" w:hAnsi="仿宋" w:eastAsia="仿宋" w:cs="Times New Roman"/>
                <w:color w:val="auto"/>
                <w:sz w:val="24"/>
                <w:szCs w:val="24"/>
                <w:highlight w:val="none"/>
              </w:rPr>
              <w:t>针对性服务方案，</w:t>
            </w:r>
            <w:r>
              <w:rPr>
                <w:rFonts w:ascii="Times New Roman" w:hAnsi="仿宋" w:eastAsia="仿宋" w:cs="Times New Roman"/>
                <w:bCs/>
                <w:color w:val="auto"/>
                <w:sz w:val="24"/>
                <w:szCs w:val="24"/>
                <w:highlight w:val="none"/>
              </w:rPr>
              <w:t>设立专业小组，</w:t>
            </w:r>
            <w:r>
              <w:rPr>
                <w:rFonts w:ascii="Times New Roman" w:hAnsi="仿宋" w:eastAsia="仿宋" w:cs="Times New Roman"/>
                <w:color w:val="auto"/>
                <w:sz w:val="24"/>
                <w:szCs w:val="24"/>
                <w:highlight w:val="none"/>
              </w:rPr>
              <w:t>为</w:t>
            </w:r>
            <w:r>
              <w:rPr>
                <w:rFonts w:ascii="Times New Roman" w:hAnsi="仿宋" w:eastAsia="仿宋" w:cs="Times New Roman"/>
                <w:color w:val="auto"/>
                <w:sz w:val="24"/>
                <w:szCs w:val="24"/>
                <w:highlight w:val="none"/>
                <w:lang w:val="zh-CN"/>
              </w:rPr>
              <w:t>辖区内老年人、儿童青少年、社会救助对象</w:t>
            </w:r>
            <w:r>
              <w:rPr>
                <w:rFonts w:ascii="Times New Roman" w:hAnsi="仿宋" w:eastAsia="仿宋" w:cs="Times New Roman"/>
                <w:color w:val="auto"/>
                <w:sz w:val="24"/>
                <w:szCs w:val="24"/>
                <w:highlight w:val="none"/>
              </w:rPr>
              <w:t>等群体开展专项服务活动，小组每年开展专项活动不少于</w:t>
            </w:r>
            <w:r>
              <w:rPr>
                <w:rFonts w:ascii="Times New Roman" w:hAnsi="Times New Roman" w:eastAsia="仿宋" w:cs="Times New Roman"/>
                <w:color w:val="auto"/>
                <w:sz w:val="24"/>
                <w:szCs w:val="24"/>
                <w:highlight w:val="none"/>
              </w:rPr>
              <w:t>4</w:t>
            </w:r>
            <w:r>
              <w:rPr>
                <w:rFonts w:ascii="Times New Roman" w:hAnsi="仿宋" w:eastAsia="仿宋" w:cs="Times New Roman"/>
                <w:color w:val="auto"/>
                <w:sz w:val="24"/>
                <w:szCs w:val="24"/>
                <w:highlight w:val="none"/>
              </w:rPr>
              <w:t>次，提供完整资料（活动记录、通知、手写签到表、照片）</w:t>
            </w:r>
            <w:r>
              <w:rPr>
                <w:rFonts w:ascii="Times New Roman" w:hAnsi="仿宋" w:eastAsia="仿宋" w:cs="Times New Roman"/>
                <w:bCs/>
                <w:color w:val="auto"/>
                <w:sz w:val="24"/>
                <w:szCs w:val="24"/>
                <w:highlight w:val="none"/>
              </w:rPr>
              <w:t>，未开展专业活动不得分，少</w:t>
            </w:r>
            <w:r>
              <w:rPr>
                <w:rFonts w:ascii="Times New Roman" w:hAnsi="Times New Roman" w:eastAsia="仿宋" w:cs="Times New Roman"/>
                <w:bCs/>
                <w:color w:val="auto"/>
                <w:sz w:val="24"/>
                <w:szCs w:val="24"/>
                <w:highlight w:val="none"/>
              </w:rPr>
              <w:t>1</w:t>
            </w:r>
            <w:r>
              <w:rPr>
                <w:rFonts w:ascii="Times New Roman" w:hAnsi="仿宋" w:eastAsia="仿宋" w:cs="Times New Roman"/>
                <w:bCs/>
                <w:color w:val="auto"/>
                <w:sz w:val="24"/>
                <w:szCs w:val="24"/>
                <w:highlight w:val="none"/>
              </w:rPr>
              <w:t>次活动扣</w:t>
            </w:r>
            <w:r>
              <w:rPr>
                <w:rFonts w:ascii="Times New Roman" w:hAnsi="Times New Roman" w:eastAsia="仿宋" w:cs="Times New Roman"/>
                <w:bCs/>
                <w:color w:val="auto"/>
                <w:sz w:val="24"/>
                <w:szCs w:val="24"/>
                <w:highlight w:val="none"/>
              </w:rPr>
              <w:t>1</w:t>
            </w:r>
            <w:r>
              <w:rPr>
                <w:rFonts w:ascii="Times New Roman" w:hAnsi="仿宋" w:eastAsia="仿宋" w:cs="Times New Roman"/>
                <w:bCs/>
                <w:color w:val="auto"/>
                <w:sz w:val="24"/>
                <w:szCs w:val="24"/>
                <w:highlight w:val="none"/>
              </w:rPr>
              <w:t>分，缺少资料酌情扣分。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培育社区社会组织</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6</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每年培育社会组织累计不少于</w:t>
            </w:r>
            <w:r>
              <w:rPr>
                <w:rFonts w:ascii="Times New Roman" w:hAnsi="Times New Roman" w:eastAsia="仿宋" w:cs="Times New Roman"/>
                <w:color w:val="auto"/>
                <w:sz w:val="24"/>
                <w:szCs w:val="24"/>
                <w:highlight w:val="none"/>
              </w:rPr>
              <w:t xml:space="preserve">2 </w:t>
            </w:r>
            <w:r>
              <w:rPr>
                <w:rFonts w:ascii="Times New Roman" w:hAnsi="仿宋" w:eastAsia="仿宋" w:cs="Times New Roman"/>
                <w:color w:val="auto"/>
                <w:sz w:val="24"/>
                <w:szCs w:val="24"/>
                <w:highlight w:val="none"/>
              </w:rPr>
              <w:t>个，</w:t>
            </w:r>
            <w:r>
              <w:rPr>
                <w:rFonts w:ascii="Times New Roman" w:hAnsi="仿宋" w:eastAsia="仿宋" w:cs="Times New Roman"/>
                <w:bCs/>
                <w:color w:val="auto"/>
                <w:sz w:val="24"/>
                <w:szCs w:val="24"/>
                <w:highlight w:val="none"/>
              </w:rPr>
              <w:t>少完成</w:t>
            </w:r>
            <w:r>
              <w:rPr>
                <w:rFonts w:ascii="Times New Roman" w:hAnsi="Times New Roman" w:eastAsia="仿宋" w:cs="Times New Roman"/>
                <w:bCs/>
                <w:color w:val="auto"/>
                <w:sz w:val="24"/>
                <w:szCs w:val="24"/>
                <w:highlight w:val="none"/>
              </w:rPr>
              <w:t>1</w:t>
            </w:r>
            <w:r>
              <w:rPr>
                <w:rFonts w:ascii="Times New Roman" w:hAnsi="仿宋" w:eastAsia="仿宋" w:cs="Times New Roman"/>
                <w:bCs/>
                <w:color w:val="auto"/>
                <w:sz w:val="24"/>
                <w:szCs w:val="24"/>
                <w:highlight w:val="none"/>
              </w:rPr>
              <w:t>个扣</w:t>
            </w:r>
            <w:r>
              <w:rPr>
                <w:rFonts w:ascii="Times New Roman" w:hAnsi="Times New Roman" w:eastAsia="仿宋" w:cs="Times New Roman"/>
                <w:bCs/>
                <w:color w:val="auto"/>
                <w:sz w:val="24"/>
                <w:szCs w:val="24"/>
                <w:highlight w:val="none"/>
              </w:rPr>
              <w:t>1</w:t>
            </w:r>
            <w:r>
              <w:rPr>
                <w:rFonts w:ascii="Times New Roman" w:hAnsi="仿宋" w:eastAsia="仿宋" w:cs="Times New Roman"/>
                <w:bCs/>
                <w:color w:val="auto"/>
                <w:sz w:val="24"/>
                <w:szCs w:val="24"/>
                <w:highlight w:val="none"/>
              </w:rPr>
              <w:t>分（须提供社会组织组织架构、人员名单、服务领域、章程、工作计划和备案表等），材料不全酌情扣分。回应社会组织需求和问题，有年度指导和培训工作计划的得</w:t>
            </w:r>
            <w:r>
              <w:rPr>
                <w:rFonts w:ascii="Times New Roman" w:hAnsi="Times New Roman" w:eastAsia="仿宋" w:cs="Times New Roman"/>
                <w:bCs/>
                <w:color w:val="auto"/>
                <w:sz w:val="24"/>
                <w:szCs w:val="24"/>
                <w:highlight w:val="none"/>
              </w:rPr>
              <w:t>1</w:t>
            </w:r>
            <w:r>
              <w:rPr>
                <w:rFonts w:ascii="Times New Roman" w:hAnsi="仿宋" w:eastAsia="仿宋" w:cs="Times New Roman"/>
                <w:bCs/>
                <w:color w:val="auto"/>
                <w:sz w:val="24"/>
                <w:szCs w:val="24"/>
                <w:highlight w:val="none"/>
              </w:rPr>
              <w:t>分，</w:t>
            </w:r>
            <w:r>
              <w:rPr>
                <w:rFonts w:ascii="Times New Roman" w:hAnsi="仿宋" w:eastAsia="仿宋" w:cs="Times New Roman"/>
                <w:color w:val="auto"/>
                <w:sz w:val="24"/>
                <w:szCs w:val="24"/>
                <w:highlight w:val="none"/>
              </w:rPr>
              <w:t>每年组织培训及交流活动不少于</w:t>
            </w:r>
            <w:r>
              <w:rPr>
                <w:rFonts w:ascii="Times New Roman" w:hAnsi="Times New Roman" w:eastAsia="仿宋" w:cs="Times New Roman"/>
                <w:color w:val="auto"/>
                <w:sz w:val="24"/>
                <w:szCs w:val="24"/>
                <w:highlight w:val="none"/>
              </w:rPr>
              <w:t xml:space="preserve"> 2 </w:t>
            </w:r>
            <w:r>
              <w:rPr>
                <w:rFonts w:ascii="Times New Roman" w:hAnsi="仿宋" w:eastAsia="仿宋" w:cs="Times New Roman"/>
                <w:color w:val="auto"/>
                <w:sz w:val="24"/>
                <w:szCs w:val="24"/>
                <w:highlight w:val="none"/>
              </w:rPr>
              <w:t>次，每次得</w:t>
            </w:r>
            <w:r>
              <w:rPr>
                <w:rFonts w:hint="eastAsia"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w:t>
            </w:r>
            <w:r>
              <w:rPr>
                <w:rFonts w:hint="eastAsia" w:ascii="Times New Roman" w:hAnsi="仿宋" w:eastAsia="仿宋" w:cs="Times New Roman"/>
                <w:color w:val="auto"/>
                <w:sz w:val="24"/>
                <w:szCs w:val="24"/>
                <w:highlight w:val="none"/>
              </w:rPr>
              <w:t>，</w:t>
            </w:r>
            <w:r>
              <w:rPr>
                <w:rFonts w:ascii="Times New Roman" w:hAnsi="仿宋" w:eastAsia="仿宋" w:cs="Times New Roman"/>
                <w:color w:val="auto"/>
                <w:sz w:val="24"/>
                <w:szCs w:val="24"/>
                <w:highlight w:val="none"/>
              </w:rPr>
              <w:t>提供完整</w:t>
            </w:r>
            <w:r>
              <w:rPr>
                <w:rFonts w:ascii="Times New Roman" w:hAnsi="仿宋" w:eastAsia="仿宋" w:cs="Times New Roman"/>
                <w:bCs/>
                <w:color w:val="auto"/>
                <w:sz w:val="24"/>
                <w:szCs w:val="24"/>
                <w:highlight w:val="none"/>
              </w:rPr>
              <w:t>资料</w:t>
            </w:r>
            <w:r>
              <w:rPr>
                <w:rFonts w:ascii="Times New Roman" w:hAnsi="仿宋" w:eastAsia="仿宋" w:cs="Times New Roman"/>
                <w:color w:val="auto"/>
                <w:sz w:val="24"/>
                <w:szCs w:val="24"/>
                <w:highlight w:val="none"/>
              </w:rPr>
              <w:t>（活动记录、通知、手写签到表、照片）</w:t>
            </w:r>
            <w:r>
              <w:rPr>
                <w:rFonts w:ascii="Times New Roman" w:hAnsi="仿宋" w:eastAsia="仿宋" w:cs="Times New Roman"/>
                <w:bCs/>
                <w:color w:val="auto"/>
                <w:sz w:val="24"/>
                <w:szCs w:val="24"/>
                <w:highlight w:val="none"/>
              </w:rPr>
              <w:t>，资料不全酌情扣分。开展社区社会组织活跃度体检，确保社区社会组织常态化可持续性发展，得</w:t>
            </w:r>
            <w:r>
              <w:rPr>
                <w:rFonts w:ascii="Times New Roman" w:hAnsi="Times New Roman" w:eastAsia="仿宋" w:cs="Times New Roman"/>
                <w:bCs/>
                <w:color w:val="auto"/>
                <w:sz w:val="24"/>
                <w:szCs w:val="24"/>
                <w:highlight w:val="none"/>
              </w:rPr>
              <w:t>2</w:t>
            </w:r>
            <w:r>
              <w:rPr>
                <w:rFonts w:ascii="Times New Roman" w:hAnsi="仿宋" w:eastAsia="仿宋" w:cs="Times New Roman"/>
                <w:bCs/>
                <w:color w:val="auto"/>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化解基层矛盾</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highlight w:val="none"/>
              </w:rPr>
              <w:t>联动乡镇（街道）和村社区建立矛盾纠纷调解工作机制，积极协助化解基层矛盾纠纷，主动参与基层社会治理。有制度、有参与得</w:t>
            </w:r>
            <w:r>
              <w:rPr>
                <w:rFonts w:ascii="Times New Roman" w:hAnsi="Times New Roman" w:eastAsia="仿宋" w:cs="Times New Roman"/>
                <w:color w:val="auto"/>
                <w:kern w:val="0"/>
                <w:sz w:val="24"/>
                <w:highlight w:val="none"/>
              </w:rPr>
              <w:t>4</w:t>
            </w:r>
            <w:r>
              <w:rPr>
                <w:rFonts w:ascii="Times New Roman" w:hAnsi="仿宋" w:eastAsia="仿宋" w:cs="Times New Roman"/>
                <w:color w:val="auto"/>
                <w:kern w:val="0"/>
                <w:sz w:val="24"/>
                <w:highlight w:val="none"/>
              </w:rPr>
              <w:t>分，没参与不得分。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组织民主协商</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8</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bCs/>
                <w:color w:val="auto"/>
                <w:sz w:val="24"/>
                <w:szCs w:val="24"/>
                <w:highlight w:val="none"/>
              </w:rPr>
              <w:t>聚焦社区治理问题和服务对象的利益诉求，有目的、有组织性的开展民主协商，确定议事规则，形成议事结果，监测决议执行。每年开展民主协商不少于</w:t>
            </w:r>
            <w:r>
              <w:rPr>
                <w:rFonts w:ascii="Times New Roman" w:hAnsi="Times New Roman" w:eastAsia="仿宋" w:cs="Times New Roman"/>
                <w:bCs/>
                <w:color w:val="auto"/>
                <w:sz w:val="24"/>
                <w:szCs w:val="24"/>
                <w:highlight w:val="none"/>
              </w:rPr>
              <w:t>4</w:t>
            </w:r>
            <w:r>
              <w:rPr>
                <w:rFonts w:ascii="Times New Roman" w:hAnsi="仿宋" w:eastAsia="仿宋" w:cs="Times New Roman"/>
                <w:bCs/>
                <w:color w:val="auto"/>
                <w:sz w:val="24"/>
                <w:szCs w:val="24"/>
                <w:highlight w:val="none"/>
              </w:rPr>
              <w:t>次，每次得</w:t>
            </w:r>
            <w:r>
              <w:rPr>
                <w:rFonts w:ascii="Times New Roman" w:hAnsi="Times New Roman" w:eastAsia="仿宋" w:cs="Times New Roman"/>
                <w:bCs/>
                <w:color w:val="auto"/>
                <w:sz w:val="24"/>
                <w:szCs w:val="24"/>
                <w:highlight w:val="none"/>
              </w:rPr>
              <w:t>2</w:t>
            </w:r>
            <w:r>
              <w:rPr>
                <w:rFonts w:ascii="Times New Roman" w:hAnsi="仿宋" w:eastAsia="仿宋" w:cs="Times New Roman"/>
                <w:bCs/>
                <w:color w:val="auto"/>
                <w:sz w:val="24"/>
                <w:szCs w:val="24"/>
                <w:highlight w:val="none"/>
              </w:rPr>
              <w:t>分，提供记录完整、清晰，资料（通知、签到表、相关过程资料和照片等），资料不全酌情扣分。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15" w:hRule="atLeast"/>
          <w:tblHeader/>
        </w:trPr>
        <w:tc>
          <w:tcPr>
            <w:tcW w:w="1162"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服务成效</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w:t>
            </w:r>
            <w:r>
              <w:rPr>
                <w:rFonts w:ascii="Times New Roman" w:hAnsi="Times New Roman" w:eastAsia="仿宋" w:cs="Times New Roman"/>
                <w:color w:val="auto"/>
                <w:sz w:val="24"/>
                <w:highlight w:val="none"/>
              </w:rPr>
              <w:t>8</w:t>
            </w:r>
            <w:r>
              <w:rPr>
                <w:rFonts w:ascii="Times New Roman" w:hAnsi="仿宋" w:eastAsia="仿宋" w:cs="Times New Roman"/>
                <w:color w:val="auto"/>
                <w:sz w:val="24"/>
                <w:highlight w:val="none"/>
              </w:rPr>
              <w:t>分）</w:t>
            </w: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党委政府测评</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各级党委政府对幸福邻里中心运营管理及成效进行综合评价。满意度</w:t>
            </w:r>
            <w:r>
              <w:rPr>
                <w:rFonts w:ascii="Times New Roman" w:hAnsi="Times New Roman" w:eastAsia="仿宋" w:cs="Times New Roman"/>
                <w:color w:val="auto"/>
                <w:sz w:val="24"/>
                <w:szCs w:val="24"/>
                <w:highlight w:val="none"/>
              </w:rPr>
              <w:t>90</w:t>
            </w:r>
            <w:r>
              <w:rPr>
                <w:rFonts w:ascii="Times New Roman" w:hAnsi="仿宋" w:eastAsia="仿宋" w:cs="Times New Roman"/>
                <w:color w:val="auto"/>
                <w:sz w:val="24"/>
                <w:szCs w:val="24"/>
                <w:highlight w:val="none"/>
              </w:rPr>
              <w:t>分以上的，得</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分，满意度得分每下降</w:t>
            </w:r>
            <w:r>
              <w:rPr>
                <w:rFonts w:ascii="Times New Roman" w:hAnsi="Times New Roman" w:eastAsia="仿宋" w:cs="Times New Roman"/>
                <w:color w:val="auto"/>
                <w:sz w:val="24"/>
                <w:szCs w:val="24"/>
                <w:highlight w:val="none"/>
              </w:rPr>
              <w:t>5</w:t>
            </w:r>
            <w:r>
              <w:rPr>
                <w:rFonts w:ascii="Times New Roman" w:hAnsi="仿宋" w:eastAsia="仿宋" w:cs="Times New Roman"/>
                <w:color w:val="auto"/>
                <w:sz w:val="24"/>
                <w:szCs w:val="24"/>
                <w:highlight w:val="none"/>
              </w:rPr>
              <w:t>分扣除</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群众满意测评</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服务对象对幸福邻里中心所开展服务的满意度（内容、形式、安排、社工的服务态度、专业能力等）以及服务效果等方面的综合评价。满意度</w:t>
            </w:r>
            <w:r>
              <w:rPr>
                <w:rFonts w:ascii="Times New Roman" w:hAnsi="Times New Roman" w:eastAsia="仿宋" w:cs="Times New Roman"/>
                <w:color w:val="auto"/>
                <w:sz w:val="24"/>
                <w:szCs w:val="24"/>
                <w:highlight w:val="none"/>
              </w:rPr>
              <w:t>80%</w:t>
            </w:r>
            <w:r>
              <w:rPr>
                <w:rFonts w:ascii="Times New Roman" w:hAnsi="仿宋" w:eastAsia="仿宋" w:cs="Times New Roman"/>
                <w:color w:val="auto"/>
                <w:sz w:val="24"/>
                <w:szCs w:val="24"/>
                <w:highlight w:val="none"/>
              </w:rPr>
              <w:t>以上的，得</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分，满意度百分比每下降</w:t>
            </w:r>
            <w:r>
              <w:rPr>
                <w:rFonts w:ascii="Times New Roman" w:hAnsi="Times New Roman" w:eastAsia="仿宋" w:cs="Times New Roman"/>
                <w:color w:val="auto"/>
                <w:sz w:val="24"/>
                <w:szCs w:val="24"/>
                <w:highlight w:val="none"/>
              </w:rPr>
              <w:t>5</w:t>
            </w:r>
            <w:r>
              <w:rPr>
                <w:rFonts w:ascii="Times New Roman" w:hAnsi="仿宋" w:eastAsia="仿宋" w:cs="Times New Roman"/>
                <w:color w:val="auto"/>
                <w:sz w:val="24"/>
                <w:szCs w:val="24"/>
                <w:highlight w:val="none"/>
              </w:rPr>
              <w:t>个百分点扣除</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分。以实际访谈或通话为有效评价。</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80"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媒体宣传报道</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6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bCs/>
                <w:color w:val="auto"/>
                <w:sz w:val="24"/>
                <w:szCs w:val="24"/>
                <w:highlight w:val="none"/>
              </w:rPr>
              <w:t>县级以上公共媒体对服务工作进行过</w:t>
            </w:r>
            <w:r>
              <w:rPr>
                <w:rFonts w:ascii="Times New Roman" w:hAnsi="Times New Roman" w:eastAsia="仿宋" w:cs="Times New Roman"/>
                <w:bCs/>
                <w:color w:val="auto"/>
                <w:sz w:val="24"/>
                <w:szCs w:val="24"/>
                <w:highlight w:val="none"/>
              </w:rPr>
              <w:t>2</w:t>
            </w:r>
            <w:r>
              <w:rPr>
                <w:rFonts w:ascii="Times New Roman" w:hAnsi="仿宋" w:eastAsia="仿宋" w:cs="Times New Roman"/>
                <w:bCs/>
                <w:color w:val="auto"/>
                <w:sz w:val="24"/>
                <w:szCs w:val="24"/>
                <w:highlight w:val="none"/>
              </w:rPr>
              <w:t>次或</w:t>
            </w:r>
            <w:r>
              <w:rPr>
                <w:rFonts w:ascii="Times New Roman" w:hAnsi="Times New Roman" w:eastAsia="仿宋" w:cs="Times New Roman"/>
                <w:bCs/>
                <w:color w:val="auto"/>
                <w:sz w:val="24"/>
                <w:szCs w:val="24"/>
                <w:highlight w:val="none"/>
              </w:rPr>
              <w:t>2</w:t>
            </w:r>
            <w:r>
              <w:rPr>
                <w:rFonts w:ascii="Times New Roman" w:hAnsi="仿宋" w:eastAsia="仿宋" w:cs="Times New Roman"/>
                <w:bCs/>
                <w:color w:val="auto"/>
                <w:sz w:val="24"/>
                <w:szCs w:val="24"/>
                <w:highlight w:val="none"/>
              </w:rPr>
              <w:t>次以上的正面报导的，得</w:t>
            </w:r>
            <w:r>
              <w:rPr>
                <w:rFonts w:ascii="Times New Roman" w:hAnsi="Times New Roman" w:eastAsia="仿宋" w:cs="Times New Roman"/>
                <w:bCs/>
                <w:color w:val="auto"/>
                <w:sz w:val="24"/>
                <w:szCs w:val="24"/>
                <w:highlight w:val="none"/>
              </w:rPr>
              <w:t>2</w:t>
            </w:r>
            <w:r>
              <w:rPr>
                <w:rFonts w:ascii="Times New Roman" w:hAnsi="仿宋" w:eastAsia="仿宋" w:cs="Times New Roman"/>
                <w:bCs/>
                <w:color w:val="auto"/>
                <w:sz w:val="24"/>
                <w:szCs w:val="24"/>
                <w:highlight w:val="none"/>
              </w:rPr>
              <w:t>分，</w:t>
            </w:r>
            <w:r>
              <w:rPr>
                <w:rFonts w:ascii="Times New Roman" w:hAnsi="Times New Roman" w:eastAsia="仿宋" w:cs="Times New Roman"/>
                <w:bCs/>
                <w:color w:val="auto"/>
                <w:sz w:val="24"/>
                <w:szCs w:val="24"/>
                <w:highlight w:val="none"/>
              </w:rPr>
              <w:t>1</w:t>
            </w:r>
            <w:r>
              <w:rPr>
                <w:rFonts w:ascii="Times New Roman" w:hAnsi="仿宋" w:eastAsia="仿宋" w:cs="Times New Roman"/>
                <w:bCs/>
                <w:color w:val="auto"/>
                <w:sz w:val="24"/>
                <w:szCs w:val="24"/>
                <w:highlight w:val="none"/>
              </w:rPr>
              <w:t>次得</w:t>
            </w:r>
            <w:r>
              <w:rPr>
                <w:rFonts w:ascii="Times New Roman" w:hAnsi="Times New Roman" w:eastAsia="仿宋" w:cs="Times New Roman"/>
                <w:bCs/>
                <w:color w:val="auto"/>
                <w:sz w:val="24"/>
                <w:szCs w:val="24"/>
                <w:highlight w:val="none"/>
              </w:rPr>
              <w:t>1</w:t>
            </w:r>
            <w:r>
              <w:rPr>
                <w:rFonts w:ascii="Times New Roman" w:hAnsi="仿宋" w:eastAsia="仿宋" w:cs="Times New Roman"/>
                <w:bCs/>
                <w:color w:val="auto"/>
                <w:sz w:val="24"/>
                <w:szCs w:val="24"/>
                <w:highlight w:val="none"/>
              </w:rPr>
              <w:t>分，无报导此项不得分。</w:t>
            </w:r>
          </w:p>
        </w:tc>
        <w:tc>
          <w:tcPr>
            <w:tcW w:w="100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62"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加分项</w:t>
            </w: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创建品牌亮点</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在辖区范围内策划并实施特色或品牌服务项目，积极推动项目实施，形成一定效应和影响力，视情况给分。结合乡镇（街道）实际，在社区治理方面成效明显并在市级以上媒体报道有体系支撑的，视情况给分。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5"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邻里中心食堂</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bCs/>
                <w:color w:val="auto"/>
                <w:sz w:val="24"/>
                <w:szCs w:val="24"/>
                <w:highlight w:val="none"/>
              </w:rPr>
              <w:t>有专门的邻里食堂，签有协议并正常运营，工作人员均持有健康证的，加</w:t>
            </w:r>
            <w:r>
              <w:rPr>
                <w:rFonts w:ascii="Times New Roman" w:hAnsi="Times New Roman" w:eastAsia="仿宋" w:cs="Times New Roman"/>
                <w:bCs/>
                <w:color w:val="auto"/>
                <w:sz w:val="24"/>
                <w:szCs w:val="24"/>
                <w:highlight w:val="none"/>
              </w:rPr>
              <w:t>2</w:t>
            </w:r>
            <w:r>
              <w:rPr>
                <w:rFonts w:ascii="Times New Roman" w:hAnsi="仿宋" w:eastAsia="仿宋" w:cs="Times New Roman"/>
                <w:bCs/>
                <w:color w:val="auto"/>
                <w:sz w:val="24"/>
                <w:szCs w:val="24"/>
                <w:highlight w:val="none"/>
              </w:rPr>
              <w:t>分，没有设立专门的食堂只签订送餐服务的，或工作人员健康证不齐全的不列入加分范围。</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30"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场地面积（</w:t>
            </w:r>
            <w:r>
              <w:rPr>
                <w:rFonts w:ascii="Times New Roman" w:hAnsi="Times New Roman" w:eastAsia="仿宋" w:cs="Times New Roman"/>
                <w:color w:val="auto"/>
                <w:sz w:val="24"/>
                <w:szCs w:val="24"/>
                <w:highlight w:val="none"/>
                <w:lang w:val="zh-CN"/>
              </w:rPr>
              <w:t>1</w:t>
            </w:r>
            <w:r>
              <w:rPr>
                <w:rFonts w:ascii="Times New Roman" w:hAnsi="Times New Roman" w:eastAsia="仿宋" w:cs="Times New Roman"/>
                <w:color w:val="auto"/>
                <w:sz w:val="24"/>
                <w:szCs w:val="24"/>
                <w:highlight w:val="none"/>
              </w:rPr>
              <w:t>2</w:t>
            </w:r>
            <w:r>
              <w:rPr>
                <w:rFonts w:ascii="Times New Roman" w:hAnsi="Times New Roman" w:eastAsia="仿宋" w:cs="Times New Roman"/>
                <w:color w:val="auto"/>
                <w:sz w:val="24"/>
                <w:szCs w:val="24"/>
                <w:highlight w:val="none"/>
                <w:lang w:val="zh-CN"/>
              </w:rPr>
              <w:t>00</w:t>
            </w:r>
            <w:r>
              <w:rPr>
                <w:rFonts w:ascii="Times New Roman" w:hAnsi="仿宋" w:eastAsia="仿宋" w:cs="Times New Roman"/>
                <w:color w:val="auto"/>
                <w:sz w:val="24"/>
                <w:szCs w:val="24"/>
                <w:highlight w:val="none"/>
                <w:lang w:val="zh-CN"/>
              </w:rPr>
              <w:t>平米以上）</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1-2</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highlight w:val="none"/>
              </w:rPr>
              <w:t>场地建筑面积在</w:t>
            </w:r>
            <w:r>
              <w:rPr>
                <w:rFonts w:ascii="Times New Roman" w:hAnsi="Times New Roman" w:eastAsia="仿宋" w:cs="Times New Roman"/>
                <w:color w:val="auto"/>
                <w:kern w:val="0"/>
                <w:sz w:val="24"/>
                <w:highlight w:val="none"/>
              </w:rPr>
              <w:t>1200</w:t>
            </w:r>
            <w:r>
              <w:rPr>
                <w:rFonts w:ascii="Times New Roman" w:hAnsi="仿宋" w:eastAsia="仿宋" w:cs="Times New Roman"/>
                <w:color w:val="auto"/>
                <w:kern w:val="0"/>
                <w:sz w:val="24"/>
                <w:highlight w:val="none"/>
              </w:rPr>
              <w:t>平米（增加</w:t>
            </w:r>
            <w:r>
              <w:rPr>
                <w:rFonts w:ascii="Times New Roman" w:hAnsi="Times New Roman" w:eastAsia="仿宋" w:cs="Times New Roman"/>
                <w:color w:val="auto"/>
                <w:kern w:val="0"/>
                <w:sz w:val="24"/>
                <w:highlight w:val="none"/>
              </w:rPr>
              <w:t>50%</w:t>
            </w:r>
            <w:r>
              <w:rPr>
                <w:rFonts w:ascii="Times New Roman" w:hAnsi="仿宋" w:eastAsia="仿宋" w:cs="Times New Roman"/>
                <w:color w:val="auto"/>
                <w:kern w:val="0"/>
                <w:sz w:val="24"/>
                <w:highlight w:val="none"/>
              </w:rPr>
              <w:t>）以上的加</w:t>
            </w:r>
            <w:r>
              <w:rPr>
                <w:rFonts w:ascii="Times New Roman" w:hAnsi="Times New Roman" w:eastAsia="仿宋" w:cs="Times New Roman"/>
                <w:color w:val="auto"/>
                <w:kern w:val="0"/>
                <w:sz w:val="24"/>
                <w:highlight w:val="none"/>
              </w:rPr>
              <w:t>1</w:t>
            </w:r>
            <w:r>
              <w:rPr>
                <w:rFonts w:ascii="Times New Roman" w:hAnsi="仿宋" w:eastAsia="仿宋" w:cs="Times New Roman"/>
                <w:color w:val="auto"/>
                <w:kern w:val="0"/>
                <w:sz w:val="24"/>
                <w:highlight w:val="none"/>
              </w:rPr>
              <w:t>分，在</w:t>
            </w:r>
            <w:r>
              <w:rPr>
                <w:rFonts w:ascii="Times New Roman" w:hAnsi="Times New Roman" w:eastAsia="仿宋" w:cs="Times New Roman"/>
                <w:color w:val="auto"/>
                <w:kern w:val="0"/>
                <w:sz w:val="24"/>
                <w:highlight w:val="none"/>
              </w:rPr>
              <w:t>1600</w:t>
            </w:r>
            <w:r>
              <w:rPr>
                <w:rFonts w:ascii="Times New Roman" w:hAnsi="仿宋" w:eastAsia="仿宋" w:cs="Times New Roman"/>
                <w:color w:val="auto"/>
                <w:kern w:val="0"/>
                <w:sz w:val="24"/>
                <w:highlight w:val="none"/>
              </w:rPr>
              <w:t>平米（增加</w:t>
            </w:r>
            <w:r>
              <w:rPr>
                <w:rFonts w:ascii="Times New Roman" w:hAnsi="Times New Roman" w:eastAsia="仿宋" w:cs="Times New Roman"/>
                <w:color w:val="auto"/>
                <w:kern w:val="0"/>
                <w:sz w:val="24"/>
                <w:highlight w:val="none"/>
              </w:rPr>
              <w:t>100%</w:t>
            </w:r>
            <w:r>
              <w:rPr>
                <w:rFonts w:ascii="Times New Roman" w:hAnsi="仿宋" w:eastAsia="仿宋" w:cs="Times New Roman"/>
                <w:color w:val="auto"/>
                <w:kern w:val="0"/>
                <w:sz w:val="24"/>
                <w:highlight w:val="none"/>
              </w:rPr>
              <w:t>）以上的加</w:t>
            </w:r>
            <w:r>
              <w:rPr>
                <w:rFonts w:ascii="Times New Roman" w:hAnsi="Times New Roman" w:eastAsia="仿宋" w:cs="Times New Roman"/>
                <w:color w:val="auto"/>
                <w:kern w:val="0"/>
                <w:sz w:val="24"/>
                <w:highlight w:val="none"/>
              </w:rPr>
              <w:t>2</w:t>
            </w:r>
            <w:r>
              <w:rPr>
                <w:rFonts w:ascii="Times New Roman" w:hAnsi="仿宋" w:eastAsia="仿宋" w:cs="Times New Roman"/>
                <w:color w:val="auto"/>
                <w:kern w:val="0"/>
                <w:sz w:val="24"/>
                <w:highlight w:val="none"/>
              </w:rPr>
              <w:t>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80" w:hRule="atLeast"/>
          <w:tblHeader/>
        </w:trPr>
        <w:tc>
          <w:tcPr>
            <w:tcW w:w="1162"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扣分项</w:t>
            </w: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存在安全风险隐患</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kern w:val="0"/>
                <w:sz w:val="24"/>
                <w:highlight w:val="none"/>
              </w:rPr>
              <w:t>1</w:t>
            </w:r>
            <w:r>
              <w:rPr>
                <w:rFonts w:ascii="Times New Roman" w:hAnsi="Times New Roman" w:eastAsia="仿宋" w:cs="Times New Roman"/>
                <w:color w:val="auto"/>
                <w:sz w:val="24"/>
                <w:szCs w:val="24"/>
                <w:highlight w:val="none"/>
              </w:rPr>
              <w:t>-10</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highlight w:val="none"/>
              </w:rPr>
              <w:t>参评中心有发现存在消防、食品卫生等方面安全风险隐患，且拒不整改的，一经查证，将酌情扣分，扣完为止除当事中心总分</w:t>
            </w:r>
            <w:r>
              <w:rPr>
                <w:rFonts w:ascii="Times New Roman" w:hAnsi="Times New Roman" w:eastAsia="仿宋" w:cs="Times New Roman"/>
                <w:color w:val="auto"/>
                <w:kern w:val="0"/>
                <w:sz w:val="24"/>
                <w:highlight w:val="none"/>
              </w:rPr>
              <w:t>1</w:t>
            </w:r>
            <w:r>
              <w:rPr>
                <w:rFonts w:ascii="Times New Roman" w:hAnsi="Times New Roman" w:eastAsia="仿宋" w:cs="Times New Roman"/>
                <w:color w:val="auto"/>
                <w:sz w:val="24"/>
                <w:szCs w:val="24"/>
                <w:highlight w:val="none"/>
              </w:rPr>
              <w:t>-10</w:t>
            </w:r>
            <w:r>
              <w:rPr>
                <w:rFonts w:ascii="Times New Roman" w:hAnsi="仿宋" w:eastAsia="仿宋" w:cs="Times New Roman"/>
                <w:color w:val="auto"/>
                <w:sz w:val="24"/>
                <w:szCs w:val="24"/>
                <w:highlight w:val="none"/>
              </w:rPr>
              <w:t>分</w:t>
            </w:r>
            <w:r>
              <w:rPr>
                <w:rFonts w:hint="eastAsia" w:ascii="Times New Roman" w:hAnsi="仿宋" w:eastAsia="仿宋" w:cs="Times New Roman"/>
                <w:color w:val="auto"/>
                <w:sz w:val="24"/>
                <w:szCs w:val="24"/>
                <w:highlight w:val="none"/>
              </w:rPr>
              <w:t>。</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5"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存在弄虚作假行为</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szCs w:val="24"/>
                <w:highlight w:val="none"/>
              </w:rPr>
              <w:t>1-10</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参评中心必须提供客观、真实的资料和数据。如以欺诈、隐瞒、提供不实数据等手段参与评估的中心，一经查证，将扣除当事中心总分</w:t>
            </w:r>
            <w:r>
              <w:rPr>
                <w:rFonts w:ascii="Times New Roman" w:hAnsi="Times New Roman" w:eastAsia="仿宋" w:cs="Times New Roman"/>
                <w:color w:val="auto"/>
                <w:sz w:val="24"/>
                <w:szCs w:val="24"/>
                <w:highlight w:val="none"/>
              </w:rPr>
              <w:t>1-10</w:t>
            </w:r>
            <w:r>
              <w:rPr>
                <w:rFonts w:ascii="Times New Roman" w:hAnsi="仿宋" w:eastAsia="仿宋" w:cs="Times New Roman"/>
                <w:color w:val="auto"/>
                <w:sz w:val="24"/>
                <w:szCs w:val="24"/>
                <w:highlight w:val="none"/>
              </w:rPr>
              <w:t>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 w:hRule="atLeast"/>
          <w:tblHeader/>
        </w:trPr>
        <w:tc>
          <w:tcPr>
            <w:tcW w:w="1162"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否决项</w:t>
            </w: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发生安全责任事故</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highlight w:val="none"/>
              </w:rPr>
              <w:t>在当年运营周期内，发生安全责任事故造成人员伤亡的，终止运营合同，</w:t>
            </w:r>
            <w:r>
              <w:rPr>
                <w:rFonts w:ascii="Times New Roman" w:hAnsi="仿宋" w:eastAsia="仿宋" w:cs="Times New Roman"/>
                <w:color w:val="auto"/>
                <w:sz w:val="24"/>
                <w:szCs w:val="24"/>
                <w:highlight w:val="none"/>
              </w:rPr>
              <w:t>依法撤销其运营服务的资格，并向社会公告。</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拒绝行政管理部门监督检查</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highlight w:val="none"/>
              </w:rPr>
              <w:t>有发现参评中心在运营中拒绝配合行政管理部门监督检查的，不得进行当年度星级参评，并摘掉已评到的星牌。</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62"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85"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存在违法违规行为</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在运营过程中，参评中心存在</w:t>
            </w:r>
            <w:r>
              <w:rPr>
                <w:rFonts w:ascii="Times New Roman" w:hAnsi="仿宋" w:eastAsia="仿宋" w:cs="Times New Roman"/>
                <w:color w:val="auto"/>
                <w:sz w:val="24"/>
                <w:szCs w:val="24"/>
                <w:highlight w:val="none"/>
                <w:lang w:val="zh-CN"/>
              </w:rPr>
              <w:t>违法违规行为，一经查证，</w:t>
            </w:r>
            <w:r>
              <w:rPr>
                <w:rFonts w:ascii="Times New Roman" w:hAnsi="仿宋" w:eastAsia="仿宋" w:cs="Times New Roman"/>
                <w:color w:val="auto"/>
                <w:kern w:val="0"/>
                <w:sz w:val="24"/>
                <w:highlight w:val="none"/>
              </w:rPr>
              <w:t>不得进行当年度星级参评，并摘掉已评到的星牌，终止运营合同，</w:t>
            </w:r>
            <w:r>
              <w:rPr>
                <w:rFonts w:ascii="Times New Roman" w:hAnsi="仿宋" w:eastAsia="仿宋" w:cs="Times New Roman"/>
                <w:color w:val="auto"/>
                <w:sz w:val="24"/>
                <w:szCs w:val="24"/>
                <w:highlight w:val="none"/>
              </w:rPr>
              <w:t>依法撤销其运营服务的资格，并向社会公告。</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Times New Roman" w:eastAsia="方正小标宋简体" w:cs="Times New Roman"/>
          <w:color w:val="auto"/>
          <w:sz w:val="44"/>
          <w:szCs w:val="44"/>
          <w:highlight w:val="none"/>
        </w:rPr>
      </w:pPr>
      <w:r>
        <w:rPr>
          <w:rFonts w:hint="eastAsia" w:ascii="方正小标宋简体" w:hAnsi="华文中宋" w:eastAsia="方正小标宋简体" w:cs="Times New Roman"/>
          <w:color w:val="auto"/>
          <w:spacing w:val="0"/>
          <w:sz w:val="44"/>
          <w:szCs w:val="44"/>
          <w:highlight w:val="none"/>
        </w:rPr>
        <w:t>湖州市幸福邻里中心星级评定标准（试行）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楷体" w:hAnsi="楷体" w:eastAsia="楷体" w:cs="Times New Roman"/>
          <w:color w:val="auto"/>
          <w:sz w:val="32"/>
          <w:szCs w:val="32"/>
          <w:highlight w:val="none"/>
        </w:rPr>
      </w:pPr>
      <w:r>
        <w:rPr>
          <w:rFonts w:ascii="楷体" w:hAnsi="楷体" w:eastAsia="楷体" w:cs="Times New Roman"/>
          <w:color w:val="auto"/>
          <w:sz w:val="32"/>
          <w:szCs w:val="32"/>
          <w:highlight w:val="none"/>
        </w:rPr>
        <w:t>村（社区）级</w:t>
      </w:r>
    </w:p>
    <w:tbl>
      <w:tblPr>
        <w:tblStyle w:val="44"/>
        <w:tblpPr w:leftFromText="180" w:rightFromText="180" w:vertAnchor="text" w:horzAnchor="page" w:tblpX="1451" w:tblpY="373"/>
        <w:tblOverlap w:val="never"/>
        <w:tblW w:w="14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48"/>
        <w:gridCol w:w="1999"/>
        <w:gridCol w:w="992"/>
        <w:gridCol w:w="9033"/>
        <w:gridCol w:w="11"/>
        <w:gridCol w:w="14"/>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8" w:hRule="atLeast"/>
          <w:tblHeader/>
        </w:trPr>
        <w:tc>
          <w:tcPr>
            <w:tcW w:w="1148"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bCs/>
                <w:color w:val="auto"/>
                <w:sz w:val="24"/>
                <w:highlight w:val="none"/>
              </w:rPr>
            </w:pPr>
            <w:r>
              <w:rPr>
                <w:rFonts w:ascii="Times New Roman" w:hAnsi="仿宋" w:eastAsia="仿宋" w:cs="Times New Roman"/>
                <w:b/>
                <w:bCs/>
                <w:color w:val="auto"/>
                <w:sz w:val="24"/>
                <w:szCs w:val="24"/>
                <w:highlight w:val="none"/>
              </w:rPr>
              <w:t>内容</w:t>
            </w: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bCs/>
                <w:color w:val="auto"/>
                <w:sz w:val="24"/>
                <w:highlight w:val="none"/>
              </w:rPr>
            </w:pPr>
            <w:r>
              <w:rPr>
                <w:rFonts w:ascii="Times New Roman" w:hAnsi="仿宋" w:eastAsia="仿宋" w:cs="Times New Roman"/>
                <w:b/>
                <w:bCs/>
                <w:color w:val="auto"/>
                <w:sz w:val="24"/>
                <w:szCs w:val="24"/>
                <w:highlight w:val="none"/>
              </w:rPr>
              <w:t>标准</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bCs/>
                <w:color w:val="auto"/>
                <w:sz w:val="24"/>
                <w:highlight w:val="none"/>
              </w:rPr>
            </w:pPr>
            <w:r>
              <w:rPr>
                <w:rFonts w:ascii="Times New Roman" w:hAnsi="仿宋" w:eastAsia="仿宋" w:cs="Times New Roman"/>
                <w:b/>
                <w:bCs/>
                <w:color w:val="auto"/>
                <w:sz w:val="24"/>
                <w:szCs w:val="24"/>
                <w:highlight w:val="none"/>
              </w:rPr>
              <w:t>分值</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auto"/>
                <w:kern w:val="0"/>
                <w:sz w:val="24"/>
                <w:highlight w:val="none"/>
              </w:rPr>
            </w:pPr>
            <w:r>
              <w:rPr>
                <w:rFonts w:ascii="Times New Roman" w:hAnsi="仿宋" w:eastAsia="仿宋" w:cs="Times New Roman"/>
                <w:b/>
                <w:color w:val="auto"/>
                <w:kern w:val="0"/>
                <w:sz w:val="24"/>
                <w:szCs w:val="24"/>
                <w:highlight w:val="none"/>
              </w:rPr>
              <w:t>评分规则</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b/>
                <w:color w:val="auto"/>
                <w:kern w:val="0"/>
                <w:sz w:val="24"/>
                <w:highlight w:val="none"/>
              </w:rPr>
            </w:pPr>
            <w:r>
              <w:rPr>
                <w:rFonts w:ascii="Times New Roman" w:hAnsi="Times New Roman" w:eastAsia="仿宋" w:cs="Times New Roman"/>
                <w:b/>
                <w:color w:val="auto"/>
                <w:kern w:val="0"/>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8" w:hRule="atLeast"/>
          <w:tblHeader/>
        </w:trPr>
        <w:tc>
          <w:tcPr>
            <w:tcW w:w="1148"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党建引领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w:t>
            </w:r>
            <w:r>
              <w:rPr>
                <w:rFonts w:ascii="Times New Roman" w:hAnsi="Times New Roman" w:eastAsia="仿宋" w:cs="Times New Roman"/>
                <w:color w:val="auto"/>
                <w:sz w:val="24"/>
                <w:highlight w:val="none"/>
              </w:rPr>
              <w:t>10</w:t>
            </w:r>
            <w:r>
              <w:rPr>
                <w:rFonts w:ascii="Times New Roman" w:hAnsi="仿宋" w:eastAsia="仿宋" w:cs="Times New Roman"/>
                <w:color w:val="auto"/>
                <w:sz w:val="24"/>
                <w:highlight w:val="none"/>
              </w:rPr>
              <w:t>分）</w:t>
            </w: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坚持党组织领导</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运营组织负责人坚持党的领导，政治意识坚定，建立党组织得</w:t>
            </w:r>
            <w:r>
              <w:rPr>
                <w:rFonts w:ascii="Times New Roman" w:hAnsi="Times New Roman" w:eastAsia="仿宋" w:cs="Times New Roman"/>
                <w:color w:val="auto"/>
                <w:sz w:val="24"/>
                <w:szCs w:val="24"/>
                <w:highlight w:val="none"/>
                <w:lang w:val="zh-CN"/>
              </w:rPr>
              <w:t>2</w:t>
            </w:r>
            <w:r>
              <w:rPr>
                <w:rFonts w:ascii="Times New Roman" w:hAnsi="仿宋" w:eastAsia="仿宋" w:cs="Times New Roman"/>
                <w:color w:val="auto"/>
                <w:sz w:val="24"/>
                <w:szCs w:val="24"/>
                <w:highlight w:val="none"/>
                <w:lang w:val="zh-CN"/>
              </w:rPr>
              <w:t>分，未建立党组织但有党建工作联络员得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szCs w:val="24"/>
                <w:highlight w:val="none"/>
                <w:lang w:val="zh-CN"/>
              </w:rPr>
              <w:t>。</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8"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工作有计划有总结</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积极主动与村（社区）进行对接联系，年度对接商定工作计划得</w:t>
            </w:r>
            <w:r>
              <w:rPr>
                <w:rFonts w:ascii="Times New Roman" w:hAnsi="Times New Roman" w:eastAsia="仿宋" w:cs="Times New Roman"/>
                <w:color w:val="auto"/>
                <w:sz w:val="24"/>
                <w:szCs w:val="24"/>
                <w:highlight w:val="none"/>
                <w:lang w:val="zh-CN"/>
              </w:rPr>
              <w:t>1</w:t>
            </w:r>
            <w:r>
              <w:rPr>
                <w:rFonts w:ascii="Times New Roman" w:hAnsi="仿宋" w:eastAsia="仿宋" w:cs="Times New Roman"/>
                <w:color w:val="auto"/>
                <w:sz w:val="24"/>
                <w:szCs w:val="24"/>
                <w:highlight w:val="none"/>
                <w:lang w:val="zh-CN"/>
              </w:rPr>
              <w:t>分，月度对接商定工作计划得</w:t>
            </w:r>
            <w:r>
              <w:rPr>
                <w:rFonts w:ascii="Times New Roman" w:hAnsi="Times New Roman" w:eastAsia="仿宋" w:cs="Times New Roman"/>
                <w:color w:val="auto"/>
                <w:sz w:val="24"/>
                <w:szCs w:val="24"/>
                <w:highlight w:val="none"/>
                <w:lang w:val="zh-CN"/>
              </w:rPr>
              <w:t>1</w:t>
            </w:r>
            <w:r>
              <w:rPr>
                <w:rFonts w:ascii="Times New Roman" w:hAnsi="仿宋" w:eastAsia="仿宋" w:cs="Times New Roman"/>
                <w:color w:val="auto"/>
                <w:sz w:val="24"/>
                <w:szCs w:val="24"/>
                <w:highlight w:val="none"/>
                <w:lang w:val="zh-CN"/>
              </w:rPr>
              <w:t>分，少</w:t>
            </w:r>
            <w:r>
              <w:rPr>
                <w:rFonts w:ascii="Times New Roman" w:hAnsi="Times New Roman" w:eastAsia="仿宋" w:cs="Times New Roman"/>
                <w:color w:val="auto"/>
                <w:sz w:val="24"/>
                <w:szCs w:val="24"/>
                <w:highlight w:val="none"/>
                <w:lang w:val="zh-CN"/>
              </w:rPr>
              <w:t>1</w:t>
            </w:r>
            <w:r>
              <w:rPr>
                <w:rFonts w:ascii="Times New Roman" w:hAnsi="仿宋" w:eastAsia="仿宋" w:cs="Times New Roman"/>
                <w:color w:val="auto"/>
                <w:sz w:val="24"/>
                <w:szCs w:val="24"/>
                <w:highlight w:val="none"/>
                <w:lang w:val="zh-CN"/>
              </w:rPr>
              <w:t>次扣</w:t>
            </w:r>
            <w:r>
              <w:rPr>
                <w:rFonts w:ascii="Times New Roman" w:hAnsi="Times New Roman" w:eastAsia="仿宋" w:cs="Times New Roman"/>
                <w:color w:val="auto"/>
                <w:sz w:val="24"/>
                <w:szCs w:val="24"/>
                <w:highlight w:val="none"/>
                <w:lang w:val="zh-CN"/>
              </w:rPr>
              <w:t>0.25</w:t>
            </w:r>
            <w:r>
              <w:rPr>
                <w:rFonts w:ascii="Times New Roman" w:hAnsi="仿宋" w:eastAsia="仿宋" w:cs="Times New Roman"/>
                <w:color w:val="auto"/>
                <w:sz w:val="24"/>
                <w:szCs w:val="24"/>
                <w:highlight w:val="none"/>
                <w:lang w:val="zh-CN"/>
              </w:rPr>
              <w:t>分；年中年末均进行工作总结得</w:t>
            </w:r>
            <w:r>
              <w:rPr>
                <w:rFonts w:ascii="Times New Roman" w:hAnsi="Times New Roman" w:eastAsia="仿宋" w:cs="Times New Roman"/>
                <w:color w:val="auto"/>
                <w:sz w:val="24"/>
                <w:szCs w:val="24"/>
                <w:highlight w:val="none"/>
                <w:lang w:val="zh-CN"/>
              </w:rPr>
              <w:t>2</w:t>
            </w:r>
            <w:r>
              <w:rPr>
                <w:rFonts w:ascii="Times New Roman" w:hAnsi="仿宋" w:eastAsia="仿宋" w:cs="Times New Roman"/>
                <w:color w:val="auto"/>
                <w:sz w:val="24"/>
                <w:szCs w:val="24"/>
                <w:highlight w:val="none"/>
                <w:lang w:val="zh-CN"/>
              </w:rPr>
              <w:t>分，少一次扣</w:t>
            </w:r>
            <w:r>
              <w:rPr>
                <w:rFonts w:ascii="Times New Roman" w:hAnsi="Times New Roman" w:eastAsia="仿宋" w:cs="Times New Roman"/>
                <w:color w:val="auto"/>
                <w:sz w:val="24"/>
                <w:szCs w:val="24"/>
                <w:highlight w:val="none"/>
                <w:lang w:val="zh-CN"/>
              </w:rPr>
              <w:t>1</w:t>
            </w:r>
            <w:r>
              <w:rPr>
                <w:rFonts w:ascii="Times New Roman" w:hAnsi="仿宋" w:eastAsia="仿宋" w:cs="Times New Roman"/>
                <w:color w:val="auto"/>
                <w:sz w:val="24"/>
                <w:szCs w:val="24"/>
                <w:highlight w:val="none"/>
                <w:lang w:val="zh-CN"/>
              </w:rPr>
              <w:t>分。</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15"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主动参与基层党建活动</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与村（社区）共同讨论制订基层党建活动计划得</w:t>
            </w:r>
            <w:r>
              <w:rPr>
                <w:rFonts w:ascii="Times New Roman" w:hAnsi="Times New Roman" w:eastAsia="仿宋" w:cs="Times New Roman"/>
                <w:color w:val="auto"/>
                <w:sz w:val="24"/>
                <w:szCs w:val="24"/>
                <w:highlight w:val="none"/>
                <w:lang w:val="zh-CN"/>
              </w:rPr>
              <w:t>1</w:t>
            </w:r>
            <w:r>
              <w:rPr>
                <w:rFonts w:ascii="Times New Roman" w:hAnsi="仿宋" w:eastAsia="仿宋" w:cs="Times New Roman"/>
                <w:color w:val="auto"/>
                <w:sz w:val="24"/>
                <w:szCs w:val="24"/>
                <w:highlight w:val="none"/>
                <w:lang w:val="zh-CN"/>
              </w:rPr>
              <w:t>分，开展党建活动每年不少于</w:t>
            </w:r>
            <w:r>
              <w:rPr>
                <w:rFonts w:ascii="Times New Roman" w:hAnsi="Times New Roman" w:eastAsia="仿宋" w:cs="Times New Roman"/>
                <w:color w:val="auto"/>
                <w:sz w:val="24"/>
                <w:szCs w:val="24"/>
                <w:highlight w:val="none"/>
                <w:lang w:val="zh-CN"/>
              </w:rPr>
              <w:t>2</w:t>
            </w:r>
            <w:r>
              <w:rPr>
                <w:rFonts w:ascii="Times New Roman" w:hAnsi="仿宋" w:eastAsia="仿宋" w:cs="Times New Roman"/>
                <w:color w:val="auto"/>
                <w:sz w:val="24"/>
                <w:szCs w:val="24"/>
                <w:highlight w:val="none"/>
                <w:lang w:val="zh-CN"/>
              </w:rPr>
              <w:t>次得</w:t>
            </w:r>
            <w:r>
              <w:rPr>
                <w:rFonts w:ascii="Times New Roman" w:hAnsi="Times New Roman" w:eastAsia="仿宋" w:cs="Times New Roman"/>
                <w:color w:val="auto"/>
                <w:sz w:val="24"/>
                <w:szCs w:val="24"/>
                <w:highlight w:val="none"/>
                <w:lang w:val="zh-CN"/>
              </w:rPr>
              <w:t>2</w:t>
            </w:r>
            <w:r>
              <w:rPr>
                <w:rFonts w:ascii="Times New Roman" w:hAnsi="仿宋" w:eastAsia="仿宋" w:cs="Times New Roman"/>
                <w:color w:val="auto"/>
                <w:sz w:val="24"/>
                <w:szCs w:val="24"/>
                <w:highlight w:val="none"/>
                <w:lang w:val="zh-CN"/>
              </w:rPr>
              <w:t>分，少</w:t>
            </w:r>
            <w:r>
              <w:rPr>
                <w:rFonts w:ascii="Times New Roman" w:hAnsi="Times New Roman" w:eastAsia="仿宋" w:cs="Times New Roman"/>
                <w:color w:val="auto"/>
                <w:sz w:val="24"/>
                <w:szCs w:val="24"/>
                <w:highlight w:val="none"/>
                <w:lang w:val="zh-CN"/>
              </w:rPr>
              <w:t>1</w:t>
            </w:r>
            <w:r>
              <w:rPr>
                <w:rFonts w:ascii="Times New Roman" w:hAnsi="仿宋" w:eastAsia="仿宋" w:cs="Times New Roman"/>
                <w:color w:val="auto"/>
                <w:sz w:val="24"/>
                <w:szCs w:val="24"/>
                <w:highlight w:val="none"/>
                <w:lang w:val="zh-CN"/>
              </w:rPr>
              <w:t>次扣</w:t>
            </w:r>
            <w:r>
              <w:rPr>
                <w:rFonts w:ascii="Times New Roman" w:hAnsi="Times New Roman" w:eastAsia="仿宋" w:cs="Times New Roman"/>
                <w:color w:val="auto"/>
                <w:sz w:val="24"/>
                <w:szCs w:val="24"/>
                <w:highlight w:val="none"/>
                <w:lang w:val="zh-CN"/>
              </w:rPr>
              <w:t>0.5</w:t>
            </w:r>
            <w:r>
              <w:rPr>
                <w:rFonts w:ascii="Times New Roman" w:hAnsi="仿宋" w:eastAsia="仿宋" w:cs="Times New Roman"/>
                <w:color w:val="auto"/>
                <w:sz w:val="24"/>
                <w:szCs w:val="24"/>
                <w:highlight w:val="none"/>
                <w:lang w:val="zh-CN"/>
              </w:rPr>
              <w:t>分。</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48"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rPr>
            </w:pPr>
            <w:r>
              <w:rPr>
                <w:rFonts w:ascii="Times New Roman" w:hAnsi="仿宋" w:eastAsia="仿宋" w:cs="Times New Roman"/>
                <w:color w:val="auto"/>
                <w:sz w:val="24"/>
                <w:szCs w:val="24"/>
                <w:highlight w:val="none"/>
              </w:rPr>
              <w:t>环境设施</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szCs w:val="24"/>
                <w:highlight w:val="none"/>
              </w:rPr>
              <w:t>（</w:t>
            </w:r>
            <w:r>
              <w:rPr>
                <w:rFonts w:ascii="Times New Roman" w:hAnsi="Times New Roman" w:eastAsia="仿宋" w:cs="Times New Roman"/>
                <w:color w:val="auto"/>
                <w:sz w:val="24"/>
                <w:szCs w:val="24"/>
                <w:highlight w:val="none"/>
              </w:rPr>
              <w:t>10</w:t>
            </w:r>
            <w:r>
              <w:rPr>
                <w:rFonts w:ascii="Times New Roman" w:hAnsi="仿宋" w:eastAsia="仿宋" w:cs="Times New Roman"/>
                <w:color w:val="auto"/>
                <w:sz w:val="24"/>
                <w:szCs w:val="24"/>
                <w:highlight w:val="none"/>
              </w:rPr>
              <w:t>分）</w:t>
            </w: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场地面积、功能设施和标识标牌</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Times New Roman"/>
                <w:color w:val="auto"/>
                <w:kern w:val="0"/>
                <w:sz w:val="24"/>
                <w:highlight w:val="none"/>
                <w:lang w:eastAsia="zh-CN"/>
              </w:rPr>
            </w:pPr>
            <w:r>
              <w:rPr>
                <w:rFonts w:ascii="Times New Roman" w:hAnsi="仿宋" w:eastAsia="仿宋" w:cs="Times New Roman"/>
                <w:color w:val="auto"/>
                <w:kern w:val="0"/>
                <w:sz w:val="24"/>
                <w:szCs w:val="24"/>
                <w:highlight w:val="none"/>
              </w:rPr>
              <w:t>邻里中心空间布局合理，建筑总面积不少于</w:t>
            </w:r>
            <w:r>
              <w:rPr>
                <w:rFonts w:ascii="Times New Roman" w:hAnsi="Times New Roman" w:eastAsia="仿宋" w:cs="Times New Roman"/>
                <w:color w:val="auto"/>
                <w:kern w:val="0"/>
                <w:sz w:val="24"/>
                <w:szCs w:val="24"/>
                <w:highlight w:val="none"/>
              </w:rPr>
              <w:t>500</w:t>
            </w:r>
            <w:r>
              <w:rPr>
                <w:rFonts w:ascii="Times New Roman" w:hAnsi="仿宋" w:eastAsia="仿宋" w:cs="Times New Roman"/>
                <w:color w:val="auto"/>
                <w:kern w:val="0"/>
                <w:sz w:val="24"/>
                <w:szCs w:val="24"/>
                <w:highlight w:val="none"/>
              </w:rPr>
              <w:t>㎡得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分；标识标牌要有辨识度，符合标准规定得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分；邻里中心文化特色鲜明，常态化宣传推广市、区县、乡镇（街道）、村（社区）特色工作和邻里中心工作得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分；功能设施完好得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分，破损且影响使用的发现一处扣</w:t>
            </w:r>
            <w:r>
              <w:rPr>
                <w:rFonts w:ascii="Times New Roman" w:hAnsi="Times New Roman" w:eastAsia="仿宋" w:cs="Times New Roman"/>
                <w:color w:val="auto"/>
                <w:kern w:val="0"/>
                <w:sz w:val="24"/>
                <w:szCs w:val="24"/>
                <w:highlight w:val="none"/>
              </w:rPr>
              <w:t>0.2</w:t>
            </w:r>
            <w:r>
              <w:rPr>
                <w:rFonts w:ascii="Times New Roman" w:hAnsi="仿宋" w:eastAsia="仿宋" w:cs="Times New Roman"/>
                <w:color w:val="auto"/>
                <w:kern w:val="0"/>
                <w:sz w:val="24"/>
                <w:szCs w:val="24"/>
                <w:highlight w:val="none"/>
              </w:rPr>
              <w:t>分；功能室全部对外开放得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分，发现没开放一处扣</w:t>
            </w:r>
            <w:r>
              <w:rPr>
                <w:rFonts w:ascii="Times New Roman" w:hAnsi="Times New Roman" w:eastAsia="仿宋" w:cs="Times New Roman"/>
                <w:color w:val="auto"/>
                <w:kern w:val="0"/>
                <w:sz w:val="24"/>
                <w:szCs w:val="24"/>
                <w:highlight w:val="none"/>
              </w:rPr>
              <w:t>0.1</w:t>
            </w:r>
            <w:r>
              <w:rPr>
                <w:rFonts w:ascii="Times New Roman" w:hAnsi="仿宋" w:eastAsia="仿宋" w:cs="Times New Roman"/>
                <w:color w:val="auto"/>
                <w:kern w:val="0"/>
                <w:sz w:val="24"/>
                <w:szCs w:val="24"/>
                <w:highlight w:val="none"/>
              </w:rPr>
              <w:t>分</w:t>
            </w:r>
            <w:r>
              <w:rPr>
                <w:rFonts w:hint="eastAsia" w:ascii="Times New Roman" w:hAnsi="仿宋" w:eastAsia="仿宋" w:cs="Times New Roman"/>
                <w:color w:val="auto"/>
                <w:kern w:val="0"/>
                <w:sz w:val="24"/>
                <w:szCs w:val="24"/>
                <w:highlight w:val="none"/>
                <w:lang w:eastAsia="zh-CN"/>
              </w:rPr>
              <w:t>。</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资源整合</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有效统筹整合村（社区）辖区内的平台阵地、公共服务类资源，搭建服务网络，建立资源库，并用于具体服务活动中。资源整合好的得</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分，整合不到位酌情扣分。</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8"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环境卫生</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落实垃圾分类管理制度得</w:t>
            </w:r>
            <w:r>
              <w:rPr>
                <w:rFonts w:ascii="Times New Roman" w:hAnsi="Times New Roman" w:eastAsia="仿宋" w:cs="Times New Roman"/>
                <w:color w:val="auto"/>
                <w:kern w:val="0"/>
                <w:sz w:val="24"/>
                <w:szCs w:val="24"/>
                <w:highlight w:val="none"/>
              </w:rPr>
              <w:t>2</w:t>
            </w:r>
            <w:r>
              <w:rPr>
                <w:rFonts w:ascii="Times New Roman" w:hAnsi="仿宋" w:eastAsia="仿宋" w:cs="Times New Roman"/>
                <w:color w:val="auto"/>
                <w:kern w:val="0"/>
                <w:sz w:val="24"/>
                <w:szCs w:val="24"/>
                <w:highlight w:val="none"/>
              </w:rPr>
              <w:t>分，未落实不得分。室内环境卫生整洁，地面无烟蒂、纸屑等垃圾和积水现象，墙体没有乱涂乱画、污质和脱落现象，得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分，发现一处扣</w:t>
            </w:r>
            <w:r>
              <w:rPr>
                <w:rFonts w:ascii="Times New Roman" w:hAnsi="Times New Roman" w:eastAsia="仿宋" w:cs="Times New Roman"/>
                <w:color w:val="auto"/>
                <w:kern w:val="0"/>
                <w:sz w:val="24"/>
                <w:szCs w:val="24"/>
                <w:highlight w:val="none"/>
              </w:rPr>
              <w:t>0.2</w:t>
            </w:r>
            <w:r>
              <w:rPr>
                <w:rFonts w:ascii="Times New Roman" w:hAnsi="仿宋" w:eastAsia="仿宋" w:cs="Times New Roman"/>
                <w:color w:val="auto"/>
                <w:kern w:val="0"/>
                <w:sz w:val="24"/>
                <w:szCs w:val="24"/>
                <w:highlight w:val="none"/>
              </w:rPr>
              <w:t>分；室外周边环境整洁，无乱堆乱放、乱停车等现象，得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分，发现一处扣</w:t>
            </w:r>
            <w:r>
              <w:rPr>
                <w:rFonts w:ascii="Times New Roman" w:hAnsi="Times New Roman" w:eastAsia="仿宋" w:cs="Times New Roman"/>
                <w:color w:val="auto"/>
                <w:kern w:val="0"/>
                <w:sz w:val="24"/>
                <w:szCs w:val="24"/>
                <w:highlight w:val="none"/>
              </w:rPr>
              <w:t>0.2</w:t>
            </w:r>
            <w:r>
              <w:rPr>
                <w:rFonts w:ascii="Times New Roman" w:hAnsi="仿宋" w:eastAsia="仿宋" w:cs="Times New Roman"/>
                <w:color w:val="auto"/>
                <w:kern w:val="0"/>
                <w:sz w:val="24"/>
                <w:szCs w:val="24"/>
                <w:highlight w:val="none"/>
              </w:rPr>
              <w:t>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0" w:hRule="atLeast"/>
          <w:tblHeader/>
        </w:trPr>
        <w:tc>
          <w:tcPr>
            <w:tcW w:w="1148"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szCs w:val="24"/>
                <w:highlight w:val="none"/>
              </w:rPr>
              <w:t>制度建设</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szCs w:val="24"/>
                <w:highlight w:val="none"/>
              </w:rPr>
              <w:t>（</w:t>
            </w:r>
            <w:r>
              <w:rPr>
                <w:rFonts w:ascii="Times New Roman" w:hAnsi="Times New Roman" w:eastAsia="仿宋" w:cs="Times New Roman"/>
                <w:color w:val="auto"/>
                <w:sz w:val="24"/>
                <w:szCs w:val="24"/>
                <w:highlight w:val="none"/>
              </w:rPr>
              <w:t>15</w:t>
            </w:r>
            <w:r>
              <w:rPr>
                <w:rFonts w:ascii="Times New Roman" w:hAnsi="仿宋" w:eastAsia="仿宋" w:cs="Times New Roman"/>
                <w:color w:val="auto"/>
                <w:sz w:val="24"/>
                <w:szCs w:val="24"/>
                <w:highlight w:val="none"/>
              </w:rPr>
              <w:t>分）</w:t>
            </w: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管理制度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建立社会工作者管理制度、岗位职责和工作守则，建立完善得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分。通过资料查阅和人员访谈考查制度落实情况，严格</w:t>
            </w:r>
            <w:r>
              <w:rPr>
                <w:rFonts w:ascii="Times New Roman" w:hAnsi="仿宋" w:eastAsia="仿宋" w:cs="Times New Roman"/>
                <w:color w:val="auto"/>
                <w:sz w:val="24"/>
                <w:szCs w:val="24"/>
                <w:highlight w:val="none"/>
              </w:rPr>
              <w:t>按制度规定执行，得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分；存在部分不一致之处，得</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分；大部分未落实或者完全不落实，得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0"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财务制度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szCs w:val="24"/>
                <w:highlight w:val="none"/>
              </w:rPr>
            </w:pPr>
            <w:r>
              <w:rPr>
                <w:rFonts w:ascii="Times New Roman" w:hAnsi="仿宋" w:eastAsia="仿宋" w:cs="Times New Roman"/>
                <w:color w:val="auto"/>
                <w:sz w:val="24"/>
                <w:szCs w:val="24"/>
                <w:highlight w:val="none"/>
              </w:rPr>
              <w:t>运营组织根据实际情况建立各项较为完善的财务管理制度，并严格按制度执行，得</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rPr>
              <w:t>分。运营经费独立核算，资金使用规范得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分。账目记录清晰，账务处理及时，票据使用规范，凭证档案装订整齐得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6"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档案制度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建立档案管理制度，制度建立完善得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分，比较完善得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分。通过检查档案，</w:t>
            </w:r>
            <w:r>
              <w:rPr>
                <w:rFonts w:ascii="Times New Roman" w:hAnsi="仿宋" w:eastAsia="仿宋" w:cs="Times New Roman"/>
                <w:color w:val="auto"/>
                <w:sz w:val="24"/>
                <w:szCs w:val="24"/>
                <w:highlight w:val="none"/>
              </w:rPr>
              <w:t>按制度执行，得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分；存在部分不一致之处，得</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分；大部分未落实或者完全不落实，得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8"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运营制度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建立场地及功能室使用制度等管理制度</w:t>
            </w:r>
            <w:r>
              <w:rPr>
                <w:rFonts w:ascii="Times New Roman" w:hAnsi="仿宋" w:eastAsia="仿宋" w:cs="Times New Roman"/>
                <w:color w:val="auto"/>
                <w:kern w:val="0"/>
                <w:sz w:val="24"/>
                <w:szCs w:val="24"/>
                <w:highlight w:val="none"/>
              </w:rPr>
              <w:t>，建立完善得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分，比较完善得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分。通过资料查阅和人员访谈考查制度落实情况，</w:t>
            </w:r>
            <w:r>
              <w:rPr>
                <w:rFonts w:ascii="Times New Roman" w:hAnsi="仿宋" w:eastAsia="仿宋" w:cs="Times New Roman"/>
                <w:color w:val="auto"/>
                <w:sz w:val="24"/>
                <w:szCs w:val="24"/>
                <w:highlight w:val="none"/>
              </w:rPr>
              <w:t>按制度执行，得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分；存在部分不一致之处，得</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分；大部分未落实或者完全不落实，得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62"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安全制度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各项消防安全制度建立完善得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分，比较完善得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w:t>
            </w:r>
            <w:r>
              <w:rPr>
                <w:rFonts w:ascii="Times New Roman" w:hAnsi="仿宋" w:eastAsia="仿宋" w:cs="Times New Roman"/>
                <w:color w:val="auto"/>
                <w:sz w:val="24"/>
                <w:szCs w:val="24"/>
                <w:highlight w:val="none"/>
              </w:rPr>
              <w:t>经常性开展消防安全教育培训得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分，教育培训记录不完整扣</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分，未开展教育培训，得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分。定期开展消防安全巡查，发现安全隐患立即消除，得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分；发现隐患未能及时整改，每处扣</w:t>
            </w:r>
            <w:r>
              <w:rPr>
                <w:rFonts w:ascii="Times New Roman" w:hAnsi="Times New Roman" w:eastAsia="仿宋" w:cs="Times New Roman"/>
                <w:color w:val="auto"/>
                <w:sz w:val="24"/>
                <w:szCs w:val="24"/>
                <w:highlight w:val="none"/>
              </w:rPr>
              <w:t>0.2</w:t>
            </w:r>
            <w:r>
              <w:rPr>
                <w:rFonts w:ascii="Times New Roman" w:hAnsi="仿宋" w:eastAsia="仿宋" w:cs="Times New Roman"/>
                <w:color w:val="auto"/>
                <w:sz w:val="24"/>
                <w:szCs w:val="24"/>
                <w:highlight w:val="none"/>
              </w:rPr>
              <w:t>分；巡查记录不完备，扣</w:t>
            </w:r>
            <w:r>
              <w:rPr>
                <w:rFonts w:ascii="Times New Roman" w:hAnsi="Times New Roman" w:eastAsia="仿宋" w:cs="Times New Roman"/>
                <w:color w:val="auto"/>
                <w:sz w:val="24"/>
                <w:szCs w:val="24"/>
                <w:highlight w:val="none"/>
              </w:rPr>
              <w:t>0.2</w:t>
            </w:r>
            <w:r>
              <w:rPr>
                <w:rFonts w:ascii="Times New Roman" w:hAnsi="仿宋" w:eastAsia="仿宋" w:cs="Times New Roman"/>
                <w:color w:val="auto"/>
                <w:sz w:val="24"/>
                <w:szCs w:val="24"/>
                <w:highlight w:val="none"/>
              </w:rPr>
              <w:t>分；未定期开展巡查，得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监督制度</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建立监督评议制度，建立完善得</w:t>
            </w:r>
            <w:r>
              <w:rPr>
                <w:rFonts w:ascii="Times New Roman" w:hAnsi="Times New Roman" w:eastAsia="仿宋" w:cs="Times New Roman"/>
                <w:color w:val="auto"/>
                <w:kern w:val="0"/>
                <w:sz w:val="24"/>
                <w:szCs w:val="24"/>
                <w:highlight w:val="none"/>
              </w:rPr>
              <w:t>1</w:t>
            </w:r>
            <w:r>
              <w:rPr>
                <w:rFonts w:ascii="Times New Roman" w:hAnsi="仿宋" w:eastAsia="仿宋" w:cs="Times New Roman"/>
                <w:color w:val="auto"/>
                <w:kern w:val="0"/>
                <w:sz w:val="24"/>
                <w:szCs w:val="24"/>
                <w:highlight w:val="none"/>
              </w:rPr>
              <w:t>分，比较完善得</w:t>
            </w:r>
            <w:r>
              <w:rPr>
                <w:rFonts w:ascii="Times New Roman" w:hAnsi="Times New Roman" w:eastAsia="仿宋" w:cs="Times New Roman"/>
                <w:color w:val="auto"/>
                <w:kern w:val="0"/>
                <w:sz w:val="24"/>
                <w:szCs w:val="24"/>
                <w:highlight w:val="none"/>
              </w:rPr>
              <w:t>0.5</w:t>
            </w:r>
            <w:r>
              <w:rPr>
                <w:rFonts w:ascii="Times New Roman" w:hAnsi="仿宋" w:eastAsia="仿宋" w:cs="Times New Roman"/>
                <w:color w:val="auto"/>
                <w:kern w:val="0"/>
                <w:sz w:val="24"/>
                <w:szCs w:val="24"/>
                <w:highlight w:val="none"/>
              </w:rPr>
              <w:t>分。</w:t>
            </w:r>
            <w:r>
              <w:rPr>
                <w:rFonts w:ascii="Times New Roman" w:hAnsi="仿宋" w:eastAsia="仿宋" w:cs="Times New Roman"/>
                <w:color w:val="auto"/>
                <w:sz w:val="24"/>
                <w:szCs w:val="24"/>
                <w:highlight w:val="none"/>
              </w:rPr>
              <w:t>通过查阅服务记录、电话核实及人员访谈的形式，严格按制度执行得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分；存在部分不一致之处，得</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分；大部分未落实或者完全不落实，得</w:t>
            </w:r>
            <w:r>
              <w:rPr>
                <w:rFonts w:ascii="Times New Roman" w:hAnsi="Times New Roman" w:eastAsia="仿宋" w:cs="Times New Roman"/>
                <w:color w:val="auto"/>
                <w:sz w:val="24"/>
                <w:szCs w:val="24"/>
                <w:highlight w:val="none"/>
              </w:rPr>
              <w:t>0</w:t>
            </w:r>
            <w:r>
              <w:rPr>
                <w:rFonts w:ascii="Times New Roman" w:hAnsi="仿宋" w:eastAsia="仿宋" w:cs="Times New Roman"/>
                <w:color w:val="auto"/>
                <w:sz w:val="24"/>
                <w:szCs w:val="24"/>
                <w:highlight w:val="none"/>
              </w:rPr>
              <w:t>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5" w:hRule="atLeast"/>
          <w:tblHeader/>
        </w:trPr>
        <w:tc>
          <w:tcPr>
            <w:tcW w:w="1148"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人员配置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w:t>
            </w:r>
            <w:r>
              <w:rPr>
                <w:rFonts w:ascii="Times New Roman" w:hAnsi="Times New Roman" w:eastAsia="仿宋" w:cs="Times New Roman"/>
                <w:color w:val="auto"/>
                <w:sz w:val="24"/>
                <w:szCs w:val="24"/>
                <w:highlight w:val="none"/>
              </w:rPr>
              <w:t>10</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highlight w:val="none"/>
              </w:rPr>
              <w:t>）</w:t>
            </w: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lang w:val="zh-CN"/>
              </w:rPr>
            </w:pPr>
            <w:r>
              <w:rPr>
                <w:rFonts w:ascii="Times New Roman" w:hAnsi="仿宋" w:eastAsia="仿宋" w:cs="Times New Roman"/>
                <w:color w:val="auto"/>
                <w:sz w:val="24"/>
                <w:highlight w:val="none"/>
                <w:lang w:val="zh-CN"/>
              </w:rPr>
              <w:t>专职人员配备</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符合相关文件和合同协议的要求，配备</w:t>
            </w:r>
            <w:r>
              <w:rPr>
                <w:rFonts w:ascii="Times New Roman" w:hAnsi="Times New Roman" w:eastAsia="仿宋" w:cs="Times New Roman"/>
                <w:color w:val="auto"/>
                <w:sz w:val="24"/>
                <w:szCs w:val="24"/>
                <w:highlight w:val="none"/>
                <w:lang w:val="zh-CN"/>
              </w:rPr>
              <w:t>2</w:t>
            </w:r>
            <w:r>
              <w:rPr>
                <w:rFonts w:ascii="Times New Roman" w:hAnsi="仿宋" w:eastAsia="仿宋" w:cs="Times New Roman"/>
                <w:color w:val="auto"/>
                <w:sz w:val="24"/>
                <w:szCs w:val="24"/>
                <w:highlight w:val="none"/>
                <w:lang w:val="zh-CN"/>
              </w:rPr>
              <w:t>名专职工作人员（以</w:t>
            </w:r>
            <w:r>
              <w:rPr>
                <w:rFonts w:ascii="Times New Roman" w:hAnsi="仿宋" w:eastAsia="仿宋" w:cs="Times New Roman"/>
                <w:bCs/>
                <w:color w:val="auto"/>
                <w:sz w:val="24"/>
                <w:szCs w:val="24"/>
                <w:highlight w:val="none"/>
              </w:rPr>
              <w:t>签订合同和社保为准</w:t>
            </w:r>
            <w:r>
              <w:rPr>
                <w:rFonts w:ascii="Times New Roman" w:hAnsi="仿宋" w:eastAsia="仿宋" w:cs="Times New Roman"/>
                <w:color w:val="auto"/>
                <w:sz w:val="24"/>
                <w:szCs w:val="24"/>
                <w:highlight w:val="none"/>
              </w:rPr>
              <w:t>）</w:t>
            </w:r>
            <w:r>
              <w:rPr>
                <w:rFonts w:ascii="Times New Roman" w:hAnsi="仿宋" w:eastAsia="仿宋" w:cs="Times New Roman"/>
                <w:bCs/>
                <w:color w:val="auto"/>
                <w:sz w:val="24"/>
                <w:szCs w:val="24"/>
                <w:highlight w:val="none"/>
              </w:rPr>
              <w:t>，专职工作人员须统一着装，不符合要求不得分。（如有退休返聘人员，需签订服务合同，每个中心最多</w:t>
            </w:r>
            <w:r>
              <w:rPr>
                <w:rFonts w:ascii="Times New Roman" w:hAnsi="Times New Roman" w:eastAsia="仿宋" w:cs="Times New Roman"/>
                <w:bCs/>
                <w:color w:val="auto"/>
                <w:sz w:val="24"/>
                <w:szCs w:val="24"/>
                <w:highlight w:val="none"/>
              </w:rPr>
              <w:t>1</w:t>
            </w:r>
            <w:r>
              <w:rPr>
                <w:rFonts w:ascii="Times New Roman" w:hAnsi="仿宋" w:eastAsia="仿宋" w:cs="Times New Roman"/>
                <w:bCs/>
                <w:color w:val="auto"/>
                <w:sz w:val="24"/>
                <w:szCs w:val="24"/>
                <w:highlight w:val="none"/>
              </w:rPr>
              <w:t>人，须持有社会工作者职业水平证书，凭工资流水、证书和合同三者俱全才能核定为专职工作人员）</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30"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lang w:val="zh-CN"/>
              </w:rPr>
            </w:pPr>
            <w:r>
              <w:rPr>
                <w:rFonts w:ascii="Times New Roman" w:hAnsi="仿宋" w:eastAsia="仿宋" w:cs="Times New Roman"/>
                <w:color w:val="auto"/>
                <w:sz w:val="24"/>
                <w:highlight w:val="none"/>
                <w:lang w:val="zh-CN"/>
              </w:rPr>
              <w:t>持证社工配备</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中心专职工作人员须有</w:t>
            </w:r>
            <w:r>
              <w:rPr>
                <w:rFonts w:ascii="Times New Roman" w:hAnsi="Times New Roman" w:eastAsia="仿宋" w:cs="Times New Roman"/>
                <w:color w:val="auto"/>
                <w:sz w:val="24"/>
                <w:szCs w:val="24"/>
                <w:highlight w:val="none"/>
              </w:rPr>
              <w:t>50%</w:t>
            </w:r>
            <w:r>
              <w:rPr>
                <w:rFonts w:ascii="Times New Roman" w:hAnsi="仿宋" w:eastAsia="仿宋" w:cs="Times New Roman"/>
                <w:color w:val="auto"/>
                <w:sz w:val="24"/>
                <w:szCs w:val="24"/>
                <w:highlight w:val="none"/>
              </w:rPr>
              <w:t>以上</w:t>
            </w:r>
            <w:r>
              <w:rPr>
                <w:rFonts w:ascii="Times New Roman" w:hAnsi="仿宋" w:eastAsia="仿宋" w:cs="Times New Roman"/>
                <w:color w:val="auto"/>
                <w:sz w:val="24"/>
                <w:szCs w:val="24"/>
                <w:highlight w:val="none"/>
                <w:lang w:val="zh-CN"/>
              </w:rPr>
              <w:t>取得社会工作者职业水平证书</w:t>
            </w:r>
            <w:r>
              <w:rPr>
                <w:rFonts w:ascii="Times New Roman" w:hAnsi="仿宋" w:eastAsia="仿宋" w:cs="Times New Roman"/>
                <w:color w:val="auto"/>
                <w:sz w:val="24"/>
                <w:szCs w:val="24"/>
                <w:highlight w:val="none"/>
              </w:rPr>
              <w:t>，少一个扣</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分，扣完为止。</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60"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highlight w:val="none"/>
                <w:lang w:val="zh-CN"/>
              </w:rPr>
            </w:pPr>
            <w:r>
              <w:rPr>
                <w:rFonts w:ascii="Times New Roman" w:hAnsi="仿宋" w:eastAsia="仿宋" w:cs="Times New Roman"/>
                <w:color w:val="auto"/>
                <w:sz w:val="24"/>
                <w:szCs w:val="24"/>
                <w:highlight w:val="none"/>
                <w:lang w:val="zh-CN"/>
              </w:rPr>
              <w:t>社会工作服务经验</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全体专职工作人员都有一年以上社会工作服务经验的，得</w:t>
            </w:r>
            <w:r>
              <w:rPr>
                <w:rFonts w:ascii="Times New Roman" w:hAnsi="Times New Roman" w:eastAsia="仿宋" w:cs="Times New Roman"/>
                <w:color w:val="auto"/>
                <w:sz w:val="24"/>
                <w:szCs w:val="24"/>
                <w:highlight w:val="none"/>
                <w:lang w:val="zh-CN"/>
              </w:rPr>
              <w:t>2</w:t>
            </w:r>
            <w:r>
              <w:rPr>
                <w:rFonts w:ascii="Times New Roman" w:hAnsi="仿宋" w:eastAsia="仿宋" w:cs="Times New Roman"/>
                <w:color w:val="auto"/>
                <w:sz w:val="24"/>
                <w:szCs w:val="24"/>
                <w:highlight w:val="none"/>
                <w:lang w:val="zh-CN"/>
              </w:rPr>
              <w:t>分；</w:t>
            </w:r>
            <w:r>
              <w:rPr>
                <w:rFonts w:ascii="Times New Roman" w:hAnsi="Times New Roman" w:eastAsia="仿宋" w:cs="Times New Roman"/>
                <w:color w:val="auto"/>
                <w:sz w:val="24"/>
                <w:szCs w:val="24"/>
                <w:highlight w:val="none"/>
                <w:lang w:val="zh-CN"/>
              </w:rPr>
              <w:t>1</w:t>
            </w:r>
            <w:r>
              <w:rPr>
                <w:rFonts w:ascii="Times New Roman" w:hAnsi="仿宋" w:eastAsia="仿宋" w:cs="Times New Roman"/>
                <w:color w:val="auto"/>
                <w:sz w:val="24"/>
                <w:szCs w:val="24"/>
                <w:highlight w:val="none"/>
                <w:lang w:val="zh-CN"/>
              </w:rPr>
              <w:t>人有一年以上社会工作服务经验的得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lang w:val="zh-CN"/>
              </w:rPr>
              <w:t>分；没有不得分。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5"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接受培训督导</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每个专职工作人员接受内外部相关教育培训时数不少于</w:t>
            </w:r>
            <w:r>
              <w:rPr>
                <w:rFonts w:ascii="Times New Roman" w:hAnsi="Times New Roman" w:eastAsia="仿宋" w:cs="Times New Roman"/>
                <w:color w:val="auto"/>
                <w:sz w:val="24"/>
                <w:szCs w:val="24"/>
                <w:highlight w:val="none"/>
                <w:lang w:val="zh-CN"/>
              </w:rPr>
              <w:t>50</w:t>
            </w:r>
            <w:r>
              <w:rPr>
                <w:rFonts w:ascii="Times New Roman" w:hAnsi="仿宋" w:eastAsia="仿宋" w:cs="Times New Roman"/>
                <w:color w:val="auto"/>
                <w:sz w:val="24"/>
                <w:szCs w:val="24"/>
                <w:highlight w:val="none"/>
                <w:lang w:val="zh-CN"/>
              </w:rPr>
              <w:t>课时（每</w:t>
            </w:r>
            <w:r>
              <w:rPr>
                <w:rFonts w:ascii="Times New Roman" w:hAnsi="仿宋" w:eastAsia="仿宋" w:cs="Times New Roman"/>
                <w:color w:val="auto"/>
                <w:sz w:val="24"/>
                <w:szCs w:val="24"/>
                <w:highlight w:val="none"/>
              </w:rPr>
              <w:t>课时为</w:t>
            </w:r>
            <w:r>
              <w:rPr>
                <w:rFonts w:ascii="Times New Roman" w:hAnsi="Times New Roman" w:eastAsia="仿宋" w:cs="Times New Roman"/>
                <w:color w:val="auto"/>
                <w:sz w:val="24"/>
                <w:szCs w:val="24"/>
                <w:highlight w:val="none"/>
              </w:rPr>
              <w:t>40</w:t>
            </w:r>
            <w:r>
              <w:rPr>
                <w:rFonts w:ascii="Times New Roman" w:hAnsi="仿宋" w:eastAsia="仿宋" w:cs="Times New Roman"/>
                <w:color w:val="auto"/>
                <w:sz w:val="24"/>
                <w:szCs w:val="24"/>
                <w:highlight w:val="none"/>
              </w:rPr>
              <w:t>分钟，需提供培训通知、培训记录、培训图片等证明），按规定执行得</w:t>
            </w:r>
            <w:r>
              <w:rPr>
                <w:rFonts w:ascii="Times New Roman" w:hAnsi="Times New Roman" w:eastAsia="仿宋" w:cs="Times New Roman"/>
                <w:color w:val="auto"/>
                <w:sz w:val="24"/>
                <w:szCs w:val="24"/>
                <w:highlight w:val="none"/>
              </w:rPr>
              <w:t>1.5</w:t>
            </w:r>
            <w:r>
              <w:rPr>
                <w:rFonts w:ascii="Times New Roman" w:hAnsi="仿宋" w:eastAsia="仿宋" w:cs="Times New Roman"/>
                <w:color w:val="auto"/>
                <w:sz w:val="24"/>
                <w:szCs w:val="24"/>
                <w:highlight w:val="none"/>
              </w:rPr>
              <w:t>分，教育培训少于规定课时的，少一个课时扣</w:t>
            </w:r>
            <w:r>
              <w:rPr>
                <w:rFonts w:ascii="Times New Roman" w:hAnsi="Times New Roman" w:eastAsia="仿宋" w:cs="Times New Roman"/>
                <w:color w:val="auto"/>
                <w:sz w:val="24"/>
                <w:szCs w:val="24"/>
                <w:highlight w:val="none"/>
              </w:rPr>
              <w:t>0.2</w:t>
            </w:r>
            <w:r>
              <w:rPr>
                <w:rFonts w:ascii="Times New Roman" w:hAnsi="仿宋" w:eastAsia="仿宋" w:cs="Times New Roman"/>
                <w:color w:val="auto"/>
                <w:sz w:val="24"/>
                <w:szCs w:val="24"/>
                <w:highlight w:val="none"/>
              </w:rPr>
              <w:t>分；</w:t>
            </w:r>
            <w:r>
              <w:rPr>
                <w:rFonts w:ascii="Times New Roman" w:hAnsi="仿宋" w:eastAsia="仿宋" w:cs="Times New Roman"/>
                <w:color w:val="auto"/>
                <w:sz w:val="24"/>
                <w:szCs w:val="24"/>
                <w:highlight w:val="none"/>
                <w:lang w:val="zh-CN"/>
              </w:rPr>
              <w:t>运营组织须建有督导制度，对专职工作人员每月至少开展</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次</w:t>
            </w:r>
            <w:r>
              <w:rPr>
                <w:rFonts w:ascii="Times New Roman" w:hAnsi="仿宋" w:eastAsia="仿宋" w:cs="Times New Roman"/>
                <w:color w:val="auto"/>
                <w:sz w:val="24"/>
                <w:szCs w:val="24"/>
                <w:highlight w:val="none"/>
                <w:lang w:val="zh-CN"/>
              </w:rPr>
              <w:t>督导服务，督导资质以政府部门的文件为准（国家、省督导和南太湖社会工作领军人才，且须持有助理社会工作师证书并从事社会工作满</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年以上</w:t>
            </w:r>
            <w:r>
              <w:rPr>
                <w:rFonts w:ascii="Times New Roman" w:hAnsi="仿宋" w:eastAsia="仿宋" w:cs="Times New Roman"/>
                <w:color w:val="auto"/>
                <w:sz w:val="24"/>
                <w:szCs w:val="24"/>
                <w:highlight w:val="none"/>
                <w:lang w:val="zh-CN"/>
              </w:rPr>
              <w:t>），</w:t>
            </w:r>
            <w:r>
              <w:rPr>
                <w:rFonts w:ascii="Times New Roman" w:hAnsi="仿宋" w:eastAsia="仿宋" w:cs="Times New Roman"/>
                <w:color w:val="auto"/>
                <w:sz w:val="24"/>
                <w:szCs w:val="24"/>
                <w:highlight w:val="none"/>
              </w:rPr>
              <w:t>按规定执行得</w:t>
            </w:r>
            <w:r>
              <w:rPr>
                <w:rFonts w:ascii="Times New Roman" w:hAnsi="Times New Roman" w:eastAsia="仿宋" w:cs="Times New Roman"/>
                <w:color w:val="auto"/>
                <w:sz w:val="24"/>
                <w:szCs w:val="24"/>
                <w:highlight w:val="none"/>
              </w:rPr>
              <w:t>1.5</w:t>
            </w:r>
            <w:r>
              <w:rPr>
                <w:rFonts w:ascii="Times New Roman" w:hAnsi="仿宋" w:eastAsia="仿宋" w:cs="Times New Roman"/>
                <w:color w:val="auto"/>
                <w:sz w:val="24"/>
                <w:szCs w:val="24"/>
                <w:highlight w:val="none"/>
              </w:rPr>
              <w:t>分，少一次扣</w:t>
            </w:r>
            <w:r>
              <w:rPr>
                <w:rFonts w:ascii="Times New Roman" w:hAnsi="Times New Roman" w:eastAsia="仿宋" w:cs="Times New Roman"/>
                <w:color w:val="auto"/>
                <w:sz w:val="24"/>
                <w:szCs w:val="24"/>
                <w:highlight w:val="none"/>
              </w:rPr>
              <w:t>0.2</w:t>
            </w:r>
            <w:r>
              <w:rPr>
                <w:rFonts w:ascii="Times New Roman" w:hAnsi="仿宋" w:eastAsia="仿宋" w:cs="Times New Roman"/>
                <w:color w:val="auto"/>
                <w:sz w:val="24"/>
                <w:szCs w:val="24"/>
                <w:highlight w:val="none"/>
              </w:rPr>
              <w:t>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 w:hRule="atLeast"/>
          <w:tblHeader/>
        </w:trPr>
        <w:tc>
          <w:tcPr>
            <w:tcW w:w="1148"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服务开展</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w:t>
            </w:r>
            <w:r>
              <w:rPr>
                <w:rFonts w:ascii="Times New Roman" w:hAnsi="Times New Roman" w:eastAsia="仿宋" w:cs="Times New Roman"/>
                <w:color w:val="auto"/>
                <w:sz w:val="24"/>
                <w:highlight w:val="none"/>
              </w:rPr>
              <w:t>47</w:t>
            </w:r>
            <w:r>
              <w:rPr>
                <w:rFonts w:ascii="Times New Roman" w:hAnsi="仿宋" w:eastAsia="仿宋" w:cs="Times New Roman"/>
                <w:color w:val="auto"/>
                <w:sz w:val="24"/>
                <w:highlight w:val="none"/>
              </w:rPr>
              <w:t>分）</w:t>
            </w: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正常开放服务</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33"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每月须提前制定月度活动安排，并告之服务对象，得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分，未制定活动安排或未告之服务对象不得分。每天开放时间不少于</w:t>
            </w:r>
            <w:r>
              <w:rPr>
                <w:rFonts w:ascii="Times New Roman" w:hAnsi="Times New Roman" w:eastAsia="仿宋" w:cs="Times New Roman"/>
                <w:color w:val="auto"/>
                <w:sz w:val="24"/>
                <w:szCs w:val="24"/>
                <w:highlight w:val="none"/>
              </w:rPr>
              <w:t>8</w:t>
            </w:r>
            <w:r>
              <w:rPr>
                <w:rFonts w:ascii="Times New Roman" w:hAnsi="仿宋" w:eastAsia="仿宋" w:cs="Times New Roman"/>
                <w:color w:val="auto"/>
                <w:sz w:val="24"/>
                <w:szCs w:val="24"/>
                <w:highlight w:val="none"/>
              </w:rPr>
              <w:t>小时，开放天数每周不少于</w:t>
            </w:r>
            <w:r>
              <w:rPr>
                <w:rFonts w:ascii="Times New Roman" w:hAnsi="Times New Roman" w:eastAsia="仿宋" w:cs="Times New Roman"/>
                <w:color w:val="auto"/>
                <w:sz w:val="24"/>
                <w:szCs w:val="24"/>
                <w:highlight w:val="none"/>
              </w:rPr>
              <w:t>5</w:t>
            </w:r>
            <w:r>
              <w:rPr>
                <w:rFonts w:ascii="Times New Roman" w:hAnsi="仿宋" w:eastAsia="仿宋" w:cs="Times New Roman"/>
                <w:color w:val="auto"/>
                <w:sz w:val="24"/>
                <w:szCs w:val="24"/>
                <w:highlight w:val="none"/>
              </w:rPr>
              <w:t>天，周末须有一天必须对外开放。开放时间须对外公告，得</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分，没有对外公告扣</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分，少对外开放一天扣</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分，周末未对外开放扣</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w:t>
            </w:r>
          </w:p>
        </w:tc>
        <w:tc>
          <w:tcPr>
            <w:tcW w:w="1031"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00"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开展需求调查</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对辖区内各方面情况</w:t>
            </w:r>
            <w:r>
              <w:rPr>
                <w:rFonts w:ascii="Times New Roman" w:hAnsi="仿宋" w:eastAsia="仿宋" w:cs="Times New Roman"/>
                <w:color w:val="auto"/>
                <w:sz w:val="24"/>
                <w:szCs w:val="24"/>
                <w:highlight w:val="none"/>
                <w:lang w:val="zh-CN"/>
              </w:rPr>
              <w:t>进行全面了解和掌握，得</w:t>
            </w:r>
            <w:r>
              <w:rPr>
                <w:rFonts w:ascii="Times New Roman" w:hAnsi="Times New Roman" w:eastAsia="仿宋" w:cs="Times New Roman"/>
                <w:color w:val="auto"/>
                <w:sz w:val="24"/>
                <w:szCs w:val="24"/>
                <w:highlight w:val="none"/>
                <w:lang w:val="zh-CN"/>
              </w:rPr>
              <w:t>1</w:t>
            </w:r>
            <w:r>
              <w:rPr>
                <w:rFonts w:ascii="Times New Roman" w:hAnsi="仿宋" w:eastAsia="仿宋" w:cs="Times New Roman"/>
                <w:color w:val="auto"/>
                <w:sz w:val="24"/>
                <w:szCs w:val="24"/>
                <w:highlight w:val="none"/>
                <w:lang w:val="zh-CN"/>
              </w:rPr>
              <w:t>分，</w:t>
            </w:r>
            <w:r>
              <w:rPr>
                <w:rFonts w:ascii="Times New Roman" w:hAnsi="仿宋" w:eastAsia="仿宋" w:cs="Times New Roman"/>
                <w:color w:val="auto"/>
                <w:kern w:val="0"/>
                <w:sz w:val="24"/>
                <w:szCs w:val="24"/>
                <w:highlight w:val="none"/>
              </w:rPr>
              <w:t>通过资料查阅和人员访谈，情况掌握不清的酌情扣分。</w:t>
            </w:r>
            <w:r>
              <w:rPr>
                <w:rFonts w:ascii="Times New Roman" w:hAnsi="仿宋" w:eastAsia="仿宋" w:cs="Times New Roman"/>
                <w:color w:val="auto"/>
                <w:sz w:val="24"/>
                <w:szCs w:val="24"/>
                <w:highlight w:val="none"/>
                <w:lang w:val="zh-CN"/>
              </w:rPr>
              <w:t>对辖区内老年人、儿童青少年、社会救助对象</w:t>
            </w:r>
            <w:r>
              <w:rPr>
                <w:rFonts w:ascii="Times New Roman" w:hAnsi="仿宋" w:eastAsia="仿宋" w:cs="Times New Roman"/>
                <w:color w:val="auto"/>
                <w:sz w:val="24"/>
                <w:szCs w:val="24"/>
                <w:highlight w:val="none"/>
              </w:rPr>
              <w:t>等群体开展需求调查，根据需求制定针对性服务方案，得</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分；未开展调查的不得分，未制定针对性服务方案，扣</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rPr>
              <w:t>分。</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5"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组织居民活动</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15</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有</w:t>
            </w:r>
            <w:r>
              <w:rPr>
                <w:rFonts w:ascii="Times New Roman" w:hAnsi="仿宋" w:eastAsia="仿宋" w:cs="Times New Roman"/>
                <w:color w:val="auto"/>
                <w:kern w:val="0"/>
                <w:sz w:val="24"/>
                <w:szCs w:val="24"/>
                <w:highlight w:val="none"/>
              </w:rPr>
              <w:t>组织性开展各类</w:t>
            </w:r>
            <w:r>
              <w:rPr>
                <w:rFonts w:ascii="Times New Roman" w:hAnsi="仿宋" w:eastAsia="仿宋" w:cs="Times New Roman"/>
                <w:color w:val="auto"/>
                <w:sz w:val="24"/>
                <w:szCs w:val="24"/>
                <w:highlight w:val="none"/>
              </w:rPr>
              <w:t>主题文化活动，每月不少于</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rPr>
              <w:t>场，其中</w:t>
            </w:r>
            <w:r>
              <w:rPr>
                <w:rFonts w:ascii="Times New Roman" w:hAnsi="Times New Roman" w:eastAsia="仿宋" w:cs="Times New Roman"/>
                <w:color w:val="auto"/>
                <w:sz w:val="24"/>
                <w:szCs w:val="24"/>
                <w:highlight w:val="none"/>
              </w:rPr>
              <w:t>20</w:t>
            </w:r>
            <w:r>
              <w:rPr>
                <w:rFonts w:ascii="Times New Roman" w:hAnsi="仿宋" w:eastAsia="仿宋" w:cs="Times New Roman"/>
                <w:color w:val="auto"/>
                <w:sz w:val="24"/>
                <w:szCs w:val="24"/>
                <w:highlight w:val="none"/>
              </w:rPr>
              <w:t>人以上全年不少于</w:t>
            </w:r>
            <w:r>
              <w:rPr>
                <w:rFonts w:ascii="Times New Roman" w:hAnsi="Times New Roman" w:eastAsia="仿宋" w:cs="Times New Roman"/>
                <w:color w:val="auto"/>
                <w:sz w:val="24"/>
                <w:szCs w:val="24"/>
                <w:highlight w:val="none"/>
              </w:rPr>
              <w:t>5</w:t>
            </w:r>
            <w:r>
              <w:rPr>
                <w:rFonts w:ascii="Times New Roman" w:hAnsi="仿宋" w:eastAsia="仿宋" w:cs="Times New Roman"/>
                <w:color w:val="auto"/>
                <w:sz w:val="24"/>
                <w:szCs w:val="24"/>
                <w:highlight w:val="none"/>
              </w:rPr>
              <w:t>场，</w:t>
            </w:r>
            <w:r>
              <w:rPr>
                <w:rFonts w:ascii="Times New Roman" w:hAnsi="Times New Roman" w:eastAsia="仿宋" w:cs="Times New Roman"/>
                <w:color w:val="auto"/>
                <w:sz w:val="24"/>
                <w:szCs w:val="24"/>
                <w:highlight w:val="none"/>
              </w:rPr>
              <w:t>40</w:t>
            </w:r>
            <w:r>
              <w:rPr>
                <w:rFonts w:ascii="Times New Roman" w:hAnsi="仿宋" w:eastAsia="仿宋" w:cs="Times New Roman"/>
                <w:color w:val="auto"/>
                <w:sz w:val="24"/>
                <w:szCs w:val="24"/>
                <w:highlight w:val="none"/>
              </w:rPr>
              <w:t>人以上不少于</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场（活动记录、通知、手写签到表、照片），少</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场扣</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55"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专业小组服务</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6</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szCs w:val="24"/>
                <w:highlight w:val="none"/>
              </w:rPr>
              <w:t>根据</w:t>
            </w:r>
            <w:r>
              <w:rPr>
                <w:rFonts w:ascii="Times New Roman" w:hAnsi="仿宋" w:eastAsia="仿宋" w:cs="Times New Roman"/>
                <w:color w:val="auto"/>
                <w:sz w:val="24"/>
                <w:szCs w:val="24"/>
                <w:highlight w:val="none"/>
              </w:rPr>
              <w:t>针对性服务方案，</w:t>
            </w:r>
            <w:r>
              <w:rPr>
                <w:rFonts w:ascii="Times New Roman" w:hAnsi="仿宋" w:eastAsia="仿宋" w:cs="Times New Roman"/>
                <w:bCs/>
                <w:color w:val="auto"/>
                <w:sz w:val="24"/>
                <w:szCs w:val="24"/>
                <w:highlight w:val="none"/>
              </w:rPr>
              <w:t>设立专业小组，</w:t>
            </w:r>
            <w:r>
              <w:rPr>
                <w:rFonts w:ascii="Times New Roman" w:hAnsi="仿宋" w:eastAsia="仿宋" w:cs="Times New Roman"/>
                <w:color w:val="auto"/>
                <w:sz w:val="24"/>
                <w:szCs w:val="24"/>
                <w:highlight w:val="none"/>
              </w:rPr>
              <w:t>为</w:t>
            </w:r>
            <w:r>
              <w:rPr>
                <w:rFonts w:ascii="Times New Roman" w:hAnsi="仿宋" w:eastAsia="仿宋" w:cs="Times New Roman"/>
                <w:color w:val="auto"/>
                <w:sz w:val="24"/>
                <w:szCs w:val="24"/>
                <w:highlight w:val="none"/>
                <w:lang w:val="zh-CN"/>
              </w:rPr>
              <w:t>辖区内老年人、儿童青少年、社会救助对象</w:t>
            </w:r>
            <w:r>
              <w:rPr>
                <w:rFonts w:ascii="Times New Roman" w:hAnsi="仿宋" w:eastAsia="仿宋" w:cs="Times New Roman"/>
                <w:color w:val="auto"/>
                <w:sz w:val="24"/>
                <w:szCs w:val="24"/>
                <w:highlight w:val="none"/>
              </w:rPr>
              <w:t>等群体开展专项服务活动，小组每年开展专项活动不少于</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rPr>
              <w:t>次，提供完整资料（活动记录、通知、手写签到表、照片），未开展专业活动不得分，少</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次活动扣</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rPr>
              <w:t>分，缺少资料酌情扣分。</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培育社区社会组织</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6</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每年培育社会组织</w:t>
            </w:r>
            <w:r>
              <w:rPr>
                <w:rFonts w:ascii="Times New Roman" w:hAnsi="Times New Roman" w:eastAsia="仿宋" w:cs="Times New Roman"/>
                <w:color w:val="auto"/>
                <w:sz w:val="24"/>
                <w:szCs w:val="24"/>
                <w:highlight w:val="none"/>
              </w:rPr>
              <w:t>2</w:t>
            </w:r>
            <w:r>
              <w:rPr>
                <w:rFonts w:ascii="Times New Roman" w:hAnsi="仿宋" w:eastAsia="仿宋" w:cs="Times New Roman"/>
                <w:color w:val="auto"/>
                <w:sz w:val="24"/>
                <w:szCs w:val="24"/>
                <w:highlight w:val="none"/>
              </w:rPr>
              <w:t>个，少完成</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个扣</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分。（须提供社会组织组织架构、人员名单、服务领域、章程、工作计划和备案表等），材料不全酌情扣分。回应社会组织需求和问题，有年度指导和培训工作计划的得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分，每年组织培训及交流活动不少于</w:t>
            </w:r>
            <w:r>
              <w:rPr>
                <w:rFonts w:ascii="Times New Roman" w:hAnsi="Times New Roman" w:eastAsia="仿宋" w:cs="Times New Roman"/>
                <w:color w:val="auto"/>
                <w:sz w:val="24"/>
                <w:szCs w:val="24"/>
                <w:highlight w:val="none"/>
              </w:rPr>
              <w:t xml:space="preserve"> 1</w:t>
            </w:r>
            <w:r>
              <w:rPr>
                <w:rFonts w:ascii="Times New Roman" w:hAnsi="仿宋" w:eastAsia="仿宋" w:cs="Times New Roman"/>
                <w:color w:val="auto"/>
                <w:sz w:val="24"/>
                <w:szCs w:val="24"/>
                <w:highlight w:val="none"/>
              </w:rPr>
              <w:t>次，得</w:t>
            </w:r>
            <w:r>
              <w:rPr>
                <w:rFonts w:ascii="Times New Roman" w:hAnsi="Times New Roman" w:eastAsia="仿宋" w:cs="Times New Roman"/>
                <w:color w:val="auto"/>
                <w:sz w:val="24"/>
                <w:szCs w:val="24"/>
                <w:highlight w:val="none"/>
              </w:rPr>
              <w:t>1</w:t>
            </w:r>
            <w:r>
              <w:rPr>
                <w:rFonts w:ascii="Times New Roman" w:hAnsi="仿宋" w:eastAsia="仿宋" w:cs="Times New Roman"/>
                <w:color w:val="auto"/>
                <w:sz w:val="24"/>
                <w:szCs w:val="24"/>
                <w:highlight w:val="none"/>
              </w:rPr>
              <w:t>分</w:t>
            </w:r>
            <w:r>
              <w:rPr>
                <w:rFonts w:hint="eastAsia" w:ascii="Times New Roman" w:hAnsi="仿宋" w:eastAsia="仿宋" w:cs="Times New Roman"/>
                <w:color w:val="auto"/>
                <w:sz w:val="24"/>
                <w:szCs w:val="24"/>
                <w:highlight w:val="none"/>
              </w:rPr>
              <w:t>，</w:t>
            </w:r>
            <w:r>
              <w:rPr>
                <w:rFonts w:ascii="Times New Roman" w:hAnsi="仿宋" w:eastAsia="仿宋" w:cs="Times New Roman"/>
                <w:color w:val="auto"/>
                <w:sz w:val="24"/>
                <w:szCs w:val="24"/>
                <w:highlight w:val="none"/>
              </w:rPr>
              <w:t>提供完整资料（活动记录、通知、手写签到表、照片），资料不全酌情扣分。开展社</w:t>
            </w:r>
            <w:r>
              <w:rPr>
                <w:rFonts w:ascii="Times New Roman" w:hAnsi="仿宋" w:eastAsia="仿宋" w:cs="Times New Roman"/>
                <w:bCs/>
                <w:color w:val="auto"/>
                <w:sz w:val="24"/>
                <w:szCs w:val="24"/>
                <w:highlight w:val="none"/>
              </w:rPr>
              <w:t>区社会组织活跃度体检，确保社区社会组织常态化可持续性发展，得</w:t>
            </w:r>
            <w:r>
              <w:rPr>
                <w:rFonts w:ascii="Times New Roman" w:hAnsi="Times New Roman" w:eastAsia="仿宋" w:cs="Times New Roman"/>
                <w:bCs/>
                <w:color w:val="auto"/>
                <w:sz w:val="24"/>
                <w:szCs w:val="24"/>
                <w:highlight w:val="none"/>
              </w:rPr>
              <w:t>2</w:t>
            </w:r>
            <w:r>
              <w:rPr>
                <w:rFonts w:ascii="Times New Roman" w:hAnsi="仿宋" w:eastAsia="仿宋" w:cs="Times New Roman"/>
                <w:bCs/>
                <w:color w:val="auto"/>
                <w:sz w:val="24"/>
                <w:szCs w:val="24"/>
                <w:highlight w:val="none"/>
              </w:rPr>
              <w:t>分。</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化解基层矛盾</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4</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highlight w:val="none"/>
              </w:rPr>
              <w:t>建立矛盾纠纷调解工作机制，积极协助化解基层矛盾纠纷，主动参与基层社会治理。有制度、有参与得</w:t>
            </w:r>
            <w:r>
              <w:rPr>
                <w:rFonts w:ascii="Times New Roman" w:hAnsi="Times New Roman" w:eastAsia="仿宋" w:cs="Times New Roman"/>
                <w:color w:val="auto"/>
                <w:kern w:val="0"/>
                <w:sz w:val="24"/>
                <w:highlight w:val="none"/>
              </w:rPr>
              <w:t>4</w:t>
            </w:r>
            <w:r>
              <w:rPr>
                <w:rFonts w:ascii="Times New Roman" w:hAnsi="仿宋" w:eastAsia="仿宋" w:cs="Times New Roman"/>
                <w:color w:val="auto"/>
                <w:kern w:val="0"/>
                <w:sz w:val="24"/>
                <w:highlight w:val="none"/>
              </w:rPr>
              <w:t>分，没参与不得分。</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组织民主协商</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8</w:t>
            </w:r>
          </w:p>
        </w:tc>
        <w:tc>
          <w:tcPr>
            <w:tcW w:w="904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bCs/>
                <w:color w:val="auto"/>
                <w:sz w:val="24"/>
                <w:szCs w:val="24"/>
                <w:highlight w:val="none"/>
              </w:rPr>
              <w:t>聚焦社区治理问题和服务对象的利益诉求，有目的、有组织性的开展民主协商，确定议事规则，形成议事结果，监测决议执行。每年开展民主协商不少于</w:t>
            </w:r>
            <w:r>
              <w:rPr>
                <w:rFonts w:ascii="Times New Roman" w:hAnsi="Times New Roman" w:eastAsia="仿宋" w:cs="Times New Roman"/>
                <w:bCs/>
                <w:color w:val="auto"/>
                <w:sz w:val="24"/>
                <w:szCs w:val="24"/>
                <w:highlight w:val="none"/>
              </w:rPr>
              <w:t>4</w:t>
            </w:r>
            <w:r>
              <w:rPr>
                <w:rFonts w:ascii="Times New Roman" w:hAnsi="仿宋" w:eastAsia="仿宋" w:cs="Times New Roman"/>
                <w:bCs/>
                <w:color w:val="auto"/>
                <w:sz w:val="24"/>
                <w:szCs w:val="24"/>
                <w:highlight w:val="none"/>
              </w:rPr>
              <w:t>次，每次得</w:t>
            </w:r>
            <w:r>
              <w:rPr>
                <w:rFonts w:ascii="Times New Roman" w:hAnsi="Times New Roman" w:eastAsia="仿宋" w:cs="Times New Roman"/>
                <w:bCs/>
                <w:color w:val="auto"/>
                <w:sz w:val="24"/>
                <w:szCs w:val="24"/>
                <w:highlight w:val="none"/>
              </w:rPr>
              <w:t>2</w:t>
            </w:r>
            <w:r>
              <w:rPr>
                <w:rFonts w:ascii="Times New Roman" w:hAnsi="仿宋" w:eastAsia="仿宋" w:cs="Times New Roman"/>
                <w:bCs/>
                <w:color w:val="auto"/>
                <w:sz w:val="24"/>
                <w:szCs w:val="24"/>
                <w:highlight w:val="none"/>
              </w:rPr>
              <w:t>分，提供记录完整、清晰，资料（通知、签到表、相关过程资料和照片等），资料不全酌情扣分。</w:t>
            </w:r>
          </w:p>
        </w:tc>
        <w:tc>
          <w:tcPr>
            <w:tcW w:w="10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15" w:hRule="atLeast"/>
          <w:tblHeader/>
        </w:trPr>
        <w:tc>
          <w:tcPr>
            <w:tcW w:w="1148"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服务成效</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w:t>
            </w:r>
            <w:r>
              <w:rPr>
                <w:rFonts w:ascii="Times New Roman" w:hAnsi="Times New Roman" w:eastAsia="仿宋" w:cs="Times New Roman"/>
                <w:color w:val="auto"/>
                <w:sz w:val="24"/>
                <w:highlight w:val="none"/>
              </w:rPr>
              <w:t>8</w:t>
            </w:r>
            <w:r>
              <w:rPr>
                <w:rFonts w:ascii="Times New Roman" w:hAnsi="仿宋" w:eastAsia="仿宋" w:cs="Times New Roman"/>
                <w:color w:val="auto"/>
                <w:sz w:val="24"/>
                <w:highlight w:val="none"/>
              </w:rPr>
              <w:t>分）</w:t>
            </w: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村（社区）测评</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村（社区）对幸福邻里中心运营管理及成效进行综合评价。满意度</w:t>
            </w:r>
            <w:r>
              <w:rPr>
                <w:rFonts w:ascii="Times New Roman" w:hAnsi="Times New Roman" w:eastAsia="仿宋" w:cs="Times New Roman"/>
                <w:color w:val="auto"/>
                <w:sz w:val="24"/>
                <w:szCs w:val="24"/>
                <w:highlight w:val="none"/>
              </w:rPr>
              <w:t>90</w:t>
            </w:r>
            <w:r>
              <w:rPr>
                <w:rFonts w:ascii="Times New Roman" w:hAnsi="仿宋" w:eastAsia="仿宋" w:cs="Times New Roman"/>
                <w:color w:val="auto"/>
                <w:sz w:val="24"/>
                <w:szCs w:val="24"/>
                <w:highlight w:val="none"/>
              </w:rPr>
              <w:t>分以上的，得</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分，满意度得分每下降</w:t>
            </w:r>
            <w:r>
              <w:rPr>
                <w:rFonts w:ascii="Times New Roman" w:hAnsi="Times New Roman" w:eastAsia="仿宋" w:cs="Times New Roman"/>
                <w:color w:val="auto"/>
                <w:sz w:val="24"/>
                <w:szCs w:val="24"/>
                <w:highlight w:val="none"/>
              </w:rPr>
              <w:t>5</w:t>
            </w:r>
            <w:r>
              <w:rPr>
                <w:rFonts w:ascii="Times New Roman" w:hAnsi="仿宋" w:eastAsia="仿宋" w:cs="Times New Roman"/>
                <w:color w:val="auto"/>
                <w:sz w:val="24"/>
                <w:szCs w:val="24"/>
                <w:highlight w:val="none"/>
              </w:rPr>
              <w:t>分扣除</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w:t>
            </w:r>
          </w:p>
        </w:tc>
        <w:tc>
          <w:tcPr>
            <w:tcW w:w="10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lang w:val="zh-CN"/>
              </w:rPr>
              <w:t>群众满意测评</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服务对象对幸福邻里中心所开展服务的满意度（内容、形式、安排、社工的服务态度、专业能力等）以及服务效果等方面的综合评价。满意度</w:t>
            </w:r>
            <w:r>
              <w:rPr>
                <w:rFonts w:ascii="Times New Roman" w:hAnsi="Times New Roman" w:eastAsia="仿宋" w:cs="Times New Roman"/>
                <w:color w:val="auto"/>
                <w:sz w:val="24"/>
                <w:szCs w:val="24"/>
                <w:highlight w:val="none"/>
              </w:rPr>
              <w:t>80%</w:t>
            </w:r>
            <w:r>
              <w:rPr>
                <w:rFonts w:ascii="Times New Roman" w:hAnsi="仿宋" w:eastAsia="仿宋" w:cs="Times New Roman"/>
                <w:color w:val="auto"/>
                <w:sz w:val="24"/>
                <w:szCs w:val="24"/>
                <w:highlight w:val="none"/>
              </w:rPr>
              <w:t>以上的，得</w:t>
            </w:r>
            <w:r>
              <w:rPr>
                <w:rFonts w:ascii="Times New Roman" w:hAnsi="Times New Roman" w:eastAsia="仿宋" w:cs="Times New Roman"/>
                <w:color w:val="auto"/>
                <w:sz w:val="24"/>
                <w:szCs w:val="24"/>
                <w:highlight w:val="none"/>
              </w:rPr>
              <w:t>3</w:t>
            </w:r>
            <w:r>
              <w:rPr>
                <w:rFonts w:ascii="Times New Roman" w:hAnsi="仿宋" w:eastAsia="仿宋" w:cs="Times New Roman"/>
                <w:color w:val="auto"/>
                <w:sz w:val="24"/>
                <w:szCs w:val="24"/>
                <w:highlight w:val="none"/>
              </w:rPr>
              <w:t>分，满意度百分比每下降</w:t>
            </w:r>
            <w:r>
              <w:rPr>
                <w:rFonts w:ascii="Times New Roman" w:hAnsi="Times New Roman" w:eastAsia="仿宋" w:cs="Times New Roman"/>
                <w:color w:val="auto"/>
                <w:sz w:val="24"/>
                <w:szCs w:val="24"/>
                <w:highlight w:val="none"/>
              </w:rPr>
              <w:t>5</w:t>
            </w:r>
            <w:r>
              <w:rPr>
                <w:rFonts w:ascii="Times New Roman" w:hAnsi="仿宋" w:eastAsia="仿宋" w:cs="Times New Roman"/>
                <w:color w:val="auto"/>
                <w:sz w:val="24"/>
                <w:szCs w:val="24"/>
                <w:highlight w:val="none"/>
              </w:rPr>
              <w:t>个百分点扣除</w:t>
            </w:r>
            <w:r>
              <w:rPr>
                <w:rFonts w:ascii="Times New Roman" w:hAnsi="Times New Roman" w:eastAsia="仿宋" w:cs="Times New Roman"/>
                <w:color w:val="auto"/>
                <w:sz w:val="24"/>
                <w:szCs w:val="24"/>
                <w:highlight w:val="none"/>
              </w:rPr>
              <w:t>0.5</w:t>
            </w:r>
            <w:r>
              <w:rPr>
                <w:rFonts w:ascii="Times New Roman" w:hAnsi="仿宋" w:eastAsia="仿宋" w:cs="Times New Roman"/>
                <w:color w:val="auto"/>
                <w:sz w:val="24"/>
                <w:szCs w:val="24"/>
                <w:highlight w:val="none"/>
              </w:rPr>
              <w:t>分。以实际访谈或通话为有效评价。</w:t>
            </w:r>
          </w:p>
        </w:tc>
        <w:tc>
          <w:tcPr>
            <w:tcW w:w="10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80"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媒体宣传报道</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2</w:t>
            </w:r>
          </w:p>
        </w:tc>
        <w:tc>
          <w:tcPr>
            <w:tcW w:w="9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bCs/>
                <w:color w:val="auto"/>
                <w:sz w:val="24"/>
                <w:szCs w:val="24"/>
                <w:highlight w:val="none"/>
              </w:rPr>
              <w:t>县级以上公共媒体对服务工作进行过</w:t>
            </w:r>
            <w:r>
              <w:rPr>
                <w:rFonts w:ascii="Times New Roman" w:hAnsi="Times New Roman" w:eastAsia="仿宋" w:cs="Times New Roman"/>
                <w:bCs/>
                <w:color w:val="auto"/>
                <w:sz w:val="24"/>
                <w:szCs w:val="24"/>
                <w:highlight w:val="none"/>
              </w:rPr>
              <w:t>2</w:t>
            </w:r>
            <w:r>
              <w:rPr>
                <w:rFonts w:ascii="Times New Roman" w:hAnsi="仿宋" w:eastAsia="仿宋" w:cs="Times New Roman"/>
                <w:bCs/>
                <w:color w:val="auto"/>
                <w:sz w:val="24"/>
                <w:szCs w:val="24"/>
                <w:highlight w:val="none"/>
              </w:rPr>
              <w:t>次或</w:t>
            </w:r>
            <w:r>
              <w:rPr>
                <w:rFonts w:ascii="Times New Roman" w:hAnsi="Times New Roman" w:eastAsia="仿宋" w:cs="Times New Roman"/>
                <w:bCs/>
                <w:color w:val="auto"/>
                <w:sz w:val="24"/>
                <w:szCs w:val="24"/>
                <w:highlight w:val="none"/>
              </w:rPr>
              <w:t>2</w:t>
            </w:r>
            <w:r>
              <w:rPr>
                <w:rFonts w:ascii="Times New Roman" w:hAnsi="仿宋" w:eastAsia="仿宋" w:cs="Times New Roman"/>
                <w:bCs/>
                <w:color w:val="auto"/>
                <w:sz w:val="24"/>
                <w:szCs w:val="24"/>
                <w:highlight w:val="none"/>
              </w:rPr>
              <w:t>次以上的正面报导的，得</w:t>
            </w:r>
            <w:r>
              <w:rPr>
                <w:rFonts w:ascii="Times New Roman" w:hAnsi="Times New Roman" w:eastAsia="仿宋" w:cs="Times New Roman"/>
                <w:bCs/>
                <w:color w:val="auto"/>
                <w:sz w:val="24"/>
                <w:szCs w:val="24"/>
                <w:highlight w:val="none"/>
              </w:rPr>
              <w:t>2</w:t>
            </w:r>
            <w:r>
              <w:rPr>
                <w:rFonts w:ascii="Times New Roman" w:hAnsi="仿宋" w:eastAsia="仿宋" w:cs="Times New Roman"/>
                <w:bCs/>
                <w:color w:val="auto"/>
                <w:sz w:val="24"/>
                <w:szCs w:val="24"/>
                <w:highlight w:val="none"/>
              </w:rPr>
              <w:t>分，</w:t>
            </w:r>
            <w:r>
              <w:rPr>
                <w:rFonts w:ascii="Times New Roman" w:hAnsi="Times New Roman" w:eastAsia="仿宋" w:cs="Times New Roman"/>
                <w:bCs/>
                <w:color w:val="auto"/>
                <w:sz w:val="24"/>
                <w:szCs w:val="24"/>
                <w:highlight w:val="none"/>
              </w:rPr>
              <w:t>1</w:t>
            </w:r>
            <w:r>
              <w:rPr>
                <w:rFonts w:ascii="Times New Roman" w:hAnsi="仿宋" w:eastAsia="仿宋" w:cs="Times New Roman"/>
                <w:bCs/>
                <w:color w:val="auto"/>
                <w:sz w:val="24"/>
                <w:szCs w:val="24"/>
                <w:highlight w:val="none"/>
              </w:rPr>
              <w:t>次得</w:t>
            </w:r>
            <w:r>
              <w:rPr>
                <w:rFonts w:ascii="Times New Roman" w:hAnsi="Times New Roman" w:eastAsia="仿宋" w:cs="Times New Roman"/>
                <w:bCs/>
                <w:color w:val="auto"/>
                <w:sz w:val="24"/>
                <w:szCs w:val="24"/>
                <w:highlight w:val="none"/>
              </w:rPr>
              <w:t>1</w:t>
            </w:r>
            <w:r>
              <w:rPr>
                <w:rFonts w:ascii="Times New Roman" w:hAnsi="仿宋" w:eastAsia="仿宋" w:cs="Times New Roman"/>
                <w:bCs/>
                <w:color w:val="auto"/>
                <w:sz w:val="24"/>
                <w:szCs w:val="24"/>
                <w:highlight w:val="none"/>
              </w:rPr>
              <w:t>分，无报导此项不得分。</w:t>
            </w:r>
          </w:p>
        </w:tc>
        <w:tc>
          <w:tcPr>
            <w:tcW w:w="10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48"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加分项</w:t>
            </w: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创建品牌亮点</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highlight w:val="none"/>
              </w:rPr>
              <w:t>3</w:t>
            </w:r>
          </w:p>
        </w:tc>
        <w:tc>
          <w:tcPr>
            <w:tcW w:w="9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在辖区范围内策划并实施特色或品牌服务项目，积极推动项目实施，形成一定效应和影响力，视情况给分。结合村（社区）实际，在社区治理方面成效明显并在市级以上媒体报道有体系支撑的，视情况给分。</w:t>
            </w:r>
          </w:p>
        </w:tc>
        <w:tc>
          <w:tcPr>
            <w:tcW w:w="10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25"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邻里中心食堂</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lang w:val="zh-CN"/>
              </w:rPr>
            </w:pPr>
            <w:r>
              <w:rPr>
                <w:rFonts w:ascii="Times New Roman" w:hAnsi="Times New Roman" w:eastAsia="仿宋" w:cs="Times New Roman"/>
                <w:color w:val="auto"/>
                <w:sz w:val="24"/>
                <w:szCs w:val="24"/>
                <w:highlight w:val="none"/>
                <w:lang w:val="zh-CN"/>
              </w:rPr>
              <w:t>2</w:t>
            </w:r>
          </w:p>
        </w:tc>
        <w:tc>
          <w:tcPr>
            <w:tcW w:w="9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有专门的邻里食堂，签有协议并正常运营，工作人员均持有健康证的，加</w:t>
            </w:r>
            <w:r>
              <w:rPr>
                <w:rFonts w:ascii="Times New Roman" w:hAnsi="Times New Roman" w:eastAsia="仿宋" w:cs="Times New Roman"/>
                <w:color w:val="auto"/>
                <w:sz w:val="24"/>
                <w:szCs w:val="24"/>
                <w:highlight w:val="none"/>
                <w:lang w:val="zh-CN"/>
              </w:rPr>
              <w:t>2</w:t>
            </w:r>
            <w:r>
              <w:rPr>
                <w:rFonts w:ascii="Times New Roman" w:hAnsi="仿宋" w:eastAsia="仿宋" w:cs="Times New Roman"/>
                <w:color w:val="auto"/>
                <w:sz w:val="24"/>
                <w:szCs w:val="24"/>
                <w:highlight w:val="none"/>
                <w:lang w:val="zh-CN"/>
              </w:rPr>
              <w:t>分，没有设立专门的食堂只签订送餐服务的，或工作人员健康证不齐全的不列入加分范围。</w:t>
            </w:r>
          </w:p>
        </w:tc>
        <w:tc>
          <w:tcPr>
            <w:tcW w:w="10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30"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场地面积（</w:t>
            </w:r>
            <w:r>
              <w:rPr>
                <w:rFonts w:ascii="Times New Roman" w:hAnsi="Times New Roman" w:eastAsia="仿宋" w:cs="Times New Roman"/>
                <w:color w:val="auto"/>
                <w:sz w:val="24"/>
                <w:szCs w:val="24"/>
                <w:highlight w:val="none"/>
                <w:lang w:val="zh-CN"/>
              </w:rPr>
              <w:t>750</w:t>
            </w:r>
            <w:r>
              <w:rPr>
                <w:rFonts w:ascii="Times New Roman" w:hAnsi="仿宋" w:eastAsia="仿宋" w:cs="Times New Roman"/>
                <w:color w:val="auto"/>
                <w:sz w:val="24"/>
                <w:szCs w:val="24"/>
                <w:highlight w:val="none"/>
                <w:lang w:val="zh-CN"/>
              </w:rPr>
              <w:t>平米以上）</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szCs w:val="24"/>
                <w:highlight w:val="none"/>
                <w:lang w:val="zh-CN"/>
              </w:rPr>
            </w:pPr>
            <w:r>
              <w:rPr>
                <w:rFonts w:ascii="Times New Roman" w:hAnsi="Times New Roman" w:eastAsia="仿宋" w:cs="Times New Roman"/>
                <w:color w:val="auto"/>
                <w:sz w:val="24"/>
                <w:szCs w:val="24"/>
                <w:highlight w:val="none"/>
                <w:lang w:val="zh-CN"/>
              </w:rPr>
              <w:t>1-2</w:t>
            </w:r>
          </w:p>
        </w:tc>
        <w:tc>
          <w:tcPr>
            <w:tcW w:w="9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场地建筑面积在</w:t>
            </w:r>
            <w:r>
              <w:rPr>
                <w:rFonts w:ascii="Times New Roman" w:hAnsi="Times New Roman" w:eastAsia="仿宋" w:cs="Times New Roman"/>
                <w:color w:val="auto"/>
                <w:sz w:val="24"/>
                <w:szCs w:val="24"/>
                <w:highlight w:val="none"/>
                <w:lang w:val="zh-CN"/>
              </w:rPr>
              <w:t>750</w:t>
            </w:r>
            <w:r>
              <w:rPr>
                <w:rFonts w:ascii="Times New Roman" w:hAnsi="仿宋" w:eastAsia="仿宋" w:cs="Times New Roman"/>
                <w:color w:val="auto"/>
                <w:sz w:val="24"/>
                <w:szCs w:val="24"/>
                <w:highlight w:val="none"/>
                <w:lang w:val="zh-CN"/>
              </w:rPr>
              <w:t>平米（增加</w:t>
            </w:r>
            <w:r>
              <w:rPr>
                <w:rFonts w:ascii="Times New Roman" w:hAnsi="Times New Roman" w:eastAsia="仿宋" w:cs="Times New Roman"/>
                <w:color w:val="auto"/>
                <w:sz w:val="24"/>
                <w:szCs w:val="24"/>
                <w:highlight w:val="none"/>
                <w:lang w:val="zh-CN"/>
              </w:rPr>
              <w:t>50%</w:t>
            </w:r>
            <w:r>
              <w:rPr>
                <w:rFonts w:ascii="Times New Roman" w:hAnsi="仿宋" w:eastAsia="仿宋" w:cs="Times New Roman"/>
                <w:color w:val="auto"/>
                <w:sz w:val="24"/>
                <w:szCs w:val="24"/>
                <w:highlight w:val="none"/>
                <w:lang w:val="zh-CN"/>
              </w:rPr>
              <w:t>）以上的加</w:t>
            </w:r>
            <w:r>
              <w:rPr>
                <w:rFonts w:ascii="Times New Roman" w:hAnsi="Times New Roman" w:eastAsia="仿宋" w:cs="Times New Roman"/>
                <w:color w:val="auto"/>
                <w:sz w:val="24"/>
                <w:szCs w:val="24"/>
                <w:highlight w:val="none"/>
                <w:lang w:val="zh-CN"/>
              </w:rPr>
              <w:t>1</w:t>
            </w:r>
            <w:r>
              <w:rPr>
                <w:rFonts w:ascii="Times New Roman" w:hAnsi="仿宋" w:eastAsia="仿宋" w:cs="Times New Roman"/>
                <w:color w:val="auto"/>
                <w:sz w:val="24"/>
                <w:szCs w:val="24"/>
                <w:highlight w:val="none"/>
                <w:lang w:val="zh-CN"/>
              </w:rPr>
              <w:t>分，在</w:t>
            </w:r>
            <w:r>
              <w:rPr>
                <w:rFonts w:ascii="Times New Roman" w:hAnsi="Times New Roman" w:eastAsia="仿宋" w:cs="Times New Roman"/>
                <w:color w:val="auto"/>
                <w:sz w:val="24"/>
                <w:szCs w:val="24"/>
                <w:highlight w:val="none"/>
                <w:lang w:val="zh-CN"/>
              </w:rPr>
              <w:t>1000</w:t>
            </w:r>
            <w:r>
              <w:rPr>
                <w:rFonts w:ascii="Times New Roman" w:hAnsi="仿宋" w:eastAsia="仿宋" w:cs="Times New Roman"/>
                <w:color w:val="auto"/>
                <w:sz w:val="24"/>
                <w:szCs w:val="24"/>
                <w:highlight w:val="none"/>
                <w:lang w:val="zh-CN"/>
              </w:rPr>
              <w:t>平米（增加</w:t>
            </w:r>
            <w:r>
              <w:rPr>
                <w:rFonts w:ascii="Times New Roman" w:hAnsi="Times New Roman" w:eastAsia="仿宋" w:cs="Times New Roman"/>
                <w:color w:val="auto"/>
                <w:sz w:val="24"/>
                <w:szCs w:val="24"/>
                <w:highlight w:val="none"/>
                <w:lang w:val="zh-CN"/>
              </w:rPr>
              <w:t>100%</w:t>
            </w:r>
            <w:r>
              <w:rPr>
                <w:rFonts w:ascii="Times New Roman" w:hAnsi="仿宋" w:eastAsia="仿宋" w:cs="Times New Roman"/>
                <w:color w:val="auto"/>
                <w:sz w:val="24"/>
                <w:szCs w:val="24"/>
                <w:highlight w:val="none"/>
                <w:lang w:val="zh-CN"/>
              </w:rPr>
              <w:t>）以上的加</w:t>
            </w:r>
            <w:r>
              <w:rPr>
                <w:rFonts w:ascii="Times New Roman" w:hAnsi="Times New Roman" w:eastAsia="仿宋" w:cs="Times New Roman"/>
                <w:color w:val="auto"/>
                <w:sz w:val="24"/>
                <w:szCs w:val="24"/>
                <w:highlight w:val="none"/>
                <w:lang w:val="zh-CN"/>
              </w:rPr>
              <w:t>2</w:t>
            </w:r>
            <w:r>
              <w:rPr>
                <w:rFonts w:ascii="Times New Roman" w:hAnsi="仿宋" w:eastAsia="仿宋" w:cs="Times New Roman"/>
                <w:color w:val="auto"/>
                <w:sz w:val="24"/>
                <w:szCs w:val="24"/>
                <w:highlight w:val="none"/>
                <w:lang w:val="zh-CN"/>
              </w:rPr>
              <w:t>分。</w:t>
            </w:r>
          </w:p>
        </w:tc>
        <w:tc>
          <w:tcPr>
            <w:tcW w:w="10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80" w:hRule="atLeast"/>
          <w:tblHeader/>
        </w:trPr>
        <w:tc>
          <w:tcPr>
            <w:tcW w:w="1148"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扣分项</w:t>
            </w: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存在安全风险隐患</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kern w:val="0"/>
                <w:sz w:val="24"/>
                <w:highlight w:val="none"/>
              </w:rPr>
              <w:t>1</w:t>
            </w:r>
            <w:r>
              <w:rPr>
                <w:rFonts w:ascii="Times New Roman" w:hAnsi="Times New Roman" w:eastAsia="仿宋" w:cs="Times New Roman"/>
                <w:color w:val="auto"/>
                <w:sz w:val="24"/>
                <w:szCs w:val="24"/>
                <w:highlight w:val="none"/>
              </w:rPr>
              <w:t>-10</w:t>
            </w:r>
          </w:p>
        </w:tc>
        <w:tc>
          <w:tcPr>
            <w:tcW w:w="9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highlight w:val="none"/>
              </w:rPr>
              <w:t>参评中心有发现存在消防、食品卫生等方面安全风险隐患，且拒不整改的，一经查证，将酌情扣分，扣完为止除当事中心总分</w:t>
            </w:r>
            <w:r>
              <w:rPr>
                <w:rFonts w:ascii="Times New Roman" w:hAnsi="Times New Roman" w:eastAsia="仿宋" w:cs="Times New Roman"/>
                <w:color w:val="auto"/>
                <w:kern w:val="0"/>
                <w:sz w:val="24"/>
                <w:highlight w:val="none"/>
              </w:rPr>
              <w:t>1</w:t>
            </w:r>
            <w:r>
              <w:rPr>
                <w:rFonts w:ascii="Times New Roman" w:hAnsi="Times New Roman" w:eastAsia="仿宋" w:cs="Times New Roman"/>
                <w:color w:val="auto"/>
                <w:sz w:val="24"/>
                <w:szCs w:val="24"/>
                <w:highlight w:val="none"/>
              </w:rPr>
              <w:t>-10</w:t>
            </w:r>
            <w:r>
              <w:rPr>
                <w:rFonts w:ascii="Times New Roman" w:hAnsi="仿宋" w:eastAsia="仿宋" w:cs="Times New Roman"/>
                <w:color w:val="auto"/>
                <w:sz w:val="24"/>
                <w:szCs w:val="24"/>
                <w:highlight w:val="none"/>
              </w:rPr>
              <w:t>分</w:t>
            </w:r>
            <w:r>
              <w:rPr>
                <w:rFonts w:hint="eastAsia" w:ascii="Times New Roman" w:hAnsi="仿宋" w:eastAsia="仿宋" w:cs="Times New Roman"/>
                <w:color w:val="auto"/>
                <w:sz w:val="24"/>
                <w:szCs w:val="24"/>
                <w:highlight w:val="none"/>
              </w:rPr>
              <w:t>。</w:t>
            </w:r>
          </w:p>
        </w:tc>
        <w:tc>
          <w:tcPr>
            <w:tcW w:w="10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195"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存在弄虚作假行为</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Times New Roman" w:eastAsia="仿宋" w:cs="Times New Roman"/>
                <w:color w:val="auto"/>
                <w:sz w:val="24"/>
                <w:szCs w:val="24"/>
                <w:highlight w:val="none"/>
              </w:rPr>
              <w:t>1-10</w:t>
            </w:r>
          </w:p>
        </w:tc>
        <w:tc>
          <w:tcPr>
            <w:tcW w:w="9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参评中心必须提供客观、真实的资料和数据。如以欺诈、隐瞒、提供不实数据等手段参与评估的中心，一经查证，将扣除当事中心总分</w:t>
            </w:r>
            <w:r>
              <w:rPr>
                <w:rFonts w:ascii="Times New Roman" w:hAnsi="Times New Roman" w:eastAsia="仿宋" w:cs="Times New Roman"/>
                <w:color w:val="auto"/>
                <w:sz w:val="24"/>
                <w:szCs w:val="24"/>
                <w:highlight w:val="none"/>
              </w:rPr>
              <w:t>1-10</w:t>
            </w:r>
            <w:r>
              <w:rPr>
                <w:rFonts w:ascii="Times New Roman" w:hAnsi="仿宋" w:eastAsia="仿宋" w:cs="Times New Roman"/>
                <w:color w:val="auto"/>
                <w:sz w:val="24"/>
                <w:szCs w:val="24"/>
                <w:highlight w:val="none"/>
              </w:rPr>
              <w:t>分。</w:t>
            </w:r>
          </w:p>
        </w:tc>
        <w:tc>
          <w:tcPr>
            <w:tcW w:w="10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70" w:hRule="atLeast"/>
          <w:tblHeader/>
        </w:trPr>
        <w:tc>
          <w:tcPr>
            <w:tcW w:w="1148" w:type="dxa"/>
            <w:vMerge w:val="restart"/>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r>
              <w:rPr>
                <w:rFonts w:ascii="Times New Roman" w:hAnsi="仿宋" w:eastAsia="仿宋" w:cs="Times New Roman"/>
                <w:color w:val="auto"/>
                <w:sz w:val="24"/>
                <w:highlight w:val="none"/>
              </w:rPr>
              <w:t>否决项</w:t>
            </w: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发生安全责任事故</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9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highlight w:val="none"/>
              </w:rPr>
              <w:t>在当年运营周期内，发生安全责任事故造成人员伤亡的，终止运营合同，</w:t>
            </w:r>
            <w:r>
              <w:rPr>
                <w:rFonts w:ascii="Times New Roman" w:hAnsi="仿宋" w:eastAsia="仿宋" w:cs="Times New Roman"/>
                <w:color w:val="auto"/>
                <w:sz w:val="24"/>
                <w:szCs w:val="24"/>
                <w:highlight w:val="none"/>
              </w:rPr>
              <w:t>依法撤销其运营服务的资格，并向社会公告。</w:t>
            </w:r>
          </w:p>
        </w:tc>
        <w:tc>
          <w:tcPr>
            <w:tcW w:w="10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5"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拒绝行政管理部门监督检查</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9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kern w:val="0"/>
                <w:sz w:val="24"/>
                <w:highlight w:val="none"/>
              </w:rPr>
              <w:t>有发现参评中心在运营中拒绝配合行政管理部门监督检查的，不得进行当年度星级参评，并摘掉已评到的星牌。</w:t>
            </w:r>
          </w:p>
        </w:tc>
        <w:tc>
          <w:tcPr>
            <w:tcW w:w="10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40" w:hRule="atLeast"/>
          <w:tblHeader/>
        </w:trPr>
        <w:tc>
          <w:tcPr>
            <w:tcW w:w="1148" w:type="dxa"/>
            <w:vMerge w:val="continue"/>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1999"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sz w:val="24"/>
                <w:szCs w:val="24"/>
                <w:highlight w:val="none"/>
                <w:lang w:val="zh-CN"/>
              </w:rPr>
            </w:pPr>
            <w:r>
              <w:rPr>
                <w:rFonts w:ascii="Times New Roman" w:hAnsi="仿宋" w:eastAsia="仿宋" w:cs="Times New Roman"/>
                <w:color w:val="auto"/>
                <w:sz w:val="24"/>
                <w:szCs w:val="24"/>
                <w:highlight w:val="none"/>
                <w:lang w:val="zh-CN"/>
              </w:rPr>
              <w:t>存在违法违规行为</w:t>
            </w:r>
          </w:p>
        </w:tc>
        <w:tc>
          <w:tcPr>
            <w:tcW w:w="992" w:type="dxa"/>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Times New Roman" w:hAnsi="Times New Roman" w:eastAsia="仿宋" w:cs="Times New Roman"/>
                <w:color w:val="auto"/>
                <w:sz w:val="24"/>
                <w:highlight w:val="none"/>
              </w:rPr>
            </w:pPr>
          </w:p>
        </w:tc>
        <w:tc>
          <w:tcPr>
            <w:tcW w:w="905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r>
              <w:rPr>
                <w:rFonts w:ascii="Times New Roman" w:hAnsi="仿宋" w:eastAsia="仿宋" w:cs="Times New Roman"/>
                <w:color w:val="auto"/>
                <w:sz w:val="24"/>
                <w:szCs w:val="24"/>
                <w:highlight w:val="none"/>
              </w:rPr>
              <w:t>在运营过程中，参评中心存在</w:t>
            </w:r>
            <w:r>
              <w:rPr>
                <w:rFonts w:ascii="Times New Roman" w:hAnsi="仿宋" w:eastAsia="仿宋" w:cs="Times New Roman"/>
                <w:color w:val="auto"/>
                <w:sz w:val="24"/>
                <w:szCs w:val="24"/>
                <w:highlight w:val="none"/>
                <w:lang w:val="zh-CN"/>
              </w:rPr>
              <w:t>违法违规行为，一经查证，</w:t>
            </w:r>
            <w:r>
              <w:rPr>
                <w:rFonts w:ascii="Times New Roman" w:hAnsi="仿宋" w:eastAsia="仿宋" w:cs="Times New Roman"/>
                <w:color w:val="auto"/>
                <w:kern w:val="0"/>
                <w:sz w:val="24"/>
                <w:highlight w:val="none"/>
              </w:rPr>
              <w:t>不得进行当年度星级参评，并摘掉已评到的星牌，终止运营合同，</w:t>
            </w:r>
            <w:r>
              <w:rPr>
                <w:rFonts w:ascii="Times New Roman" w:hAnsi="仿宋" w:eastAsia="仿宋" w:cs="Times New Roman"/>
                <w:color w:val="auto"/>
                <w:sz w:val="24"/>
                <w:szCs w:val="24"/>
                <w:highlight w:val="none"/>
              </w:rPr>
              <w:t>依法撤销其运营服务的资格，并向社会公告。</w:t>
            </w:r>
          </w:p>
        </w:tc>
        <w:tc>
          <w:tcPr>
            <w:tcW w:w="10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ascii="Times New Roman" w:hAnsi="Times New Roman" w:eastAsia="仿宋" w:cs="Times New Roman"/>
                <w:color w:val="auto"/>
                <w:kern w:val="0"/>
                <w:sz w:val="24"/>
                <w:highlight w:val="none"/>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仿宋" w:cs="Times New Roman"/>
          <w:color w:val="auto"/>
          <w:sz w:val="32"/>
          <w:szCs w:val="32"/>
          <w:highlight w:val="none"/>
        </w:rPr>
      </w:pPr>
    </w:p>
    <w:p>
      <w:pPr>
        <w:keepNext w:val="0"/>
        <w:keepLines w:val="0"/>
        <w:widowControl w:val="0"/>
        <w:suppressLineNumbers w:val="0"/>
        <w:autoSpaceDE w:val="0"/>
        <w:autoSpaceDN/>
        <w:spacing w:before="0" w:beforeAutospacing="0" w:after="0" w:afterAutospacing="0" w:line="400" w:lineRule="exact"/>
        <w:ind w:left="0" w:right="0"/>
        <w:jc w:val="center"/>
        <w:outlineLvl w:val="0"/>
        <w:rPr>
          <w:rFonts w:hint="eastAsia" w:ascii="黑体" w:hAnsi="宋体" w:eastAsia="黑体" w:cs="黑体"/>
          <w:b w:val="0"/>
          <w:bCs w:val="0"/>
          <w:color w:val="auto"/>
          <w:kern w:val="2"/>
          <w:sz w:val="32"/>
          <w:szCs w:val="32"/>
          <w:highlight w:val="none"/>
          <w:lang w:val="en-US" w:eastAsia="zh-CN" w:bidi="ar"/>
        </w:rPr>
      </w:pPr>
    </w:p>
    <w:p>
      <w:pPr>
        <w:pStyle w:val="20"/>
        <w:rPr>
          <w:rFonts w:hint="eastAsia"/>
          <w:color w:val="auto"/>
          <w:highlight w:val="none"/>
          <w:lang w:val="en-US" w:eastAsia="zh-CN"/>
        </w:rPr>
      </w:pPr>
    </w:p>
    <w:p>
      <w:pPr>
        <w:keepNext w:val="0"/>
        <w:keepLines w:val="0"/>
        <w:widowControl w:val="0"/>
        <w:numPr>
          <w:ilvl w:val="0"/>
          <w:numId w:val="0"/>
        </w:numPr>
        <w:suppressLineNumbers w:val="0"/>
        <w:autoSpaceDE w:val="0"/>
        <w:autoSpaceDN/>
        <w:spacing w:before="0" w:beforeAutospacing="0" w:after="0" w:afterAutospacing="0" w:line="400" w:lineRule="exact"/>
        <w:ind w:right="0" w:rightChars="0"/>
        <w:jc w:val="center"/>
        <w:outlineLvl w:val="0"/>
        <w:rPr>
          <w:rFonts w:hint="eastAsia" w:ascii="黑体" w:hAnsi="宋体" w:eastAsia="黑体" w:cs="黑体"/>
          <w:b w:val="0"/>
          <w:bCs w:val="0"/>
          <w:color w:val="auto"/>
          <w:kern w:val="2"/>
          <w:sz w:val="32"/>
          <w:szCs w:val="32"/>
          <w:highlight w:val="none"/>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400" w:lineRule="exact"/>
        <w:ind w:right="0" w:rightChars="0"/>
        <w:jc w:val="center"/>
        <w:outlineLvl w:val="0"/>
        <w:rPr>
          <w:rFonts w:hint="eastAsia" w:ascii="黑体" w:hAnsi="宋体" w:eastAsia="黑体" w:cs="黑体"/>
          <w:b w:val="0"/>
          <w:bCs w:val="0"/>
          <w:color w:val="auto"/>
          <w:kern w:val="2"/>
          <w:sz w:val="32"/>
          <w:szCs w:val="32"/>
          <w:highlight w:val="none"/>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400" w:lineRule="exact"/>
        <w:ind w:right="0" w:rightChars="0"/>
        <w:jc w:val="center"/>
        <w:outlineLvl w:val="0"/>
        <w:rPr>
          <w:rFonts w:hint="eastAsia" w:ascii="黑体" w:hAnsi="宋体" w:eastAsia="黑体" w:cs="黑体"/>
          <w:b w:val="0"/>
          <w:bCs w:val="0"/>
          <w:color w:val="auto"/>
          <w:kern w:val="2"/>
          <w:sz w:val="32"/>
          <w:szCs w:val="32"/>
          <w:highlight w:val="none"/>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400" w:lineRule="exact"/>
        <w:ind w:right="0" w:rightChars="0"/>
        <w:jc w:val="center"/>
        <w:outlineLvl w:val="0"/>
        <w:rPr>
          <w:rFonts w:hint="eastAsia" w:ascii="黑体" w:hAnsi="宋体" w:eastAsia="黑体" w:cs="黑体"/>
          <w:b w:val="0"/>
          <w:bCs w:val="0"/>
          <w:color w:val="auto"/>
          <w:kern w:val="2"/>
          <w:sz w:val="32"/>
          <w:szCs w:val="32"/>
          <w:highlight w:val="none"/>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400" w:lineRule="exact"/>
        <w:ind w:right="0" w:rightChars="0"/>
        <w:jc w:val="center"/>
        <w:outlineLvl w:val="0"/>
        <w:rPr>
          <w:rFonts w:hint="eastAsia" w:ascii="黑体" w:hAnsi="宋体" w:eastAsia="黑体" w:cs="黑体"/>
          <w:b w:val="0"/>
          <w:bCs w:val="0"/>
          <w:color w:val="auto"/>
          <w:kern w:val="2"/>
          <w:sz w:val="32"/>
          <w:szCs w:val="32"/>
          <w:highlight w:val="none"/>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400" w:lineRule="exact"/>
        <w:ind w:right="0" w:rightChars="0"/>
        <w:jc w:val="center"/>
        <w:outlineLvl w:val="0"/>
        <w:rPr>
          <w:rFonts w:hint="eastAsia" w:ascii="黑体" w:hAnsi="宋体" w:eastAsia="黑体" w:cs="黑体"/>
          <w:b w:val="0"/>
          <w:bCs w:val="0"/>
          <w:color w:val="auto"/>
          <w:kern w:val="2"/>
          <w:sz w:val="32"/>
          <w:szCs w:val="32"/>
          <w:highlight w:val="none"/>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400" w:lineRule="exact"/>
        <w:ind w:right="0" w:rightChars="0"/>
        <w:jc w:val="center"/>
        <w:outlineLvl w:val="0"/>
        <w:rPr>
          <w:rFonts w:hint="eastAsia" w:ascii="黑体" w:hAnsi="宋体" w:eastAsia="黑体" w:cs="黑体"/>
          <w:b w:val="0"/>
          <w:bCs w:val="0"/>
          <w:color w:val="auto"/>
          <w:kern w:val="2"/>
          <w:sz w:val="32"/>
          <w:szCs w:val="32"/>
          <w:highlight w:val="none"/>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400" w:lineRule="exact"/>
        <w:ind w:right="0" w:rightChars="0"/>
        <w:jc w:val="center"/>
        <w:outlineLvl w:val="0"/>
        <w:rPr>
          <w:rFonts w:hint="eastAsia" w:ascii="黑体" w:hAnsi="宋体" w:eastAsia="黑体" w:cs="黑体"/>
          <w:b w:val="0"/>
          <w:bCs w:val="0"/>
          <w:color w:val="auto"/>
          <w:kern w:val="2"/>
          <w:sz w:val="32"/>
          <w:szCs w:val="32"/>
          <w:highlight w:val="none"/>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400" w:lineRule="exact"/>
        <w:ind w:right="0" w:rightChars="0"/>
        <w:jc w:val="center"/>
        <w:outlineLvl w:val="0"/>
        <w:rPr>
          <w:rFonts w:hint="eastAsia" w:ascii="黑体" w:hAnsi="宋体" w:eastAsia="黑体" w:cs="黑体"/>
          <w:b w:val="0"/>
          <w:bCs w:val="0"/>
          <w:color w:val="auto"/>
          <w:kern w:val="2"/>
          <w:sz w:val="32"/>
          <w:szCs w:val="32"/>
          <w:highlight w:val="none"/>
          <w:lang w:val="en-US" w:eastAsia="zh-CN" w:bidi="ar"/>
        </w:rPr>
      </w:pPr>
    </w:p>
    <w:p>
      <w:pPr>
        <w:keepNext w:val="0"/>
        <w:keepLines w:val="0"/>
        <w:widowControl w:val="0"/>
        <w:numPr>
          <w:ilvl w:val="0"/>
          <w:numId w:val="0"/>
        </w:numPr>
        <w:suppressLineNumbers w:val="0"/>
        <w:autoSpaceDE w:val="0"/>
        <w:autoSpaceDN/>
        <w:spacing w:before="0" w:beforeAutospacing="0" w:after="0" w:afterAutospacing="0" w:line="400" w:lineRule="exact"/>
        <w:ind w:right="0" w:rightChars="0"/>
        <w:jc w:val="center"/>
        <w:outlineLvl w:val="0"/>
        <w:rPr>
          <w:rFonts w:hint="eastAsia" w:ascii="黑体" w:hAnsi="宋体" w:eastAsia="黑体" w:cs="黑体"/>
          <w:b w:val="0"/>
          <w:bCs w:val="0"/>
          <w:color w:val="auto"/>
          <w:kern w:val="2"/>
          <w:sz w:val="32"/>
          <w:szCs w:val="32"/>
          <w:highlight w:val="none"/>
          <w:lang w:val="en-US" w:eastAsia="zh-CN" w:bidi="ar"/>
        </w:rPr>
      </w:pPr>
    </w:p>
    <w:p>
      <w:pPr>
        <w:pStyle w:val="38"/>
        <w:rPr>
          <w:rFonts w:hint="eastAsia" w:ascii="宋体" w:hAnsi="宋体" w:eastAsia="宋体" w:cs="宋体"/>
          <w:b w:val="0"/>
          <w:bCs/>
          <w:color w:val="auto"/>
          <w:sz w:val="24"/>
          <w:szCs w:val="24"/>
          <w:highlight w:val="none"/>
          <w:lang w:val="en-US" w:eastAsia="zh-Hans"/>
        </w:rPr>
      </w:pPr>
    </w:p>
    <w:p>
      <w:pPr>
        <w:pStyle w:val="38"/>
        <w:rPr>
          <w:rFonts w:hint="eastAsia" w:ascii="宋体" w:hAnsi="宋体" w:eastAsia="宋体" w:cs="宋体"/>
          <w:b w:val="0"/>
          <w:bCs/>
          <w:color w:val="auto"/>
          <w:sz w:val="24"/>
          <w:szCs w:val="24"/>
          <w:highlight w:val="none"/>
          <w:lang w:val="en-US" w:eastAsia="zh-Hans"/>
        </w:rPr>
        <w:sectPr>
          <w:pgSz w:w="16838" w:h="11906" w:orient="landscape"/>
          <w:pgMar w:top="1417" w:right="1417" w:bottom="1417" w:left="1417" w:header="850" w:footer="1128" w:gutter="0"/>
          <w:pgNumType w:fmt="decimal"/>
          <w:cols w:space="720" w:num="1"/>
          <w:rtlGutter w:val="0"/>
          <w:docGrid w:linePitch="312" w:charSpace="0"/>
        </w:sectPr>
      </w:pPr>
    </w:p>
    <w:p>
      <w:pPr>
        <w:pStyle w:val="20"/>
        <w:spacing w:before="309" w:line="218" w:lineRule="auto"/>
        <w:ind w:left="2480"/>
        <w:rPr>
          <w:color w:val="auto"/>
          <w:sz w:val="43"/>
          <w:szCs w:val="43"/>
          <w:highlight w:val="none"/>
        </w:rPr>
      </w:pPr>
      <w:r>
        <w:rPr>
          <w:color w:val="auto"/>
          <w:spacing w:val="8"/>
          <w:sz w:val="43"/>
          <w:szCs w:val="43"/>
          <w:highlight w:val="none"/>
        </w:rPr>
        <w:t>儿童之家综合评估表</w:t>
      </w:r>
    </w:p>
    <w:p>
      <w:pPr>
        <w:spacing w:line="201" w:lineRule="exact"/>
        <w:rPr>
          <w:color w:val="auto"/>
          <w:highlight w:val="none"/>
        </w:rPr>
      </w:pPr>
    </w:p>
    <w:tbl>
      <w:tblPr>
        <w:tblStyle w:val="171"/>
        <w:tblW w:w="88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943"/>
        <w:gridCol w:w="4333"/>
        <w:gridCol w:w="708"/>
        <w:gridCol w:w="620"/>
        <w:gridCol w:w="624"/>
        <w:gridCol w:w="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033" w:type="dxa"/>
            <w:noWrap w:val="0"/>
            <w:vAlign w:val="top"/>
          </w:tcPr>
          <w:p>
            <w:pPr>
              <w:spacing w:before="136" w:line="229" w:lineRule="auto"/>
              <w:ind w:left="104"/>
              <w:rPr>
                <w:rFonts w:ascii="黑体" w:hAnsi="黑体" w:eastAsia="黑体" w:cs="黑体"/>
                <w:color w:val="auto"/>
                <w:sz w:val="20"/>
                <w:szCs w:val="20"/>
                <w:highlight w:val="none"/>
              </w:rPr>
            </w:pPr>
            <w:r>
              <w:rPr>
                <w:rFonts w:ascii="黑体" w:hAnsi="黑体" w:eastAsia="黑体" w:cs="黑体"/>
                <w:color w:val="auto"/>
                <w:spacing w:val="6"/>
                <w:sz w:val="20"/>
                <w:szCs w:val="20"/>
                <w:highlight w:val="none"/>
              </w:rPr>
              <w:t>一级指标</w:t>
            </w:r>
          </w:p>
        </w:tc>
        <w:tc>
          <w:tcPr>
            <w:tcW w:w="943" w:type="dxa"/>
            <w:noWrap w:val="0"/>
            <w:vAlign w:val="top"/>
          </w:tcPr>
          <w:p>
            <w:pPr>
              <w:spacing w:before="136" w:line="229" w:lineRule="auto"/>
              <w:ind w:left="60"/>
              <w:rPr>
                <w:rFonts w:ascii="黑体" w:hAnsi="黑体" w:eastAsia="黑体" w:cs="黑体"/>
                <w:color w:val="auto"/>
                <w:sz w:val="20"/>
                <w:szCs w:val="20"/>
                <w:highlight w:val="none"/>
              </w:rPr>
            </w:pPr>
            <w:r>
              <w:rPr>
                <w:rFonts w:ascii="黑体" w:hAnsi="黑体" w:eastAsia="黑体" w:cs="黑体"/>
                <w:color w:val="auto"/>
                <w:spacing w:val="6"/>
                <w:sz w:val="20"/>
                <w:szCs w:val="20"/>
                <w:highlight w:val="none"/>
              </w:rPr>
              <w:t>二级指标</w:t>
            </w:r>
          </w:p>
        </w:tc>
        <w:tc>
          <w:tcPr>
            <w:tcW w:w="4333" w:type="dxa"/>
            <w:noWrap w:val="0"/>
            <w:vAlign w:val="top"/>
          </w:tcPr>
          <w:p>
            <w:pPr>
              <w:spacing w:before="136" w:line="230" w:lineRule="auto"/>
              <w:ind w:left="1753"/>
              <w:rPr>
                <w:rFonts w:ascii="黑体" w:hAnsi="黑体" w:eastAsia="黑体" w:cs="黑体"/>
                <w:color w:val="auto"/>
                <w:sz w:val="20"/>
                <w:szCs w:val="20"/>
                <w:highlight w:val="none"/>
              </w:rPr>
            </w:pPr>
            <w:r>
              <w:rPr>
                <w:rFonts w:ascii="黑体" w:hAnsi="黑体" w:eastAsia="黑体" w:cs="黑体"/>
                <w:color w:val="auto"/>
                <w:spacing w:val="7"/>
                <w:sz w:val="20"/>
                <w:szCs w:val="20"/>
                <w:highlight w:val="none"/>
              </w:rPr>
              <w:t>评估标准</w:t>
            </w:r>
          </w:p>
        </w:tc>
        <w:tc>
          <w:tcPr>
            <w:tcW w:w="708" w:type="dxa"/>
            <w:noWrap w:val="0"/>
            <w:vAlign w:val="top"/>
          </w:tcPr>
          <w:p>
            <w:pPr>
              <w:spacing w:before="136" w:line="231" w:lineRule="auto"/>
              <w:ind w:left="157"/>
              <w:rPr>
                <w:rFonts w:ascii="黑体" w:hAnsi="黑体" w:eastAsia="黑体" w:cs="黑体"/>
                <w:color w:val="auto"/>
                <w:sz w:val="20"/>
                <w:szCs w:val="20"/>
                <w:highlight w:val="none"/>
              </w:rPr>
            </w:pPr>
            <w:r>
              <w:rPr>
                <w:rFonts w:ascii="黑体" w:hAnsi="黑体" w:eastAsia="黑体" w:cs="黑体"/>
                <w:color w:val="auto"/>
                <w:spacing w:val="2"/>
                <w:sz w:val="20"/>
                <w:szCs w:val="20"/>
                <w:highlight w:val="none"/>
              </w:rPr>
              <w:t>分值</w:t>
            </w:r>
          </w:p>
        </w:tc>
        <w:tc>
          <w:tcPr>
            <w:tcW w:w="620" w:type="dxa"/>
            <w:noWrap w:val="0"/>
            <w:vAlign w:val="top"/>
          </w:tcPr>
          <w:p>
            <w:pPr>
              <w:spacing w:before="17" w:line="213" w:lineRule="auto"/>
              <w:ind w:left="107" w:right="96" w:firstLine="14"/>
              <w:rPr>
                <w:rFonts w:ascii="黑体" w:hAnsi="黑体" w:eastAsia="黑体" w:cs="黑体"/>
                <w:color w:val="auto"/>
                <w:sz w:val="20"/>
                <w:szCs w:val="20"/>
                <w:highlight w:val="none"/>
              </w:rPr>
            </w:pPr>
            <w:r>
              <w:rPr>
                <w:rFonts w:ascii="黑体" w:hAnsi="黑体" w:eastAsia="黑体" w:cs="黑体"/>
                <w:color w:val="auto"/>
                <w:spacing w:val="-2"/>
                <w:sz w:val="20"/>
                <w:szCs w:val="20"/>
                <w:highlight w:val="none"/>
              </w:rPr>
              <w:t>民政</w:t>
            </w:r>
            <w:r>
              <w:rPr>
                <w:rFonts w:ascii="黑体" w:hAnsi="黑体" w:eastAsia="黑体" w:cs="黑体"/>
                <w:color w:val="auto"/>
                <w:sz w:val="20"/>
                <w:szCs w:val="20"/>
                <w:highlight w:val="none"/>
              </w:rPr>
              <w:t xml:space="preserve"> </w:t>
            </w:r>
            <w:r>
              <w:rPr>
                <w:rFonts w:ascii="黑体" w:hAnsi="黑体" w:eastAsia="黑体" w:cs="黑体"/>
                <w:color w:val="auto"/>
                <w:spacing w:val="5"/>
                <w:sz w:val="20"/>
                <w:szCs w:val="20"/>
                <w:highlight w:val="none"/>
              </w:rPr>
              <w:t>赋分</w:t>
            </w:r>
          </w:p>
        </w:tc>
        <w:tc>
          <w:tcPr>
            <w:tcW w:w="624" w:type="dxa"/>
            <w:noWrap w:val="0"/>
            <w:vAlign w:val="top"/>
          </w:tcPr>
          <w:p>
            <w:pPr>
              <w:spacing w:before="17" w:line="213" w:lineRule="auto"/>
              <w:ind w:left="108" w:right="98"/>
              <w:rPr>
                <w:rFonts w:ascii="黑体" w:hAnsi="黑体" w:eastAsia="黑体" w:cs="黑体"/>
                <w:color w:val="auto"/>
                <w:sz w:val="20"/>
                <w:szCs w:val="20"/>
                <w:highlight w:val="none"/>
              </w:rPr>
            </w:pPr>
            <w:r>
              <w:rPr>
                <w:rFonts w:ascii="黑体" w:hAnsi="黑体" w:eastAsia="黑体" w:cs="黑体"/>
                <w:color w:val="auto"/>
                <w:spacing w:val="5"/>
                <w:sz w:val="20"/>
                <w:szCs w:val="20"/>
                <w:highlight w:val="none"/>
              </w:rPr>
              <w:t>妇联</w:t>
            </w:r>
            <w:r>
              <w:rPr>
                <w:rFonts w:ascii="黑体" w:hAnsi="黑体" w:eastAsia="黑体" w:cs="黑体"/>
                <w:color w:val="auto"/>
                <w:sz w:val="20"/>
                <w:szCs w:val="20"/>
                <w:highlight w:val="none"/>
              </w:rPr>
              <w:t xml:space="preserve"> </w:t>
            </w:r>
            <w:r>
              <w:rPr>
                <w:rFonts w:ascii="黑体" w:hAnsi="黑体" w:eastAsia="黑体" w:cs="黑体"/>
                <w:color w:val="auto"/>
                <w:spacing w:val="5"/>
                <w:sz w:val="20"/>
                <w:szCs w:val="20"/>
                <w:highlight w:val="none"/>
              </w:rPr>
              <w:t>赋分</w:t>
            </w:r>
          </w:p>
        </w:tc>
        <w:tc>
          <w:tcPr>
            <w:tcW w:w="628" w:type="dxa"/>
            <w:noWrap w:val="0"/>
            <w:vAlign w:val="top"/>
          </w:tcPr>
          <w:p>
            <w:pPr>
              <w:spacing w:before="136" w:line="231" w:lineRule="auto"/>
              <w:ind w:left="108"/>
              <w:rPr>
                <w:rFonts w:ascii="黑体" w:hAnsi="黑体" w:eastAsia="黑体" w:cs="黑体"/>
                <w:color w:val="auto"/>
                <w:sz w:val="20"/>
                <w:szCs w:val="20"/>
                <w:highlight w:val="none"/>
              </w:rPr>
            </w:pPr>
            <w:r>
              <w:rPr>
                <w:rFonts w:ascii="黑体" w:hAnsi="黑体" w:eastAsia="黑体" w:cs="黑体"/>
                <w:color w:val="auto"/>
                <w:spacing w:val="5"/>
                <w:sz w:val="20"/>
                <w:szCs w:val="20"/>
                <w:highlight w:val="none"/>
              </w:rPr>
              <w:t>核分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1" w:hRule="atLeast"/>
        </w:trPr>
        <w:tc>
          <w:tcPr>
            <w:tcW w:w="1033" w:type="dxa"/>
            <w:vMerge w:val="restart"/>
            <w:tcBorders>
              <w:bottom w:val="nil"/>
            </w:tcBorders>
            <w:noWrap w:val="0"/>
            <w:vAlign w:val="top"/>
          </w:tcPr>
          <w:p>
            <w:pPr>
              <w:pStyle w:val="170"/>
              <w:spacing w:line="243" w:lineRule="auto"/>
              <w:rPr>
                <w:color w:val="auto"/>
                <w:highlight w:val="none"/>
              </w:rPr>
            </w:pPr>
          </w:p>
          <w:p>
            <w:pPr>
              <w:pStyle w:val="170"/>
              <w:spacing w:line="243" w:lineRule="auto"/>
              <w:rPr>
                <w:color w:val="auto"/>
                <w:highlight w:val="none"/>
              </w:rPr>
            </w:pPr>
          </w:p>
          <w:p>
            <w:pPr>
              <w:pStyle w:val="170"/>
              <w:spacing w:line="243" w:lineRule="auto"/>
              <w:rPr>
                <w:color w:val="auto"/>
                <w:highlight w:val="none"/>
              </w:rPr>
            </w:pPr>
          </w:p>
          <w:p>
            <w:pPr>
              <w:pStyle w:val="170"/>
              <w:spacing w:line="243" w:lineRule="auto"/>
              <w:rPr>
                <w:color w:val="auto"/>
                <w:highlight w:val="none"/>
              </w:rPr>
            </w:pPr>
          </w:p>
          <w:p>
            <w:pPr>
              <w:pStyle w:val="170"/>
              <w:spacing w:line="243"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spacing w:before="65" w:line="225" w:lineRule="auto"/>
              <w:ind w:left="84" w:right="89" w:firstLine="15"/>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场地设施</w:t>
            </w:r>
            <w:r>
              <w:rPr>
                <w:rFonts w:ascii="宋体" w:hAnsi="宋体" w:eastAsia="宋体" w:cs="宋体"/>
                <w:color w:val="auto"/>
                <w:spacing w:val="1"/>
                <w:sz w:val="20"/>
                <w:szCs w:val="20"/>
                <w:highlight w:val="none"/>
              </w:rPr>
              <w:t xml:space="preserve"> </w:t>
            </w:r>
            <w:r>
              <w:rPr>
                <w:rFonts w:ascii="宋体" w:hAnsi="宋体" w:eastAsia="宋体" w:cs="宋体"/>
                <w:color w:val="auto"/>
                <w:spacing w:val="-2"/>
                <w:sz w:val="20"/>
                <w:szCs w:val="20"/>
                <w:highlight w:val="none"/>
              </w:rPr>
              <w:t>（</w:t>
            </w:r>
            <w:r>
              <w:rPr>
                <w:rFonts w:ascii="Times New Roman" w:hAnsi="Times New Roman" w:eastAsia="Times New Roman" w:cs="Times New Roman"/>
                <w:color w:val="auto"/>
                <w:spacing w:val="-2"/>
                <w:sz w:val="20"/>
                <w:szCs w:val="20"/>
                <w:highlight w:val="none"/>
              </w:rPr>
              <w:t>20</w:t>
            </w:r>
            <w:r>
              <w:rPr>
                <w:rFonts w:ascii="Times New Roman" w:hAnsi="Times New Roman" w:eastAsia="Times New Roman" w:cs="Times New Roman"/>
                <w:color w:val="auto"/>
                <w:spacing w:val="13"/>
                <w:sz w:val="20"/>
                <w:szCs w:val="20"/>
                <w:highlight w:val="none"/>
              </w:rPr>
              <w:t xml:space="preserve"> </w:t>
            </w:r>
            <w:r>
              <w:rPr>
                <w:rFonts w:ascii="宋体" w:hAnsi="宋体" w:eastAsia="宋体" w:cs="宋体"/>
                <w:color w:val="auto"/>
                <w:spacing w:val="-2"/>
                <w:sz w:val="20"/>
                <w:szCs w:val="20"/>
                <w:highlight w:val="none"/>
              </w:rPr>
              <w:t>分）</w:t>
            </w:r>
          </w:p>
        </w:tc>
        <w:tc>
          <w:tcPr>
            <w:tcW w:w="943" w:type="dxa"/>
            <w:vMerge w:val="restart"/>
            <w:tcBorders>
              <w:bottom w:val="nil"/>
            </w:tcBorders>
            <w:noWrap w:val="0"/>
            <w:vAlign w:val="top"/>
          </w:tcPr>
          <w:p>
            <w:pPr>
              <w:pStyle w:val="170"/>
              <w:spacing w:line="254" w:lineRule="auto"/>
              <w:rPr>
                <w:color w:val="auto"/>
                <w:highlight w:val="none"/>
              </w:rPr>
            </w:pPr>
          </w:p>
          <w:p>
            <w:pPr>
              <w:pStyle w:val="170"/>
              <w:spacing w:line="255" w:lineRule="auto"/>
              <w:rPr>
                <w:color w:val="auto"/>
                <w:highlight w:val="none"/>
              </w:rPr>
            </w:pPr>
          </w:p>
          <w:p>
            <w:pPr>
              <w:pStyle w:val="170"/>
              <w:spacing w:line="255" w:lineRule="auto"/>
              <w:rPr>
                <w:color w:val="auto"/>
                <w:highlight w:val="none"/>
              </w:rPr>
            </w:pPr>
          </w:p>
          <w:p>
            <w:pPr>
              <w:pStyle w:val="170"/>
              <w:spacing w:line="255" w:lineRule="auto"/>
              <w:rPr>
                <w:color w:val="auto"/>
                <w:highlight w:val="none"/>
              </w:rPr>
            </w:pPr>
          </w:p>
          <w:p>
            <w:pPr>
              <w:pStyle w:val="170"/>
              <w:spacing w:line="255" w:lineRule="auto"/>
              <w:rPr>
                <w:color w:val="auto"/>
                <w:highlight w:val="none"/>
              </w:rPr>
            </w:pPr>
          </w:p>
          <w:p>
            <w:pPr>
              <w:pStyle w:val="170"/>
              <w:spacing w:line="255" w:lineRule="auto"/>
              <w:rPr>
                <w:color w:val="auto"/>
                <w:highlight w:val="none"/>
              </w:rPr>
            </w:pPr>
          </w:p>
          <w:p>
            <w:pPr>
              <w:spacing w:before="65" w:line="225" w:lineRule="auto"/>
              <w:ind w:left="90" w:right="51" w:hanging="34"/>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场所要求</w:t>
            </w:r>
            <w:r>
              <w:rPr>
                <w:rFonts w:ascii="宋体" w:hAnsi="宋体" w:eastAsia="宋体" w:cs="宋体"/>
                <w:color w:val="auto"/>
                <w:spacing w:val="1"/>
                <w:sz w:val="20"/>
                <w:szCs w:val="20"/>
                <w:highlight w:val="none"/>
              </w:rPr>
              <w:t xml:space="preserve"> </w:t>
            </w:r>
            <w:r>
              <w:rPr>
                <w:rFonts w:ascii="宋体" w:hAnsi="宋体" w:eastAsia="宋体" w:cs="宋体"/>
                <w:color w:val="auto"/>
                <w:spacing w:val="14"/>
                <w:sz w:val="20"/>
                <w:szCs w:val="20"/>
                <w:highlight w:val="none"/>
              </w:rPr>
              <w:t>（</w:t>
            </w:r>
            <w:r>
              <w:rPr>
                <w:rFonts w:ascii="Times New Roman" w:hAnsi="Times New Roman" w:eastAsia="Times New Roman" w:cs="Times New Roman"/>
                <w:color w:val="auto"/>
                <w:spacing w:val="14"/>
                <w:sz w:val="20"/>
                <w:szCs w:val="20"/>
                <w:highlight w:val="none"/>
              </w:rPr>
              <w:t>5</w:t>
            </w:r>
            <w:r>
              <w:rPr>
                <w:rFonts w:ascii="宋体" w:hAnsi="宋体" w:eastAsia="宋体" w:cs="宋体"/>
                <w:color w:val="auto"/>
                <w:spacing w:val="14"/>
                <w:sz w:val="20"/>
                <w:szCs w:val="20"/>
                <w:highlight w:val="none"/>
              </w:rPr>
              <w:t>分）</w:t>
            </w:r>
          </w:p>
        </w:tc>
        <w:tc>
          <w:tcPr>
            <w:tcW w:w="4333" w:type="dxa"/>
            <w:noWrap w:val="0"/>
            <w:vAlign w:val="top"/>
          </w:tcPr>
          <w:p>
            <w:pPr>
              <w:pStyle w:val="170"/>
              <w:spacing w:line="328" w:lineRule="auto"/>
              <w:rPr>
                <w:color w:val="auto"/>
                <w:highlight w:val="none"/>
              </w:rPr>
            </w:pPr>
          </w:p>
          <w:p>
            <w:pPr>
              <w:spacing w:before="65" w:line="225" w:lineRule="auto"/>
              <w:ind w:left="133" w:right="171" w:firstLine="4"/>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室内面积</w:t>
            </w:r>
            <w:r>
              <w:rPr>
                <w:rFonts w:ascii="Times New Roman" w:hAnsi="Times New Roman" w:eastAsia="Times New Roman" w:cs="Times New Roman"/>
                <w:color w:val="auto"/>
                <w:spacing w:val="5"/>
                <w:sz w:val="20"/>
                <w:szCs w:val="20"/>
                <w:highlight w:val="none"/>
              </w:rPr>
              <w:t xml:space="preserve">≥40 </w:t>
            </w:r>
            <w:r>
              <w:rPr>
                <w:rFonts w:ascii="宋体" w:hAnsi="宋体" w:eastAsia="宋体" w:cs="宋体"/>
                <w:color w:val="auto"/>
                <w:spacing w:val="5"/>
                <w:sz w:val="20"/>
                <w:szCs w:val="20"/>
                <w:highlight w:val="none"/>
              </w:rPr>
              <w:t>平方米（</w:t>
            </w:r>
            <w:r>
              <w:rPr>
                <w:rFonts w:ascii="Times New Roman" w:hAnsi="Times New Roman" w:eastAsia="Times New Roman" w:cs="Times New Roman"/>
                <w:color w:val="auto"/>
                <w:spacing w:val="5"/>
                <w:sz w:val="20"/>
                <w:szCs w:val="20"/>
                <w:highlight w:val="none"/>
              </w:rPr>
              <w:t xml:space="preserve">35-40 </w:t>
            </w:r>
            <w:r>
              <w:rPr>
                <w:rFonts w:ascii="宋体" w:hAnsi="宋体" w:eastAsia="宋体" w:cs="宋体"/>
                <w:color w:val="auto"/>
                <w:spacing w:val="5"/>
                <w:sz w:val="20"/>
                <w:szCs w:val="20"/>
                <w:highlight w:val="none"/>
              </w:rPr>
              <w:t>平方米得</w:t>
            </w:r>
            <w:r>
              <w:rPr>
                <w:rFonts w:ascii="宋体" w:hAnsi="宋体" w:eastAsia="宋体" w:cs="宋体"/>
                <w:color w:val="auto"/>
                <w:spacing w:val="-39"/>
                <w:sz w:val="20"/>
                <w:szCs w:val="20"/>
                <w:highlight w:val="none"/>
              </w:rPr>
              <w:t xml:space="preserve"> </w:t>
            </w:r>
            <w:r>
              <w:rPr>
                <w:rFonts w:ascii="Times New Roman" w:hAnsi="Times New Roman" w:eastAsia="Times New Roman" w:cs="Times New Roman"/>
                <w:color w:val="auto"/>
                <w:spacing w:val="5"/>
                <w:sz w:val="20"/>
                <w:szCs w:val="20"/>
                <w:highlight w:val="none"/>
              </w:rPr>
              <w:t xml:space="preserve">2 </w:t>
            </w:r>
            <w:r>
              <w:rPr>
                <w:rFonts w:ascii="宋体" w:hAnsi="宋体" w:eastAsia="宋体" w:cs="宋体"/>
                <w:color w:val="auto"/>
                <w:spacing w:val="5"/>
                <w:sz w:val="20"/>
                <w:szCs w:val="20"/>
                <w:highlight w:val="none"/>
              </w:rPr>
              <w:t>分，</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低于</w:t>
            </w:r>
            <w:r>
              <w:rPr>
                <w:rFonts w:ascii="宋体" w:hAnsi="宋体" w:eastAsia="宋体" w:cs="宋体"/>
                <w:color w:val="auto"/>
                <w:spacing w:val="-32"/>
                <w:sz w:val="20"/>
                <w:szCs w:val="20"/>
                <w:highlight w:val="none"/>
              </w:rPr>
              <w:t xml:space="preserve"> </w:t>
            </w:r>
            <w:r>
              <w:rPr>
                <w:rFonts w:ascii="Times New Roman" w:hAnsi="Times New Roman" w:eastAsia="Times New Roman" w:cs="Times New Roman"/>
                <w:color w:val="auto"/>
                <w:spacing w:val="2"/>
                <w:sz w:val="20"/>
                <w:szCs w:val="20"/>
                <w:highlight w:val="none"/>
              </w:rPr>
              <w:t xml:space="preserve">35 </w:t>
            </w:r>
            <w:r>
              <w:rPr>
                <w:rFonts w:ascii="宋体" w:hAnsi="宋体" w:eastAsia="宋体" w:cs="宋体"/>
                <w:color w:val="auto"/>
                <w:spacing w:val="2"/>
                <w:sz w:val="20"/>
                <w:szCs w:val="20"/>
                <w:highlight w:val="none"/>
              </w:rPr>
              <w:t>平方米得</w:t>
            </w:r>
            <w:r>
              <w:rPr>
                <w:rFonts w:ascii="宋体" w:hAnsi="宋体" w:eastAsia="宋体" w:cs="宋体"/>
                <w:color w:val="auto"/>
                <w:spacing w:val="-23"/>
                <w:sz w:val="20"/>
                <w:szCs w:val="20"/>
                <w:highlight w:val="none"/>
              </w:rPr>
              <w:t xml:space="preserve"> </w:t>
            </w:r>
            <w:r>
              <w:rPr>
                <w:rFonts w:ascii="Times New Roman" w:hAnsi="Times New Roman" w:eastAsia="Times New Roman" w:cs="Times New Roman"/>
                <w:color w:val="auto"/>
                <w:spacing w:val="2"/>
                <w:sz w:val="20"/>
                <w:szCs w:val="20"/>
                <w:highlight w:val="none"/>
              </w:rPr>
              <w:t>1</w:t>
            </w:r>
            <w:r>
              <w:rPr>
                <w:rFonts w:ascii="Times New Roman" w:hAnsi="Times New Roman" w:eastAsia="Times New Roman" w:cs="Times New Roman"/>
                <w:color w:val="auto"/>
                <w:spacing w:val="14"/>
                <w:w w:val="101"/>
                <w:sz w:val="20"/>
                <w:szCs w:val="20"/>
                <w:highlight w:val="none"/>
              </w:rPr>
              <w:t xml:space="preserve"> </w:t>
            </w:r>
            <w:r>
              <w:rPr>
                <w:rFonts w:ascii="宋体" w:hAnsi="宋体" w:eastAsia="宋体" w:cs="宋体"/>
                <w:color w:val="auto"/>
                <w:spacing w:val="2"/>
                <w:sz w:val="20"/>
                <w:szCs w:val="20"/>
                <w:highlight w:val="none"/>
              </w:rPr>
              <w:t>分）</w:t>
            </w:r>
          </w:p>
        </w:tc>
        <w:tc>
          <w:tcPr>
            <w:tcW w:w="708" w:type="dxa"/>
            <w:noWrap w:val="0"/>
            <w:vAlign w:val="top"/>
          </w:tcPr>
          <w:p>
            <w:pPr>
              <w:pStyle w:val="170"/>
              <w:spacing w:line="245" w:lineRule="auto"/>
              <w:rPr>
                <w:color w:val="auto"/>
                <w:highlight w:val="none"/>
              </w:rPr>
            </w:pPr>
          </w:p>
          <w:p>
            <w:pPr>
              <w:pStyle w:val="170"/>
              <w:spacing w:line="246"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92" w:line="228" w:lineRule="auto"/>
              <w:ind w:left="137"/>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设立儿童之家醒目标志与安全警示标识</w:t>
            </w:r>
          </w:p>
        </w:tc>
        <w:tc>
          <w:tcPr>
            <w:tcW w:w="708" w:type="dxa"/>
            <w:noWrap w:val="0"/>
            <w:vAlign w:val="top"/>
          </w:tcPr>
          <w:p>
            <w:pPr>
              <w:pStyle w:val="170"/>
              <w:spacing w:line="268" w:lineRule="auto"/>
              <w:rPr>
                <w:color w:val="auto"/>
                <w:highlight w:val="none"/>
              </w:rPr>
            </w:pPr>
          </w:p>
          <w:p>
            <w:pPr>
              <w:spacing w:before="58" w:line="195" w:lineRule="auto"/>
              <w:ind w:left="32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1</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91" w:line="228" w:lineRule="auto"/>
              <w:ind w:left="136"/>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建设有儿童之家文化墙、展板等文化内容</w:t>
            </w:r>
          </w:p>
        </w:tc>
        <w:tc>
          <w:tcPr>
            <w:tcW w:w="708" w:type="dxa"/>
            <w:noWrap w:val="0"/>
            <w:vAlign w:val="top"/>
          </w:tcPr>
          <w:p>
            <w:pPr>
              <w:pStyle w:val="170"/>
              <w:spacing w:line="268" w:lineRule="auto"/>
              <w:rPr>
                <w:color w:val="auto"/>
                <w:highlight w:val="none"/>
              </w:rPr>
            </w:pPr>
          </w:p>
          <w:p>
            <w:pPr>
              <w:spacing w:before="58" w:line="195" w:lineRule="auto"/>
              <w:ind w:left="32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1</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tcBorders>
            <w:noWrap w:val="0"/>
            <w:vAlign w:val="top"/>
          </w:tcPr>
          <w:p>
            <w:pPr>
              <w:pStyle w:val="170"/>
              <w:rPr>
                <w:color w:val="auto"/>
                <w:highlight w:val="none"/>
              </w:rPr>
            </w:pPr>
          </w:p>
        </w:tc>
        <w:tc>
          <w:tcPr>
            <w:tcW w:w="4333" w:type="dxa"/>
            <w:noWrap w:val="0"/>
            <w:vAlign w:val="top"/>
          </w:tcPr>
          <w:p>
            <w:pPr>
              <w:spacing w:before="292" w:line="228" w:lineRule="auto"/>
              <w:ind w:left="137"/>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室内室外无危险设施和安全隐患</w:t>
            </w:r>
          </w:p>
        </w:tc>
        <w:tc>
          <w:tcPr>
            <w:tcW w:w="708" w:type="dxa"/>
            <w:noWrap w:val="0"/>
            <w:vAlign w:val="top"/>
          </w:tcPr>
          <w:p>
            <w:pPr>
              <w:pStyle w:val="170"/>
              <w:spacing w:line="268" w:lineRule="auto"/>
              <w:rPr>
                <w:color w:val="auto"/>
                <w:highlight w:val="none"/>
              </w:rPr>
            </w:pPr>
          </w:p>
          <w:p>
            <w:pPr>
              <w:spacing w:before="58" w:line="195" w:lineRule="auto"/>
              <w:ind w:left="32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1</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restart"/>
            <w:tcBorders>
              <w:bottom w:val="nil"/>
            </w:tcBorders>
            <w:noWrap w:val="0"/>
            <w:vAlign w:val="top"/>
          </w:tcPr>
          <w:p>
            <w:pPr>
              <w:pStyle w:val="170"/>
              <w:spacing w:line="283" w:lineRule="auto"/>
              <w:rPr>
                <w:color w:val="auto"/>
                <w:highlight w:val="none"/>
              </w:rPr>
            </w:pPr>
          </w:p>
          <w:p>
            <w:pPr>
              <w:pStyle w:val="170"/>
              <w:spacing w:line="283" w:lineRule="auto"/>
              <w:rPr>
                <w:color w:val="auto"/>
                <w:highlight w:val="none"/>
              </w:rPr>
            </w:pPr>
          </w:p>
          <w:p>
            <w:pPr>
              <w:pStyle w:val="170"/>
              <w:spacing w:line="283" w:lineRule="auto"/>
              <w:rPr>
                <w:color w:val="auto"/>
                <w:highlight w:val="none"/>
              </w:rPr>
            </w:pPr>
          </w:p>
          <w:p>
            <w:pPr>
              <w:pStyle w:val="170"/>
              <w:spacing w:line="283" w:lineRule="auto"/>
              <w:rPr>
                <w:color w:val="auto"/>
                <w:highlight w:val="none"/>
              </w:rPr>
            </w:pPr>
          </w:p>
          <w:p>
            <w:pPr>
              <w:pStyle w:val="170"/>
              <w:spacing w:line="284" w:lineRule="auto"/>
              <w:rPr>
                <w:color w:val="auto"/>
                <w:highlight w:val="none"/>
              </w:rPr>
            </w:pPr>
          </w:p>
          <w:p>
            <w:pPr>
              <w:spacing w:before="65" w:line="225" w:lineRule="auto"/>
              <w:ind w:left="90" w:right="51" w:hanging="3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功能设置</w:t>
            </w:r>
            <w:r>
              <w:rPr>
                <w:rFonts w:ascii="宋体" w:hAnsi="宋体" w:eastAsia="宋体" w:cs="宋体"/>
                <w:color w:val="auto"/>
                <w:spacing w:val="1"/>
                <w:sz w:val="20"/>
                <w:szCs w:val="20"/>
                <w:highlight w:val="none"/>
              </w:rPr>
              <w:t xml:space="preserve"> </w:t>
            </w:r>
            <w:r>
              <w:rPr>
                <w:rFonts w:ascii="宋体" w:hAnsi="宋体" w:eastAsia="宋体" w:cs="宋体"/>
                <w:color w:val="auto"/>
                <w:spacing w:val="14"/>
                <w:sz w:val="20"/>
                <w:szCs w:val="20"/>
                <w:highlight w:val="none"/>
              </w:rPr>
              <w:t>（</w:t>
            </w:r>
            <w:r>
              <w:rPr>
                <w:rFonts w:ascii="Times New Roman" w:hAnsi="Times New Roman" w:eastAsia="Times New Roman" w:cs="Times New Roman"/>
                <w:color w:val="auto"/>
                <w:spacing w:val="14"/>
                <w:sz w:val="20"/>
                <w:szCs w:val="20"/>
                <w:highlight w:val="none"/>
              </w:rPr>
              <w:t>7</w:t>
            </w:r>
            <w:r>
              <w:rPr>
                <w:rFonts w:ascii="宋体" w:hAnsi="宋体" w:eastAsia="宋体" w:cs="宋体"/>
                <w:color w:val="auto"/>
                <w:spacing w:val="14"/>
                <w:sz w:val="20"/>
                <w:szCs w:val="20"/>
                <w:highlight w:val="none"/>
              </w:rPr>
              <w:t>分）</w:t>
            </w:r>
          </w:p>
        </w:tc>
        <w:tc>
          <w:tcPr>
            <w:tcW w:w="4333" w:type="dxa"/>
            <w:noWrap w:val="0"/>
            <w:vAlign w:val="top"/>
          </w:tcPr>
          <w:p>
            <w:pPr>
              <w:spacing w:before="285" w:line="225" w:lineRule="auto"/>
              <w:ind w:left="134" w:right="1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按照儿童年龄特点和成长需求，合理划分活</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动区域</w:t>
            </w:r>
          </w:p>
        </w:tc>
        <w:tc>
          <w:tcPr>
            <w:tcW w:w="708" w:type="dxa"/>
            <w:noWrap w:val="0"/>
            <w:vAlign w:val="top"/>
          </w:tcPr>
          <w:p>
            <w:pPr>
              <w:pStyle w:val="170"/>
              <w:spacing w:line="380" w:lineRule="auto"/>
              <w:rPr>
                <w:color w:val="auto"/>
                <w:highlight w:val="none"/>
              </w:rPr>
            </w:pPr>
          </w:p>
          <w:p>
            <w:pPr>
              <w:spacing w:before="58" w:line="195" w:lineRule="auto"/>
              <w:ind w:left="32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1</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93" w:line="228" w:lineRule="auto"/>
              <w:ind w:left="137"/>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设有休息室及心理咨询空间</w:t>
            </w:r>
          </w:p>
        </w:tc>
        <w:tc>
          <w:tcPr>
            <w:tcW w:w="708" w:type="dxa"/>
            <w:noWrap w:val="0"/>
            <w:vAlign w:val="top"/>
          </w:tcPr>
          <w:p>
            <w:pPr>
              <w:pStyle w:val="170"/>
              <w:spacing w:line="269"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173" w:line="226" w:lineRule="auto"/>
              <w:ind w:left="149" w:right="124" w:hanging="16"/>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含有图书、音乐、舞蹈等多功能室内活动空</w:t>
            </w:r>
            <w:r>
              <w:rPr>
                <w:rFonts w:ascii="宋体" w:hAnsi="宋体" w:eastAsia="宋体" w:cs="宋体"/>
                <w:color w:val="auto"/>
                <w:spacing w:val="2"/>
                <w:sz w:val="20"/>
                <w:szCs w:val="20"/>
                <w:highlight w:val="none"/>
              </w:rPr>
              <w:t xml:space="preserve"> </w:t>
            </w:r>
            <w:r>
              <w:rPr>
                <w:rFonts w:ascii="宋体" w:hAnsi="宋体" w:eastAsia="宋体" w:cs="宋体"/>
                <w:color w:val="auto"/>
                <w:sz w:val="20"/>
                <w:szCs w:val="20"/>
                <w:highlight w:val="none"/>
              </w:rPr>
              <w:t>间</w:t>
            </w:r>
          </w:p>
        </w:tc>
        <w:tc>
          <w:tcPr>
            <w:tcW w:w="708" w:type="dxa"/>
            <w:noWrap w:val="0"/>
            <w:vAlign w:val="top"/>
          </w:tcPr>
          <w:p>
            <w:pPr>
              <w:pStyle w:val="170"/>
              <w:spacing w:line="269"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tcBorders>
            <w:noWrap w:val="0"/>
            <w:vAlign w:val="top"/>
          </w:tcPr>
          <w:p>
            <w:pPr>
              <w:pStyle w:val="170"/>
              <w:rPr>
                <w:color w:val="auto"/>
                <w:highlight w:val="none"/>
              </w:rPr>
            </w:pPr>
          </w:p>
        </w:tc>
        <w:tc>
          <w:tcPr>
            <w:tcW w:w="4333" w:type="dxa"/>
            <w:noWrap w:val="0"/>
            <w:vAlign w:val="top"/>
          </w:tcPr>
          <w:p>
            <w:pPr>
              <w:spacing w:before="293" w:line="228" w:lineRule="auto"/>
              <w:ind w:left="13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含有儿童游乐、文体等多种运动的室外区域</w:t>
            </w:r>
          </w:p>
        </w:tc>
        <w:tc>
          <w:tcPr>
            <w:tcW w:w="708" w:type="dxa"/>
            <w:noWrap w:val="0"/>
            <w:vAlign w:val="top"/>
          </w:tcPr>
          <w:p>
            <w:pPr>
              <w:pStyle w:val="170"/>
              <w:spacing w:line="269"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restart"/>
            <w:tcBorders>
              <w:bottom w:val="nil"/>
            </w:tcBorders>
            <w:noWrap w:val="0"/>
            <w:vAlign w:val="top"/>
          </w:tcPr>
          <w:p>
            <w:pPr>
              <w:pStyle w:val="170"/>
              <w:spacing w:line="264" w:lineRule="auto"/>
              <w:rPr>
                <w:color w:val="auto"/>
                <w:highlight w:val="none"/>
              </w:rPr>
            </w:pPr>
          </w:p>
          <w:p>
            <w:pPr>
              <w:pStyle w:val="170"/>
              <w:spacing w:line="264" w:lineRule="auto"/>
              <w:rPr>
                <w:color w:val="auto"/>
                <w:highlight w:val="none"/>
              </w:rPr>
            </w:pPr>
          </w:p>
          <w:p>
            <w:pPr>
              <w:pStyle w:val="170"/>
              <w:spacing w:line="264" w:lineRule="auto"/>
              <w:rPr>
                <w:color w:val="auto"/>
                <w:highlight w:val="none"/>
              </w:rPr>
            </w:pPr>
          </w:p>
          <w:p>
            <w:pPr>
              <w:pStyle w:val="170"/>
              <w:spacing w:line="264" w:lineRule="auto"/>
              <w:rPr>
                <w:color w:val="auto"/>
                <w:highlight w:val="none"/>
              </w:rPr>
            </w:pPr>
          </w:p>
          <w:p>
            <w:pPr>
              <w:pStyle w:val="170"/>
              <w:spacing w:line="265" w:lineRule="auto"/>
              <w:rPr>
                <w:color w:val="auto"/>
                <w:highlight w:val="none"/>
              </w:rPr>
            </w:pPr>
          </w:p>
          <w:p>
            <w:pPr>
              <w:pStyle w:val="170"/>
              <w:spacing w:line="265" w:lineRule="auto"/>
              <w:rPr>
                <w:color w:val="auto"/>
                <w:highlight w:val="none"/>
              </w:rPr>
            </w:pPr>
          </w:p>
          <w:p>
            <w:pPr>
              <w:spacing w:before="65" w:line="225" w:lineRule="auto"/>
              <w:ind w:left="90" w:right="51" w:hanging="34"/>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配套设施</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w:t>
            </w:r>
            <w:r>
              <w:rPr>
                <w:rFonts w:ascii="Times New Roman" w:hAnsi="Times New Roman" w:eastAsia="Times New Roman" w:cs="Times New Roman"/>
                <w:color w:val="auto"/>
                <w:spacing w:val="14"/>
                <w:sz w:val="20"/>
                <w:szCs w:val="20"/>
                <w:highlight w:val="none"/>
              </w:rPr>
              <w:t>8</w:t>
            </w:r>
            <w:r>
              <w:rPr>
                <w:rFonts w:ascii="宋体" w:hAnsi="宋体" w:eastAsia="宋体" w:cs="宋体"/>
                <w:color w:val="auto"/>
                <w:spacing w:val="14"/>
                <w:sz w:val="20"/>
                <w:szCs w:val="20"/>
                <w:highlight w:val="none"/>
              </w:rPr>
              <w:t>分）</w:t>
            </w:r>
          </w:p>
        </w:tc>
        <w:tc>
          <w:tcPr>
            <w:tcW w:w="4333" w:type="dxa"/>
            <w:noWrap w:val="0"/>
            <w:vAlign w:val="top"/>
          </w:tcPr>
          <w:p>
            <w:pPr>
              <w:pStyle w:val="170"/>
              <w:spacing w:line="247" w:lineRule="auto"/>
              <w:rPr>
                <w:color w:val="auto"/>
                <w:highlight w:val="none"/>
              </w:rPr>
            </w:pPr>
          </w:p>
          <w:p>
            <w:pPr>
              <w:spacing w:before="65" w:line="226" w:lineRule="auto"/>
              <w:ind w:left="133" w:right="123"/>
              <w:rPr>
                <w:rFonts w:ascii="宋体" w:hAnsi="宋体" w:eastAsia="宋体" w:cs="宋体"/>
                <w:color w:val="auto"/>
                <w:sz w:val="20"/>
                <w:szCs w:val="20"/>
                <w:highlight w:val="none"/>
              </w:rPr>
            </w:pPr>
            <w:r>
              <w:rPr>
                <w:rFonts w:ascii="宋体" w:hAnsi="宋体" w:eastAsia="宋体" w:cs="宋体"/>
                <w:color w:val="auto"/>
                <w:spacing w:val="15"/>
                <w:sz w:val="20"/>
                <w:szCs w:val="20"/>
                <w:highlight w:val="none"/>
              </w:rPr>
              <w:t>配备有图书架和各年龄段儿童流动图书</w:t>
            </w:r>
            <w:r>
              <w:rPr>
                <w:rFonts w:ascii="宋体" w:hAnsi="宋体" w:eastAsia="宋体" w:cs="宋体"/>
                <w:color w:val="auto"/>
                <w:spacing w:val="-31"/>
                <w:sz w:val="20"/>
                <w:szCs w:val="20"/>
                <w:highlight w:val="none"/>
              </w:rPr>
              <w:t xml:space="preserve"> </w:t>
            </w:r>
            <w:r>
              <w:rPr>
                <w:rFonts w:ascii="Times New Roman" w:hAnsi="Times New Roman" w:eastAsia="Times New Roman" w:cs="Times New Roman"/>
                <w:color w:val="auto"/>
                <w:spacing w:val="15"/>
                <w:sz w:val="20"/>
                <w:szCs w:val="20"/>
                <w:highlight w:val="none"/>
              </w:rPr>
              <w:t>300</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6"/>
                <w:sz w:val="20"/>
                <w:szCs w:val="20"/>
                <w:highlight w:val="none"/>
              </w:rPr>
              <w:t>册以上</w:t>
            </w:r>
          </w:p>
        </w:tc>
        <w:tc>
          <w:tcPr>
            <w:tcW w:w="708" w:type="dxa"/>
            <w:noWrap w:val="0"/>
            <w:vAlign w:val="top"/>
          </w:tcPr>
          <w:p>
            <w:pPr>
              <w:pStyle w:val="170"/>
              <w:spacing w:line="410" w:lineRule="auto"/>
              <w:rPr>
                <w:color w:val="auto"/>
                <w:highlight w:val="none"/>
              </w:rPr>
            </w:pPr>
          </w:p>
          <w:p>
            <w:pPr>
              <w:spacing w:before="57" w:line="195" w:lineRule="auto"/>
              <w:ind w:left="32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1</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81"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pStyle w:val="170"/>
              <w:spacing w:line="248" w:lineRule="auto"/>
              <w:rPr>
                <w:color w:val="auto"/>
                <w:highlight w:val="none"/>
              </w:rPr>
            </w:pPr>
          </w:p>
          <w:p>
            <w:pPr>
              <w:spacing w:before="65" w:line="225" w:lineRule="auto"/>
              <w:ind w:left="134" w:right="124" w:hanging="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配备基本卫生保健用品，包括消毒用品、急</w:t>
            </w:r>
            <w:r>
              <w:rPr>
                <w:rFonts w:ascii="宋体" w:hAnsi="宋体" w:eastAsia="宋体" w:cs="宋体"/>
                <w:color w:val="auto"/>
                <w:spacing w:val="2"/>
                <w:sz w:val="20"/>
                <w:szCs w:val="20"/>
                <w:highlight w:val="none"/>
              </w:rPr>
              <w:t xml:space="preserve"> </w:t>
            </w:r>
            <w:r>
              <w:rPr>
                <w:rFonts w:ascii="宋体" w:hAnsi="宋体" w:eastAsia="宋体" w:cs="宋体"/>
                <w:color w:val="auto"/>
                <w:spacing w:val="6"/>
                <w:sz w:val="20"/>
                <w:szCs w:val="20"/>
                <w:highlight w:val="none"/>
              </w:rPr>
              <w:t>救包等</w:t>
            </w:r>
          </w:p>
        </w:tc>
        <w:tc>
          <w:tcPr>
            <w:tcW w:w="708" w:type="dxa"/>
            <w:noWrap w:val="0"/>
            <w:vAlign w:val="top"/>
          </w:tcPr>
          <w:p>
            <w:pPr>
              <w:pStyle w:val="170"/>
              <w:spacing w:line="411" w:lineRule="auto"/>
              <w:rPr>
                <w:color w:val="auto"/>
                <w:highlight w:val="none"/>
              </w:rPr>
            </w:pPr>
          </w:p>
          <w:p>
            <w:pPr>
              <w:spacing w:before="57" w:line="195" w:lineRule="auto"/>
              <w:ind w:left="308"/>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3</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94" w:line="228" w:lineRule="auto"/>
              <w:ind w:left="13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配备各种运动文体活动器材</w:t>
            </w:r>
          </w:p>
        </w:tc>
        <w:tc>
          <w:tcPr>
            <w:tcW w:w="708" w:type="dxa"/>
            <w:noWrap w:val="0"/>
            <w:vAlign w:val="top"/>
          </w:tcPr>
          <w:p>
            <w:pPr>
              <w:pStyle w:val="170"/>
              <w:spacing w:line="271" w:lineRule="auto"/>
              <w:rPr>
                <w:color w:val="auto"/>
                <w:highlight w:val="none"/>
              </w:rPr>
            </w:pPr>
          </w:p>
          <w:p>
            <w:pPr>
              <w:spacing w:before="58"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1033" w:type="dxa"/>
            <w:vMerge w:val="continue"/>
            <w:tcBorders>
              <w:top w:val="nil"/>
            </w:tcBorders>
            <w:noWrap w:val="0"/>
            <w:vAlign w:val="top"/>
          </w:tcPr>
          <w:p>
            <w:pPr>
              <w:pStyle w:val="170"/>
              <w:rPr>
                <w:color w:val="auto"/>
                <w:highlight w:val="none"/>
              </w:rPr>
            </w:pPr>
          </w:p>
        </w:tc>
        <w:tc>
          <w:tcPr>
            <w:tcW w:w="943" w:type="dxa"/>
            <w:vMerge w:val="continue"/>
            <w:tcBorders>
              <w:top w:val="nil"/>
            </w:tcBorders>
            <w:noWrap w:val="0"/>
            <w:vAlign w:val="top"/>
          </w:tcPr>
          <w:p>
            <w:pPr>
              <w:pStyle w:val="170"/>
              <w:rPr>
                <w:color w:val="auto"/>
                <w:highlight w:val="none"/>
              </w:rPr>
            </w:pPr>
          </w:p>
        </w:tc>
        <w:tc>
          <w:tcPr>
            <w:tcW w:w="4333" w:type="dxa"/>
            <w:noWrap w:val="0"/>
            <w:vAlign w:val="top"/>
          </w:tcPr>
          <w:p>
            <w:pPr>
              <w:spacing w:before="175" w:line="225" w:lineRule="auto"/>
              <w:ind w:left="134" w:right="124" w:hanging="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配备基础设备，如桌椅、办公用品、多媒体</w:t>
            </w:r>
            <w:r>
              <w:rPr>
                <w:rFonts w:ascii="宋体" w:hAnsi="宋体" w:eastAsia="宋体" w:cs="宋体"/>
                <w:color w:val="auto"/>
                <w:spacing w:val="2"/>
                <w:sz w:val="20"/>
                <w:szCs w:val="20"/>
                <w:highlight w:val="none"/>
              </w:rPr>
              <w:t xml:space="preserve"> </w:t>
            </w:r>
            <w:r>
              <w:rPr>
                <w:rFonts w:ascii="宋体" w:hAnsi="宋体" w:eastAsia="宋体" w:cs="宋体"/>
                <w:color w:val="auto"/>
                <w:sz w:val="20"/>
                <w:szCs w:val="20"/>
                <w:highlight w:val="none"/>
              </w:rPr>
              <w:t>等</w:t>
            </w:r>
          </w:p>
        </w:tc>
        <w:tc>
          <w:tcPr>
            <w:tcW w:w="708" w:type="dxa"/>
            <w:noWrap w:val="0"/>
            <w:vAlign w:val="top"/>
          </w:tcPr>
          <w:p>
            <w:pPr>
              <w:pStyle w:val="170"/>
              <w:spacing w:line="271" w:lineRule="auto"/>
              <w:rPr>
                <w:color w:val="auto"/>
                <w:highlight w:val="none"/>
              </w:rPr>
            </w:pPr>
          </w:p>
          <w:p>
            <w:pPr>
              <w:spacing w:before="58"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bl>
    <w:p>
      <w:pPr>
        <w:rPr>
          <w:rFonts w:ascii="Arial" w:hAnsi="Arial" w:eastAsia="Arial" w:cs="Arial"/>
          <w:color w:val="auto"/>
          <w:sz w:val="21"/>
          <w:szCs w:val="21"/>
          <w:highlight w:val="none"/>
        </w:rPr>
        <w:sectPr>
          <w:footerReference r:id="rId6" w:type="default"/>
          <w:pgSz w:w="11906" w:h="16839"/>
          <w:pgMar w:top="400" w:right="1506" w:bottom="1584" w:left="1505" w:header="0" w:footer="1397" w:gutter="0"/>
          <w:pgNumType w:fmt="decimal"/>
          <w:cols w:space="720" w:num="1"/>
        </w:sectPr>
      </w:pPr>
    </w:p>
    <w:p>
      <w:pPr>
        <w:spacing w:before="22"/>
        <w:rPr>
          <w:color w:val="auto"/>
          <w:highlight w:val="none"/>
        </w:rPr>
      </w:pPr>
    </w:p>
    <w:tbl>
      <w:tblPr>
        <w:tblStyle w:val="171"/>
        <w:tblW w:w="88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943"/>
        <w:gridCol w:w="4333"/>
        <w:gridCol w:w="708"/>
        <w:gridCol w:w="620"/>
        <w:gridCol w:w="624"/>
        <w:gridCol w:w="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033" w:type="dxa"/>
            <w:noWrap w:val="0"/>
            <w:vAlign w:val="top"/>
          </w:tcPr>
          <w:p>
            <w:pPr>
              <w:spacing w:before="136" w:line="229" w:lineRule="auto"/>
              <w:ind w:left="104"/>
              <w:rPr>
                <w:rFonts w:ascii="黑体" w:hAnsi="黑体" w:eastAsia="黑体" w:cs="黑体"/>
                <w:color w:val="auto"/>
                <w:sz w:val="20"/>
                <w:szCs w:val="20"/>
                <w:highlight w:val="none"/>
              </w:rPr>
            </w:pPr>
            <w:r>
              <w:rPr>
                <w:rFonts w:ascii="黑体" w:hAnsi="黑体" w:eastAsia="黑体" w:cs="黑体"/>
                <w:color w:val="auto"/>
                <w:spacing w:val="6"/>
                <w:sz w:val="20"/>
                <w:szCs w:val="20"/>
                <w:highlight w:val="none"/>
              </w:rPr>
              <w:t>一级指标</w:t>
            </w:r>
          </w:p>
        </w:tc>
        <w:tc>
          <w:tcPr>
            <w:tcW w:w="943" w:type="dxa"/>
            <w:noWrap w:val="0"/>
            <w:vAlign w:val="top"/>
          </w:tcPr>
          <w:p>
            <w:pPr>
              <w:spacing w:before="136" w:line="229" w:lineRule="auto"/>
              <w:ind w:left="60"/>
              <w:rPr>
                <w:rFonts w:ascii="黑体" w:hAnsi="黑体" w:eastAsia="黑体" w:cs="黑体"/>
                <w:color w:val="auto"/>
                <w:sz w:val="20"/>
                <w:szCs w:val="20"/>
                <w:highlight w:val="none"/>
              </w:rPr>
            </w:pPr>
            <w:r>
              <w:rPr>
                <w:rFonts w:ascii="黑体" w:hAnsi="黑体" w:eastAsia="黑体" w:cs="黑体"/>
                <w:color w:val="auto"/>
                <w:spacing w:val="6"/>
                <w:sz w:val="20"/>
                <w:szCs w:val="20"/>
                <w:highlight w:val="none"/>
              </w:rPr>
              <w:t>二级指标</w:t>
            </w:r>
          </w:p>
        </w:tc>
        <w:tc>
          <w:tcPr>
            <w:tcW w:w="4333" w:type="dxa"/>
            <w:noWrap w:val="0"/>
            <w:vAlign w:val="top"/>
          </w:tcPr>
          <w:p>
            <w:pPr>
              <w:spacing w:before="136" w:line="230" w:lineRule="auto"/>
              <w:ind w:left="1753"/>
              <w:rPr>
                <w:rFonts w:ascii="黑体" w:hAnsi="黑体" w:eastAsia="黑体" w:cs="黑体"/>
                <w:color w:val="auto"/>
                <w:sz w:val="20"/>
                <w:szCs w:val="20"/>
                <w:highlight w:val="none"/>
              </w:rPr>
            </w:pPr>
            <w:r>
              <w:rPr>
                <w:rFonts w:ascii="黑体" w:hAnsi="黑体" w:eastAsia="黑体" w:cs="黑体"/>
                <w:color w:val="auto"/>
                <w:spacing w:val="7"/>
                <w:sz w:val="20"/>
                <w:szCs w:val="20"/>
                <w:highlight w:val="none"/>
              </w:rPr>
              <w:t>评估标准</w:t>
            </w:r>
          </w:p>
        </w:tc>
        <w:tc>
          <w:tcPr>
            <w:tcW w:w="708" w:type="dxa"/>
            <w:noWrap w:val="0"/>
            <w:vAlign w:val="top"/>
          </w:tcPr>
          <w:p>
            <w:pPr>
              <w:spacing w:before="136" w:line="231" w:lineRule="auto"/>
              <w:ind w:left="157"/>
              <w:rPr>
                <w:rFonts w:ascii="黑体" w:hAnsi="黑体" w:eastAsia="黑体" w:cs="黑体"/>
                <w:color w:val="auto"/>
                <w:sz w:val="20"/>
                <w:szCs w:val="20"/>
                <w:highlight w:val="none"/>
              </w:rPr>
            </w:pPr>
            <w:r>
              <w:rPr>
                <w:rFonts w:ascii="黑体" w:hAnsi="黑体" w:eastAsia="黑体" w:cs="黑体"/>
                <w:color w:val="auto"/>
                <w:spacing w:val="2"/>
                <w:sz w:val="20"/>
                <w:szCs w:val="20"/>
                <w:highlight w:val="none"/>
              </w:rPr>
              <w:t>分值</w:t>
            </w:r>
          </w:p>
        </w:tc>
        <w:tc>
          <w:tcPr>
            <w:tcW w:w="620" w:type="dxa"/>
            <w:noWrap w:val="0"/>
            <w:vAlign w:val="top"/>
          </w:tcPr>
          <w:p>
            <w:pPr>
              <w:spacing w:before="17" w:line="213" w:lineRule="auto"/>
              <w:ind w:left="107" w:right="96" w:firstLine="14"/>
              <w:rPr>
                <w:rFonts w:ascii="黑体" w:hAnsi="黑体" w:eastAsia="黑体" w:cs="黑体"/>
                <w:color w:val="auto"/>
                <w:sz w:val="20"/>
                <w:szCs w:val="20"/>
                <w:highlight w:val="none"/>
              </w:rPr>
            </w:pPr>
            <w:r>
              <w:rPr>
                <w:rFonts w:ascii="黑体" w:hAnsi="黑体" w:eastAsia="黑体" w:cs="黑体"/>
                <w:color w:val="auto"/>
                <w:spacing w:val="-2"/>
                <w:sz w:val="20"/>
                <w:szCs w:val="20"/>
                <w:highlight w:val="none"/>
              </w:rPr>
              <w:t>民政</w:t>
            </w:r>
            <w:r>
              <w:rPr>
                <w:rFonts w:ascii="黑体" w:hAnsi="黑体" w:eastAsia="黑体" w:cs="黑体"/>
                <w:color w:val="auto"/>
                <w:sz w:val="20"/>
                <w:szCs w:val="20"/>
                <w:highlight w:val="none"/>
              </w:rPr>
              <w:t xml:space="preserve"> </w:t>
            </w:r>
            <w:r>
              <w:rPr>
                <w:rFonts w:ascii="黑体" w:hAnsi="黑体" w:eastAsia="黑体" w:cs="黑体"/>
                <w:color w:val="auto"/>
                <w:spacing w:val="5"/>
                <w:sz w:val="20"/>
                <w:szCs w:val="20"/>
                <w:highlight w:val="none"/>
              </w:rPr>
              <w:t>赋分</w:t>
            </w:r>
          </w:p>
        </w:tc>
        <w:tc>
          <w:tcPr>
            <w:tcW w:w="624" w:type="dxa"/>
            <w:noWrap w:val="0"/>
            <w:vAlign w:val="top"/>
          </w:tcPr>
          <w:p>
            <w:pPr>
              <w:spacing w:before="17" w:line="213" w:lineRule="auto"/>
              <w:ind w:left="108" w:right="98"/>
              <w:rPr>
                <w:rFonts w:ascii="黑体" w:hAnsi="黑体" w:eastAsia="黑体" w:cs="黑体"/>
                <w:color w:val="auto"/>
                <w:sz w:val="20"/>
                <w:szCs w:val="20"/>
                <w:highlight w:val="none"/>
              </w:rPr>
            </w:pPr>
            <w:r>
              <w:rPr>
                <w:rFonts w:ascii="黑体" w:hAnsi="黑体" w:eastAsia="黑体" w:cs="黑体"/>
                <w:color w:val="auto"/>
                <w:spacing w:val="5"/>
                <w:sz w:val="20"/>
                <w:szCs w:val="20"/>
                <w:highlight w:val="none"/>
              </w:rPr>
              <w:t>妇联</w:t>
            </w:r>
            <w:r>
              <w:rPr>
                <w:rFonts w:ascii="黑体" w:hAnsi="黑体" w:eastAsia="黑体" w:cs="黑体"/>
                <w:color w:val="auto"/>
                <w:sz w:val="20"/>
                <w:szCs w:val="20"/>
                <w:highlight w:val="none"/>
              </w:rPr>
              <w:t xml:space="preserve"> </w:t>
            </w:r>
            <w:r>
              <w:rPr>
                <w:rFonts w:ascii="黑体" w:hAnsi="黑体" w:eastAsia="黑体" w:cs="黑体"/>
                <w:color w:val="auto"/>
                <w:spacing w:val="5"/>
                <w:sz w:val="20"/>
                <w:szCs w:val="20"/>
                <w:highlight w:val="none"/>
              </w:rPr>
              <w:t>赋分</w:t>
            </w:r>
          </w:p>
        </w:tc>
        <w:tc>
          <w:tcPr>
            <w:tcW w:w="628" w:type="dxa"/>
            <w:noWrap w:val="0"/>
            <w:vAlign w:val="top"/>
          </w:tcPr>
          <w:p>
            <w:pPr>
              <w:spacing w:before="136" w:line="231" w:lineRule="auto"/>
              <w:ind w:left="108"/>
              <w:rPr>
                <w:rFonts w:ascii="黑体" w:hAnsi="黑体" w:eastAsia="黑体" w:cs="黑体"/>
                <w:color w:val="auto"/>
                <w:sz w:val="20"/>
                <w:szCs w:val="20"/>
                <w:highlight w:val="none"/>
              </w:rPr>
            </w:pPr>
            <w:r>
              <w:rPr>
                <w:rFonts w:ascii="黑体" w:hAnsi="黑体" w:eastAsia="黑体" w:cs="黑体"/>
                <w:color w:val="auto"/>
                <w:spacing w:val="5"/>
                <w:sz w:val="20"/>
                <w:szCs w:val="20"/>
                <w:highlight w:val="none"/>
              </w:rPr>
              <w:t>核分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8" w:hRule="atLeast"/>
        </w:trPr>
        <w:tc>
          <w:tcPr>
            <w:tcW w:w="1033" w:type="dxa"/>
            <w:vMerge w:val="restart"/>
            <w:tcBorders>
              <w:bottom w:val="nil"/>
            </w:tcBorders>
            <w:noWrap w:val="0"/>
            <w:vAlign w:val="top"/>
          </w:tcPr>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4"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spacing w:before="65" w:line="225" w:lineRule="auto"/>
              <w:ind w:left="84" w:right="89" w:firstLine="41"/>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内部管理</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w:t>
            </w:r>
            <w:r>
              <w:rPr>
                <w:rFonts w:ascii="Times New Roman" w:hAnsi="Times New Roman" w:eastAsia="Times New Roman" w:cs="Times New Roman"/>
                <w:color w:val="auto"/>
                <w:spacing w:val="-2"/>
                <w:sz w:val="20"/>
                <w:szCs w:val="20"/>
                <w:highlight w:val="none"/>
              </w:rPr>
              <w:t>20</w:t>
            </w:r>
            <w:r>
              <w:rPr>
                <w:rFonts w:ascii="Times New Roman" w:hAnsi="Times New Roman" w:eastAsia="Times New Roman" w:cs="Times New Roman"/>
                <w:color w:val="auto"/>
                <w:spacing w:val="13"/>
                <w:sz w:val="20"/>
                <w:szCs w:val="20"/>
                <w:highlight w:val="none"/>
              </w:rPr>
              <w:t xml:space="preserve"> </w:t>
            </w:r>
            <w:r>
              <w:rPr>
                <w:rFonts w:ascii="宋体" w:hAnsi="宋体" w:eastAsia="宋体" w:cs="宋体"/>
                <w:color w:val="auto"/>
                <w:spacing w:val="-2"/>
                <w:sz w:val="20"/>
                <w:szCs w:val="20"/>
                <w:highlight w:val="none"/>
              </w:rPr>
              <w:t>分）</w:t>
            </w:r>
          </w:p>
        </w:tc>
        <w:tc>
          <w:tcPr>
            <w:tcW w:w="943" w:type="dxa"/>
            <w:vMerge w:val="restart"/>
            <w:tcBorders>
              <w:bottom w:val="nil"/>
            </w:tcBorders>
            <w:noWrap w:val="0"/>
            <w:vAlign w:val="top"/>
          </w:tcPr>
          <w:p>
            <w:pPr>
              <w:pStyle w:val="170"/>
              <w:spacing w:line="247" w:lineRule="auto"/>
              <w:rPr>
                <w:color w:val="auto"/>
                <w:highlight w:val="none"/>
              </w:rPr>
            </w:pPr>
          </w:p>
          <w:p>
            <w:pPr>
              <w:pStyle w:val="170"/>
              <w:spacing w:line="247" w:lineRule="auto"/>
              <w:rPr>
                <w:color w:val="auto"/>
                <w:highlight w:val="none"/>
              </w:rPr>
            </w:pPr>
          </w:p>
          <w:p>
            <w:pPr>
              <w:pStyle w:val="170"/>
              <w:spacing w:line="247" w:lineRule="auto"/>
              <w:rPr>
                <w:color w:val="auto"/>
                <w:highlight w:val="none"/>
              </w:rPr>
            </w:pPr>
          </w:p>
          <w:p>
            <w:pPr>
              <w:pStyle w:val="170"/>
              <w:spacing w:line="247" w:lineRule="auto"/>
              <w:rPr>
                <w:color w:val="auto"/>
                <w:highlight w:val="none"/>
              </w:rPr>
            </w:pPr>
          </w:p>
          <w:p>
            <w:pPr>
              <w:pStyle w:val="170"/>
              <w:spacing w:line="247" w:lineRule="auto"/>
              <w:rPr>
                <w:color w:val="auto"/>
                <w:highlight w:val="none"/>
              </w:rPr>
            </w:pPr>
          </w:p>
          <w:p>
            <w:pPr>
              <w:pStyle w:val="170"/>
              <w:spacing w:line="247" w:lineRule="auto"/>
              <w:rPr>
                <w:color w:val="auto"/>
                <w:highlight w:val="none"/>
              </w:rPr>
            </w:pPr>
          </w:p>
          <w:p>
            <w:pPr>
              <w:pStyle w:val="170"/>
              <w:spacing w:line="247" w:lineRule="auto"/>
              <w:rPr>
                <w:color w:val="auto"/>
                <w:highlight w:val="none"/>
              </w:rPr>
            </w:pPr>
          </w:p>
          <w:p>
            <w:pPr>
              <w:pStyle w:val="170"/>
              <w:spacing w:line="247" w:lineRule="auto"/>
              <w:rPr>
                <w:color w:val="auto"/>
                <w:highlight w:val="none"/>
              </w:rPr>
            </w:pPr>
          </w:p>
          <w:p>
            <w:pPr>
              <w:pStyle w:val="170"/>
              <w:spacing w:line="247" w:lineRule="auto"/>
              <w:rPr>
                <w:color w:val="auto"/>
                <w:highlight w:val="none"/>
              </w:rPr>
            </w:pPr>
          </w:p>
          <w:p>
            <w:pPr>
              <w:pStyle w:val="170"/>
              <w:spacing w:line="247" w:lineRule="auto"/>
              <w:rPr>
                <w:color w:val="auto"/>
                <w:highlight w:val="none"/>
              </w:rPr>
            </w:pPr>
          </w:p>
          <w:p>
            <w:pPr>
              <w:pStyle w:val="170"/>
              <w:spacing w:line="247" w:lineRule="auto"/>
              <w:rPr>
                <w:color w:val="auto"/>
                <w:highlight w:val="none"/>
              </w:rPr>
            </w:pPr>
          </w:p>
          <w:p>
            <w:pPr>
              <w:pStyle w:val="170"/>
              <w:spacing w:line="248" w:lineRule="auto"/>
              <w:rPr>
                <w:color w:val="auto"/>
                <w:highlight w:val="none"/>
              </w:rPr>
            </w:pPr>
          </w:p>
          <w:p>
            <w:pPr>
              <w:spacing w:before="65" w:line="225" w:lineRule="auto"/>
              <w:ind w:left="40" w:right="45" w:firstLine="17"/>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制度规范</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w:t>
            </w:r>
            <w:r>
              <w:rPr>
                <w:rFonts w:ascii="Times New Roman" w:hAnsi="Times New Roman" w:eastAsia="Times New Roman" w:cs="Times New Roman"/>
                <w:color w:val="auto"/>
                <w:spacing w:val="-3"/>
                <w:sz w:val="20"/>
                <w:szCs w:val="20"/>
                <w:highlight w:val="none"/>
              </w:rPr>
              <w:t>10</w:t>
            </w:r>
            <w:r>
              <w:rPr>
                <w:rFonts w:ascii="Times New Roman" w:hAnsi="Times New Roman" w:eastAsia="Times New Roman" w:cs="Times New Roman"/>
                <w:color w:val="auto"/>
                <w:spacing w:val="15"/>
                <w:w w:val="101"/>
                <w:sz w:val="20"/>
                <w:szCs w:val="20"/>
                <w:highlight w:val="none"/>
              </w:rPr>
              <w:t xml:space="preserve"> </w:t>
            </w:r>
            <w:r>
              <w:rPr>
                <w:rFonts w:ascii="宋体" w:hAnsi="宋体" w:eastAsia="宋体" w:cs="宋体"/>
                <w:color w:val="auto"/>
                <w:spacing w:val="-3"/>
                <w:sz w:val="20"/>
                <w:szCs w:val="20"/>
                <w:highlight w:val="none"/>
              </w:rPr>
              <w:t>分）</w:t>
            </w:r>
          </w:p>
        </w:tc>
        <w:tc>
          <w:tcPr>
            <w:tcW w:w="4333" w:type="dxa"/>
            <w:noWrap w:val="0"/>
            <w:vAlign w:val="top"/>
          </w:tcPr>
          <w:p>
            <w:pPr>
              <w:pStyle w:val="170"/>
              <w:spacing w:line="325" w:lineRule="auto"/>
              <w:rPr>
                <w:color w:val="auto"/>
                <w:highlight w:val="none"/>
              </w:rPr>
            </w:pPr>
          </w:p>
          <w:p>
            <w:pPr>
              <w:spacing w:before="65" w:line="224" w:lineRule="auto"/>
              <w:ind w:left="138" w:right="124" w:firstLine="14"/>
              <w:jc w:val="both"/>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明确儿童之家、安全管理等相关责任人，切</w:t>
            </w:r>
            <w:r>
              <w:rPr>
                <w:rFonts w:ascii="宋体" w:hAnsi="宋体" w:eastAsia="宋体" w:cs="宋体"/>
                <w:color w:val="auto"/>
                <w:spacing w:val="1"/>
                <w:sz w:val="20"/>
                <w:szCs w:val="20"/>
                <w:highlight w:val="none"/>
              </w:rPr>
              <w:t xml:space="preserve"> </w:t>
            </w:r>
            <w:r>
              <w:rPr>
                <w:rFonts w:ascii="宋体" w:hAnsi="宋体" w:eastAsia="宋体" w:cs="宋体"/>
                <w:color w:val="auto"/>
                <w:spacing w:val="13"/>
                <w:sz w:val="20"/>
                <w:szCs w:val="20"/>
                <w:highlight w:val="none"/>
              </w:rPr>
              <w:t>实履行管理和保护责任。（儿童之家工作人</w:t>
            </w:r>
            <w:r>
              <w:rPr>
                <w:rFonts w:ascii="宋体" w:hAnsi="宋体" w:eastAsia="宋体" w:cs="宋体"/>
                <w:color w:val="auto"/>
                <w:spacing w:val="16"/>
                <w:sz w:val="20"/>
                <w:szCs w:val="20"/>
                <w:highlight w:val="none"/>
              </w:rPr>
              <w:t xml:space="preserve"> </w:t>
            </w:r>
            <w:r>
              <w:rPr>
                <w:rFonts w:ascii="宋体" w:hAnsi="宋体" w:eastAsia="宋体" w:cs="宋体"/>
                <w:color w:val="auto"/>
                <w:spacing w:val="4"/>
                <w:sz w:val="20"/>
                <w:szCs w:val="20"/>
                <w:highlight w:val="none"/>
              </w:rPr>
              <w:t>员通讯录）</w:t>
            </w:r>
          </w:p>
        </w:tc>
        <w:tc>
          <w:tcPr>
            <w:tcW w:w="708" w:type="dxa"/>
            <w:noWrap w:val="0"/>
            <w:vAlign w:val="top"/>
          </w:tcPr>
          <w:p>
            <w:pPr>
              <w:pStyle w:val="170"/>
              <w:spacing w:line="302" w:lineRule="auto"/>
              <w:rPr>
                <w:color w:val="auto"/>
                <w:highlight w:val="none"/>
              </w:rPr>
            </w:pPr>
          </w:p>
          <w:p>
            <w:pPr>
              <w:pStyle w:val="170"/>
              <w:spacing w:line="303" w:lineRule="auto"/>
              <w:rPr>
                <w:color w:val="auto"/>
                <w:highlight w:val="none"/>
              </w:rPr>
            </w:pPr>
          </w:p>
          <w:p>
            <w:pPr>
              <w:spacing w:before="58" w:line="195" w:lineRule="auto"/>
              <w:ind w:left="308"/>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3</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18"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pStyle w:val="170"/>
              <w:spacing w:line="375" w:lineRule="auto"/>
              <w:rPr>
                <w:color w:val="auto"/>
                <w:highlight w:val="none"/>
              </w:rPr>
            </w:pPr>
          </w:p>
          <w:p>
            <w:pPr>
              <w:spacing w:before="65" w:line="223" w:lineRule="auto"/>
              <w:ind w:left="134" w:right="124" w:firstLine="3"/>
              <w:rPr>
                <w:rFonts w:ascii="宋体" w:hAnsi="宋体" w:eastAsia="宋体" w:cs="宋体"/>
                <w:color w:val="auto"/>
                <w:sz w:val="20"/>
                <w:szCs w:val="20"/>
                <w:highlight w:val="none"/>
              </w:rPr>
            </w:pPr>
            <w:r>
              <w:rPr>
                <w:rFonts w:ascii="宋体" w:hAnsi="宋体" w:eastAsia="宋体" w:cs="宋体"/>
                <w:color w:val="auto"/>
                <w:spacing w:val="13"/>
                <w:sz w:val="20"/>
                <w:szCs w:val="20"/>
                <w:highlight w:val="none"/>
              </w:rPr>
              <w:t>儿童之家管理、运行和志愿服务制度形成文</w:t>
            </w:r>
            <w:r>
              <w:rPr>
                <w:rFonts w:ascii="宋体" w:hAnsi="宋体" w:eastAsia="宋体" w:cs="宋体"/>
                <w:color w:val="auto"/>
                <w:spacing w:val="17"/>
                <w:sz w:val="20"/>
                <w:szCs w:val="20"/>
                <w:highlight w:val="none"/>
              </w:rPr>
              <w:t xml:space="preserve"> </w:t>
            </w:r>
            <w:r>
              <w:rPr>
                <w:rFonts w:ascii="宋体" w:hAnsi="宋体" w:eastAsia="宋体" w:cs="宋体"/>
                <w:color w:val="auto"/>
                <w:spacing w:val="14"/>
                <w:sz w:val="20"/>
                <w:szCs w:val="20"/>
                <w:highlight w:val="none"/>
              </w:rPr>
              <w:t>字汇编，对外公告开放时间，服务内容等。</w:t>
            </w:r>
            <w:r>
              <w:rPr>
                <w:rFonts w:ascii="宋体" w:hAnsi="宋体" w:eastAsia="宋体" w:cs="宋体"/>
                <w:color w:val="auto"/>
                <w:spacing w:val="1"/>
                <w:sz w:val="20"/>
                <w:szCs w:val="20"/>
                <w:highlight w:val="none"/>
              </w:rPr>
              <w:t xml:space="preserve"> </w:t>
            </w:r>
            <w:r>
              <w:rPr>
                <w:rFonts w:ascii="宋体" w:hAnsi="宋体" w:eastAsia="宋体" w:cs="宋体"/>
                <w:color w:val="auto"/>
                <w:spacing w:val="14"/>
                <w:sz w:val="20"/>
                <w:szCs w:val="20"/>
                <w:highlight w:val="none"/>
              </w:rPr>
              <w:t>（制定儿童之家管理制度、儿童之家志愿者</w:t>
            </w:r>
            <w:r>
              <w:rPr>
                <w:rFonts w:ascii="宋体" w:hAnsi="宋体" w:eastAsia="宋体" w:cs="宋体"/>
                <w:color w:val="auto"/>
                <w:spacing w:val="1"/>
                <w:sz w:val="20"/>
                <w:szCs w:val="20"/>
                <w:highlight w:val="none"/>
              </w:rPr>
              <w:t xml:space="preserve"> </w:t>
            </w:r>
            <w:r>
              <w:rPr>
                <w:rFonts w:ascii="宋体" w:hAnsi="宋体" w:eastAsia="宋体" w:cs="宋体"/>
                <w:color w:val="auto"/>
                <w:spacing w:val="5"/>
                <w:sz w:val="20"/>
                <w:szCs w:val="20"/>
                <w:highlight w:val="none"/>
              </w:rPr>
              <w:t>管理制度）</w:t>
            </w:r>
          </w:p>
        </w:tc>
        <w:tc>
          <w:tcPr>
            <w:tcW w:w="708" w:type="dxa"/>
            <w:noWrap w:val="0"/>
            <w:vAlign w:val="top"/>
          </w:tcPr>
          <w:p>
            <w:pPr>
              <w:pStyle w:val="170"/>
              <w:spacing w:line="258" w:lineRule="auto"/>
              <w:rPr>
                <w:color w:val="auto"/>
                <w:highlight w:val="none"/>
              </w:rPr>
            </w:pPr>
          </w:p>
          <w:p>
            <w:pPr>
              <w:pStyle w:val="170"/>
              <w:spacing w:line="258" w:lineRule="auto"/>
              <w:rPr>
                <w:color w:val="auto"/>
                <w:highlight w:val="none"/>
              </w:rPr>
            </w:pPr>
          </w:p>
          <w:p>
            <w:pPr>
              <w:pStyle w:val="170"/>
              <w:spacing w:line="259" w:lineRule="auto"/>
              <w:rPr>
                <w:color w:val="auto"/>
                <w:highlight w:val="none"/>
              </w:rPr>
            </w:pPr>
          </w:p>
          <w:p>
            <w:pPr>
              <w:spacing w:before="58"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5"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pStyle w:val="170"/>
              <w:spacing w:line="402" w:lineRule="auto"/>
              <w:rPr>
                <w:color w:val="auto"/>
                <w:highlight w:val="none"/>
              </w:rPr>
            </w:pPr>
          </w:p>
          <w:p>
            <w:pPr>
              <w:spacing w:before="65" w:line="223" w:lineRule="auto"/>
              <w:ind w:left="133" w:right="37" w:firstLine="3"/>
              <w:jc w:val="both"/>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 xml:space="preserve">组建安全危机管理小组，建立紧急预案用来  应对各种灾害、意外伤害、传染病等突发事  件，并告知监护人有关安全责任（制定儿童  </w:t>
            </w:r>
            <w:r>
              <w:rPr>
                <w:rFonts w:ascii="宋体" w:hAnsi="宋体" w:eastAsia="宋体" w:cs="宋体"/>
                <w:color w:val="auto"/>
                <w:spacing w:val="7"/>
                <w:sz w:val="20"/>
                <w:szCs w:val="20"/>
                <w:highlight w:val="none"/>
              </w:rPr>
              <w:t>之家紧急事件应急预案、儿童之家服务协议）</w:t>
            </w:r>
          </w:p>
        </w:tc>
        <w:tc>
          <w:tcPr>
            <w:tcW w:w="708" w:type="dxa"/>
            <w:noWrap w:val="0"/>
            <w:vAlign w:val="top"/>
          </w:tcPr>
          <w:p>
            <w:pPr>
              <w:pStyle w:val="170"/>
              <w:spacing w:line="267" w:lineRule="auto"/>
              <w:rPr>
                <w:color w:val="auto"/>
                <w:highlight w:val="none"/>
              </w:rPr>
            </w:pPr>
          </w:p>
          <w:p>
            <w:pPr>
              <w:pStyle w:val="170"/>
              <w:spacing w:line="267" w:lineRule="auto"/>
              <w:rPr>
                <w:color w:val="auto"/>
                <w:highlight w:val="none"/>
              </w:rPr>
            </w:pPr>
          </w:p>
          <w:p>
            <w:pPr>
              <w:pStyle w:val="170"/>
              <w:spacing w:line="268" w:lineRule="auto"/>
              <w:rPr>
                <w:color w:val="auto"/>
                <w:highlight w:val="none"/>
              </w:rPr>
            </w:pPr>
          </w:p>
          <w:p>
            <w:pPr>
              <w:spacing w:before="58" w:line="195" w:lineRule="auto"/>
              <w:ind w:left="308"/>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3</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5"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tcBorders>
            <w:noWrap w:val="0"/>
            <w:vAlign w:val="top"/>
          </w:tcPr>
          <w:p>
            <w:pPr>
              <w:pStyle w:val="170"/>
              <w:rPr>
                <w:color w:val="auto"/>
                <w:highlight w:val="none"/>
              </w:rPr>
            </w:pPr>
          </w:p>
        </w:tc>
        <w:tc>
          <w:tcPr>
            <w:tcW w:w="4333" w:type="dxa"/>
            <w:noWrap w:val="0"/>
            <w:vAlign w:val="top"/>
          </w:tcPr>
          <w:p>
            <w:pPr>
              <w:pStyle w:val="170"/>
              <w:spacing w:line="269" w:lineRule="auto"/>
              <w:rPr>
                <w:color w:val="auto"/>
                <w:highlight w:val="none"/>
              </w:rPr>
            </w:pPr>
          </w:p>
          <w:p>
            <w:pPr>
              <w:spacing w:before="65" w:line="224" w:lineRule="auto"/>
              <w:ind w:left="134" w:right="124" w:hanging="1"/>
              <w:jc w:val="both"/>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对防火、防电、防意外伤害等安全防范工作</w:t>
            </w:r>
            <w:r>
              <w:rPr>
                <w:rFonts w:ascii="宋体" w:hAnsi="宋体" w:eastAsia="宋体" w:cs="宋体"/>
                <w:color w:val="auto"/>
                <w:spacing w:val="3"/>
                <w:sz w:val="20"/>
                <w:szCs w:val="20"/>
                <w:highlight w:val="none"/>
              </w:rPr>
              <w:t xml:space="preserve"> </w:t>
            </w:r>
            <w:r>
              <w:rPr>
                <w:rFonts w:ascii="宋体" w:hAnsi="宋体" w:eastAsia="宋体" w:cs="宋体"/>
                <w:color w:val="auto"/>
                <w:spacing w:val="14"/>
                <w:sz w:val="20"/>
                <w:szCs w:val="20"/>
                <w:highlight w:val="none"/>
              </w:rPr>
              <w:t>有明确的应对规章制度（制定儿童之家安全</w:t>
            </w:r>
            <w:r>
              <w:rPr>
                <w:rFonts w:ascii="宋体" w:hAnsi="宋体" w:eastAsia="宋体" w:cs="宋体"/>
                <w:color w:val="auto"/>
                <w:spacing w:val="1"/>
                <w:sz w:val="20"/>
                <w:szCs w:val="20"/>
                <w:highlight w:val="none"/>
              </w:rPr>
              <w:t xml:space="preserve"> </w:t>
            </w:r>
            <w:r>
              <w:rPr>
                <w:rFonts w:ascii="宋体" w:hAnsi="宋体" w:eastAsia="宋体" w:cs="宋体"/>
                <w:color w:val="auto"/>
                <w:spacing w:val="5"/>
                <w:sz w:val="20"/>
                <w:szCs w:val="20"/>
                <w:highlight w:val="none"/>
              </w:rPr>
              <w:t>管理制度）</w:t>
            </w:r>
          </w:p>
        </w:tc>
        <w:tc>
          <w:tcPr>
            <w:tcW w:w="708" w:type="dxa"/>
            <w:noWrap w:val="0"/>
            <w:vAlign w:val="top"/>
          </w:tcPr>
          <w:p>
            <w:pPr>
              <w:pStyle w:val="170"/>
              <w:spacing w:line="275" w:lineRule="auto"/>
              <w:rPr>
                <w:color w:val="auto"/>
                <w:highlight w:val="none"/>
              </w:rPr>
            </w:pPr>
          </w:p>
          <w:p>
            <w:pPr>
              <w:pStyle w:val="170"/>
              <w:spacing w:line="276" w:lineRule="auto"/>
              <w:rPr>
                <w:color w:val="auto"/>
                <w:highlight w:val="none"/>
              </w:rPr>
            </w:pPr>
          </w:p>
          <w:p>
            <w:pPr>
              <w:spacing w:before="58"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restart"/>
            <w:tcBorders>
              <w:bottom w:val="nil"/>
            </w:tcBorders>
            <w:noWrap w:val="0"/>
            <w:vAlign w:val="top"/>
          </w:tcPr>
          <w:p>
            <w:pPr>
              <w:pStyle w:val="170"/>
              <w:spacing w:line="290" w:lineRule="auto"/>
              <w:rPr>
                <w:color w:val="auto"/>
                <w:highlight w:val="none"/>
              </w:rPr>
            </w:pPr>
          </w:p>
          <w:p>
            <w:pPr>
              <w:pStyle w:val="170"/>
              <w:spacing w:line="291" w:lineRule="auto"/>
              <w:rPr>
                <w:color w:val="auto"/>
                <w:highlight w:val="none"/>
              </w:rPr>
            </w:pPr>
          </w:p>
          <w:p>
            <w:pPr>
              <w:pStyle w:val="170"/>
              <w:spacing w:line="291" w:lineRule="auto"/>
              <w:rPr>
                <w:color w:val="auto"/>
                <w:highlight w:val="none"/>
              </w:rPr>
            </w:pPr>
          </w:p>
          <w:p>
            <w:pPr>
              <w:pStyle w:val="170"/>
              <w:spacing w:line="291" w:lineRule="auto"/>
              <w:rPr>
                <w:color w:val="auto"/>
                <w:highlight w:val="none"/>
              </w:rPr>
            </w:pPr>
          </w:p>
          <w:p>
            <w:pPr>
              <w:spacing w:before="65" w:line="225" w:lineRule="auto"/>
              <w:ind w:left="90" w:right="51" w:hanging="29"/>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管理培训</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w:t>
            </w:r>
            <w:r>
              <w:rPr>
                <w:rFonts w:ascii="Times New Roman" w:hAnsi="Times New Roman" w:eastAsia="Times New Roman" w:cs="Times New Roman"/>
                <w:color w:val="auto"/>
                <w:spacing w:val="14"/>
                <w:sz w:val="20"/>
                <w:szCs w:val="20"/>
                <w:highlight w:val="none"/>
              </w:rPr>
              <w:t>6</w:t>
            </w:r>
            <w:r>
              <w:rPr>
                <w:rFonts w:ascii="宋体" w:hAnsi="宋体" w:eastAsia="宋体" w:cs="宋体"/>
                <w:color w:val="auto"/>
                <w:spacing w:val="14"/>
                <w:sz w:val="20"/>
                <w:szCs w:val="20"/>
                <w:highlight w:val="none"/>
              </w:rPr>
              <w:t>分）</w:t>
            </w:r>
          </w:p>
        </w:tc>
        <w:tc>
          <w:tcPr>
            <w:tcW w:w="4333" w:type="dxa"/>
            <w:noWrap w:val="0"/>
            <w:vAlign w:val="top"/>
          </w:tcPr>
          <w:p>
            <w:pPr>
              <w:spacing w:before="260" w:line="225" w:lineRule="auto"/>
              <w:ind w:left="134" w:right="122" w:hanging="1"/>
              <w:rPr>
                <w:rFonts w:ascii="宋体" w:hAnsi="宋体" w:eastAsia="宋体" w:cs="宋体"/>
                <w:color w:val="auto"/>
                <w:sz w:val="20"/>
                <w:szCs w:val="20"/>
                <w:highlight w:val="none"/>
              </w:rPr>
            </w:pPr>
            <w:r>
              <w:rPr>
                <w:rFonts w:ascii="宋体" w:hAnsi="宋体" w:eastAsia="宋体" w:cs="宋体"/>
                <w:color w:val="auto"/>
                <w:spacing w:val="11"/>
                <w:sz w:val="20"/>
                <w:szCs w:val="20"/>
                <w:highlight w:val="none"/>
              </w:rPr>
              <w:t>每年至少开展</w:t>
            </w:r>
            <w:r>
              <w:rPr>
                <w:rFonts w:ascii="宋体" w:hAnsi="宋体" w:eastAsia="宋体" w:cs="宋体"/>
                <w:color w:val="auto"/>
                <w:spacing w:val="-11"/>
                <w:sz w:val="20"/>
                <w:szCs w:val="20"/>
                <w:highlight w:val="none"/>
              </w:rPr>
              <w:t xml:space="preserve"> </w:t>
            </w:r>
            <w:r>
              <w:rPr>
                <w:rFonts w:ascii="Times New Roman" w:hAnsi="Times New Roman" w:eastAsia="Times New Roman" w:cs="Times New Roman"/>
                <w:color w:val="auto"/>
                <w:spacing w:val="11"/>
                <w:sz w:val="20"/>
                <w:szCs w:val="20"/>
                <w:highlight w:val="none"/>
              </w:rPr>
              <w:t>1</w:t>
            </w:r>
            <w:r>
              <w:rPr>
                <w:rFonts w:ascii="Times New Roman" w:hAnsi="Times New Roman" w:eastAsia="Times New Roman" w:cs="Times New Roman"/>
                <w:color w:val="auto"/>
                <w:spacing w:val="23"/>
                <w:sz w:val="20"/>
                <w:szCs w:val="20"/>
                <w:highlight w:val="none"/>
              </w:rPr>
              <w:t xml:space="preserve"> </w:t>
            </w:r>
            <w:r>
              <w:rPr>
                <w:rFonts w:ascii="宋体" w:hAnsi="宋体" w:eastAsia="宋体" w:cs="宋体"/>
                <w:color w:val="auto"/>
                <w:spacing w:val="11"/>
                <w:sz w:val="20"/>
                <w:szCs w:val="20"/>
                <w:highlight w:val="none"/>
              </w:rPr>
              <w:t>次对家长的家庭教育指导服</w:t>
            </w:r>
            <w:r>
              <w:rPr>
                <w:rFonts w:ascii="宋体" w:hAnsi="宋体" w:eastAsia="宋体" w:cs="宋体"/>
                <w:color w:val="auto"/>
                <w:sz w:val="20"/>
                <w:szCs w:val="20"/>
                <w:highlight w:val="none"/>
              </w:rPr>
              <w:t xml:space="preserve"> 务</w:t>
            </w:r>
          </w:p>
        </w:tc>
        <w:tc>
          <w:tcPr>
            <w:tcW w:w="708" w:type="dxa"/>
            <w:noWrap w:val="0"/>
            <w:vAlign w:val="top"/>
          </w:tcPr>
          <w:p>
            <w:pPr>
              <w:pStyle w:val="170"/>
              <w:spacing w:line="356"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pStyle w:val="170"/>
              <w:spacing w:line="313" w:lineRule="auto"/>
              <w:rPr>
                <w:color w:val="auto"/>
                <w:highlight w:val="none"/>
              </w:rPr>
            </w:pPr>
          </w:p>
          <w:p>
            <w:pPr>
              <w:spacing w:before="65" w:line="228" w:lineRule="auto"/>
              <w:ind w:left="133"/>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每年开展</w:t>
            </w:r>
            <w:r>
              <w:rPr>
                <w:rFonts w:ascii="宋体" w:hAnsi="宋体" w:eastAsia="宋体" w:cs="宋体"/>
                <w:color w:val="auto"/>
                <w:spacing w:val="-38"/>
                <w:sz w:val="20"/>
                <w:szCs w:val="20"/>
                <w:highlight w:val="none"/>
              </w:rPr>
              <w:t xml:space="preserve"> </w:t>
            </w:r>
            <w:r>
              <w:rPr>
                <w:rFonts w:ascii="Times New Roman" w:hAnsi="Times New Roman" w:eastAsia="Times New Roman" w:cs="Times New Roman"/>
                <w:color w:val="auto"/>
                <w:spacing w:val="7"/>
                <w:sz w:val="20"/>
                <w:szCs w:val="20"/>
                <w:highlight w:val="none"/>
              </w:rPr>
              <w:t>2</w:t>
            </w:r>
            <w:r>
              <w:rPr>
                <w:rFonts w:ascii="Times New Roman" w:hAnsi="Times New Roman" w:eastAsia="Times New Roman" w:cs="Times New Roman"/>
                <w:color w:val="auto"/>
                <w:spacing w:val="18"/>
                <w:w w:val="101"/>
                <w:sz w:val="20"/>
                <w:szCs w:val="20"/>
                <w:highlight w:val="none"/>
              </w:rPr>
              <w:t xml:space="preserve"> </w:t>
            </w:r>
            <w:r>
              <w:rPr>
                <w:rFonts w:ascii="宋体" w:hAnsi="宋体" w:eastAsia="宋体" w:cs="宋体"/>
                <w:color w:val="auto"/>
                <w:spacing w:val="7"/>
                <w:sz w:val="20"/>
                <w:szCs w:val="20"/>
                <w:highlight w:val="none"/>
              </w:rPr>
              <w:t>次家庭教育实践活动</w:t>
            </w:r>
          </w:p>
        </w:tc>
        <w:tc>
          <w:tcPr>
            <w:tcW w:w="708" w:type="dxa"/>
            <w:noWrap w:val="0"/>
            <w:vAlign w:val="top"/>
          </w:tcPr>
          <w:p>
            <w:pPr>
              <w:pStyle w:val="170"/>
              <w:spacing w:line="356" w:lineRule="auto"/>
              <w:rPr>
                <w:color w:val="auto"/>
                <w:highlight w:val="none"/>
              </w:rPr>
            </w:pPr>
          </w:p>
          <w:p>
            <w:pPr>
              <w:spacing w:before="58"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tcBorders>
            <w:noWrap w:val="0"/>
            <w:vAlign w:val="top"/>
          </w:tcPr>
          <w:p>
            <w:pPr>
              <w:pStyle w:val="170"/>
              <w:rPr>
                <w:color w:val="auto"/>
                <w:highlight w:val="none"/>
              </w:rPr>
            </w:pPr>
          </w:p>
        </w:tc>
        <w:tc>
          <w:tcPr>
            <w:tcW w:w="4333" w:type="dxa"/>
            <w:noWrap w:val="0"/>
            <w:vAlign w:val="top"/>
          </w:tcPr>
          <w:p>
            <w:pPr>
              <w:pStyle w:val="170"/>
              <w:spacing w:line="311" w:lineRule="auto"/>
              <w:rPr>
                <w:color w:val="auto"/>
                <w:highlight w:val="none"/>
              </w:rPr>
            </w:pPr>
          </w:p>
          <w:p>
            <w:pPr>
              <w:spacing w:before="65" w:line="228" w:lineRule="auto"/>
              <w:ind w:left="133"/>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每月对员工进行教育培训不少于</w:t>
            </w:r>
            <w:r>
              <w:rPr>
                <w:rFonts w:ascii="宋体" w:hAnsi="宋体" w:eastAsia="宋体" w:cs="宋体"/>
                <w:color w:val="auto"/>
                <w:spacing w:val="-11"/>
                <w:sz w:val="20"/>
                <w:szCs w:val="20"/>
                <w:highlight w:val="none"/>
              </w:rPr>
              <w:t xml:space="preserve"> </w:t>
            </w:r>
            <w:r>
              <w:rPr>
                <w:rFonts w:ascii="Times New Roman" w:hAnsi="Times New Roman" w:eastAsia="Times New Roman" w:cs="Times New Roman"/>
                <w:color w:val="auto"/>
                <w:spacing w:val="6"/>
                <w:sz w:val="20"/>
                <w:szCs w:val="20"/>
                <w:highlight w:val="none"/>
              </w:rPr>
              <w:t>1</w:t>
            </w:r>
            <w:r>
              <w:rPr>
                <w:rFonts w:ascii="Times New Roman" w:hAnsi="Times New Roman" w:eastAsia="Times New Roman" w:cs="Times New Roman"/>
                <w:color w:val="auto"/>
                <w:spacing w:val="18"/>
                <w:sz w:val="20"/>
                <w:szCs w:val="20"/>
                <w:highlight w:val="none"/>
              </w:rPr>
              <w:t xml:space="preserve"> </w:t>
            </w:r>
            <w:r>
              <w:rPr>
                <w:rFonts w:ascii="宋体" w:hAnsi="宋体" w:eastAsia="宋体" w:cs="宋体"/>
                <w:color w:val="auto"/>
                <w:spacing w:val="6"/>
                <w:sz w:val="20"/>
                <w:szCs w:val="20"/>
                <w:highlight w:val="none"/>
              </w:rPr>
              <w:t>次</w:t>
            </w:r>
          </w:p>
        </w:tc>
        <w:tc>
          <w:tcPr>
            <w:tcW w:w="708" w:type="dxa"/>
            <w:noWrap w:val="0"/>
            <w:vAlign w:val="top"/>
          </w:tcPr>
          <w:p>
            <w:pPr>
              <w:pStyle w:val="170"/>
              <w:spacing w:line="354" w:lineRule="auto"/>
              <w:rPr>
                <w:color w:val="auto"/>
                <w:highlight w:val="none"/>
              </w:rPr>
            </w:pPr>
          </w:p>
          <w:p>
            <w:pPr>
              <w:spacing w:before="58"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restart"/>
            <w:tcBorders>
              <w:bottom w:val="nil"/>
            </w:tcBorders>
            <w:noWrap w:val="0"/>
            <w:vAlign w:val="top"/>
          </w:tcPr>
          <w:p>
            <w:pPr>
              <w:pStyle w:val="170"/>
              <w:spacing w:line="290" w:lineRule="auto"/>
              <w:rPr>
                <w:color w:val="auto"/>
                <w:highlight w:val="none"/>
              </w:rPr>
            </w:pPr>
          </w:p>
          <w:p>
            <w:pPr>
              <w:pStyle w:val="170"/>
              <w:spacing w:line="290" w:lineRule="auto"/>
              <w:rPr>
                <w:color w:val="auto"/>
                <w:highlight w:val="none"/>
              </w:rPr>
            </w:pPr>
          </w:p>
          <w:p>
            <w:pPr>
              <w:pStyle w:val="170"/>
              <w:spacing w:line="290" w:lineRule="auto"/>
              <w:rPr>
                <w:color w:val="auto"/>
                <w:highlight w:val="none"/>
              </w:rPr>
            </w:pPr>
          </w:p>
          <w:p>
            <w:pPr>
              <w:pStyle w:val="170"/>
              <w:spacing w:line="291" w:lineRule="auto"/>
              <w:rPr>
                <w:color w:val="auto"/>
                <w:highlight w:val="none"/>
              </w:rPr>
            </w:pPr>
          </w:p>
          <w:p>
            <w:pPr>
              <w:spacing w:before="65" w:line="225" w:lineRule="auto"/>
              <w:ind w:left="90" w:right="51" w:hanging="32"/>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人员管理</w:t>
            </w:r>
            <w:r>
              <w:rPr>
                <w:rFonts w:ascii="宋体" w:hAnsi="宋体" w:eastAsia="宋体" w:cs="宋体"/>
                <w:color w:val="auto"/>
                <w:spacing w:val="2"/>
                <w:sz w:val="20"/>
                <w:szCs w:val="20"/>
                <w:highlight w:val="none"/>
              </w:rPr>
              <w:t xml:space="preserve"> </w:t>
            </w:r>
            <w:r>
              <w:rPr>
                <w:rFonts w:ascii="宋体" w:hAnsi="宋体" w:eastAsia="宋体" w:cs="宋体"/>
                <w:color w:val="auto"/>
                <w:spacing w:val="14"/>
                <w:sz w:val="20"/>
                <w:szCs w:val="20"/>
                <w:highlight w:val="none"/>
              </w:rPr>
              <w:t>（</w:t>
            </w:r>
            <w:r>
              <w:rPr>
                <w:rFonts w:ascii="Times New Roman" w:hAnsi="Times New Roman" w:eastAsia="Times New Roman" w:cs="Times New Roman"/>
                <w:color w:val="auto"/>
                <w:spacing w:val="14"/>
                <w:sz w:val="20"/>
                <w:szCs w:val="20"/>
                <w:highlight w:val="none"/>
              </w:rPr>
              <w:t>4</w:t>
            </w:r>
            <w:r>
              <w:rPr>
                <w:rFonts w:ascii="宋体" w:hAnsi="宋体" w:eastAsia="宋体" w:cs="宋体"/>
                <w:color w:val="auto"/>
                <w:spacing w:val="14"/>
                <w:sz w:val="20"/>
                <w:szCs w:val="20"/>
                <w:highlight w:val="none"/>
              </w:rPr>
              <w:t>分）</w:t>
            </w:r>
          </w:p>
        </w:tc>
        <w:tc>
          <w:tcPr>
            <w:tcW w:w="4333" w:type="dxa"/>
            <w:noWrap w:val="0"/>
            <w:vAlign w:val="top"/>
          </w:tcPr>
          <w:p>
            <w:pPr>
              <w:spacing w:before="258" w:line="225" w:lineRule="auto"/>
              <w:ind w:left="134" w:right="1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有开拓精神，对自身工作范围外提出创新建</w:t>
            </w:r>
            <w:r>
              <w:rPr>
                <w:rFonts w:ascii="宋体" w:hAnsi="宋体" w:eastAsia="宋体" w:cs="宋体"/>
                <w:color w:val="auto"/>
                <w:spacing w:val="1"/>
                <w:sz w:val="20"/>
                <w:szCs w:val="20"/>
                <w:highlight w:val="none"/>
              </w:rPr>
              <w:t xml:space="preserve"> </w:t>
            </w:r>
            <w:r>
              <w:rPr>
                <w:rFonts w:ascii="宋体" w:hAnsi="宋体" w:eastAsia="宋体" w:cs="宋体"/>
                <w:color w:val="auto"/>
                <w:spacing w:val="9"/>
                <w:sz w:val="20"/>
                <w:szCs w:val="20"/>
                <w:highlight w:val="none"/>
              </w:rPr>
              <w:t>议，工作成效显著，受到过上级表彰奖励</w:t>
            </w:r>
          </w:p>
        </w:tc>
        <w:tc>
          <w:tcPr>
            <w:tcW w:w="708" w:type="dxa"/>
            <w:noWrap w:val="0"/>
            <w:vAlign w:val="top"/>
          </w:tcPr>
          <w:p>
            <w:pPr>
              <w:pStyle w:val="170"/>
              <w:spacing w:line="355"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58" w:line="225" w:lineRule="auto"/>
              <w:ind w:left="135" w:right="124" w:firstLine="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获得自身所学专业的资格证书（学历、职业</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等相关证书）</w:t>
            </w:r>
          </w:p>
        </w:tc>
        <w:tc>
          <w:tcPr>
            <w:tcW w:w="708" w:type="dxa"/>
            <w:noWrap w:val="0"/>
            <w:vAlign w:val="top"/>
          </w:tcPr>
          <w:p>
            <w:pPr>
              <w:pStyle w:val="170"/>
              <w:spacing w:line="355" w:lineRule="auto"/>
              <w:rPr>
                <w:color w:val="auto"/>
                <w:highlight w:val="none"/>
              </w:rPr>
            </w:pPr>
          </w:p>
          <w:p>
            <w:pPr>
              <w:spacing w:before="58" w:line="195" w:lineRule="auto"/>
              <w:ind w:left="32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1</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1" w:hRule="atLeast"/>
        </w:trPr>
        <w:tc>
          <w:tcPr>
            <w:tcW w:w="1033" w:type="dxa"/>
            <w:vMerge w:val="continue"/>
            <w:tcBorders>
              <w:top w:val="nil"/>
            </w:tcBorders>
            <w:noWrap w:val="0"/>
            <w:vAlign w:val="top"/>
          </w:tcPr>
          <w:p>
            <w:pPr>
              <w:pStyle w:val="170"/>
              <w:rPr>
                <w:color w:val="auto"/>
                <w:highlight w:val="none"/>
              </w:rPr>
            </w:pPr>
          </w:p>
        </w:tc>
        <w:tc>
          <w:tcPr>
            <w:tcW w:w="943" w:type="dxa"/>
            <w:vMerge w:val="continue"/>
            <w:tcBorders>
              <w:top w:val="nil"/>
            </w:tcBorders>
            <w:noWrap w:val="0"/>
            <w:vAlign w:val="top"/>
          </w:tcPr>
          <w:p>
            <w:pPr>
              <w:pStyle w:val="170"/>
              <w:rPr>
                <w:color w:val="auto"/>
                <w:highlight w:val="none"/>
              </w:rPr>
            </w:pPr>
          </w:p>
        </w:tc>
        <w:tc>
          <w:tcPr>
            <w:tcW w:w="4333" w:type="dxa"/>
            <w:noWrap w:val="0"/>
            <w:vAlign w:val="top"/>
          </w:tcPr>
          <w:p>
            <w:pPr>
              <w:pStyle w:val="170"/>
              <w:spacing w:line="312" w:lineRule="auto"/>
              <w:rPr>
                <w:color w:val="auto"/>
                <w:highlight w:val="none"/>
              </w:rPr>
            </w:pPr>
          </w:p>
          <w:p>
            <w:pPr>
              <w:spacing w:before="65" w:line="228" w:lineRule="auto"/>
              <w:ind w:left="134"/>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有工作人员的基本情况登记</w:t>
            </w:r>
          </w:p>
        </w:tc>
        <w:tc>
          <w:tcPr>
            <w:tcW w:w="708" w:type="dxa"/>
            <w:noWrap w:val="0"/>
            <w:vAlign w:val="top"/>
          </w:tcPr>
          <w:p>
            <w:pPr>
              <w:pStyle w:val="170"/>
              <w:spacing w:line="355" w:lineRule="auto"/>
              <w:rPr>
                <w:color w:val="auto"/>
                <w:highlight w:val="none"/>
              </w:rPr>
            </w:pPr>
          </w:p>
          <w:p>
            <w:pPr>
              <w:spacing w:before="58" w:line="195" w:lineRule="auto"/>
              <w:ind w:left="32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1</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bl>
    <w:p>
      <w:pPr>
        <w:rPr>
          <w:rFonts w:ascii="Arial" w:hAnsi="Arial" w:eastAsia="Arial" w:cs="Arial"/>
          <w:color w:val="auto"/>
          <w:sz w:val="21"/>
          <w:szCs w:val="21"/>
          <w:highlight w:val="none"/>
        </w:rPr>
        <w:sectPr>
          <w:footerReference r:id="rId7" w:type="default"/>
          <w:pgSz w:w="11906" w:h="16839"/>
          <w:pgMar w:top="400" w:right="1506" w:bottom="1581" w:left="1505" w:header="0" w:footer="1397" w:gutter="0"/>
          <w:pgNumType w:fmt="decimal"/>
          <w:cols w:space="720" w:num="1"/>
        </w:sectPr>
      </w:pPr>
    </w:p>
    <w:p>
      <w:pPr>
        <w:spacing w:before="22"/>
        <w:rPr>
          <w:color w:val="auto"/>
          <w:highlight w:val="none"/>
        </w:rPr>
      </w:pPr>
    </w:p>
    <w:tbl>
      <w:tblPr>
        <w:tblStyle w:val="171"/>
        <w:tblW w:w="88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943"/>
        <w:gridCol w:w="4333"/>
        <w:gridCol w:w="708"/>
        <w:gridCol w:w="620"/>
        <w:gridCol w:w="624"/>
        <w:gridCol w:w="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033" w:type="dxa"/>
            <w:noWrap w:val="0"/>
            <w:vAlign w:val="top"/>
          </w:tcPr>
          <w:p>
            <w:pPr>
              <w:spacing w:before="136" w:line="229" w:lineRule="auto"/>
              <w:ind w:left="104"/>
              <w:rPr>
                <w:rFonts w:ascii="黑体" w:hAnsi="黑体" w:eastAsia="黑体" w:cs="黑体"/>
                <w:color w:val="auto"/>
                <w:sz w:val="20"/>
                <w:szCs w:val="20"/>
                <w:highlight w:val="none"/>
              </w:rPr>
            </w:pPr>
            <w:r>
              <w:rPr>
                <w:rFonts w:ascii="黑体" w:hAnsi="黑体" w:eastAsia="黑体" w:cs="黑体"/>
                <w:color w:val="auto"/>
                <w:spacing w:val="6"/>
                <w:sz w:val="20"/>
                <w:szCs w:val="20"/>
                <w:highlight w:val="none"/>
              </w:rPr>
              <w:t>一级指标</w:t>
            </w:r>
          </w:p>
        </w:tc>
        <w:tc>
          <w:tcPr>
            <w:tcW w:w="943" w:type="dxa"/>
            <w:noWrap w:val="0"/>
            <w:vAlign w:val="top"/>
          </w:tcPr>
          <w:p>
            <w:pPr>
              <w:spacing w:before="136" w:line="229" w:lineRule="auto"/>
              <w:ind w:left="60"/>
              <w:rPr>
                <w:rFonts w:ascii="黑体" w:hAnsi="黑体" w:eastAsia="黑体" w:cs="黑体"/>
                <w:color w:val="auto"/>
                <w:sz w:val="20"/>
                <w:szCs w:val="20"/>
                <w:highlight w:val="none"/>
              </w:rPr>
            </w:pPr>
            <w:r>
              <w:rPr>
                <w:rFonts w:ascii="黑体" w:hAnsi="黑体" w:eastAsia="黑体" w:cs="黑体"/>
                <w:color w:val="auto"/>
                <w:spacing w:val="6"/>
                <w:sz w:val="20"/>
                <w:szCs w:val="20"/>
                <w:highlight w:val="none"/>
              </w:rPr>
              <w:t>二级指标</w:t>
            </w:r>
          </w:p>
        </w:tc>
        <w:tc>
          <w:tcPr>
            <w:tcW w:w="4333" w:type="dxa"/>
            <w:noWrap w:val="0"/>
            <w:vAlign w:val="top"/>
          </w:tcPr>
          <w:p>
            <w:pPr>
              <w:spacing w:before="136" w:line="230" w:lineRule="auto"/>
              <w:ind w:left="1753"/>
              <w:rPr>
                <w:rFonts w:ascii="黑体" w:hAnsi="黑体" w:eastAsia="黑体" w:cs="黑体"/>
                <w:color w:val="auto"/>
                <w:sz w:val="20"/>
                <w:szCs w:val="20"/>
                <w:highlight w:val="none"/>
              </w:rPr>
            </w:pPr>
            <w:r>
              <w:rPr>
                <w:rFonts w:ascii="黑体" w:hAnsi="黑体" w:eastAsia="黑体" w:cs="黑体"/>
                <w:color w:val="auto"/>
                <w:spacing w:val="7"/>
                <w:sz w:val="20"/>
                <w:szCs w:val="20"/>
                <w:highlight w:val="none"/>
              </w:rPr>
              <w:t>评估标准</w:t>
            </w:r>
          </w:p>
        </w:tc>
        <w:tc>
          <w:tcPr>
            <w:tcW w:w="708" w:type="dxa"/>
            <w:noWrap w:val="0"/>
            <w:vAlign w:val="top"/>
          </w:tcPr>
          <w:p>
            <w:pPr>
              <w:spacing w:before="136" w:line="231" w:lineRule="auto"/>
              <w:ind w:left="157"/>
              <w:rPr>
                <w:rFonts w:ascii="黑体" w:hAnsi="黑体" w:eastAsia="黑体" w:cs="黑体"/>
                <w:color w:val="auto"/>
                <w:sz w:val="20"/>
                <w:szCs w:val="20"/>
                <w:highlight w:val="none"/>
              </w:rPr>
            </w:pPr>
            <w:r>
              <w:rPr>
                <w:rFonts w:ascii="黑体" w:hAnsi="黑体" w:eastAsia="黑体" w:cs="黑体"/>
                <w:color w:val="auto"/>
                <w:spacing w:val="2"/>
                <w:sz w:val="20"/>
                <w:szCs w:val="20"/>
                <w:highlight w:val="none"/>
              </w:rPr>
              <w:t>分值</w:t>
            </w:r>
          </w:p>
        </w:tc>
        <w:tc>
          <w:tcPr>
            <w:tcW w:w="620" w:type="dxa"/>
            <w:noWrap w:val="0"/>
            <w:vAlign w:val="top"/>
          </w:tcPr>
          <w:p>
            <w:pPr>
              <w:spacing w:before="17" w:line="213" w:lineRule="auto"/>
              <w:ind w:left="107" w:right="96" w:firstLine="14"/>
              <w:rPr>
                <w:rFonts w:ascii="黑体" w:hAnsi="黑体" w:eastAsia="黑体" w:cs="黑体"/>
                <w:color w:val="auto"/>
                <w:sz w:val="20"/>
                <w:szCs w:val="20"/>
                <w:highlight w:val="none"/>
              </w:rPr>
            </w:pPr>
            <w:r>
              <w:rPr>
                <w:rFonts w:ascii="黑体" w:hAnsi="黑体" w:eastAsia="黑体" w:cs="黑体"/>
                <w:color w:val="auto"/>
                <w:spacing w:val="-2"/>
                <w:sz w:val="20"/>
                <w:szCs w:val="20"/>
                <w:highlight w:val="none"/>
              </w:rPr>
              <w:t>民政</w:t>
            </w:r>
            <w:r>
              <w:rPr>
                <w:rFonts w:ascii="黑体" w:hAnsi="黑体" w:eastAsia="黑体" w:cs="黑体"/>
                <w:color w:val="auto"/>
                <w:sz w:val="20"/>
                <w:szCs w:val="20"/>
                <w:highlight w:val="none"/>
              </w:rPr>
              <w:t xml:space="preserve"> </w:t>
            </w:r>
            <w:r>
              <w:rPr>
                <w:rFonts w:ascii="黑体" w:hAnsi="黑体" w:eastAsia="黑体" w:cs="黑体"/>
                <w:color w:val="auto"/>
                <w:spacing w:val="5"/>
                <w:sz w:val="20"/>
                <w:szCs w:val="20"/>
                <w:highlight w:val="none"/>
              </w:rPr>
              <w:t>赋分</w:t>
            </w:r>
          </w:p>
        </w:tc>
        <w:tc>
          <w:tcPr>
            <w:tcW w:w="624" w:type="dxa"/>
            <w:noWrap w:val="0"/>
            <w:vAlign w:val="top"/>
          </w:tcPr>
          <w:p>
            <w:pPr>
              <w:spacing w:before="17" w:line="213" w:lineRule="auto"/>
              <w:ind w:left="108" w:right="98"/>
              <w:rPr>
                <w:rFonts w:ascii="黑体" w:hAnsi="黑体" w:eastAsia="黑体" w:cs="黑体"/>
                <w:color w:val="auto"/>
                <w:sz w:val="20"/>
                <w:szCs w:val="20"/>
                <w:highlight w:val="none"/>
              </w:rPr>
            </w:pPr>
            <w:r>
              <w:rPr>
                <w:rFonts w:ascii="黑体" w:hAnsi="黑体" w:eastAsia="黑体" w:cs="黑体"/>
                <w:color w:val="auto"/>
                <w:spacing w:val="5"/>
                <w:sz w:val="20"/>
                <w:szCs w:val="20"/>
                <w:highlight w:val="none"/>
              </w:rPr>
              <w:t>妇联</w:t>
            </w:r>
            <w:r>
              <w:rPr>
                <w:rFonts w:ascii="黑体" w:hAnsi="黑体" w:eastAsia="黑体" w:cs="黑体"/>
                <w:color w:val="auto"/>
                <w:sz w:val="20"/>
                <w:szCs w:val="20"/>
                <w:highlight w:val="none"/>
              </w:rPr>
              <w:t xml:space="preserve"> </w:t>
            </w:r>
            <w:r>
              <w:rPr>
                <w:rFonts w:ascii="黑体" w:hAnsi="黑体" w:eastAsia="黑体" w:cs="黑体"/>
                <w:color w:val="auto"/>
                <w:spacing w:val="5"/>
                <w:sz w:val="20"/>
                <w:szCs w:val="20"/>
                <w:highlight w:val="none"/>
              </w:rPr>
              <w:t>赋分</w:t>
            </w:r>
          </w:p>
        </w:tc>
        <w:tc>
          <w:tcPr>
            <w:tcW w:w="628" w:type="dxa"/>
            <w:noWrap w:val="0"/>
            <w:vAlign w:val="top"/>
          </w:tcPr>
          <w:p>
            <w:pPr>
              <w:spacing w:before="136" w:line="231" w:lineRule="auto"/>
              <w:ind w:left="108"/>
              <w:rPr>
                <w:rFonts w:ascii="黑体" w:hAnsi="黑体" w:eastAsia="黑体" w:cs="黑体"/>
                <w:color w:val="auto"/>
                <w:sz w:val="20"/>
                <w:szCs w:val="20"/>
                <w:highlight w:val="none"/>
              </w:rPr>
            </w:pPr>
            <w:r>
              <w:rPr>
                <w:rFonts w:ascii="黑体" w:hAnsi="黑体" w:eastAsia="黑体" w:cs="黑体"/>
                <w:color w:val="auto"/>
                <w:spacing w:val="5"/>
                <w:sz w:val="20"/>
                <w:szCs w:val="20"/>
                <w:highlight w:val="none"/>
              </w:rPr>
              <w:t>核分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restart"/>
            <w:tcBorders>
              <w:bottom w:val="nil"/>
            </w:tcBorders>
            <w:noWrap w:val="0"/>
            <w:vAlign w:val="top"/>
          </w:tcPr>
          <w:p>
            <w:pPr>
              <w:pStyle w:val="170"/>
              <w:spacing w:line="249" w:lineRule="auto"/>
              <w:rPr>
                <w:color w:val="auto"/>
                <w:highlight w:val="none"/>
              </w:rPr>
            </w:pPr>
          </w:p>
          <w:p>
            <w:pPr>
              <w:pStyle w:val="170"/>
              <w:spacing w:line="249"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pStyle w:val="170"/>
              <w:spacing w:line="250" w:lineRule="auto"/>
              <w:rPr>
                <w:color w:val="auto"/>
                <w:highlight w:val="none"/>
              </w:rPr>
            </w:pPr>
          </w:p>
          <w:p>
            <w:pPr>
              <w:spacing w:before="65" w:line="222" w:lineRule="auto"/>
              <w:ind w:left="102" w:right="97" w:hanging="1"/>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运行主体</w:t>
            </w:r>
            <w:r>
              <w:rPr>
                <w:rFonts w:ascii="宋体" w:hAnsi="宋体" w:eastAsia="宋体" w:cs="宋体"/>
                <w:color w:val="auto"/>
                <w:sz w:val="20"/>
                <w:szCs w:val="20"/>
                <w:highlight w:val="none"/>
              </w:rPr>
              <w:t xml:space="preserve"> </w:t>
            </w:r>
            <w:r>
              <w:rPr>
                <w:rFonts w:ascii="宋体" w:hAnsi="宋体" w:eastAsia="宋体" w:cs="宋体"/>
                <w:color w:val="auto"/>
                <w:spacing w:val="6"/>
                <w:sz w:val="20"/>
                <w:szCs w:val="20"/>
                <w:highlight w:val="none"/>
              </w:rPr>
              <w:t>（根据运</w:t>
            </w:r>
            <w:r>
              <w:rPr>
                <w:rFonts w:ascii="宋体" w:hAnsi="宋体" w:eastAsia="宋体" w:cs="宋体"/>
                <w:color w:val="auto"/>
                <w:spacing w:val="2"/>
                <w:sz w:val="20"/>
                <w:szCs w:val="20"/>
                <w:highlight w:val="none"/>
              </w:rPr>
              <w:t xml:space="preserve"> </w:t>
            </w:r>
            <w:r>
              <w:rPr>
                <w:rFonts w:ascii="宋体" w:hAnsi="宋体" w:eastAsia="宋体" w:cs="宋体"/>
                <w:color w:val="auto"/>
                <w:spacing w:val="6"/>
                <w:sz w:val="20"/>
                <w:szCs w:val="20"/>
                <w:highlight w:val="none"/>
              </w:rPr>
              <w:t>行主体不</w:t>
            </w:r>
            <w:r>
              <w:rPr>
                <w:rFonts w:ascii="宋体" w:hAnsi="宋体" w:eastAsia="宋体" w:cs="宋体"/>
                <w:color w:val="auto"/>
                <w:spacing w:val="2"/>
                <w:sz w:val="20"/>
                <w:szCs w:val="20"/>
                <w:highlight w:val="none"/>
              </w:rPr>
              <w:t xml:space="preserve"> </w:t>
            </w:r>
            <w:r>
              <w:rPr>
                <w:rFonts w:ascii="宋体" w:hAnsi="宋体" w:eastAsia="宋体" w:cs="宋体"/>
                <w:color w:val="auto"/>
                <w:spacing w:val="6"/>
                <w:sz w:val="20"/>
                <w:szCs w:val="20"/>
                <w:highlight w:val="none"/>
              </w:rPr>
              <w:t>同分别选</w:t>
            </w:r>
            <w:r>
              <w:rPr>
                <w:rFonts w:ascii="宋体" w:hAnsi="宋体" w:eastAsia="宋体" w:cs="宋体"/>
                <w:color w:val="auto"/>
                <w:spacing w:val="2"/>
                <w:sz w:val="20"/>
                <w:szCs w:val="20"/>
                <w:highlight w:val="none"/>
              </w:rPr>
              <w:t xml:space="preserve"> </w:t>
            </w:r>
            <w:r>
              <w:rPr>
                <w:rFonts w:ascii="宋体" w:hAnsi="宋体" w:eastAsia="宋体" w:cs="宋体"/>
                <w:color w:val="auto"/>
                <w:spacing w:val="6"/>
                <w:sz w:val="20"/>
                <w:szCs w:val="20"/>
                <w:highlight w:val="none"/>
              </w:rPr>
              <w:t>择对应的</w:t>
            </w:r>
            <w:r>
              <w:rPr>
                <w:rFonts w:ascii="宋体" w:hAnsi="宋体" w:eastAsia="宋体" w:cs="宋体"/>
                <w:color w:val="auto"/>
                <w:spacing w:val="2"/>
                <w:sz w:val="20"/>
                <w:szCs w:val="20"/>
                <w:highlight w:val="none"/>
              </w:rPr>
              <w:t xml:space="preserve"> </w:t>
            </w:r>
            <w:r>
              <w:rPr>
                <w:rFonts w:ascii="宋体" w:hAnsi="宋体" w:eastAsia="宋体" w:cs="宋体"/>
                <w:color w:val="auto"/>
                <w:spacing w:val="6"/>
                <w:sz w:val="20"/>
                <w:szCs w:val="20"/>
                <w:highlight w:val="none"/>
              </w:rPr>
              <w:t>一栏进行</w:t>
            </w:r>
            <w:r>
              <w:rPr>
                <w:rFonts w:ascii="宋体" w:hAnsi="宋体" w:eastAsia="宋体" w:cs="宋体"/>
                <w:color w:val="auto"/>
                <w:spacing w:val="2"/>
                <w:sz w:val="20"/>
                <w:szCs w:val="20"/>
                <w:highlight w:val="none"/>
              </w:rPr>
              <w:t xml:space="preserve"> </w:t>
            </w:r>
            <w:r>
              <w:rPr>
                <w:rFonts w:ascii="宋体" w:hAnsi="宋体" w:eastAsia="宋体" w:cs="宋体"/>
                <w:color w:val="auto"/>
                <w:spacing w:val="37"/>
                <w:sz w:val="20"/>
                <w:szCs w:val="20"/>
                <w:highlight w:val="none"/>
              </w:rPr>
              <w:t>评估）</w:t>
            </w:r>
          </w:p>
          <w:p>
            <w:pPr>
              <w:spacing w:line="229" w:lineRule="auto"/>
              <w:ind w:left="84"/>
              <w:rPr>
                <w:rFonts w:ascii="宋体" w:hAnsi="宋体" w:eastAsia="宋体" w:cs="宋体"/>
                <w:color w:val="auto"/>
                <w:sz w:val="20"/>
                <w:szCs w:val="20"/>
                <w:highlight w:val="none"/>
              </w:rPr>
            </w:pPr>
            <w:r>
              <w:rPr>
                <w:rFonts w:ascii="宋体" w:hAnsi="宋体" w:eastAsia="宋体" w:cs="宋体"/>
                <w:color w:val="auto"/>
                <w:sz w:val="20"/>
                <w:szCs w:val="20"/>
                <w:highlight w:val="none"/>
              </w:rPr>
              <w:t>（</w:t>
            </w:r>
            <w:r>
              <w:rPr>
                <w:rFonts w:ascii="Times New Roman" w:hAnsi="Times New Roman" w:eastAsia="Times New Roman" w:cs="Times New Roman"/>
                <w:color w:val="auto"/>
                <w:sz w:val="20"/>
                <w:szCs w:val="20"/>
                <w:highlight w:val="none"/>
              </w:rPr>
              <w:t>10</w:t>
            </w:r>
            <w:r>
              <w:rPr>
                <w:rFonts w:ascii="Times New Roman" w:hAnsi="Times New Roman" w:eastAsia="Times New Roman" w:cs="Times New Roman"/>
                <w:color w:val="auto"/>
                <w:spacing w:val="12"/>
                <w:w w:val="101"/>
                <w:sz w:val="20"/>
                <w:szCs w:val="20"/>
                <w:highlight w:val="none"/>
              </w:rPr>
              <w:t xml:space="preserve"> </w:t>
            </w:r>
            <w:r>
              <w:rPr>
                <w:rFonts w:ascii="宋体" w:hAnsi="宋体" w:eastAsia="宋体" w:cs="宋体"/>
                <w:color w:val="auto"/>
                <w:sz w:val="20"/>
                <w:szCs w:val="20"/>
                <w:highlight w:val="none"/>
              </w:rPr>
              <w:t>分）</w:t>
            </w:r>
          </w:p>
        </w:tc>
        <w:tc>
          <w:tcPr>
            <w:tcW w:w="943" w:type="dxa"/>
            <w:vMerge w:val="restart"/>
            <w:tcBorders>
              <w:bottom w:val="nil"/>
            </w:tcBorders>
            <w:noWrap w:val="0"/>
            <w:vAlign w:val="top"/>
          </w:tcPr>
          <w:p>
            <w:pPr>
              <w:pStyle w:val="170"/>
              <w:spacing w:line="257" w:lineRule="auto"/>
              <w:rPr>
                <w:color w:val="auto"/>
                <w:highlight w:val="none"/>
              </w:rPr>
            </w:pPr>
          </w:p>
          <w:p>
            <w:pPr>
              <w:pStyle w:val="170"/>
              <w:spacing w:line="258" w:lineRule="auto"/>
              <w:rPr>
                <w:color w:val="auto"/>
                <w:highlight w:val="none"/>
              </w:rPr>
            </w:pPr>
          </w:p>
          <w:p>
            <w:pPr>
              <w:pStyle w:val="170"/>
              <w:spacing w:line="258" w:lineRule="auto"/>
              <w:rPr>
                <w:color w:val="auto"/>
                <w:highlight w:val="none"/>
              </w:rPr>
            </w:pPr>
          </w:p>
          <w:p>
            <w:pPr>
              <w:pStyle w:val="170"/>
              <w:spacing w:line="258" w:lineRule="auto"/>
              <w:rPr>
                <w:color w:val="auto"/>
                <w:highlight w:val="none"/>
              </w:rPr>
            </w:pPr>
          </w:p>
          <w:p>
            <w:pPr>
              <w:pStyle w:val="170"/>
              <w:spacing w:line="258" w:lineRule="auto"/>
              <w:rPr>
                <w:color w:val="auto"/>
                <w:highlight w:val="none"/>
              </w:rPr>
            </w:pPr>
          </w:p>
          <w:p>
            <w:pPr>
              <w:spacing w:before="65" w:line="222" w:lineRule="auto"/>
              <w:ind w:left="16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村（社</w:t>
            </w:r>
          </w:p>
          <w:p>
            <w:pPr>
              <w:spacing w:line="221" w:lineRule="auto"/>
              <w:ind w:left="175"/>
              <w:rPr>
                <w:rFonts w:ascii="宋体" w:hAnsi="宋体" w:eastAsia="宋体" w:cs="宋体"/>
                <w:color w:val="auto"/>
                <w:sz w:val="20"/>
                <w:szCs w:val="20"/>
                <w:highlight w:val="none"/>
              </w:rPr>
            </w:pPr>
            <w:r>
              <w:rPr>
                <w:rFonts w:ascii="宋体" w:hAnsi="宋体" w:eastAsia="宋体" w:cs="宋体"/>
                <w:color w:val="auto"/>
                <w:spacing w:val="-5"/>
                <w:sz w:val="20"/>
                <w:szCs w:val="20"/>
                <w:highlight w:val="none"/>
              </w:rPr>
              <w:t>区）、</w:t>
            </w:r>
          </w:p>
          <w:p>
            <w:pPr>
              <w:spacing w:line="225" w:lineRule="auto"/>
              <w:ind w:left="40" w:right="45" w:firstLine="20"/>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学校承接</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w:t>
            </w:r>
            <w:r>
              <w:rPr>
                <w:rFonts w:ascii="Times New Roman" w:hAnsi="Times New Roman" w:eastAsia="Times New Roman" w:cs="Times New Roman"/>
                <w:color w:val="auto"/>
                <w:spacing w:val="-3"/>
                <w:sz w:val="20"/>
                <w:szCs w:val="20"/>
                <w:highlight w:val="none"/>
              </w:rPr>
              <w:t>10</w:t>
            </w:r>
            <w:r>
              <w:rPr>
                <w:rFonts w:ascii="Times New Roman" w:hAnsi="Times New Roman" w:eastAsia="Times New Roman" w:cs="Times New Roman"/>
                <w:color w:val="auto"/>
                <w:spacing w:val="15"/>
                <w:w w:val="101"/>
                <w:sz w:val="20"/>
                <w:szCs w:val="20"/>
                <w:highlight w:val="none"/>
              </w:rPr>
              <w:t xml:space="preserve"> </w:t>
            </w:r>
            <w:r>
              <w:rPr>
                <w:rFonts w:ascii="宋体" w:hAnsi="宋体" w:eastAsia="宋体" w:cs="宋体"/>
                <w:color w:val="auto"/>
                <w:spacing w:val="-3"/>
                <w:sz w:val="20"/>
                <w:szCs w:val="20"/>
                <w:highlight w:val="none"/>
              </w:rPr>
              <w:t>分）</w:t>
            </w:r>
          </w:p>
        </w:tc>
        <w:tc>
          <w:tcPr>
            <w:tcW w:w="4333" w:type="dxa"/>
            <w:noWrap w:val="0"/>
            <w:vAlign w:val="top"/>
          </w:tcPr>
          <w:p>
            <w:pPr>
              <w:spacing w:before="195" w:line="244" w:lineRule="auto"/>
              <w:ind w:left="148" w:right="119" w:hanging="15"/>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配有专（兼）职工作人员至少</w:t>
            </w:r>
            <w:r>
              <w:rPr>
                <w:rFonts w:ascii="宋体" w:hAnsi="宋体" w:eastAsia="宋体" w:cs="宋体"/>
                <w:color w:val="auto"/>
                <w:spacing w:val="-16"/>
                <w:sz w:val="20"/>
                <w:szCs w:val="20"/>
                <w:highlight w:val="none"/>
              </w:rPr>
              <w:t xml:space="preserve"> </w:t>
            </w:r>
            <w:r>
              <w:rPr>
                <w:rFonts w:ascii="Times New Roman" w:hAnsi="Times New Roman" w:eastAsia="Times New Roman" w:cs="Times New Roman"/>
                <w:color w:val="auto"/>
                <w:spacing w:val="-2"/>
                <w:sz w:val="20"/>
                <w:szCs w:val="20"/>
                <w:highlight w:val="none"/>
              </w:rPr>
              <w:t>1</w:t>
            </w:r>
            <w:r>
              <w:rPr>
                <w:rFonts w:ascii="Times New Roman" w:hAnsi="Times New Roman" w:eastAsia="Times New Roman" w:cs="Times New Roman"/>
                <w:color w:val="auto"/>
                <w:spacing w:val="14"/>
                <w:w w:val="101"/>
                <w:sz w:val="20"/>
                <w:szCs w:val="20"/>
                <w:highlight w:val="none"/>
              </w:rPr>
              <w:t xml:space="preserve"> </w:t>
            </w:r>
            <w:r>
              <w:rPr>
                <w:rFonts w:ascii="宋体" w:hAnsi="宋体" w:eastAsia="宋体" w:cs="宋体"/>
                <w:color w:val="auto"/>
                <w:spacing w:val="-2"/>
                <w:sz w:val="20"/>
                <w:szCs w:val="20"/>
                <w:highlight w:val="none"/>
              </w:rPr>
              <w:t>名，包含村</w:t>
            </w:r>
            <w:r>
              <w:rPr>
                <w:rFonts w:ascii="Times New Roman" w:hAnsi="Times New Roman" w:eastAsia="Times New Roman" w:cs="Times New Roman"/>
                <w:color w:val="auto"/>
                <w:spacing w:val="-2"/>
                <w:sz w:val="20"/>
                <w:szCs w:val="20"/>
                <w:highlight w:val="none"/>
              </w:rPr>
              <w:t>(</w:t>
            </w:r>
            <w:r>
              <w:rPr>
                <w:rFonts w:ascii="宋体" w:hAnsi="宋体" w:eastAsia="宋体" w:cs="宋体"/>
                <w:color w:val="auto"/>
                <w:spacing w:val="-2"/>
                <w:sz w:val="20"/>
                <w:szCs w:val="20"/>
                <w:highlight w:val="none"/>
              </w:rPr>
              <w:t>社</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区</w:t>
            </w:r>
            <w:r>
              <w:rPr>
                <w:rFonts w:ascii="Times New Roman" w:hAnsi="Times New Roman" w:eastAsia="Times New Roman" w:cs="Times New Roman"/>
                <w:color w:val="auto"/>
                <w:spacing w:val="7"/>
                <w:sz w:val="20"/>
                <w:szCs w:val="20"/>
                <w:highlight w:val="none"/>
              </w:rPr>
              <w:t>)</w:t>
            </w:r>
            <w:r>
              <w:rPr>
                <w:rFonts w:ascii="宋体" w:hAnsi="宋体" w:eastAsia="宋体" w:cs="宋体"/>
                <w:color w:val="auto"/>
                <w:spacing w:val="7"/>
                <w:sz w:val="20"/>
                <w:szCs w:val="20"/>
                <w:highlight w:val="none"/>
              </w:rPr>
              <w:t>工作者、儿童类社会工作者等</w:t>
            </w:r>
          </w:p>
        </w:tc>
        <w:tc>
          <w:tcPr>
            <w:tcW w:w="708" w:type="dxa"/>
            <w:noWrap w:val="0"/>
            <w:vAlign w:val="top"/>
          </w:tcPr>
          <w:p>
            <w:pPr>
              <w:pStyle w:val="170"/>
              <w:spacing w:line="322"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26" w:line="225" w:lineRule="auto"/>
              <w:ind w:left="133" w:right="1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拥有一支稳定的志愿者服务队伍，并且能够</w:t>
            </w:r>
            <w:r>
              <w:rPr>
                <w:rFonts w:ascii="宋体" w:hAnsi="宋体" w:eastAsia="宋体" w:cs="宋体"/>
                <w:color w:val="auto"/>
                <w:spacing w:val="2"/>
                <w:sz w:val="20"/>
                <w:szCs w:val="20"/>
                <w:highlight w:val="none"/>
              </w:rPr>
              <w:t xml:space="preserve"> </w:t>
            </w:r>
            <w:r>
              <w:rPr>
                <w:rFonts w:ascii="宋体" w:hAnsi="宋体" w:eastAsia="宋体" w:cs="宋体"/>
                <w:color w:val="auto"/>
                <w:spacing w:val="8"/>
                <w:sz w:val="20"/>
                <w:szCs w:val="20"/>
                <w:highlight w:val="none"/>
              </w:rPr>
              <w:t>开展日常活动工作</w:t>
            </w:r>
          </w:p>
        </w:tc>
        <w:tc>
          <w:tcPr>
            <w:tcW w:w="708" w:type="dxa"/>
            <w:noWrap w:val="0"/>
            <w:vAlign w:val="top"/>
          </w:tcPr>
          <w:p>
            <w:pPr>
              <w:pStyle w:val="170"/>
              <w:spacing w:line="321" w:lineRule="auto"/>
              <w:rPr>
                <w:color w:val="auto"/>
                <w:highlight w:val="none"/>
              </w:rPr>
            </w:pPr>
          </w:p>
          <w:p>
            <w:pPr>
              <w:spacing w:before="58" w:line="195" w:lineRule="auto"/>
              <w:ind w:left="308"/>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3</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pStyle w:val="170"/>
              <w:spacing w:line="279" w:lineRule="auto"/>
              <w:rPr>
                <w:color w:val="auto"/>
                <w:highlight w:val="none"/>
              </w:rPr>
            </w:pPr>
          </w:p>
          <w:p>
            <w:pPr>
              <w:spacing w:before="65" w:line="228" w:lineRule="auto"/>
              <w:ind w:left="13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拥有固定开展活动的场所</w:t>
            </w:r>
          </w:p>
        </w:tc>
        <w:tc>
          <w:tcPr>
            <w:tcW w:w="708" w:type="dxa"/>
            <w:noWrap w:val="0"/>
            <w:vAlign w:val="top"/>
          </w:tcPr>
          <w:p>
            <w:pPr>
              <w:pStyle w:val="170"/>
              <w:spacing w:line="322" w:lineRule="auto"/>
              <w:rPr>
                <w:color w:val="auto"/>
                <w:highlight w:val="none"/>
              </w:rPr>
            </w:pPr>
          </w:p>
          <w:p>
            <w:pPr>
              <w:spacing w:before="58"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tcBorders>
            <w:noWrap w:val="0"/>
            <w:vAlign w:val="top"/>
          </w:tcPr>
          <w:p>
            <w:pPr>
              <w:pStyle w:val="170"/>
              <w:rPr>
                <w:color w:val="auto"/>
                <w:highlight w:val="none"/>
              </w:rPr>
            </w:pPr>
          </w:p>
        </w:tc>
        <w:tc>
          <w:tcPr>
            <w:tcW w:w="4333" w:type="dxa"/>
            <w:noWrap w:val="0"/>
            <w:vAlign w:val="top"/>
          </w:tcPr>
          <w:p>
            <w:pPr>
              <w:spacing w:before="229" w:line="225" w:lineRule="auto"/>
              <w:ind w:left="134" w:right="124" w:hanging="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配备相关的医护、康复和特教的专家库，有</w:t>
            </w:r>
            <w:r>
              <w:rPr>
                <w:rFonts w:ascii="宋体" w:hAnsi="宋体" w:eastAsia="宋体" w:cs="宋体"/>
                <w:color w:val="auto"/>
                <w:spacing w:val="2"/>
                <w:sz w:val="20"/>
                <w:szCs w:val="20"/>
                <w:highlight w:val="none"/>
              </w:rPr>
              <w:t xml:space="preserve"> </w:t>
            </w:r>
            <w:r>
              <w:rPr>
                <w:rFonts w:ascii="宋体" w:hAnsi="宋体" w:eastAsia="宋体" w:cs="宋体"/>
                <w:color w:val="auto"/>
                <w:spacing w:val="8"/>
                <w:sz w:val="20"/>
                <w:szCs w:val="20"/>
                <w:highlight w:val="none"/>
              </w:rPr>
              <w:t>条件的可配置相关人员</w:t>
            </w:r>
          </w:p>
        </w:tc>
        <w:tc>
          <w:tcPr>
            <w:tcW w:w="708" w:type="dxa"/>
            <w:noWrap w:val="0"/>
            <w:vAlign w:val="top"/>
          </w:tcPr>
          <w:p>
            <w:pPr>
              <w:pStyle w:val="170"/>
              <w:spacing w:line="325" w:lineRule="auto"/>
              <w:rPr>
                <w:color w:val="auto"/>
                <w:highlight w:val="none"/>
              </w:rPr>
            </w:pPr>
          </w:p>
          <w:p>
            <w:pPr>
              <w:spacing w:before="58" w:line="195" w:lineRule="auto"/>
              <w:ind w:left="308"/>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3</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restart"/>
            <w:tcBorders>
              <w:bottom w:val="nil"/>
            </w:tcBorders>
            <w:noWrap w:val="0"/>
            <w:vAlign w:val="top"/>
          </w:tcPr>
          <w:p>
            <w:pPr>
              <w:pStyle w:val="170"/>
              <w:spacing w:line="252" w:lineRule="auto"/>
              <w:rPr>
                <w:color w:val="auto"/>
                <w:highlight w:val="none"/>
              </w:rPr>
            </w:pPr>
          </w:p>
          <w:p>
            <w:pPr>
              <w:pStyle w:val="170"/>
              <w:spacing w:line="252" w:lineRule="auto"/>
              <w:rPr>
                <w:color w:val="auto"/>
                <w:highlight w:val="none"/>
              </w:rPr>
            </w:pPr>
          </w:p>
          <w:p>
            <w:pPr>
              <w:pStyle w:val="170"/>
              <w:spacing w:line="252" w:lineRule="auto"/>
              <w:rPr>
                <w:color w:val="auto"/>
                <w:highlight w:val="none"/>
              </w:rPr>
            </w:pPr>
          </w:p>
          <w:p>
            <w:pPr>
              <w:pStyle w:val="170"/>
              <w:spacing w:line="252" w:lineRule="auto"/>
              <w:rPr>
                <w:color w:val="auto"/>
                <w:highlight w:val="none"/>
              </w:rPr>
            </w:pPr>
          </w:p>
          <w:p>
            <w:pPr>
              <w:pStyle w:val="170"/>
              <w:spacing w:line="252" w:lineRule="auto"/>
              <w:rPr>
                <w:color w:val="auto"/>
                <w:highlight w:val="none"/>
              </w:rPr>
            </w:pPr>
          </w:p>
          <w:p>
            <w:pPr>
              <w:pStyle w:val="170"/>
              <w:spacing w:line="252" w:lineRule="auto"/>
              <w:rPr>
                <w:color w:val="auto"/>
                <w:highlight w:val="none"/>
              </w:rPr>
            </w:pPr>
          </w:p>
          <w:p>
            <w:pPr>
              <w:pStyle w:val="170"/>
              <w:spacing w:line="253" w:lineRule="auto"/>
              <w:rPr>
                <w:color w:val="auto"/>
                <w:highlight w:val="none"/>
              </w:rPr>
            </w:pPr>
          </w:p>
          <w:p>
            <w:pPr>
              <w:pStyle w:val="170"/>
              <w:spacing w:line="253" w:lineRule="auto"/>
              <w:rPr>
                <w:color w:val="auto"/>
                <w:highlight w:val="none"/>
              </w:rPr>
            </w:pPr>
          </w:p>
          <w:p>
            <w:pPr>
              <w:pStyle w:val="170"/>
              <w:spacing w:line="253" w:lineRule="auto"/>
              <w:rPr>
                <w:color w:val="auto"/>
                <w:highlight w:val="none"/>
              </w:rPr>
            </w:pPr>
          </w:p>
          <w:p>
            <w:pPr>
              <w:pStyle w:val="170"/>
              <w:spacing w:line="253" w:lineRule="auto"/>
              <w:rPr>
                <w:color w:val="auto"/>
                <w:highlight w:val="none"/>
              </w:rPr>
            </w:pPr>
          </w:p>
          <w:p>
            <w:pPr>
              <w:pStyle w:val="170"/>
              <w:spacing w:line="253" w:lineRule="auto"/>
              <w:rPr>
                <w:color w:val="auto"/>
                <w:highlight w:val="none"/>
              </w:rPr>
            </w:pPr>
          </w:p>
          <w:p>
            <w:pPr>
              <w:spacing w:before="65" w:line="222" w:lineRule="auto"/>
              <w:ind w:left="265" w:right="51" w:hanging="207"/>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社会组织</w:t>
            </w:r>
            <w:r>
              <w:rPr>
                <w:rFonts w:ascii="宋体" w:hAnsi="宋体" w:eastAsia="宋体" w:cs="宋体"/>
                <w:color w:val="auto"/>
                <w:spacing w:val="2"/>
                <w:sz w:val="20"/>
                <w:szCs w:val="20"/>
                <w:highlight w:val="none"/>
              </w:rPr>
              <w:t xml:space="preserve"> </w:t>
            </w:r>
            <w:r>
              <w:rPr>
                <w:rFonts w:ascii="宋体" w:hAnsi="宋体" w:eastAsia="宋体" w:cs="宋体"/>
                <w:color w:val="auto"/>
                <w:spacing w:val="4"/>
                <w:sz w:val="20"/>
                <w:szCs w:val="20"/>
                <w:highlight w:val="none"/>
              </w:rPr>
              <w:t>承接</w:t>
            </w:r>
          </w:p>
          <w:p>
            <w:pPr>
              <w:spacing w:line="229" w:lineRule="auto"/>
              <w:ind w:left="40"/>
              <w:rPr>
                <w:rFonts w:ascii="宋体" w:hAnsi="宋体" w:eastAsia="宋体" w:cs="宋体"/>
                <w:color w:val="auto"/>
                <w:sz w:val="20"/>
                <w:szCs w:val="20"/>
                <w:highlight w:val="none"/>
              </w:rPr>
            </w:pPr>
            <w:r>
              <w:rPr>
                <w:rFonts w:ascii="宋体" w:hAnsi="宋体" w:eastAsia="宋体" w:cs="宋体"/>
                <w:color w:val="auto"/>
                <w:spacing w:val="-1"/>
                <w:sz w:val="20"/>
                <w:szCs w:val="20"/>
                <w:highlight w:val="none"/>
              </w:rPr>
              <w:t>（</w:t>
            </w:r>
            <w:r>
              <w:rPr>
                <w:rFonts w:ascii="Times New Roman" w:hAnsi="Times New Roman" w:eastAsia="Times New Roman" w:cs="Times New Roman"/>
                <w:color w:val="auto"/>
                <w:spacing w:val="-1"/>
                <w:sz w:val="20"/>
                <w:szCs w:val="20"/>
                <w:highlight w:val="none"/>
              </w:rPr>
              <w:t>10</w:t>
            </w:r>
            <w:r>
              <w:rPr>
                <w:rFonts w:ascii="Times New Roman" w:hAnsi="Times New Roman" w:eastAsia="Times New Roman" w:cs="Times New Roman"/>
                <w:color w:val="auto"/>
                <w:spacing w:val="15"/>
                <w:sz w:val="20"/>
                <w:szCs w:val="20"/>
                <w:highlight w:val="none"/>
              </w:rPr>
              <w:t xml:space="preserve"> </w:t>
            </w:r>
            <w:r>
              <w:rPr>
                <w:rFonts w:ascii="宋体" w:hAnsi="宋体" w:eastAsia="宋体" w:cs="宋体"/>
                <w:color w:val="auto"/>
                <w:spacing w:val="-1"/>
                <w:sz w:val="20"/>
                <w:szCs w:val="20"/>
                <w:highlight w:val="none"/>
              </w:rPr>
              <w:t>分）</w:t>
            </w:r>
          </w:p>
        </w:tc>
        <w:tc>
          <w:tcPr>
            <w:tcW w:w="4333" w:type="dxa"/>
            <w:noWrap w:val="0"/>
            <w:vAlign w:val="top"/>
          </w:tcPr>
          <w:p>
            <w:pPr>
              <w:pStyle w:val="170"/>
              <w:spacing w:line="283" w:lineRule="auto"/>
              <w:rPr>
                <w:color w:val="auto"/>
                <w:highlight w:val="none"/>
              </w:rPr>
            </w:pPr>
          </w:p>
          <w:p>
            <w:pPr>
              <w:spacing w:before="65" w:line="228" w:lineRule="auto"/>
              <w:ind w:left="13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拥有一支稳定的志愿者服务队伍</w:t>
            </w:r>
          </w:p>
        </w:tc>
        <w:tc>
          <w:tcPr>
            <w:tcW w:w="708" w:type="dxa"/>
            <w:noWrap w:val="0"/>
            <w:vAlign w:val="top"/>
          </w:tcPr>
          <w:p>
            <w:pPr>
              <w:pStyle w:val="170"/>
              <w:spacing w:line="326" w:lineRule="auto"/>
              <w:rPr>
                <w:color w:val="auto"/>
                <w:highlight w:val="none"/>
              </w:rPr>
            </w:pPr>
          </w:p>
          <w:p>
            <w:pPr>
              <w:spacing w:before="58" w:line="195" w:lineRule="auto"/>
              <w:ind w:left="32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1</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00" w:line="244" w:lineRule="auto"/>
              <w:ind w:left="149" w:right="124" w:hanging="11"/>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具有一名及以上的专职工作人员，包含村</w:t>
            </w:r>
            <w:r>
              <w:rPr>
                <w:rFonts w:ascii="Times New Roman" w:hAnsi="Times New Roman" w:eastAsia="Times New Roman" w:cs="Times New Roman"/>
                <w:color w:val="auto"/>
                <w:spacing w:val="9"/>
                <w:sz w:val="20"/>
                <w:szCs w:val="20"/>
                <w:highlight w:val="none"/>
              </w:rPr>
              <w:t>(</w:t>
            </w:r>
            <w:r>
              <w:rPr>
                <w:rFonts w:ascii="宋体" w:hAnsi="宋体" w:eastAsia="宋体" w:cs="宋体"/>
                <w:color w:val="auto"/>
                <w:spacing w:val="9"/>
                <w:sz w:val="20"/>
                <w:szCs w:val="20"/>
                <w:highlight w:val="none"/>
              </w:rPr>
              <w:t>社</w:t>
            </w:r>
            <w:r>
              <w:rPr>
                <w:rFonts w:ascii="宋体" w:hAnsi="宋体" w:eastAsia="宋体" w:cs="宋体"/>
                <w:color w:val="auto"/>
                <w:spacing w:val="17"/>
                <w:sz w:val="20"/>
                <w:szCs w:val="20"/>
                <w:highlight w:val="none"/>
              </w:rPr>
              <w:t xml:space="preserve"> </w:t>
            </w:r>
            <w:r>
              <w:rPr>
                <w:rFonts w:ascii="宋体" w:hAnsi="宋体" w:eastAsia="宋体" w:cs="宋体"/>
                <w:color w:val="auto"/>
                <w:spacing w:val="7"/>
                <w:sz w:val="20"/>
                <w:szCs w:val="20"/>
                <w:highlight w:val="none"/>
              </w:rPr>
              <w:t>区</w:t>
            </w:r>
            <w:r>
              <w:rPr>
                <w:rFonts w:ascii="Times New Roman" w:hAnsi="Times New Roman" w:eastAsia="Times New Roman" w:cs="Times New Roman"/>
                <w:color w:val="auto"/>
                <w:spacing w:val="7"/>
                <w:sz w:val="20"/>
                <w:szCs w:val="20"/>
                <w:highlight w:val="none"/>
              </w:rPr>
              <w:t>)</w:t>
            </w:r>
            <w:r>
              <w:rPr>
                <w:rFonts w:ascii="宋体" w:hAnsi="宋体" w:eastAsia="宋体" w:cs="宋体"/>
                <w:color w:val="auto"/>
                <w:spacing w:val="7"/>
                <w:sz w:val="20"/>
                <w:szCs w:val="20"/>
                <w:highlight w:val="none"/>
              </w:rPr>
              <w:t>工作者、儿童类社会工作者等</w:t>
            </w:r>
          </w:p>
        </w:tc>
        <w:tc>
          <w:tcPr>
            <w:tcW w:w="708" w:type="dxa"/>
            <w:noWrap w:val="0"/>
            <w:vAlign w:val="top"/>
          </w:tcPr>
          <w:p>
            <w:pPr>
              <w:pStyle w:val="170"/>
              <w:spacing w:line="326"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pStyle w:val="170"/>
              <w:spacing w:line="283" w:lineRule="auto"/>
              <w:rPr>
                <w:color w:val="auto"/>
                <w:highlight w:val="none"/>
              </w:rPr>
            </w:pPr>
          </w:p>
          <w:p>
            <w:pPr>
              <w:spacing w:before="65" w:line="228" w:lineRule="auto"/>
              <w:ind w:left="13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拥有固定开展活动的场所</w:t>
            </w:r>
          </w:p>
        </w:tc>
        <w:tc>
          <w:tcPr>
            <w:tcW w:w="708" w:type="dxa"/>
            <w:noWrap w:val="0"/>
            <w:vAlign w:val="top"/>
          </w:tcPr>
          <w:p>
            <w:pPr>
              <w:pStyle w:val="170"/>
              <w:spacing w:line="326" w:lineRule="auto"/>
              <w:rPr>
                <w:color w:val="auto"/>
                <w:highlight w:val="none"/>
              </w:rPr>
            </w:pPr>
          </w:p>
          <w:p>
            <w:pPr>
              <w:spacing w:before="57" w:line="195" w:lineRule="auto"/>
              <w:ind w:left="32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1</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30" w:line="225" w:lineRule="auto"/>
              <w:ind w:left="133" w:right="124" w:firstLine="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开展过儿童相关项目或处理过儿童问题拥有</w:t>
            </w:r>
            <w:r>
              <w:rPr>
                <w:rFonts w:ascii="宋体" w:hAnsi="宋体" w:eastAsia="宋体" w:cs="宋体"/>
                <w:color w:val="auto"/>
                <w:spacing w:val="1"/>
                <w:sz w:val="20"/>
                <w:szCs w:val="20"/>
                <w:highlight w:val="none"/>
              </w:rPr>
              <w:t xml:space="preserve"> </w:t>
            </w:r>
            <w:r>
              <w:rPr>
                <w:rFonts w:ascii="宋体" w:hAnsi="宋体" w:eastAsia="宋体" w:cs="宋体"/>
                <w:color w:val="auto"/>
                <w:spacing w:val="7"/>
                <w:sz w:val="20"/>
                <w:szCs w:val="20"/>
                <w:highlight w:val="none"/>
              </w:rPr>
              <w:t>优秀经验</w:t>
            </w:r>
          </w:p>
        </w:tc>
        <w:tc>
          <w:tcPr>
            <w:tcW w:w="708" w:type="dxa"/>
            <w:noWrap w:val="0"/>
            <w:vAlign w:val="top"/>
          </w:tcPr>
          <w:p>
            <w:pPr>
              <w:pStyle w:val="170"/>
              <w:spacing w:line="327"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pStyle w:val="170"/>
              <w:spacing w:line="283" w:lineRule="auto"/>
              <w:rPr>
                <w:color w:val="auto"/>
                <w:highlight w:val="none"/>
              </w:rPr>
            </w:pPr>
          </w:p>
          <w:p>
            <w:pPr>
              <w:spacing w:before="65" w:line="228" w:lineRule="auto"/>
              <w:ind w:left="133"/>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在民政部门正式登记注册的社会组织</w:t>
            </w:r>
          </w:p>
        </w:tc>
        <w:tc>
          <w:tcPr>
            <w:tcW w:w="708" w:type="dxa"/>
            <w:noWrap w:val="0"/>
            <w:vAlign w:val="top"/>
          </w:tcPr>
          <w:p>
            <w:pPr>
              <w:pStyle w:val="170"/>
              <w:spacing w:line="326" w:lineRule="auto"/>
              <w:rPr>
                <w:color w:val="auto"/>
                <w:highlight w:val="none"/>
              </w:rPr>
            </w:pPr>
          </w:p>
          <w:p>
            <w:pPr>
              <w:spacing w:before="58" w:line="195" w:lineRule="auto"/>
              <w:ind w:left="32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1</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pStyle w:val="170"/>
              <w:spacing w:line="283" w:lineRule="auto"/>
              <w:rPr>
                <w:color w:val="auto"/>
                <w:highlight w:val="none"/>
              </w:rPr>
            </w:pPr>
          </w:p>
          <w:p>
            <w:pPr>
              <w:spacing w:before="65" w:line="227" w:lineRule="auto"/>
              <w:ind w:left="135"/>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社会组织评估等级具有</w:t>
            </w:r>
            <w:r>
              <w:rPr>
                <w:rFonts w:ascii="宋体" w:hAnsi="宋体" w:eastAsia="宋体" w:cs="宋体"/>
                <w:color w:val="auto"/>
                <w:spacing w:val="-29"/>
                <w:sz w:val="20"/>
                <w:szCs w:val="20"/>
                <w:highlight w:val="none"/>
              </w:rPr>
              <w:t xml:space="preserve"> </w:t>
            </w:r>
            <w:r>
              <w:rPr>
                <w:rFonts w:ascii="Times New Roman" w:hAnsi="Times New Roman" w:eastAsia="Times New Roman" w:cs="Times New Roman"/>
                <w:color w:val="auto"/>
                <w:spacing w:val="7"/>
                <w:sz w:val="20"/>
                <w:szCs w:val="20"/>
                <w:highlight w:val="none"/>
              </w:rPr>
              <w:t xml:space="preserve">3A </w:t>
            </w:r>
            <w:r>
              <w:rPr>
                <w:rFonts w:ascii="宋体" w:hAnsi="宋体" w:eastAsia="宋体" w:cs="宋体"/>
                <w:color w:val="auto"/>
                <w:spacing w:val="7"/>
                <w:sz w:val="20"/>
                <w:szCs w:val="20"/>
                <w:highlight w:val="none"/>
              </w:rPr>
              <w:t>及以上</w:t>
            </w:r>
          </w:p>
        </w:tc>
        <w:tc>
          <w:tcPr>
            <w:tcW w:w="708" w:type="dxa"/>
            <w:noWrap w:val="0"/>
            <w:vAlign w:val="top"/>
          </w:tcPr>
          <w:p>
            <w:pPr>
              <w:pStyle w:val="170"/>
              <w:spacing w:line="326" w:lineRule="auto"/>
              <w:rPr>
                <w:color w:val="auto"/>
                <w:highlight w:val="none"/>
              </w:rPr>
            </w:pPr>
          </w:p>
          <w:p>
            <w:pPr>
              <w:spacing w:before="58" w:line="195" w:lineRule="auto"/>
              <w:ind w:left="32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1</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tcBorders>
            <w:noWrap w:val="0"/>
            <w:vAlign w:val="top"/>
          </w:tcPr>
          <w:p>
            <w:pPr>
              <w:pStyle w:val="170"/>
              <w:rPr>
                <w:color w:val="auto"/>
                <w:highlight w:val="none"/>
              </w:rPr>
            </w:pPr>
          </w:p>
        </w:tc>
        <w:tc>
          <w:tcPr>
            <w:tcW w:w="943" w:type="dxa"/>
            <w:vMerge w:val="continue"/>
            <w:tcBorders>
              <w:top w:val="nil"/>
            </w:tcBorders>
            <w:noWrap w:val="0"/>
            <w:vAlign w:val="top"/>
          </w:tcPr>
          <w:p>
            <w:pPr>
              <w:pStyle w:val="170"/>
              <w:rPr>
                <w:color w:val="auto"/>
                <w:highlight w:val="none"/>
              </w:rPr>
            </w:pPr>
          </w:p>
        </w:tc>
        <w:tc>
          <w:tcPr>
            <w:tcW w:w="4333" w:type="dxa"/>
            <w:noWrap w:val="0"/>
            <w:vAlign w:val="top"/>
          </w:tcPr>
          <w:p>
            <w:pPr>
              <w:pStyle w:val="170"/>
              <w:spacing w:line="283" w:lineRule="auto"/>
              <w:rPr>
                <w:color w:val="auto"/>
                <w:highlight w:val="none"/>
              </w:rPr>
            </w:pPr>
          </w:p>
          <w:p>
            <w:pPr>
              <w:spacing w:before="65" w:line="228" w:lineRule="auto"/>
              <w:ind w:left="138"/>
              <w:rPr>
                <w:rFonts w:ascii="宋体" w:hAnsi="宋体" w:eastAsia="宋体" w:cs="宋体"/>
                <w:color w:val="auto"/>
                <w:sz w:val="20"/>
                <w:szCs w:val="20"/>
                <w:highlight w:val="none"/>
              </w:rPr>
            </w:pPr>
            <w:r>
              <w:rPr>
                <w:rFonts w:ascii="宋体" w:hAnsi="宋体" w:eastAsia="宋体" w:cs="宋体"/>
                <w:color w:val="auto"/>
                <w:spacing w:val="8"/>
                <w:sz w:val="20"/>
                <w:szCs w:val="20"/>
                <w:highlight w:val="none"/>
              </w:rPr>
              <w:t>具有完善的党群组织</w:t>
            </w:r>
          </w:p>
        </w:tc>
        <w:tc>
          <w:tcPr>
            <w:tcW w:w="708" w:type="dxa"/>
            <w:noWrap w:val="0"/>
            <w:vAlign w:val="top"/>
          </w:tcPr>
          <w:p>
            <w:pPr>
              <w:pStyle w:val="170"/>
              <w:spacing w:line="326"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033" w:type="dxa"/>
            <w:vMerge w:val="restart"/>
            <w:tcBorders>
              <w:bottom w:val="nil"/>
            </w:tcBorders>
            <w:noWrap w:val="0"/>
            <w:vAlign w:val="top"/>
          </w:tcPr>
          <w:p>
            <w:pPr>
              <w:pStyle w:val="170"/>
              <w:spacing w:line="302" w:lineRule="auto"/>
              <w:rPr>
                <w:color w:val="auto"/>
                <w:highlight w:val="none"/>
              </w:rPr>
            </w:pPr>
          </w:p>
          <w:p>
            <w:pPr>
              <w:pStyle w:val="170"/>
              <w:spacing w:line="303" w:lineRule="auto"/>
              <w:rPr>
                <w:color w:val="auto"/>
                <w:highlight w:val="none"/>
              </w:rPr>
            </w:pPr>
          </w:p>
          <w:p>
            <w:pPr>
              <w:pStyle w:val="170"/>
              <w:spacing w:line="303" w:lineRule="auto"/>
              <w:rPr>
                <w:color w:val="auto"/>
                <w:highlight w:val="none"/>
              </w:rPr>
            </w:pPr>
          </w:p>
          <w:p>
            <w:pPr>
              <w:spacing w:before="65" w:line="225" w:lineRule="auto"/>
              <w:ind w:left="84" w:right="89" w:firstLine="1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服务开展</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w:t>
            </w:r>
            <w:r>
              <w:rPr>
                <w:rFonts w:ascii="Times New Roman" w:hAnsi="Times New Roman" w:eastAsia="Times New Roman" w:cs="Times New Roman"/>
                <w:color w:val="auto"/>
                <w:spacing w:val="-2"/>
                <w:sz w:val="20"/>
                <w:szCs w:val="20"/>
                <w:highlight w:val="none"/>
              </w:rPr>
              <w:t>40</w:t>
            </w:r>
            <w:r>
              <w:rPr>
                <w:rFonts w:ascii="Times New Roman" w:hAnsi="Times New Roman" w:eastAsia="Times New Roman" w:cs="Times New Roman"/>
                <w:color w:val="auto"/>
                <w:spacing w:val="13"/>
                <w:sz w:val="20"/>
                <w:szCs w:val="20"/>
                <w:highlight w:val="none"/>
              </w:rPr>
              <w:t xml:space="preserve"> </w:t>
            </w:r>
            <w:r>
              <w:rPr>
                <w:rFonts w:ascii="宋体" w:hAnsi="宋体" w:eastAsia="宋体" w:cs="宋体"/>
                <w:color w:val="auto"/>
                <w:spacing w:val="-2"/>
                <w:sz w:val="20"/>
                <w:szCs w:val="20"/>
                <w:highlight w:val="none"/>
              </w:rPr>
              <w:t>分）</w:t>
            </w:r>
          </w:p>
        </w:tc>
        <w:tc>
          <w:tcPr>
            <w:tcW w:w="943" w:type="dxa"/>
            <w:vMerge w:val="restart"/>
            <w:tcBorders>
              <w:bottom w:val="nil"/>
            </w:tcBorders>
            <w:noWrap w:val="0"/>
            <w:vAlign w:val="top"/>
          </w:tcPr>
          <w:p>
            <w:pPr>
              <w:pStyle w:val="170"/>
              <w:spacing w:line="262" w:lineRule="auto"/>
              <w:rPr>
                <w:color w:val="auto"/>
                <w:highlight w:val="none"/>
              </w:rPr>
            </w:pPr>
          </w:p>
          <w:p>
            <w:pPr>
              <w:pStyle w:val="170"/>
              <w:spacing w:line="262" w:lineRule="auto"/>
              <w:rPr>
                <w:color w:val="auto"/>
                <w:highlight w:val="none"/>
              </w:rPr>
            </w:pPr>
          </w:p>
          <w:p>
            <w:pPr>
              <w:pStyle w:val="170"/>
              <w:spacing w:line="263" w:lineRule="auto"/>
              <w:rPr>
                <w:color w:val="auto"/>
                <w:highlight w:val="none"/>
              </w:rPr>
            </w:pPr>
          </w:p>
          <w:p>
            <w:pPr>
              <w:spacing w:before="65" w:line="222" w:lineRule="auto"/>
              <w:ind w:left="265" w:right="51" w:hanging="208"/>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制定服务</w:t>
            </w:r>
            <w:r>
              <w:rPr>
                <w:rFonts w:ascii="宋体" w:hAnsi="宋体" w:eastAsia="宋体" w:cs="宋体"/>
                <w:color w:val="auto"/>
                <w:sz w:val="20"/>
                <w:szCs w:val="20"/>
                <w:highlight w:val="none"/>
              </w:rPr>
              <w:t xml:space="preserve"> </w:t>
            </w:r>
            <w:r>
              <w:rPr>
                <w:rFonts w:ascii="宋体" w:hAnsi="宋体" w:eastAsia="宋体" w:cs="宋体"/>
                <w:color w:val="auto"/>
                <w:spacing w:val="4"/>
                <w:sz w:val="20"/>
                <w:szCs w:val="20"/>
                <w:highlight w:val="none"/>
              </w:rPr>
              <w:t>方案</w:t>
            </w:r>
          </w:p>
          <w:p>
            <w:pPr>
              <w:spacing w:line="229" w:lineRule="auto"/>
              <w:ind w:left="91"/>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w:t>
            </w:r>
            <w:r>
              <w:rPr>
                <w:rFonts w:ascii="Times New Roman" w:hAnsi="Times New Roman" w:eastAsia="Times New Roman" w:cs="Times New Roman"/>
                <w:color w:val="auto"/>
                <w:spacing w:val="14"/>
                <w:sz w:val="20"/>
                <w:szCs w:val="20"/>
                <w:highlight w:val="none"/>
              </w:rPr>
              <w:t>6</w:t>
            </w:r>
            <w:r>
              <w:rPr>
                <w:rFonts w:ascii="宋体" w:hAnsi="宋体" w:eastAsia="宋体" w:cs="宋体"/>
                <w:color w:val="auto"/>
                <w:spacing w:val="14"/>
                <w:sz w:val="20"/>
                <w:szCs w:val="20"/>
                <w:highlight w:val="none"/>
              </w:rPr>
              <w:t>分）</w:t>
            </w:r>
          </w:p>
        </w:tc>
        <w:tc>
          <w:tcPr>
            <w:tcW w:w="4333" w:type="dxa"/>
            <w:noWrap w:val="0"/>
            <w:vAlign w:val="top"/>
          </w:tcPr>
          <w:p>
            <w:pPr>
              <w:spacing w:before="295" w:line="228" w:lineRule="auto"/>
              <w:ind w:left="138"/>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实现进行走访调查，考察具体需求</w:t>
            </w:r>
          </w:p>
        </w:tc>
        <w:tc>
          <w:tcPr>
            <w:tcW w:w="708" w:type="dxa"/>
            <w:noWrap w:val="0"/>
            <w:vAlign w:val="top"/>
          </w:tcPr>
          <w:p>
            <w:pPr>
              <w:pStyle w:val="170"/>
              <w:spacing w:line="271"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9"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174" w:line="225" w:lineRule="auto"/>
              <w:ind w:left="139" w:right="124" w:hanging="3"/>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为辖区内儿童之家的每位困境儿童和农村留</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守建立儿童档案</w:t>
            </w:r>
          </w:p>
        </w:tc>
        <w:tc>
          <w:tcPr>
            <w:tcW w:w="708" w:type="dxa"/>
            <w:noWrap w:val="0"/>
            <w:vAlign w:val="top"/>
          </w:tcPr>
          <w:p>
            <w:pPr>
              <w:pStyle w:val="170"/>
              <w:spacing w:line="271"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1" w:hRule="atLeast"/>
        </w:trPr>
        <w:tc>
          <w:tcPr>
            <w:tcW w:w="1033" w:type="dxa"/>
            <w:vMerge w:val="continue"/>
            <w:tcBorders>
              <w:top w:val="nil"/>
            </w:tcBorders>
            <w:noWrap w:val="0"/>
            <w:vAlign w:val="top"/>
          </w:tcPr>
          <w:p>
            <w:pPr>
              <w:pStyle w:val="170"/>
              <w:rPr>
                <w:color w:val="auto"/>
                <w:highlight w:val="none"/>
              </w:rPr>
            </w:pPr>
          </w:p>
        </w:tc>
        <w:tc>
          <w:tcPr>
            <w:tcW w:w="943" w:type="dxa"/>
            <w:vMerge w:val="continue"/>
            <w:tcBorders>
              <w:top w:val="nil"/>
            </w:tcBorders>
            <w:noWrap w:val="0"/>
            <w:vAlign w:val="top"/>
          </w:tcPr>
          <w:p>
            <w:pPr>
              <w:pStyle w:val="170"/>
              <w:rPr>
                <w:color w:val="auto"/>
                <w:highlight w:val="none"/>
              </w:rPr>
            </w:pPr>
          </w:p>
        </w:tc>
        <w:tc>
          <w:tcPr>
            <w:tcW w:w="4333" w:type="dxa"/>
            <w:noWrap w:val="0"/>
            <w:vAlign w:val="top"/>
          </w:tcPr>
          <w:p>
            <w:pPr>
              <w:spacing w:before="295" w:line="228" w:lineRule="auto"/>
              <w:ind w:left="134"/>
              <w:rPr>
                <w:rFonts w:ascii="宋体" w:hAnsi="宋体" w:eastAsia="宋体" w:cs="宋体"/>
                <w:color w:val="auto"/>
                <w:sz w:val="20"/>
                <w:szCs w:val="20"/>
                <w:highlight w:val="none"/>
              </w:rPr>
            </w:pPr>
            <w:r>
              <w:rPr>
                <w:rFonts w:ascii="宋体" w:hAnsi="宋体" w:eastAsia="宋体" w:cs="宋体"/>
                <w:color w:val="auto"/>
                <w:spacing w:val="9"/>
                <w:sz w:val="20"/>
                <w:szCs w:val="20"/>
                <w:highlight w:val="none"/>
              </w:rPr>
              <w:t>制定年度服务方案、月度工作计划等</w:t>
            </w:r>
          </w:p>
        </w:tc>
        <w:tc>
          <w:tcPr>
            <w:tcW w:w="708" w:type="dxa"/>
            <w:noWrap w:val="0"/>
            <w:vAlign w:val="top"/>
          </w:tcPr>
          <w:p>
            <w:pPr>
              <w:pStyle w:val="170"/>
              <w:spacing w:line="271"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bl>
    <w:p>
      <w:pPr>
        <w:rPr>
          <w:rFonts w:ascii="Arial" w:hAnsi="Arial" w:eastAsia="Arial" w:cs="Arial"/>
          <w:color w:val="auto"/>
          <w:sz w:val="21"/>
          <w:szCs w:val="21"/>
          <w:highlight w:val="none"/>
        </w:rPr>
        <w:sectPr>
          <w:footerReference r:id="rId8" w:type="default"/>
          <w:pgSz w:w="11906" w:h="16839"/>
          <w:pgMar w:top="400" w:right="1506" w:bottom="1584" w:left="1505" w:header="0" w:footer="1397" w:gutter="0"/>
          <w:pgNumType w:fmt="decimal"/>
          <w:cols w:space="720" w:num="1"/>
        </w:sectPr>
      </w:pPr>
    </w:p>
    <w:p>
      <w:pPr>
        <w:spacing w:before="22"/>
        <w:rPr>
          <w:color w:val="auto"/>
          <w:highlight w:val="none"/>
        </w:rPr>
      </w:pPr>
    </w:p>
    <w:tbl>
      <w:tblPr>
        <w:tblStyle w:val="171"/>
        <w:tblW w:w="888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33"/>
        <w:gridCol w:w="943"/>
        <w:gridCol w:w="4333"/>
        <w:gridCol w:w="708"/>
        <w:gridCol w:w="620"/>
        <w:gridCol w:w="624"/>
        <w:gridCol w:w="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033" w:type="dxa"/>
            <w:noWrap w:val="0"/>
            <w:vAlign w:val="top"/>
          </w:tcPr>
          <w:p>
            <w:pPr>
              <w:spacing w:before="136" w:line="229" w:lineRule="auto"/>
              <w:ind w:left="104"/>
              <w:rPr>
                <w:rFonts w:ascii="黑体" w:hAnsi="黑体" w:eastAsia="黑体" w:cs="黑体"/>
                <w:color w:val="auto"/>
                <w:sz w:val="20"/>
                <w:szCs w:val="20"/>
                <w:highlight w:val="none"/>
              </w:rPr>
            </w:pPr>
            <w:r>
              <w:rPr>
                <w:rFonts w:ascii="黑体" w:hAnsi="黑体" w:eastAsia="黑体" w:cs="黑体"/>
                <w:color w:val="auto"/>
                <w:spacing w:val="6"/>
                <w:sz w:val="20"/>
                <w:szCs w:val="20"/>
                <w:highlight w:val="none"/>
              </w:rPr>
              <w:t>一级指标</w:t>
            </w:r>
          </w:p>
        </w:tc>
        <w:tc>
          <w:tcPr>
            <w:tcW w:w="943" w:type="dxa"/>
            <w:noWrap w:val="0"/>
            <w:vAlign w:val="top"/>
          </w:tcPr>
          <w:p>
            <w:pPr>
              <w:spacing w:before="136" w:line="229" w:lineRule="auto"/>
              <w:ind w:left="60"/>
              <w:rPr>
                <w:rFonts w:ascii="黑体" w:hAnsi="黑体" w:eastAsia="黑体" w:cs="黑体"/>
                <w:color w:val="auto"/>
                <w:sz w:val="20"/>
                <w:szCs w:val="20"/>
                <w:highlight w:val="none"/>
              </w:rPr>
            </w:pPr>
            <w:r>
              <w:rPr>
                <w:rFonts w:ascii="黑体" w:hAnsi="黑体" w:eastAsia="黑体" w:cs="黑体"/>
                <w:color w:val="auto"/>
                <w:spacing w:val="6"/>
                <w:sz w:val="20"/>
                <w:szCs w:val="20"/>
                <w:highlight w:val="none"/>
              </w:rPr>
              <w:t>二级指标</w:t>
            </w:r>
          </w:p>
        </w:tc>
        <w:tc>
          <w:tcPr>
            <w:tcW w:w="4333" w:type="dxa"/>
            <w:noWrap w:val="0"/>
            <w:vAlign w:val="top"/>
          </w:tcPr>
          <w:p>
            <w:pPr>
              <w:spacing w:before="136" w:line="230" w:lineRule="auto"/>
              <w:ind w:left="1753"/>
              <w:rPr>
                <w:rFonts w:ascii="黑体" w:hAnsi="黑体" w:eastAsia="黑体" w:cs="黑体"/>
                <w:color w:val="auto"/>
                <w:sz w:val="20"/>
                <w:szCs w:val="20"/>
                <w:highlight w:val="none"/>
              </w:rPr>
            </w:pPr>
            <w:r>
              <w:rPr>
                <w:rFonts w:ascii="黑体" w:hAnsi="黑体" w:eastAsia="黑体" w:cs="黑体"/>
                <w:color w:val="auto"/>
                <w:spacing w:val="7"/>
                <w:sz w:val="20"/>
                <w:szCs w:val="20"/>
                <w:highlight w:val="none"/>
              </w:rPr>
              <w:t>评估标准</w:t>
            </w:r>
          </w:p>
        </w:tc>
        <w:tc>
          <w:tcPr>
            <w:tcW w:w="708" w:type="dxa"/>
            <w:noWrap w:val="0"/>
            <w:vAlign w:val="top"/>
          </w:tcPr>
          <w:p>
            <w:pPr>
              <w:spacing w:before="136" w:line="231" w:lineRule="auto"/>
              <w:ind w:left="157"/>
              <w:rPr>
                <w:rFonts w:ascii="黑体" w:hAnsi="黑体" w:eastAsia="黑体" w:cs="黑体"/>
                <w:color w:val="auto"/>
                <w:sz w:val="20"/>
                <w:szCs w:val="20"/>
                <w:highlight w:val="none"/>
              </w:rPr>
            </w:pPr>
            <w:r>
              <w:rPr>
                <w:rFonts w:ascii="黑体" w:hAnsi="黑体" w:eastAsia="黑体" w:cs="黑体"/>
                <w:color w:val="auto"/>
                <w:spacing w:val="2"/>
                <w:sz w:val="20"/>
                <w:szCs w:val="20"/>
                <w:highlight w:val="none"/>
              </w:rPr>
              <w:t>分值</w:t>
            </w:r>
          </w:p>
        </w:tc>
        <w:tc>
          <w:tcPr>
            <w:tcW w:w="620" w:type="dxa"/>
            <w:noWrap w:val="0"/>
            <w:vAlign w:val="top"/>
          </w:tcPr>
          <w:p>
            <w:pPr>
              <w:spacing w:before="17" w:line="213" w:lineRule="auto"/>
              <w:ind w:left="107" w:right="96" w:firstLine="14"/>
              <w:rPr>
                <w:rFonts w:ascii="黑体" w:hAnsi="黑体" w:eastAsia="黑体" w:cs="黑体"/>
                <w:color w:val="auto"/>
                <w:sz w:val="20"/>
                <w:szCs w:val="20"/>
                <w:highlight w:val="none"/>
              </w:rPr>
            </w:pPr>
            <w:r>
              <w:rPr>
                <w:rFonts w:ascii="黑体" w:hAnsi="黑体" w:eastAsia="黑体" w:cs="黑体"/>
                <w:color w:val="auto"/>
                <w:spacing w:val="-2"/>
                <w:sz w:val="20"/>
                <w:szCs w:val="20"/>
                <w:highlight w:val="none"/>
              </w:rPr>
              <w:t>民政</w:t>
            </w:r>
            <w:r>
              <w:rPr>
                <w:rFonts w:ascii="黑体" w:hAnsi="黑体" w:eastAsia="黑体" w:cs="黑体"/>
                <w:color w:val="auto"/>
                <w:sz w:val="20"/>
                <w:szCs w:val="20"/>
                <w:highlight w:val="none"/>
              </w:rPr>
              <w:t xml:space="preserve"> </w:t>
            </w:r>
            <w:r>
              <w:rPr>
                <w:rFonts w:ascii="黑体" w:hAnsi="黑体" w:eastAsia="黑体" w:cs="黑体"/>
                <w:color w:val="auto"/>
                <w:spacing w:val="5"/>
                <w:sz w:val="20"/>
                <w:szCs w:val="20"/>
                <w:highlight w:val="none"/>
              </w:rPr>
              <w:t>赋分</w:t>
            </w:r>
          </w:p>
        </w:tc>
        <w:tc>
          <w:tcPr>
            <w:tcW w:w="624" w:type="dxa"/>
            <w:noWrap w:val="0"/>
            <w:vAlign w:val="top"/>
          </w:tcPr>
          <w:p>
            <w:pPr>
              <w:spacing w:before="17" w:line="213" w:lineRule="auto"/>
              <w:ind w:left="108" w:right="98"/>
              <w:rPr>
                <w:rFonts w:ascii="黑体" w:hAnsi="黑体" w:eastAsia="黑体" w:cs="黑体"/>
                <w:color w:val="auto"/>
                <w:sz w:val="20"/>
                <w:szCs w:val="20"/>
                <w:highlight w:val="none"/>
              </w:rPr>
            </w:pPr>
            <w:r>
              <w:rPr>
                <w:rFonts w:ascii="黑体" w:hAnsi="黑体" w:eastAsia="黑体" w:cs="黑体"/>
                <w:color w:val="auto"/>
                <w:spacing w:val="5"/>
                <w:sz w:val="20"/>
                <w:szCs w:val="20"/>
                <w:highlight w:val="none"/>
              </w:rPr>
              <w:t>妇联</w:t>
            </w:r>
            <w:r>
              <w:rPr>
                <w:rFonts w:ascii="黑体" w:hAnsi="黑体" w:eastAsia="黑体" w:cs="黑体"/>
                <w:color w:val="auto"/>
                <w:sz w:val="20"/>
                <w:szCs w:val="20"/>
                <w:highlight w:val="none"/>
              </w:rPr>
              <w:t xml:space="preserve"> </w:t>
            </w:r>
            <w:r>
              <w:rPr>
                <w:rFonts w:ascii="黑体" w:hAnsi="黑体" w:eastAsia="黑体" w:cs="黑体"/>
                <w:color w:val="auto"/>
                <w:spacing w:val="5"/>
                <w:sz w:val="20"/>
                <w:szCs w:val="20"/>
                <w:highlight w:val="none"/>
              </w:rPr>
              <w:t>赋分</w:t>
            </w:r>
          </w:p>
        </w:tc>
        <w:tc>
          <w:tcPr>
            <w:tcW w:w="628" w:type="dxa"/>
            <w:noWrap w:val="0"/>
            <w:vAlign w:val="top"/>
          </w:tcPr>
          <w:p>
            <w:pPr>
              <w:spacing w:before="136" w:line="231" w:lineRule="auto"/>
              <w:ind w:left="108"/>
              <w:rPr>
                <w:rFonts w:ascii="黑体" w:hAnsi="黑体" w:eastAsia="黑体" w:cs="黑体"/>
                <w:color w:val="auto"/>
                <w:sz w:val="20"/>
                <w:szCs w:val="20"/>
                <w:highlight w:val="none"/>
              </w:rPr>
            </w:pPr>
            <w:r>
              <w:rPr>
                <w:rFonts w:ascii="黑体" w:hAnsi="黑体" w:eastAsia="黑体" w:cs="黑体"/>
                <w:color w:val="auto"/>
                <w:spacing w:val="5"/>
                <w:sz w:val="20"/>
                <w:szCs w:val="20"/>
                <w:highlight w:val="none"/>
              </w:rPr>
              <w:t>核分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restart"/>
            <w:tcBorders>
              <w:bottom w:val="nil"/>
            </w:tcBorders>
            <w:noWrap w:val="0"/>
            <w:vAlign w:val="top"/>
          </w:tcPr>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5" w:lineRule="auto"/>
              <w:rPr>
                <w:color w:val="auto"/>
                <w:highlight w:val="none"/>
              </w:rPr>
            </w:pPr>
          </w:p>
          <w:p>
            <w:pPr>
              <w:pStyle w:val="170"/>
              <w:spacing w:line="246" w:lineRule="auto"/>
              <w:rPr>
                <w:color w:val="auto"/>
                <w:highlight w:val="none"/>
              </w:rPr>
            </w:pPr>
          </w:p>
          <w:p>
            <w:pPr>
              <w:spacing w:before="65" w:line="225" w:lineRule="auto"/>
              <w:ind w:left="84" w:right="89" w:firstLine="16"/>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服务开展</w:t>
            </w:r>
            <w:r>
              <w:rPr>
                <w:rFonts w:ascii="宋体" w:hAnsi="宋体" w:eastAsia="宋体" w:cs="宋体"/>
                <w:color w:val="auto"/>
                <w:sz w:val="20"/>
                <w:szCs w:val="20"/>
                <w:highlight w:val="none"/>
              </w:rPr>
              <w:t xml:space="preserve"> </w:t>
            </w:r>
            <w:r>
              <w:rPr>
                <w:rFonts w:ascii="宋体" w:hAnsi="宋体" w:eastAsia="宋体" w:cs="宋体"/>
                <w:color w:val="auto"/>
                <w:spacing w:val="-2"/>
                <w:sz w:val="20"/>
                <w:szCs w:val="20"/>
                <w:highlight w:val="none"/>
              </w:rPr>
              <w:t>（</w:t>
            </w:r>
            <w:r>
              <w:rPr>
                <w:rFonts w:ascii="Times New Roman" w:hAnsi="Times New Roman" w:eastAsia="Times New Roman" w:cs="Times New Roman"/>
                <w:color w:val="auto"/>
                <w:spacing w:val="-2"/>
                <w:sz w:val="20"/>
                <w:szCs w:val="20"/>
                <w:highlight w:val="none"/>
              </w:rPr>
              <w:t>40</w:t>
            </w:r>
            <w:r>
              <w:rPr>
                <w:rFonts w:ascii="Times New Roman" w:hAnsi="Times New Roman" w:eastAsia="Times New Roman" w:cs="Times New Roman"/>
                <w:color w:val="auto"/>
                <w:spacing w:val="13"/>
                <w:sz w:val="20"/>
                <w:szCs w:val="20"/>
                <w:highlight w:val="none"/>
              </w:rPr>
              <w:t xml:space="preserve"> </w:t>
            </w:r>
            <w:r>
              <w:rPr>
                <w:rFonts w:ascii="宋体" w:hAnsi="宋体" w:eastAsia="宋体" w:cs="宋体"/>
                <w:color w:val="auto"/>
                <w:spacing w:val="-2"/>
                <w:sz w:val="20"/>
                <w:szCs w:val="20"/>
                <w:highlight w:val="none"/>
              </w:rPr>
              <w:t>分）</w:t>
            </w:r>
          </w:p>
        </w:tc>
        <w:tc>
          <w:tcPr>
            <w:tcW w:w="943" w:type="dxa"/>
            <w:vMerge w:val="restart"/>
            <w:tcBorders>
              <w:bottom w:val="nil"/>
            </w:tcBorders>
            <w:noWrap w:val="0"/>
            <w:vAlign w:val="top"/>
          </w:tcPr>
          <w:p>
            <w:pPr>
              <w:pStyle w:val="170"/>
              <w:spacing w:line="336" w:lineRule="auto"/>
              <w:rPr>
                <w:color w:val="auto"/>
                <w:highlight w:val="none"/>
              </w:rPr>
            </w:pPr>
          </w:p>
          <w:p>
            <w:pPr>
              <w:pStyle w:val="170"/>
              <w:spacing w:line="337" w:lineRule="auto"/>
              <w:rPr>
                <w:color w:val="auto"/>
                <w:highlight w:val="none"/>
              </w:rPr>
            </w:pPr>
          </w:p>
          <w:p>
            <w:pPr>
              <w:spacing w:before="65" w:line="225" w:lineRule="auto"/>
              <w:ind w:left="91" w:right="51" w:firstLine="1"/>
              <w:rPr>
                <w:rFonts w:ascii="宋体" w:hAnsi="宋体" w:eastAsia="宋体" w:cs="宋体"/>
                <w:color w:val="auto"/>
                <w:sz w:val="20"/>
                <w:szCs w:val="20"/>
                <w:highlight w:val="none"/>
              </w:rPr>
            </w:pPr>
            <w:r>
              <w:rPr>
                <w:rFonts w:ascii="宋体" w:hAnsi="宋体" w:eastAsia="宋体" w:cs="宋体"/>
                <w:color w:val="auto"/>
                <w:spacing w:val="-2"/>
                <w:sz w:val="20"/>
                <w:szCs w:val="20"/>
                <w:highlight w:val="none"/>
              </w:rPr>
              <w:t>日常服务</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w:t>
            </w:r>
            <w:r>
              <w:rPr>
                <w:rFonts w:ascii="Times New Roman" w:hAnsi="Times New Roman" w:eastAsia="Times New Roman" w:cs="Times New Roman"/>
                <w:color w:val="auto"/>
                <w:spacing w:val="14"/>
                <w:sz w:val="20"/>
                <w:szCs w:val="20"/>
                <w:highlight w:val="none"/>
              </w:rPr>
              <w:t>4</w:t>
            </w:r>
            <w:r>
              <w:rPr>
                <w:rFonts w:ascii="宋体" w:hAnsi="宋体" w:eastAsia="宋体" w:cs="宋体"/>
                <w:color w:val="auto"/>
                <w:spacing w:val="14"/>
                <w:sz w:val="20"/>
                <w:szCs w:val="20"/>
                <w:highlight w:val="none"/>
              </w:rPr>
              <w:t>分）</w:t>
            </w:r>
          </w:p>
        </w:tc>
        <w:tc>
          <w:tcPr>
            <w:tcW w:w="4333" w:type="dxa"/>
            <w:noWrap w:val="0"/>
            <w:vAlign w:val="top"/>
          </w:tcPr>
          <w:p>
            <w:pPr>
              <w:spacing w:before="225" w:line="225" w:lineRule="auto"/>
              <w:ind w:left="133" w:right="1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每天对出入儿童之家的儿童进行晨午检并登</w:t>
            </w:r>
            <w:r>
              <w:rPr>
                <w:rFonts w:ascii="宋体" w:hAnsi="宋体" w:eastAsia="宋体" w:cs="宋体"/>
                <w:color w:val="auto"/>
                <w:spacing w:val="2"/>
                <w:sz w:val="20"/>
                <w:szCs w:val="20"/>
                <w:highlight w:val="none"/>
              </w:rPr>
              <w:t xml:space="preserve"> </w:t>
            </w:r>
            <w:r>
              <w:rPr>
                <w:rFonts w:ascii="宋体" w:hAnsi="宋体" w:eastAsia="宋体" w:cs="宋体"/>
                <w:color w:val="auto"/>
                <w:spacing w:val="8"/>
                <w:sz w:val="20"/>
                <w:szCs w:val="20"/>
                <w:highlight w:val="none"/>
              </w:rPr>
              <w:t>记手册（儿童之家日常活动开展登记册）</w:t>
            </w:r>
          </w:p>
        </w:tc>
        <w:tc>
          <w:tcPr>
            <w:tcW w:w="708" w:type="dxa"/>
            <w:noWrap w:val="0"/>
            <w:vAlign w:val="top"/>
          </w:tcPr>
          <w:p>
            <w:pPr>
              <w:pStyle w:val="170"/>
              <w:spacing w:line="322"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4"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tcBorders>
            <w:noWrap w:val="0"/>
            <w:vAlign w:val="top"/>
          </w:tcPr>
          <w:p>
            <w:pPr>
              <w:pStyle w:val="170"/>
              <w:rPr>
                <w:color w:val="auto"/>
                <w:highlight w:val="none"/>
              </w:rPr>
            </w:pPr>
          </w:p>
        </w:tc>
        <w:tc>
          <w:tcPr>
            <w:tcW w:w="4333" w:type="dxa"/>
            <w:noWrap w:val="0"/>
            <w:vAlign w:val="top"/>
          </w:tcPr>
          <w:p>
            <w:pPr>
              <w:spacing w:before="283" w:line="225" w:lineRule="auto"/>
              <w:ind w:left="133" w:right="12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每周开放儿童之家不少于</w:t>
            </w:r>
            <w:r>
              <w:rPr>
                <w:rFonts w:ascii="宋体" w:hAnsi="宋体" w:eastAsia="宋体" w:cs="宋体"/>
                <w:color w:val="auto"/>
                <w:spacing w:val="-28"/>
                <w:sz w:val="20"/>
                <w:szCs w:val="20"/>
                <w:highlight w:val="none"/>
              </w:rPr>
              <w:t xml:space="preserve"> </w:t>
            </w:r>
            <w:r>
              <w:rPr>
                <w:rFonts w:ascii="Times New Roman" w:hAnsi="Times New Roman" w:eastAsia="Times New Roman" w:cs="Times New Roman"/>
                <w:color w:val="auto"/>
                <w:spacing w:val="12"/>
                <w:sz w:val="20"/>
                <w:szCs w:val="20"/>
                <w:highlight w:val="none"/>
              </w:rPr>
              <w:t>5</w:t>
            </w:r>
            <w:r>
              <w:rPr>
                <w:rFonts w:ascii="Times New Roman" w:hAnsi="Times New Roman" w:eastAsia="Times New Roman" w:cs="Times New Roman"/>
                <w:color w:val="auto"/>
                <w:spacing w:val="21"/>
                <w:sz w:val="20"/>
                <w:szCs w:val="20"/>
                <w:highlight w:val="none"/>
              </w:rPr>
              <w:t xml:space="preserve"> </w:t>
            </w:r>
            <w:r>
              <w:rPr>
                <w:rFonts w:ascii="宋体" w:hAnsi="宋体" w:eastAsia="宋体" w:cs="宋体"/>
                <w:color w:val="auto"/>
                <w:spacing w:val="12"/>
                <w:sz w:val="20"/>
                <w:szCs w:val="20"/>
                <w:highlight w:val="none"/>
              </w:rPr>
              <w:t>天（周六、周日</w:t>
            </w:r>
            <w:r>
              <w:rPr>
                <w:rFonts w:ascii="宋体" w:hAnsi="宋体" w:eastAsia="宋体" w:cs="宋体"/>
                <w:color w:val="auto"/>
                <w:sz w:val="20"/>
                <w:szCs w:val="20"/>
                <w:highlight w:val="none"/>
              </w:rPr>
              <w:t xml:space="preserve"> </w:t>
            </w:r>
            <w:r>
              <w:rPr>
                <w:rFonts w:ascii="宋体" w:hAnsi="宋体" w:eastAsia="宋体" w:cs="宋体"/>
                <w:color w:val="auto"/>
                <w:spacing w:val="7"/>
                <w:sz w:val="20"/>
                <w:szCs w:val="20"/>
                <w:highlight w:val="none"/>
              </w:rPr>
              <w:t>开放</w:t>
            </w:r>
            <w:r>
              <w:rPr>
                <w:rFonts w:ascii="宋体" w:hAnsi="宋体" w:eastAsia="宋体" w:cs="宋体"/>
                <w:color w:val="auto"/>
                <w:spacing w:val="15"/>
                <w:sz w:val="20"/>
                <w:szCs w:val="20"/>
                <w:highlight w:val="none"/>
              </w:rPr>
              <w:t>），</w:t>
            </w:r>
            <w:r>
              <w:rPr>
                <w:rFonts w:ascii="宋体" w:hAnsi="宋体" w:eastAsia="宋体" w:cs="宋体"/>
                <w:color w:val="auto"/>
                <w:spacing w:val="7"/>
                <w:sz w:val="20"/>
                <w:szCs w:val="20"/>
                <w:highlight w:val="none"/>
              </w:rPr>
              <w:t>特殊情况待定</w:t>
            </w:r>
          </w:p>
        </w:tc>
        <w:tc>
          <w:tcPr>
            <w:tcW w:w="708" w:type="dxa"/>
            <w:noWrap w:val="0"/>
            <w:vAlign w:val="top"/>
          </w:tcPr>
          <w:p>
            <w:pPr>
              <w:pStyle w:val="170"/>
              <w:spacing w:line="379" w:lineRule="auto"/>
              <w:rPr>
                <w:color w:val="auto"/>
                <w:highlight w:val="none"/>
              </w:rPr>
            </w:pPr>
          </w:p>
          <w:p>
            <w:pPr>
              <w:spacing w:before="57" w:line="195" w:lineRule="auto"/>
              <w:ind w:left="304"/>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2</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1"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restart"/>
            <w:tcBorders>
              <w:bottom w:val="nil"/>
            </w:tcBorders>
            <w:noWrap w:val="0"/>
            <w:vAlign w:val="top"/>
          </w:tcPr>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6" w:lineRule="auto"/>
              <w:rPr>
                <w:color w:val="auto"/>
                <w:highlight w:val="none"/>
              </w:rPr>
            </w:pPr>
          </w:p>
          <w:p>
            <w:pPr>
              <w:pStyle w:val="170"/>
              <w:spacing w:line="247" w:lineRule="auto"/>
              <w:rPr>
                <w:color w:val="auto"/>
                <w:highlight w:val="none"/>
              </w:rPr>
            </w:pPr>
          </w:p>
          <w:p>
            <w:pPr>
              <w:spacing w:before="65" w:line="225" w:lineRule="auto"/>
              <w:ind w:left="40" w:right="45" w:firstLine="19"/>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活动开展</w:t>
            </w:r>
            <w:r>
              <w:rPr>
                <w:rFonts w:ascii="宋体" w:hAnsi="宋体" w:eastAsia="宋体" w:cs="宋体"/>
                <w:color w:val="auto"/>
                <w:spacing w:val="1"/>
                <w:sz w:val="20"/>
                <w:szCs w:val="20"/>
                <w:highlight w:val="none"/>
              </w:rPr>
              <w:t xml:space="preserve"> </w:t>
            </w:r>
            <w:r>
              <w:rPr>
                <w:rFonts w:ascii="宋体" w:hAnsi="宋体" w:eastAsia="宋体" w:cs="宋体"/>
                <w:color w:val="auto"/>
                <w:spacing w:val="-3"/>
                <w:sz w:val="20"/>
                <w:szCs w:val="20"/>
                <w:highlight w:val="none"/>
              </w:rPr>
              <w:t>（</w:t>
            </w:r>
            <w:r>
              <w:rPr>
                <w:rFonts w:ascii="Times New Roman" w:hAnsi="Times New Roman" w:eastAsia="Times New Roman" w:cs="Times New Roman"/>
                <w:color w:val="auto"/>
                <w:spacing w:val="-3"/>
                <w:sz w:val="20"/>
                <w:szCs w:val="20"/>
                <w:highlight w:val="none"/>
              </w:rPr>
              <w:t>30</w:t>
            </w:r>
            <w:r>
              <w:rPr>
                <w:rFonts w:ascii="Times New Roman" w:hAnsi="Times New Roman" w:eastAsia="Times New Roman" w:cs="Times New Roman"/>
                <w:color w:val="auto"/>
                <w:spacing w:val="15"/>
                <w:w w:val="101"/>
                <w:sz w:val="20"/>
                <w:szCs w:val="20"/>
                <w:highlight w:val="none"/>
              </w:rPr>
              <w:t xml:space="preserve"> </w:t>
            </w:r>
            <w:r>
              <w:rPr>
                <w:rFonts w:ascii="宋体" w:hAnsi="宋体" w:eastAsia="宋体" w:cs="宋体"/>
                <w:color w:val="auto"/>
                <w:spacing w:val="-3"/>
                <w:sz w:val="20"/>
                <w:szCs w:val="20"/>
                <w:highlight w:val="none"/>
              </w:rPr>
              <w:t>分）</w:t>
            </w:r>
          </w:p>
        </w:tc>
        <w:tc>
          <w:tcPr>
            <w:tcW w:w="4333" w:type="dxa"/>
            <w:noWrap w:val="0"/>
            <w:vAlign w:val="top"/>
          </w:tcPr>
          <w:p>
            <w:pPr>
              <w:pStyle w:val="170"/>
              <w:spacing w:line="262" w:lineRule="auto"/>
              <w:rPr>
                <w:color w:val="auto"/>
                <w:highlight w:val="none"/>
              </w:rPr>
            </w:pPr>
          </w:p>
          <w:p>
            <w:pPr>
              <w:spacing w:before="65" w:line="223" w:lineRule="auto"/>
              <w:ind w:left="133" w:right="1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根据不同年龄阶段儿童需求，每周组织开展</w:t>
            </w:r>
            <w:r>
              <w:rPr>
                <w:rFonts w:ascii="宋体" w:hAnsi="宋体" w:eastAsia="宋体" w:cs="宋体"/>
                <w:color w:val="auto"/>
                <w:spacing w:val="2"/>
                <w:sz w:val="20"/>
                <w:szCs w:val="20"/>
                <w:highlight w:val="none"/>
              </w:rPr>
              <w:t xml:space="preserve"> </w:t>
            </w:r>
            <w:r>
              <w:rPr>
                <w:rFonts w:ascii="宋体" w:hAnsi="宋体" w:eastAsia="宋体" w:cs="宋体"/>
                <w:color w:val="auto"/>
                <w:spacing w:val="14"/>
                <w:sz w:val="20"/>
                <w:szCs w:val="20"/>
                <w:highlight w:val="none"/>
              </w:rPr>
              <w:t>游戏、娱乐、阅读、社会实践等活动每类不</w:t>
            </w:r>
            <w:r>
              <w:rPr>
                <w:rFonts w:ascii="宋体" w:hAnsi="宋体" w:eastAsia="宋体" w:cs="宋体"/>
                <w:color w:val="auto"/>
                <w:spacing w:val="2"/>
                <w:sz w:val="20"/>
                <w:szCs w:val="20"/>
                <w:highlight w:val="none"/>
              </w:rPr>
              <w:t xml:space="preserve"> </w:t>
            </w:r>
            <w:r>
              <w:rPr>
                <w:rFonts w:ascii="宋体" w:hAnsi="宋体" w:eastAsia="宋体" w:cs="宋体"/>
                <w:color w:val="auto"/>
                <w:spacing w:val="7"/>
                <w:sz w:val="20"/>
                <w:szCs w:val="20"/>
                <w:highlight w:val="none"/>
              </w:rPr>
              <w:t>少于</w:t>
            </w:r>
            <w:r>
              <w:rPr>
                <w:rFonts w:ascii="宋体" w:hAnsi="宋体" w:eastAsia="宋体" w:cs="宋体"/>
                <w:color w:val="auto"/>
                <w:spacing w:val="-20"/>
                <w:sz w:val="20"/>
                <w:szCs w:val="20"/>
                <w:highlight w:val="none"/>
              </w:rPr>
              <w:t xml:space="preserve"> </w:t>
            </w:r>
            <w:r>
              <w:rPr>
                <w:rFonts w:ascii="Times New Roman" w:hAnsi="Times New Roman" w:eastAsia="Times New Roman" w:cs="Times New Roman"/>
                <w:color w:val="auto"/>
                <w:spacing w:val="7"/>
                <w:sz w:val="20"/>
                <w:szCs w:val="20"/>
                <w:highlight w:val="none"/>
              </w:rPr>
              <w:t>1</w:t>
            </w:r>
            <w:r>
              <w:rPr>
                <w:rFonts w:ascii="Times New Roman" w:hAnsi="Times New Roman" w:eastAsia="Times New Roman" w:cs="Times New Roman"/>
                <w:color w:val="auto"/>
                <w:spacing w:val="23"/>
                <w:sz w:val="20"/>
                <w:szCs w:val="20"/>
                <w:highlight w:val="none"/>
              </w:rPr>
              <w:t xml:space="preserve"> </w:t>
            </w:r>
            <w:r>
              <w:rPr>
                <w:rFonts w:ascii="宋体" w:hAnsi="宋体" w:eastAsia="宋体" w:cs="宋体"/>
                <w:color w:val="auto"/>
                <w:spacing w:val="7"/>
                <w:sz w:val="20"/>
                <w:szCs w:val="20"/>
                <w:highlight w:val="none"/>
              </w:rPr>
              <w:t>次（活动计划</w:t>
            </w:r>
            <w:r>
              <w:rPr>
                <w:rFonts w:ascii="宋体" w:hAnsi="宋体" w:eastAsia="宋体" w:cs="宋体"/>
                <w:color w:val="auto"/>
                <w:spacing w:val="-18"/>
                <w:sz w:val="20"/>
                <w:szCs w:val="20"/>
                <w:highlight w:val="none"/>
              </w:rPr>
              <w:t xml:space="preserve"> </w:t>
            </w:r>
            <w:r>
              <w:rPr>
                <w:rFonts w:ascii="Times New Roman" w:hAnsi="Times New Roman" w:eastAsia="Times New Roman" w:cs="Times New Roman"/>
                <w:color w:val="auto"/>
                <w:spacing w:val="7"/>
                <w:sz w:val="20"/>
                <w:szCs w:val="20"/>
                <w:highlight w:val="none"/>
              </w:rPr>
              <w:t>1</w:t>
            </w:r>
            <w:r>
              <w:rPr>
                <w:rFonts w:ascii="Times New Roman" w:hAnsi="Times New Roman" w:eastAsia="Times New Roman" w:cs="Times New Roman"/>
                <w:color w:val="auto"/>
                <w:spacing w:val="19"/>
                <w:sz w:val="20"/>
                <w:szCs w:val="20"/>
                <w:highlight w:val="none"/>
              </w:rPr>
              <w:t xml:space="preserve"> </w:t>
            </w:r>
            <w:r>
              <w:rPr>
                <w:rFonts w:ascii="宋体" w:hAnsi="宋体" w:eastAsia="宋体" w:cs="宋体"/>
                <w:color w:val="auto"/>
                <w:spacing w:val="7"/>
                <w:sz w:val="20"/>
                <w:szCs w:val="20"/>
                <w:highlight w:val="none"/>
              </w:rPr>
              <w:t>分，活动记录</w:t>
            </w:r>
            <w:r>
              <w:rPr>
                <w:rFonts w:ascii="宋体" w:hAnsi="宋体" w:eastAsia="宋体" w:cs="宋体"/>
                <w:color w:val="auto"/>
                <w:spacing w:val="-36"/>
                <w:sz w:val="20"/>
                <w:szCs w:val="20"/>
                <w:highlight w:val="none"/>
              </w:rPr>
              <w:t xml:space="preserve"> </w:t>
            </w:r>
            <w:r>
              <w:rPr>
                <w:rFonts w:ascii="Times New Roman" w:hAnsi="Times New Roman" w:eastAsia="Times New Roman" w:cs="Times New Roman"/>
                <w:color w:val="auto"/>
                <w:spacing w:val="7"/>
                <w:sz w:val="20"/>
                <w:szCs w:val="20"/>
                <w:highlight w:val="none"/>
              </w:rPr>
              <w:t>2</w:t>
            </w:r>
            <w:r>
              <w:rPr>
                <w:rFonts w:ascii="Times New Roman" w:hAnsi="Times New Roman" w:eastAsia="Times New Roman" w:cs="Times New Roman"/>
                <w:color w:val="auto"/>
                <w:spacing w:val="17"/>
                <w:w w:val="101"/>
                <w:sz w:val="20"/>
                <w:szCs w:val="20"/>
                <w:highlight w:val="none"/>
              </w:rPr>
              <w:t xml:space="preserve"> </w:t>
            </w:r>
            <w:r>
              <w:rPr>
                <w:rFonts w:ascii="宋体" w:hAnsi="宋体" w:eastAsia="宋体" w:cs="宋体"/>
                <w:color w:val="auto"/>
                <w:spacing w:val="7"/>
                <w:sz w:val="20"/>
                <w:szCs w:val="20"/>
                <w:highlight w:val="none"/>
              </w:rPr>
              <w:t>分，</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活动照片</w:t>
            </w:r>
            <w:r>
              <w:rPr>
                <w:rFonts w:ascii="宋体" w:hAnsi="宋体" w:eastAsia="宋体" w:cs="宋体"/>
                <w:color w:val="auto"/>
                <w:spacing w:val="-23"/>
                <w:sz w:val="20"/>
                <w:szCs w:val="20"/>
                <w:highlight w:val="none"/>
              </w:rPr>
              <w:t xml:space="preserve"> </w:t>
            </w:r>
            <w:r>
              <w:rPr>
                <w:rFonts w:ascii="Times New Roman" w:hAnsi="Times New Roman" w:eastAsia="Times New Roman" w:cs="Times New Roman"/>
                <w:color w:val="auto"/>
                <w:spacing w:val="1"/>
                <w:sz w:val="20"/>
                <w:szCs w:val="20"/>
                <w:highlight w:val="none"/>
              </w:rPr>
              <w:t>1</w:t>
            </w:r>
            <w:r>
              <w:rPr>
                <w:rFonts w:ascii="Times New Roman" w:hAnsi="Times New Roman" w:eastAsia="Times New Roman" w:cs="Times New Roman"/>
                <w:color w:val="auto"/>
                <w:spacing w:val="14"/>
                <w:w w:val="101"/>
                <w:sz w:val="20"/>
                <w:szCs w:val="20"/>
                <w:highlight w:val="none"/>
              </w:rPr>
              <w:t xml:space="preserve"> </w:t>
            </w:r>
            <w:r>
              <w:rPr>
                <w:rFonts w:ascii="宋体" w:hAnsi="宋体" w:eastAsia="宋体" w:cs="宋体"/>
                <w:color w:val="auto"/>
                <w:spacing w:val="1"/>
                <w:sz w:val="20"/>
                <w:szCs w:val="20"/>
                <w:highlight w:val="none"/>
              </w:rPr>
              <w:t>分）</w:t>
            </w:r>
          </w:p>
        </w:tc>
        <w:tc>
          <w:tcPr>
            <w:tcW w:w="708" w:type="dxa"/>
            <w:noWrap w:val="0"/>
            <w:vAlign w:val="top"/>
          </w:tcPr>
          <w:p>
            <w:pPr>
              <w:pStyle w:val="170"/>
              <w:spacing w:line="330" w:lineRule="auto"/>
              <w:rPr>
                <w:color w:val="auto"/>
                <w:highlight w:val="none"/>
              </w:rPr>
            </w:pPr>
          </w:p>
          <w:p>
            <w:pPr>
              <w:pStyle w:val="170"/>
              <w:spacing w:line="331" w:lineRule="auto"/>
              <w:rPr>
                <w:color w:val="auto"/>
                <w:highlight w:val="none"/>
              </w:rPr>
            </w:pPr>
          </w:p>
          <w:p>
            <w:pPr>
              <w:spacing w:before="57" w:line="195" w:lineRule="auto"/>
              <w:ind w:left="303"/>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1"/>
                <w:sz w:val="20"/>
                <w:szCs w:val="20"/>
                <w:highlight w:val="none"/>
              </w:rPr>
              <w:t>4</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29" w:line="225" w:lineRule="auto"/>
              <w:ind w:left="135" w:right="123" w:hanging="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每年开展不少于</w:t>
            </w:r>
            <w:r>
              <w:rPr>
                <w:rFonts w:ascii="宋体" w:hAnsi="宋体" w:eastAsia="宋体" w:cs="宋体"/>
                <w:color w:val="auto"/>
                <w:spacing w:val="-20"/>
                <w:sz w:val="20"/>
                <w:szCs w:val="20"/>
                <w:highlight w:val="none"/>
              </w:rPr>
              <w:t xml:space="preserve"> </w:t>
            </w:r>
            <w:r>
              <w:rPr>
                <w:rFonts w:ascii="Times New Roman" w:hAnsi="Times New Roman" w:eastAsia="Times New Roman" w:cs="Times New Roman"/>
                <w:color w:val="auto"/>
                <w:spacing w:val="12"/>
                <w:sz w:val="20"/>
                <w:szCs w:val="20"/>
                <w:highlight w:val="none"/>
              </w:rPr>
              <w:t>2</w:t>
            </w:r>
            <w:r>
              <w:rPr>
                <w:rFonts w:ascii="Times New Roman" w:hAnsi="Times New Roman" w:eastAsia="Times New Roman" w:cs="Times New Roman"/>
                <w:color w:val="auto"/>
                <w:spacing w:val="25"/>
                <w:sz w:val="20"/>
                <w:szCs w:val="20"/>
                <w:highlight w:val="none"/>
              </w:rPr>
              <w:t xml:space="preserve"> </w:t>
            </w:r>
            <w:r>
              <w:rPr>
                <w:rFonts w:ascii="宋体" w:hAnsi="宋体" w:eastAsia="宋体" w:cs="宋体"/>
                <w:color w:val="auto"/>
                <w:spacing w:val="12"/>
                <w:sz w:val="20"/>
                <w:szCs w:val="20"/>
                <w:highlight w:val="none"/>
              </w:rPr>
              <w:t>次安全演习（演习计划</w:t>
            </w:r>
            <w:r>
              <w:rPr>
                <w:rFonts w:ascii="宋体" w:hAnsi="宋体" w:eastAsia="宋体" w:cs="宋体"/>
                <w:color w:val="auto"/>
                <w:spacing w:val="-14"/>
                <w:sz w:val="20"/>
                <w:szCs w:val="20"/>
                <w:highlight w:val="none"/>
              </w:rPr>
              <w:t xml:space="preserve"> </w:t>
            </w:r>
            <w:r>
              <w:rPr>
                <w:rFonts w:ascii="Times New Roman" w:hAnsi="Times New Roman" w:eastAsia="Times New Roman" w:cs="Times New Roman"/>
                <w:color w:val="auto"/>
                <w:spacing w:val="12"/>
                <w:sz w:val="20"/>
                <w:szCs w:val="20"/>
                <w:highlight w:val="none"/>
              </w:rPr>
              <w:t>1</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4"/>
                <w:sz w:val="20"/>
                <w:szCs w:val="20"/>
                <w:highlight w:val="none"/>
              </w:rPr>
              <w:t>分，演习记录</w:t>
            </w:r>
            <w:r>
              <w:rPr>
                <w:rFonts w:ascii="宋体" w:hAnsi="宋体" w:eastAsia="宋体" w:cs="宋体"/>
                <w:color w:val="auto"/>
                <w:spacing w:val="-36"/>
                <w:sz w:val="20"/>
                <w:szCs w:val="20"/>
                <w:highlight w:val="none"/>
              </w:rPr>
              <w:t xml:space="preserve"> </w:t>
            </w:r>
            <w:r>
              <w:rPr>
                <w:rFonts w:ascii="Times New Roman" w:hAnsi="Times New Roman" w:eastAsia="Times New Roman" w:cs="Times New Roman"/>
                <w:color w:val="auto"/>
                <w:spacing w:val="4"/>
                <w:sz w:val="20"/>
                <w:szCs w:val="20"/>
                <w:highlight w:val="none"/>
              </w:rPr>
              <w:t>2</w:t>
            </w:r>
            <w:r>
              <w:rPr>
                <w:rFonts w:ascii="Times New Roman" w:hAnsi="Times New Roman" w:eastAsia="Times New Roman" w:cs="Times New Roman"/>
                <w:color w:val="auto"/>
                <w:spacing w:val="15"/>
                <w:sz w:val="20"/>
                <w:szCs w:val="20"/>
                <w:highlight w:val="none"/>
              </w:rPr>
              <w:t xml:space="preserve"> </w:t>
            </w:r>
            <w:r>
              <w:rPr>
                <w:rFonts w:ascii="宋体" w:hAnsi="宋体" w:eastAsia="宋体" w:cs="宋体"/>
                <w:color w:val="auto"/>
                <w:spacing w:val="4"/>
                <w:sz w:val="20"/>
                <w:szCs w:val="20"/>
                <w:highlight w:val="none"/>
              </w:rPr>
              <w:t>分，演习照片</w:t>
            </w:r>
            <w:r>
              <w:rPr>
                <w:rFonts w:ascii="宋体" w:hAnsi="宋体" w:eastAsia="宋体" w:cs="宋体"/>
                <w:color w:val="auto"/>
                <w:spacing w:val="-21"/>
                <w:sz w:val="20"/>
                <w:szCs w:val="20"/>
                <w:highlight w:val="none"/>
              </w:rPr>
              <w:t xml:space="preserve"> </w:t>
            </w:r>
            <w:r>
              <w:rPr>
                <w:rFonts w:ascii="Times New Roman" w:hAnsi="Times New Roman" w:eastAsia="Times New Roman" w:cs="Times New Roman"/>
                <w:color w:val="auto"/>
                <w:spacing w:val="4"/>
                <w:sz w:val="20"/>
                <w:szCs w:val="20"/>
                <w:highlight w:val="none"/>
              </w:rPr>
              <w:t>1</w:t>
            </w:r>
            <w:r>
              <w:rPr>
                <w:rFonts w:ascii="Times New Roman" w:hAnsi="Times New Roman" w:eastAsia="Times New Roman" w:cs="Times New Roman"/>
                <w:color w:val="auto"/>
                <w:spacing w:val="15"/>
                <w:sz w:val="20"/>
                <w:szCs w:val="20"/>
                <w:highlight w:val="none"/>
              </w:rPr>
              <w:t xml:space="preserve"> </w:t>
            </w:r>
            <w:r>
              <w:rPr>
                <w:rFonts w:ascii="宋体" w:hAnsi="宋体" w:eastAsia="宋体" w:cs="宋体"/>
                <w:color w:val="auto"/>
                <w:spacing w:val="4"/>
                <w:sz w:val="20"/>
                <w:szCs w:val="20"/>
                <w:highlight w:val="none"/>
              </w:rPr>
              <w:t>分）</w:t>
            </w:r>
          </w:p>
        </w:tc>
        <w:tc>
          <w:tcPr>
            <w:tcW w:w="708" w:type="dxa"/>
            <w:noWrap w:val="0"/>
            <w:vAlign w:val="top"/>
          </w:tcPr>
          <w:p>
            <w:pPr>
              <w:pStyle w:val="170"/>
              <w:spacing w:line="324" w:lineRule="auto"/>
              <w:rPr>
                <w:color w:val="auto"/>
                <w:highlight w:val="none"/>
              </w:rPr>
            </w:pPr>
          </w:p>
          <w:p>
            <w:pPr>
              <w:spacing w:before="58" w:line="195" w:lineRule="auto"/>
              <w:ind w:left="303"/>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1"/>
                <w:sz w:val="20"/>
                <w:szCs w:val="20"/>
                <w:highlight w:val="none"/>
              </w:rPr>
              <w:t>4</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109" w:line="224" w:lineRule="auto"/>
              <w:ind w:left="133" w:right="122"/>
              <w:jc w:val="both"/>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每月向儿童及家长宣传</w:t>
            </w:r>
            <w:r>
              <w:rPr>
                <w:rFonts w:ascii="Times New Roman" w:hAnsi="Times New Roman" w:eastAsia="Times New Roman" w:cs="Times New Roman"/>
                <w:color w:val="auto"/>
                <w:spacing w:val="4"/>
                <w:sz w:val="20"/>
                <w:szCs w:val="20"/>
                <w:highlight w:val="none"/>
              </w:rPr>
              <w:t>“</w:t>
            </w:r>
            <w:r>
              <w:rPr>
                <w:rFonts w:ascii="宋体" w:hAnsi="宋体" w:eastAsia="宋体" w:cs="宋体"/>
                <w:color w:val="auto"/>
                <w:spacing w:val="4"/>
                <w:sz w:val="20"/>
                <w:szCs w:val="20"/>
                <w:highlight w:val="none"/>
              </w:rPr>
              <w:t>五防</w:t>
            </w:r>
            <w:r>
              <w:rPr>
                <w:rFonts w:ascii="Times New Roman" w:hAnsi="Times New Roman" w:eastAsia="Times New Roman" w:cs="Times New Roman"/>
                <w:color w:val="auto"/>
                <w:spacing w:val="4"/>
                <w:sz w:val="20"/>
                <w:szCs w:val="20"/>
                <w:highlight w:val="none"/>
              </w:rPr>
              <w:t>”</w:t>
            </w:r>
            <w:r>
              <w:rPr>
                <w:rFonts w:ascii="宋体" w:hAnsi="宋体" w:eastAsia="宋体" w:cs="宋体"/>
                <w:color w:val="auto"/>
                <w:spacing w:val="4"/>
                <w:sz w:val="20"/>
                <w:szCs w:val="20"/>
                <w:highlight w:val="none"/>
              </w:rPr>
              <w:t>、女童保护、儿</w:t>
            </w:r>
            <w:r>
              <w:rPr>
                <w:rFonts w:ascii="宋体" w:hAnsi="宋体" w:eastAsia="宋体" w:cs="宋体"/>
                <w:color w:val="auto"/>
                <w:spacing w:val="9"/>
                <w:sz w:val="20"/>
                <w:szCs w:val="20"/>
                <w:highlight w:val="none"/>
              </w:rPr>
              <w:t xml:space="preserve"> </w:t>
            </w:r>
            <w:r>
              <w:rPr>
                <w:rFonts w:ascii="宋体" w:hAnsi="宋体" w:eastAsia="宋体" w:cs="宋体"/>
                <w:color w:val="auto"/>
                <w:spacing w:val="12"/>
                <w:sz w:val="20"/>
                <w:szCs w:val="20"/>
                <w:highlight w:val="none"/>
              </w:rPr>
              <w:t>童法治知识至少一次（活动记录</w:t>
            </w:r>
            <w:r>
              <w:rPr>
                <w:rFonts w:ascii="宋体" w:hAnsi="宋体" w:eastAsia="宋体" w:cs="宋体"/>
                <w:color w:val="auto"/>
                <w:spacing w:val="-28"/>
                <w:sz w:val="20"/>
                <w:szCs w:val="20"/>
                <w:highlight w:val="none"/>
              </w:rPr>
              <w:t xml:space="preserve"> </w:t>
            </w:r>
            <w:r>
              <w:rPr>
                <w:rFonts w:ascii="Times New Roman" w:hAnsi="Times New Roman" w:eastAsia="Times New Roman" w:cs="Times New Roman"/>
                <w:color w:val="auto"/>
                <w:spacing w:val="12"/>
                <w:sz w:val="20"/>
                <w:szCs w:val="20"/>
                <w:highlight w:val="none"/>
              </w:rPr>
              <w:t>2</w:t>
            </w:r>
            <w:r>
              <w:rPr>
                <w:rFonts w:ascii="Times New Roman" w:hAnsi="Times New Roman" w:eastAsia="Times New Roman" w:cs="Times New Roman"/>
                <w:color w:val="auto"/>
                <w:spacing w:val="17"/>
                <w:w w:val="101"/>
                <w:sz w:val="20"/>
                <w:szCs w:val="20"/>
                <w:highlight w:val="none"/>
              </w:rPr>
              <w:t xml:space="preserve"> </w:t>
            </w:r>
            <w:r>
              <w:rPr>
                <w:rFonts w:ascii="宋体" w:hAnsi="宋体" w:eastAsia="宋体" w:cs="宋体"/>
                <w:color w:val="auto"/>
                <w:spacing w:val="12"/>
                <w:sz w:val="20"/>
                <w:szCs w:val="20"/>
                <w:highlight w:val="none"/>
              </w:rPr>
              <w:t>分，活动</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照片</w:t>
            </w:r>
            <w:r>
              <w:rPr>
                <w:rFonts w:ascii="宋体" w:hAnsi="宋体" w:eastAsia="宋体" w:cs="宋体"/>
                <w:color w:val="auto"/>
                <w:spacing w:val="-42"/>
                <w:sz w:val="20"/>
                <w:szCs w:val="20"/>
                <w:highlight w:val="none"/>
              </w:rPr>
              <w:t xml:space="preserve"> </w:t>
            </w:r>
            <w:r>
              <w:rPr>
                <w:rFonts w:ascii="Times New Roman" w:hAnsi="Times New Roman" w:eastAsia="Times New Roman" w:cs="Times New Roman"/>
                <w:color w:val="auto"/>
                <w:spacing w:val="1"/>
                <w:sz w:val="20"/>
                <w:szCs w:val="20"/>
                <w:highlight w:val="none"/>
              </w:rPr>
              <w:t>2</w:t>
            </w:r>
            <w:r>
              <w:rPr>
                <w:rFonts w:ascii="Times New Roman" w:hAnsi="Times New Roman" w:eastAsia="Times New Roman" w:cs="Times New Roman"/>
                <w:color w:val="auto"/>
                <w:spacing w:val="14"/>
                <w:w w:val="101"/>
                <w:sz w:val="20"/>
                <w:szCs w:val="20"/>
                <w:highlight w:val="none"/>
              </w:rPr>
              <w:t xml:space="preserve"> </w:t>
            </w:r>
            <w:r>
              <w:rPr>
                <w:rFonts w:ascii="宋体" w:hAnsi="宋体" w:eastAsia="宋体" w:cs="宋体"/>
                <w:color w:val="auto"/>
                <w:spacing w:val="1"/>
                <w:sz w:val="20"/>
                <w:szCs w:val="20"/>
                <w:highlight w:val="none"/>
              </w:rPr>
              <w:t>分）</w:t>
            </w:r>
          </w:p>
        </w:tc>
        <w:tc>
          <w:tcPr>
            <w:tcW w:w="708" w:type="dxa"/>
            <w:noWrap w:val="0"/>
            <w:vAlign w:val="top"/>
          </w:tcPr>
          <w:p>
            <w:pPr>
              <w:pStyle w:val="170"/>
              <w:spacing w:line="325" w:lineRule="auto"/>
              <w:rPr>
                <w:color w:val="auto"/>
                <w:highlight w:val="none"/>
              </w:rPr>
            </w:pPr>
          </w:p>
          <w:p>
            <w:pPr>
              <w:spacing w:before="58" w:line="195" w:lineRule="auto"/>
              <w:ind w:left="303"/>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1"/>
                <w:sz w:val="20"/>
                <w:szCs w:val="20"/>
                <w:highlight w:val="none"/>
              </w:rPr>
              <w:t>4</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29" w:line="225" w:lineRule="auto"/>
              <w:ind w:left="133" w:right="124"/>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每月向儿童进行基本生活和社会技能指导至</w:t>
            </w:r>
            <w:r>
              <w:rPr>
                <w:rFonts w:ascii="宋体" w:hAnsi="宋体" w:eastAsia="宋体" w:cs="宋体"/>
                <w:color w:val="auto"/>
                <w:spacing w:val="2"/>
                <w:sz w:val="20"/>
                <w:szCs w:val="20"/>
                <w:highlight w:val="none"/>
              </w:rPr>
              <w:t xml:space="preserve"> </w:t>
            </w:r>
            <w:r>
              <w:rPr>
                <w:rFonts w:ascii="宋体" w:hAnsi="宋体" w:eastAsia="宋体" w:cs="宋体"/>
                <w:color w:val="auto"/>
                <w:spacing w:val="7"/>
                <w:sz w:val="20"/>
                <w:szCs w:val="20"/>
                <w:highlight w:val="none"/>
              </w:rPr>
              <w:t>少一次（活动记录</w:t>
            </w:r>
            <w:r>
              <w:rPr>
                <w:rFonts w:ascii="宋体" w:hAnsi="宋体" w:eastAsia="宋体" w:cs="宋体"/>
                <w:color w:val="auto"/>
                <w:spacing w:val="-41"/>
                <w:sz w:val="20"/>
                <w:szCs w:val="20"/>
                <w:highlight w:val="none"/>
              </w:rPr>
              <w:t xml:space="preserve"> </w:t>
            </w:r>
            <w:r>
              <w:rPr>
                <w:rFonts w:ascii="Times New Roman" w:hAnsi="Times New Roman" w:eastAsia="Times New Roman" w:cs="Times New Roman"/>
                <w:color w:val="auto"/>
                <w:spacing w:val="7"/>
                <w:sz w:val="20"/>
                <w:szCs w:val="20"/>
                <w:highlight w:val="none"/>
              </w:rPr>
              <w:t xml:space="preserve">2 </w:t>
            </w:r>
            <w:r>
              <w:rPr>
                <w:rFonts w:ascii="宋体" w:hAnsi="宋体" w:eastAsia="宋体" w:cs="宋体"/>
                <w:color w:val="auto"/>
                <w:spacing w:val="7"/>
                <w:sz w:val="20"/>
                <w:szCs w:val="20"/>
                <w:highlight w:val="none"/>
              </w:rPr>
              <w:t>分，活动照片</w:t>
            </w:r>
            <w:r>
              <w:rPr>
                <w:rFonts w:ascii="宋体" w:hAnsi="宋体" w:eastAsia="宋体" w:cs="宋体"/>
                <w:color w:val="auto"/>
                <w:spacing w:val="-40"/>
                <w:sz w:val="20"/>
                <w:szCs w:val="20"/>
                <w:highlight w:val="none"/>
              </w:rPr>
              <w:t xml:space="preserve"> </w:t>
            </w:r>
            <w:r>
              <w:rPr>
                <w:rFonts w:ascii="Times New Roman" w:hAnsi="Times New Roman" w:eastAsia="Times New Roman" w:cs="Times New Roman"/>
                <w:color w:val="auto"/>
                <w:spacing w:val="7"/>
                <w:sz w:val="20"/>
                <w:szCs w:val="20"/>
                <w:highlight w:val="none"/>
              </w:rPr>
              <w:t xml:space="preserve">2 </w:t>
            </w:r>
            <w:r>
              <w:rPr>
                <w:rFonts w:ascii="宋体" w:hAnsi="宋体" w:eastAsia="宋体" w:cs="宋体"/>
                <w:color w:val="auto"/>
                <w:spacing w:val="7"/>
                <w:sz w:val="20"/>
                <w:szCs w:val="20"/>
                <w:highlight w:val="none"/>
              </w:rPr>
              <w:t>分）</w:t>
            </w:r>
          </w:p>
        </w:tc>
        <w:tc>
          <w:tcPr>
            <w:tcW w:w="708" w:type="dxa"/>
            <w:noWrap w:val="0"/>
            <w:vAlign w:val="top"/>
          </w:tcPr>
          <w:p>
            <w:pPr>
              <w:pStyle w:val="170"/>
              <w:spacing w:line="325" w:lineRule="auto"/>
              <w:rPr>
                <w:color w:val="auto"/>
                <w:highlight w:val="none"/>
              </w:rPr>
            </w:pPr>
          </w:p>
          <w:p>
            <w:pPr>
              <w:spacing w:before="57" w:line="195" w:lineRule="auto"/>
              <w:ind w:left="303"/>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1"/>
                <w:sz w:val="20"/>
                <w:szCs w:val="20"/>
                <w:highlight w:val="none"/>
              </w:rPr>
              <w:t>4</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29" w:line="225" w:lineRule="auto"/>
              <w:ind w:left="143" w:right="124" w:hanging="10"/>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每月开展儿童品德和行为习惯教育至少一次</w:t>
            </w:r>
            <w:r>
              <w:rPr>
                <w:rFonts w:ascii="宋体" w:hAnsi="宋体" w:eastAsia="宋体" w:cs="宋体"/>
                <w:color w:val="auto"/>
                <w:spacing w:val="2"/>
                <w:sz w:val="20"/>
                <w:szCs w:val="20"/>
                <w:highlight w:val="none"/>
              </w:rPr>
              <w:t xml:space="preserve"> </w:t>
            </w:r>
            <w:r>
              <w:rPr>
                <w:rFonts w:ascii="宋体" w:hAnsi="宋体" w:eastAsia="宋体" w:cs="宋体"/>
                <w:color w:val="auto"/>
                <w:spacing w:val="5"/>
                <w:sz w:val="20"/>
                <w:szCs w:val="20"/>
                <w:highlight w:val="none"/>
              </w:rPr>
              <w:t>（活动记录</w:t>
            </w:r>
            <w:r>
              <w:rPr>
                <w:rFonts w:ascii="宋体" w:hAnsi="宋体" w:eastAsia="宋体" w:cs="宋体"/>
                <w:color w:val="auto"/>
                <w:spacing w:val="-43"/>
                <w:sz w:val="20"/>
                <w:szCs w:val="20"/>
                <w:highlight w:val="none"/>
              </w:rPr>
              <w:t xml:space="preserve"> </w:t>
            </w:r>
            <w:r>
              <w:rPr>
                <w:rFonts w:ascii="Times New Roman" w:hAnsi="Times New Roman" w:eastAsia="Times New Roman" w:cs="Times New Roman"/>
                <w:color w:val="auto"/>
                <w:spacing w:val="5"/>
                <w:sz w:val="20"/>
                <w:szCs w:val="20"/>
                <w:highlight w:val="none"/>
              </w:rPr>
              <w:t>2</w:t>
            </w:r>
            <w:r>
              <w:rPr>
                <w:rFonts w:ascii="Times New Roman" w:hAnsi="Times New Roman" w:eastAsia="Times New Roman" w:cs="Times New Roman"/>
                <w:color w:val="auto"/>
                <w:spacing w:val="14"/>
                <w:w w:val="101"/>
                <w:sz w:val="20"/>
                <w:szCs w:val="20"/>
                <w:highlight w:val="none"/>
              </w:rPr>
              <w:t xml:space="preserve"> </w:t>
            </w:r>
            <w:r>
              <w:rPr>
                <w:rFonts w:ascii="宋体" w:hAnsi="宋体" w:eastAsia="宋体" w:cs="宋体"/>
                <w:color w:val="auto"/>
                <w:spacing w:val="5"/>
                <w:sz w:val="20"/>
                <w:szCs w:val="20"/>
                <w:highlight w:val="none"/>
              </w:rPr>
              <w:t>分，活动照片</w:t>
            </w:r>
            <w:r>
              <w:rPr>
                <w:rFonts w:ascii="宋体" w:hAnsi="宋体" w:eastAsia="宋体" w:cs="宋体"/>
                <w:color w:val="auto"/>
                <w:spacing w:val="-43"/>
                <w:sz w:val="20"/>
                <w:szCs w:val="20"/>
                <w:highlight w:val="none"/>
              </w:rPr>
              <w:t xml:space="preserve"> </w:t>
            </w:r>
            <w:r>
              <w:rPr>
                <w:rFonts w:ascii="Times New Roman" w:hAnsi="Times New Roman" w:eastAsia="Times New Roman" w:cs="Times New Roman"/>
                <w:color w:val="auto"/>
                <w:spacing w:val="5"/>
                <w:sz w:val="20"/>
                <w:szCs w:val="20"/>
                <w:highlight w:val="none"/>
              </w:rPr>
              <w:t>2</w:t>
            </w:r>
            <w:r>
              <w:rPr>
                <w:rFonts w:ascii="Times New Roman" w:hAnsi="Times New Roman" w:eastAsia="Times New Roman" w:cs="Times New Roman"/>
                <w:color w:val="auto"/>
                <w:spacing w:val="15"/>
                <w:sz w:val="20"/>
                <w:szCs w:val="20"/>
                <w:highlight w:val="none"/>
              </w:rPr>
              <w:t xml:space="preserve"> </w:t>
            </w:r>
            <w:r>
              <w:rPr>
                <w:rFonts w:ascii="宋体" w:hAnsi="宋体" w:eastAsia="宋体" w:cs="宋体"/>
                <w:color w:val="auto"/>
                <w:spacing w:val="5"/>
                <w:sz w:val="20"/>
                <w:szCs w:val="20"/>
                <w:highlight w:val="none"/>
              </w:rPr>
              <w:t>分）</w:t>
            </w:r>
          </w:p>
        </w:tc>
        <w:tc>
          <w:tcPr>
            <w:tcW w:w="708" w:type="dxa"/>
            <w:noWrap w:val="0"/>
            <w:vAlign w:val="top"/>
          </w:tcPr>
          <w:p>
            <w:pPr>
              <w:pStyle w:val="170"/>
              <w:spacing w:line="325" w:lineRule="auto"/>
              <w:rPr>
                <w:color w:val="auto"/>
                <w:highlight w:val="none"/>
              </w:rPr>
            </w:pPr>
          </w:p>
          <w:p>
            <w:pPr>
              <w:spacing w:before="57" w:line="195" w:lineRule="auto"/>
              <w:ind w:left="303"/>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1"/>
                <w:sz w:val="20"/>
                <w:szCs w:val="20"/>
                <w:highlight w:val="none"/>
              </w:rPr>
              <w:t>4</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108" w:line="224" w:lineRule="auto"/>
              <w:ind w:left="133" w:right="124" w:firstLine="2"/>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建立辖区日间临时照顾服务，每周至少提供</w:t>
            </w:r>
            <w:r>
              <w:rPr>
                <w:rFonts w:ascii="宋体" w:hAnsi="宋体" w:eastAsia="宋体" w:cs="宋体"/>
                <w:color w:val="auto"/>
                <w:sz w:val="20"/>
                <w:szCs w:val="20"/>
                <w:highlight w:val="none"/>
              </w:rPr>
              <w:t xml:space="preserve"> </w:t>
            </w:r>
            <w:r>
              <w:rPr>
                <w:rFonts w:ascii="宋体" w:hAnsi="宋体" w:eastAsia="宋体" w:cs="宋体"/>
                <w:color w:val="auto"/>
                <w:spacing w:val="11"/>
                <w:sz w:val="20"/>
                <w:szCs w:val="20"/>
                <w:highlight w:val="none"/>
              </w:rPr>
              <w:t>一次课程辅导及托管服务（课程辅导</w:t>
            </w:r>
            <w:r>
              <w:rPr>
                <w:rFonts w:ascii="宋体" w:hAnsi="宋体" w:eastAsia="宋体" w:cs="宋体"/>
                <w:color w:val="auto"/>
                <w:spacing w:val="-8"/>
                <w:sz w:val="20"/>
                <w:szCs w:val="20"/>
                <w:highlight w:val="none"/>
              </w:rPr>
              <w:t xml:space="preserve"> </w:t>
            </w:r>
            <w:r>
              <w:rPr>
                <w:rFonts w:ascii="Times New Roman" w:hAnsi="Times New Roman" w:eastAsia="Times New Roman" w:cs="Times New Roman"/>
                <w:color w:val="auto"/>
                <w:spacing w:val="11"/>
                <w:sz w:val="20"/>
                <w:szCs w:val="20"/>
                <w:highlight w:val="none"/>
              </w:rPr>
              <w:t>1</w:t>
            </w:r>
            <w:r>
              <w:rPr>
                <w:rFonts w:ascii="Times New Roman" w:hAnsi="Times New Roman" w:eastAsia="Times New Roman" w:cs="Times New Roman"/>
                <w:color w:val="auto"/>
                <w:spacing w:val="17"/>
                <w:w w:val="101"/>
                <w:sz w:val="20"/>
                <w:szCs w:val="20"/>
                <w:highlight w:val="none"/>
              </w:rPr>
              <w:t xml:space="preserve"> </w:t>
            </w:r>
            <w:r>
              <w:rPr>
                <w:rFonts w:ascii="宋体" w:hAnsi="宋体" w:eastAsia="宋体" w:cs="宋体"/>
                <w:color w:val="auto"/>
                <w:spacing w:val="11"/>
                <w:sz w:val="20"/>
                <w:szCs w:val="20"/>
                <w:highlight w:val="none"/>
              </w:rPr>
              <w:t>分，</w:t>
            </w:r>
            <w:r>
              <w:rPr>
                <w:rFonts w:ascii="宋体" w:hAnsi="宋体" w:eastAsia="宋体" w:cs="宋体"/>
                <w:color w:val="auto"/>
                <w:sz w:val="20"/>
                <w:szCs w:val="20"/>
                <w:highlight w:val="none"/>
              </w:rPr>
              <w:t xml:space="preserve"> </w:t>
            </w:r>
            <w:r>
              <w:rPr>
                <w:rFonts w:ascii="宋体" w:hAnsi="宋体" w:eastAsia="宋体" w:cs="宋体"/>
                <w:color w:val="auto"/>
                <w:spacing w:val="-1"/>
                <w:sz w:val="20"/>
                <w:szCs w:val="20"/>
                <w:highlight w:val="none"/>
              </w:rPr>
              <w:t>托管</w:t>
            </w:r>
            <w:r>
              <w:rPr>
                <w:rFonts w:ascii="宋体" w:hAnsi="宋体" w:eastAsia="宋体" w:cs="宋体"/>
                <w:color w:val="auto"/>
                <w:spacing w:val="-19"/>
                <w:sz w:val="20"/>
                <w:szCs w:val="20"/>
                <w:highlight w:val="none"/>
              </w:rPr>
              <w:t xml:space="preserve"> </w:t>
            </w:r>
            <w:r>
              <w:rPr>
                <w:rFonts w:ascii="Times New Roman" w:hAnsi="Times New Roman" w:eastAsia="Times New Roman" w:cs="Times New Roman"/>
                <w:color w:val="auto"/>
                <w:spacing w:val="-1"/>
                <w:sz w:val="20"/>
                <w:szCs w:val="20"/>
                <w:highlight w:val="none"/>
              </w:rPr>
              <w:t>1</w:t>
            </w:r>
            <w:r>
              <w:rPr>
                <w:rFonts w:ascii="Times New Roman" w:hAnsi="Times New Roman" w:eastAsia="Times New Roman" w:cs="Times New Roman"/>
                <w:color w:val="auto"/>
                <w:spacing w:val="14"/>
                <w:w w:val="101"/>
                <w:sz w:val="20"/>
                <w:szCs w:val="20"/>
                <w:highlight w:val="none"/>
              </w:rPr>
              <w:t xml:space="preserve"> </w:t>
            </w:r>
            <w:r>
              <w:rPr>
                <w:rFonts w:ascii="宋体" w:hAnsi="宋体" w:eastAsia="宋体" w:cs="宋体"/>
                <w:color w:val="auto"/>
                <w:spacing w:val="-1"/>
                <w:sz w:val="20"/>
                <w:szCs w:val="20"/>
                <w:highlight w:val="none"/>
              </w:rPr>
              <w:t>分，照片</w:t>
            </w:r>
            <w:r>
              <w:rPr>
                <w:rFonts w:ascii="宋体" w:hAnsi="宋体" w:eastAsia="宋体" w:cs="宋体"/>
                <w:color w:val="auto"/>
                <w:spacing w:val="-21"/>
                <w:sz w:val="20"/>
                <w:szCs w:val="20"/>
                <w:highlight w:val="none"/>
              </w:rPr>
              <w:t xml:space="preserve"> </w:t>
            </w:r>
            <w:r>
              <w:rPr>
                <w:rFonts w:ascii="Times New Roman" w:hAnsi="Times New Roman" w:eastAsia="Times New Roman" w:cs="Times New Roman"/>
                <w:color w:val="auto"/>
                <w:spacing w:val="-1"/>
                <w:sz w:val="20"/>
                <w:szCs w:val="20"/>
                <w:highlight w:val="none"/>
              </w:rPr>
              <w:t>1</w:t>
            </w:r>
            <w:r>
              <w:rPr>
                <w:rFonts w:ascii="Times New Roman" w:hAnsi="Times New Roman" w:eastAsia="Times New Roman" w:cs="Times New Roman"/>
                <w:color w:val="auto"/>
                <w:spacing w:val="15"/>
                <w:sz w:val="20"/>
                <w:szCs w:val="20"/>
                <w:highlight w:val="none"/>
              </w:rPr>
              <w:t xml:space="preserve"> </w:t>
            </w:r>
            <w:r>
              <w:rPr>
                <w:rFonts w:ascii="宋体" w:hAnsi="宋体" w:eastAsia="宋体" w:cs="宋体"/>
                <w:color w:val="auto"/>
                <w:spacing w:val="-1"/>
                <w:sz w:val="20"/>
                <w:szCs w:val="20"/>
                <w:highlight w:val="none"/>
              </w:rPr>
              <w:t>分）</w:t>
            </w:r>
          </w:p>
        </w:tc>
        <w:tc>
          <w:tcPr>
            <w:tcW w:w="708" w:type="dxa"/>
            <w:noWrap w:val="0"/>
            <w:vAlign w:val="top"/>
          </w:tcPr>
          <w:p>
            <w:pPr>
              <w:pStyle w:val="170"/>
              <w:spacing w:line="325" w:lineRule="auto"/>
              <w:rPr>
                <w:color w:val="auto"/>
                <w:highlight w:val="none"/>
              </w:rPr>
            </w:pPr>
          </w:p>
          <w:p>
            <w:pPr>
              <w:spacing w:before="57" w:line="195" w:lineRule="auto"/>
              <w:ind w:left="308"/>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3</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1" w:hRule="atLeast"/>
        </w:trPr>
        <w:tc>
          <w:tcPr>
            <w:tcW w:w="1033" w:type="dxa"/>
            <w:vMerge w:val="continue"/>
            <w:tcBorders>
              <w:top w:val="nil"/>
              <w:bottom w:val="nil"/>
            </w:tcBorders>
            <w:noWrap w:val="0"/>
            <w:vAlign w:val="top"/>
          </w:tcPr>
          <w:p>
            <w:pPr>
              <w:pStyle w:val="170"/>
              <w:rPr>
                <w:color w:val="auto"/>
                <w:highlight w:val="none"/>
              </w:rPr>
            </w:pPr>
          </w:p>
        </w:tc>
        <w:tc>
          <w:tcPr>
            <w:tcW w:w="943" w:type="dxa"/>
            <w:vMerge w:val="continue"/>
            <w:tcBorders>
              <w:top w:val="nil"/>
              <w:bottom w:val="nil"/>
            </w:tcBorders>
            <w:noWrap w:val="0"/>
            <w:vAlign w:val="top"/>
          </w:tcPr>
          <w:p>
            <w:pPr>
              <w:pStyle w:val="170"/>
              <w:rPr>
                <w:color w:val="auto"/>
                <w:highlight w:val="none"/>
              </w:rPr>
            </w:pPr>
          </w:p>
        </w:tc>
        <w:tc>
          <w:tcPr>
            <w:tcW w:w="4333" w:type="dxa"/>
            <w:noWrap w:val="0"/>
            <w:vAlign w:val="top"/>
          </w:tcPr>
          <w:p>
            <w:pPr>
              <w:spacing w:before="228" w:line="225" w:lineRule="auto"/>
              <w:ind w:left="135" w:right="123" w:hanging="2"/>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每月至少开展一次心理健康服务（服务计划</w:t>
            </w:r>
            <w:r>
              <w:rPr>
                <w:rFonts w:ascii="宋体" w:hAnsi="宋体" w:eastAsia="宋体" w:cs="宋体"/>
                <w:color w:val="auto"/>
                <w:spacing w:val="-11"/>
                <w:sz w:val="20"/>
                <w:szCs w:val="20"/>
                <w:highlight w:val="none"/>
              </w:rPr>
              <w:t xml:space="preserve"> </w:t>
            </w:r>
            <w:r>
              <w:rPr>
                <w:rFonts w:ascii="Times New Roman" w:hAnsi="Times New Roman" w:eastAsia="Times New Roman" w:cs="Times New Roman"/>
                <w:color w:val="auto"/>
                <w:spacing w:val="4"/>
                <w:sz w:val="20"/>
                <w:szCs w:val="20"/>
                <w:highlight w:val="none"/>
              </w:rPr>
              <w:t>1</w:t>
            </w:r>
            <w:r>
              <w:rPr>
                <w:rFonts w:ascii="Times New Roman" w:hAnsi="Times New Roman" w:eastAsia="Times New Roman" w:cs="Times New Roman"/>
                <w:color w:val="auto"/>
                <w:sz w:val="20"/>
                <w:szCs w:val="20"/>
                <w:highlight w:val="none"/>
              </w:rPr>
              <w:t xml:space="preserve"> </w:t>
            </w:r>
            <w:r>
              <w:rPr>
                <w:rFonts w:ascii="宋体" w:hAnsi="宋体" w:eastAsia="宋体" w:cs="宋体"/>
                <w:color w:val="auto"/>
                <w:spacing w:val="3"/>
                <w:sz w:val="20"/>
                <w:szCs w:val="20"/>
                <w:highlight w:val="none"/>
              </w:rPr>
              <w:t>分，服务记录</w:t>
            </w:r>
            <w:r>
              <w:rPr>
                <w:rFonts w:ascii="宋体" w:hAnsi="宋体" w:eastAsia="宋体" w:cs="宋体"/>
                <w:color w:val="auto"/>
                <w:spacing w:val="-20"/>
                <w:sz w:val="20"/>
                <w:szCs w:val="20"/>
                <w:highlight w:val="none"/>
              </w:rPr>
              <w:t xml:space="preserve"> </w:t>
            </w:r>
            <w:r>
              <w:rPr>
                <w:rFonts w:ascii="Times New Roman" w:hAnsi="Times New Roman" w:eastAsia="Times New Roman" w:cs="Times New Roman"/>
                <w:color w:val="auto"/>
                <w:spacing w:val="3"/>
                <w:sz w:val="20"/>
                <w:szCs w:val="20"/>
                <w:highlight w:val="none"/>
              </w:rPr>
              <w:t>1</w:t>
            </w:r>
            <w:r>
              <w:rPr>
                <w:rFonts w:ascii="Times New Roman" w:hAnsi="Times New Roman" w:eastAsia="Times New Roman" w:cs="Times New Roman"/>
                <w:color w:val="auto"/>
                <w:spacing w:val="15"/>
                <w:sz w:val="20"/>
                <w:szCs w:val="20"/>
                <w:highlight w:val="none"/>
              </w:rPr>
              <w:t xml:space="preserve"> </w:t>
            </w:r>
            <w:r>
              <w:rPr>
                <w:rFonts w:ascii="宋体" w:hAnsi="宋体" w:eastAsia="宋体" w:cs="宋体"/>
                <w:color w:val="auto"/>
                <w:spacing w:val="3"/>
                <w:sz w:val="20"/>
                <w:szCs w:val="20"/>
                <w:highlight w:val="none"/>
              </w:rPr>
              <w:t>分，服务照片</w:t>
            </w:r>
            <w:r>
              <w:rPr>
                <w:rFonts w:ascii="宋体" w:hAnsi="宋体" w:eastAsia="宋体" w:cs="宋体"/>
                <w:color w:val="auto"/>
                <w:spacing w:val="-21"/>
                <w:sz w:val="20"/>
                <w:szCs w:val="20"/>
                <w:highlight w:val="none"/>
              </w:rPr>
              <w:t xml:space="preserve"> </w:t>
            </w:r>
            <w:r>
              <w:rPr>
                <w:rFonts w:ascii="Times New Roman" w:hAnsi="Times New Roman" w:eastAsia="Times New Roman" w:cs="Times New Roman"/>
                <w:color w:val="auto"/>
                <w:spacing w:val="3"/>
                <w:sz w:val="20"/>
                <w:szCs w:val="20"/>
                <w:highlight w:val="none"/>
              </w:rPr>
              <w:t>1</w:t>
            </w:r>
            <w:r>
              <w:rPr>
                <w:rFonts w:ascii="Times New Roman" w:hAnsi="Times New Roman" w:eastAsia="Times New Roman" w:cs="Times New Roman"/>
                <w:color w:val="auto"/>
                <w:spacing w:val="15"/>
                <w:sz w:val="20"/>
                <w:szCs w:val="20"/>
                <w:highlight w:val="none"/>
              </w:rPr>
              <w:t xml:space="preserve"> </w:t>
            </w:r>
            <w:r>
              <w:rPr>
                <w:rFonts w:ascii="宋体" w:hAnsi="宋体" w:eastAsia="宋体" w:cs="宋体"/>
                <w:color w:val="auto"/>
                <w:spacing w:val="3"/>
                <w:sz w:val="20"/>
                <w:szCs w:val="20"/>
                <w:highlight w:val="none"/>
              </w:rPr>
              <w:t>分）</w:t>
            </w:r>
          </w:p>
        </w:tc>
        <w:tc>
          <w:tcPr>
            <w:tcW w:w="708" w:type="dxa"/>
            <w:noWrap w:val="0"/>
            <w:vAlign w:val="top"/>
          </w:tcPr>
          <w:p>
            <w:pPr>
              <w:pStyle w:val="170"/>
              <w:spacing w:line="324" w:lineRule="auto"/>
              <w:rPr>
                <w:color w:val="auto"/>
                <w:highlight w:val="none"/>
              </w:rPr>
            </w:pPr>
          </w:p>
          <w:p>
            <w:pPr>
              <w:spacing w:before="58" w:line="195" w:lineRule="auto"/>
              <w:ind w:left="308"/>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3</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tcBorders>
            <w:noWrap w:val="0"/>
            <w:vAlign w:val="top"/>
          </w:tcPr>
          <w:p>
            <w:pPr>
              <w:pStyle w:val="170"/>
              <w:rPr>
                <w:color w:val="auto"/>
                <w:highlight w:val="none"/>
              </w:rPr>
            </w:pPr>
          </w:p>
        </w:tc>
        <w:tc>
          <w:tcPr>
            <w:tcW w:w="943" w:type="dxa"/>
            <w:vMerge w:val="continue"/>
            <w:tcBorders>
              <w:top w:val="nil"/>
            </w:tcBorders>
            <w:noWrap w:val="0"/>
            <w:vAlign w:val="top"/>
          </w:tcPr>
          <w:p>
            <w:pPr>
              <w:pStyle w:val="170"/>
              <w:rPr>
                <w:color w:val="auto"/>
                <w:highlight w:val="none"/>
              </w:rPr>
            </w:pPr>
          </w:p>
        </w:tc>
        <w:tc>
          <w:tcPr>
            <w:tcW w:w="4333" w:type="dxa"/>
            <w:noWrap w:val="0"/>
            <w:vAlign w:val="top"/>
          </w:tcPr>
          <w:p>
            <w:pPr>
              <w:spacing w:before="109" w:line="224" w:lineRule="auto"/>
              <w:ind w:left="133" w:right="65"/>
              <w:jc w:val="both"/>
              <w:rPr>
                <w:rFonts w:ascii="宋体" w:hAnsi="宋体" w:eastAsia="宋体" w:cs="宋体"/>
                <w:color w:val="auto"/>
                <w:sz w:val="20"/>
                <w:szCs w:val="20"/>
                <w:highlight w:val="none"/>
              </w:rPr>
            </w:pPr>
            <w:r>
              <w:rPr>
                <w:rFonts w:ascii="宋体" w:hAnsi="宋体" w:eastAsia="宋体" w:cs="宋体"/>
                <w:color w:val="auto"/>
                <w:spacing w:val="14"/>
                <w:sz w:val="20"/>
                <w:szCs w:val="20"/>
                <w:highlight w:val="none"/>
              </w:rPr>
              <w:t>每年开展不少于一次夏令营、冬令营、劳动</w:t>
            </w:r>
            <w:r>
              <w:rPr>
                <w:rFonts w:ascii="宋体" w:hAnsi="宋体" w:eastAsia="宋体" w:cs="宋体"/>
                <w:color w:val="auto"/>
                <w:spacing w:val="2"/>
                <w:sz w:val="20"/>
                <w:szCs w:val="20"/>
                <w:highlight w:val="none"/>
              </w:rPr>
              <w:t xml:space="preserve"> </w:t>
            </w:r>
            <w:r>
              <w:rPr>
                <w:rFonts w:ascii="宋体" w:hAnsi="宋体" w:eastAsia="宋体" w:cs="宋体"/>
                <w:color w:val="auto"/>
                <w:spacing w:val="4"/>
                <w:sz w:val="20"/>
                <w:szCs w:val="20"/>
                <w:highlight w:val="none"/>
              </w:rPr>
              <w:t>体验、保护环境等实践活动（活动方案</w:t>
            </w:r>
            <w:r>
              <w:rPr>
                <w:rFonts w:ascii="宋体" w:hAnsi="宋体" w:eastAsia="宋体" w:cs="宋体"/>
                <w:color w:val="auto"/>
                <w:spacing w:val="-18"/>
                <w:sz w:val="20"/>
                <w:szCs w:val="20"/>
                <w:highlight w:val="none"/>
              </w:rPr>
              <w:t xml:space="preserve"> </w:t>
            </w:r>
            <w:r>
              <w:rPr>
                <w:rFonts w:ascii="Times New Roman" w:hAnsi="Times New Roman" w:eastAsia="Times New Roman" w:cs="Times New Roman"/>
                <w:color w:val="auto"/>
                <w:spacing w:val="4"/>
                <w:sz w:val="20"/>
                <w:szCs w:val="20"/>
                <w:highlight w:val="none"/>
              </w:rPr>
              <w:t>1</w:t>
            </w:r>
            <w:r>
              <w:rPr>
                <w:rFonts w:ascii="Times New Roman" w:hAnsi="Times New Roman" w:eastAsia="Times New Roman" w:cs="Times New Roman"/>
                <w:color w:val="auto"/>
                <w:spacing w:val="15"/>
                <w:sz w:val="20"/>
                <w:szCs w:val="20"/>
                <w:highlight w:val="none"/>
              </w:rPr>
              <w:t xml:space="preserve"> </w:t>
            </w:r>
            <w:r>
              <w:rPr>
                <w:rFonts w:ascii="宋体" w:hAnsi="宋体" w:eastAsia="宋体" w:cs="宋体"/>
                <w:color w:val="auto"/>
                <w:spacing w:val="4"/>
                <w:sz w:val="20"/>
                <w:szCs w:val="20"/>
                <w:highlight w:val="none"/>
              </w:rPr>
              <w:t>分，</w:t>
            </w:r>
            <w:r>
              <w:rPr>
                <w:rFonts w:ascii="宋体" w:hAnsi="宋体" w:eastAsia="宋体" w:cs="宋体"/>
                <w:color w:val="auto"/>
                <w:sz w:val="20"/>
                <w:szCs w:val="20"/>
                <w:highlight w:val="none"/>
              </w:rPr>
              <w:t xml:space="preserve"> </w:t>
            </w:r>
            <w:r>
              <w:rPr>
                <w:rFonts w:ascii="宋体" w:hAnsi="宋体" w:eastAsia="宋体" w:cs="宋体"/>
                <w:color w:val="auto"/>
                <w:spacing w:val="3"/>
                <w:sz w:val="20"/>
                <w:szCs w:val="20"/>
                <w:highlight w:val="none"/>
              </w:rPr>
              <w:t>活动记录</w:t>
            </w:r>
            <w:r>
              <w:rPr>
                <w:rFonts w:ascii="宋体" w:hAnsi="宋体" w:eastAsia="宋体" w:cs="宋体"/>
                <w:color w:val="auto"/>
                <w:spacing w:val="-31"/>
                <w:sz w:val="20"/>
                <w:szCs w:val="20"/>
                <w:highlight w:val="none"/>
              </w:rPr>
              <w:t xml:space="preserve"> </w:t>
            </w:r>
            <w:r>
              <w:rPr>
                <w:rFonts w:ascii="Times New Roman" w:hAnsi="Times New Roman" w:eastAsia="Times New Roman" w:cs="Times New Roman"/>
                <w:color w:val="auto"/>
                <w:spacing w:val="3"/>
                <w:sz w:val="20"/>
                <w:szCs w:val="20"/>
                <w:highlight w:val="none"/>
              </w:rPr>
              <w:t>2</w:t>
            </w:r>
            <w:r>
              <w:rPr>
                <w:rFonts w:ascii="Times New Roman" w:hAnsi="Times New Roman" w:eastAsia="Times New Roman" w:cs="Times New Roman"/>
                <w:color w:val="auto"/>
                <w:spacing w:val="14"/>
                <w:w w:val="101"/>
                <w:sz w:val="20"/>
                <w:szCs w:val="20"/>
                <w:highlight w:val="none"/>
              </w:rPr>
              <w:t xml:space="preserve"> </w:t>
            </w:r>
            <w:r>
              <w:rPr>
                <w:rFonts w:ascii="宋体" w:hAnsi="宋体" w:eastAsia="宋体" w:cs="宋体"/>
                <w:color w:val="auto"/>
                <w:spacing w:val="3"/>
                <w:sz w:val="20"/>
                <w:szCs w:val="20"/>
                <w:highlight w:val="none"/>
              </w:rPr>
              <w:t>分，活动照片</w:t>
            </w:r>
            <w:r>
              <w:rPr>
                <w:rFonts w:ascii="宋体" w:hAnsi="宋体" w:eastAsia="宋体" w:cs="宋体"/>
                <w:color w:val="auto"/>
                <w:spacing w:val="-21"/>
                <w:sz w:val="20"/>
                <w:szCs w:val="20"/>
                <w:highlight w:val="none"/>
              </w:rPr>
              <w:t xml:space="preserve"> </w:t>
            </w:r>
            <w:r>
              <w:rPr>
                <w:rFonts w:ascii="Times New Roman" w:hAnsi="Times New Roman" w:eastAsia="Times New Roman" w:cs="Times New Roman"/>
                <w:color w:val="auto"/>
                <w:spacing w:val="3"/>
                <w:sz w:val="20"/>
                <w:szCs w:val="20"/>
                <w:highlight w:val="none"/>
              </w:rPr>
              <w:t>1</w:t>
            </w:r>
            <w:r>
              <w:rPr>
                <w:rFonts w:ascii="Times New Roman" w:hAnsi="Times New Roman" w:eastAsia="Times New Roman" w:cs="Times New Roman"/>
                <w:color w:val="auto"/>
                <w:spacing w:val="15"/>
                <w:sz w:val="20"/>
                <w:szCs w:val="20"/>
                <w:highlight w:val="none"/>
              </w:rPr>
              <w:t xml:space="preserve"> </w:t>
            </w:r>
            <w:r>
              <w:rPr>
                <w:rFonts w:ascii="宋体" w:hAnsi="宋体" w:eastAsia="宋体" w:cs="宋体"/>
                <w:color w:val="auto"/>
                <w:spacing w:val="3"/>
                <w:sz w:val="20"/>
                <w:szCs w:val="20"/>
                <w:highlight w:val="none"/>
              </w:rPr>
              <w:t>分）</w:t>
            </w:r>
          </w:p>
        </w:tc>
        <w:tc>
          <w:tcPr>
            <w:tcW w:w="708" w:type="dxa"/>
            <w:noWrap w:val="0"/>
            <w:vAlign w:val="top"/>
          </w:tcPr>
          <w:p>
            <w:pPr>
              <w:pStyle w:val="170"/>
              <w:spacing w:line="325" w:lineRule="auto"/>
              <w:rPr>
                <w:color w:val="auto"/>
                <w:highlight w:val="none"/>
              </w:rPr>
            </w:pPr>
          </w:p>
          <w:p>
            <w:pPr>
              <w:spacing w:before="58" w:line="195" w:lineRule="auto"/>
              <w:ind w:left="303"/>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1"/>
                <w:sz w:val="20"/>
                <w:szCs w:val="20"/>
                <w:highlight w:val="none"/>
              </w:rPr>
              <w:t>4</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restart"/>
            <w:tcBorders>
              <w:bottom w:val="nil"/>
            </w:tcBorders>
            <w:noWrap w:val="0"/>
            <w:vAlign w:val="top"/>
          </w:tcPr>
          <w:p>
            <w:pPr>
              <w:pStyle w:val="170"/>
              <w:spacing w:line="310" w:lineRule="auto"/>
              <w:rPr>
                <w:color w:val="auto"/>
                <w:highlight w:val="none"/>
              </w:rPr>
            </w:pPr>
          </w:p>
          <w:p>
            <w:pPr>
              <w:pStyle w:val="170"/>
              <w:spacing w:line="311" w:lineRule="auto"/>
              <w:rPr>
                <w:color w:val="auto"/>
                <w:highlight w:val="none"/>
              </w:rPr>
            </w:pPr>
          </w:p>
          <w:p>
            <w:pPr>
              <w:spacing w:before="65" w:line="225" w:lineRule="auto"/>
              <w:ind w:left="84" w:right="89" w:firstLine="17"/>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社会评价</w:t>
            </w:r>
            <w:r>
              <w:rPr>
                <w:rFonts w:ascii="宋体" w:hAnsi="宋体" w:eastAsia="宋体" w:cs="宋体"/>
                <w:color w:val="auto"/>
                <w:spacing w:val="2"/>
                <w:sz w:val="20"/>
                <w:szCs w:val="20"/>
                <w:highlight w:val="none"/>
              </w:rPr>
              <w:t xml:space="preserve"> </w:t>
            </w:r>
            <w:r>
              <w:rPr>
                <w:rFonts w:ascii="宋体" w:hAnsi="宋体" w:eastAsia="宋体" w:cs="宋体"/>
                <w:color w:val="auto"/>
                <w:spacing w:val="-2"/>
                <w:sz w:val="20"/>
                <w:szCs w:val="20"/>
                <w:highlight w:val="none"/>
              </w:rPr>
              <w:t>（</w:t>
            </w:r>
            <w:r>
              <w:rPr>
                <w:rFonts w:ascii="Times New Roman" w:hAnsi="Times New Roman" w:eastAsia="Times New Roman" w:cs="Times New Roman"/>
                <w:color w:val="auto"/>
                <w:spacing w:val="-2"/>
                <w:sz w:val="20"/>
                <w:szCs w:val="20"/>
                <w:highlight w:val="none"/>
              </w:rPr>
              <w:t>10</w:t>
            </w:r>
            <w:r>
              <w:rPr>
                <w:rFonts w:ascii="Times New Roman" w:hAnsi="Times New Roman" w:eastAsia="Times New Roman" w:cs="Times New Roman"/>
                <w:color w:val="auto"/>
                <w:spacing w:val="13"/>
                <w:sz w:val="20"/>
                <w:szCs w:val="20"/>
                <w:highlight w:val="none"/>
              </w:rPr>
              <w:t xml:space="preserve"> </w:t>
            </w:r>
            <w:r>
              <w:rPr>
                <w:rFonts w:ascii="宋体" w:hAnsi="宋体" w:eastAsia="宋体" w:cs="宋体"/>
                <w:color w:val="auto"/>
                <w:spacing w:val="-2"/>
                <w:sz w:val="20"/>
                <w:szCs w:val="20"/>
                <w:highlight w:val="none"/>
              </w:rPr>
              <w:t>分）</w:t>
            </w:r>
          </w:p>
        </w:tc>
        <w:tc>
          <w:tcPr>
            <w:tcW w:w="943" w:type="dxa"/>
            <w:noWrap w:val="0"/>
            <w:vAlign w:val="top"/>
          </w:tcPr>
          <w:p>
            <w:pPr>
              <w:spacing w:before="232" w:line="225" w:lineRule="auto"/>
              <w:ind w:left="90" w:right="51" w:hanging="29"/>
              <w:rPr>
                <w:rFonts w:ascii="宋体" w:hAnsi="宋体" w:eastAsia="宋体" w:cs="宋体"/>
                <w:color w:val="auto"/>
                <w:sz w:val="20"/>
                <w:szCs w:val="20"/>
                <w:highlight w:val="none"/>
              </w:rPr>
            </w:pPr>
            <w:r>
              <w:rPr>
                <w:rFonts w:ascii="宋体" w:hAnsi="宋体" w:eastAsia="宋体" w:cs="宋体"/>
                <w:color w:val="auto"/>
                <w:spacing w:val="6"/>
                <w:sz w:val="20"/>
                <w:szCs w:val="20"/>
                <w:highlight w:val="none"/>
              </w:rPr>
              <w:t>受益评价</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w:t>
            </w:r>
            <w:r>
              <w:rPr>
                <w:rFonts w:ascii="Times New Roman" w:hAnsi="Times New Roman" w:eastAsia="Times New Roman" w:cs="Times New Roman"/>
                <w:color w:val="auto"/>
                <w:spacing w:val="14"/>
                <w:sz w:val="20"/>
                <w:szCs w:val="20"/>
                <w:highlight w:val="none"/>
              </w:rPr>
              <w:t>5</w:t>
            </w:r>
            <w:r>
              <w:rPr>
                <w:rFonts w:ascii="宋体" w:hAnsi="宋体" w:eastAsia="宋体" w:cs="宋体"/>
                <w:color w:val="auto"/>
                <w:spacing w:val="14"/>
                <w:sz w:val="20"/>
                <w:szCs w:val="20"/>
                <w:highlight w:val="none"/>
              </w:rPr>
              <w:t>分）</w:t>
            </w:r>
          </w:p>
        </w:tc>
        <w:tc>
          <w:tcPr>
            <w:tcW w:w="4333" w:type="dxa"/>
            <w:noWrap w:val="0"/>
            <w:vAlign w:val="top"/>
          </w:tcPr>
          <w:p>
            <w:pPr>
              <w:pStyle w:val="170"/>
              <w:spacing w:line="254" w:lineRule="auto"/>
              <w:rPr>
                <w:color w:val="auto"/>
                <w:highlight w:val="none"/>
              </w:rPr>
            </w:pPr>
          </w:p>
          <w:p>
            <w:pPr>
              <w:spacing w:before="65" w:line="274" w:lineRule="exact"/>
              <w:ind w:left="133"/>
              <w:rPr>
                <w:rFonts w:ascii="宋体" w:hAnsi="宋体" w:eastAsia="宋体" w:cs="宋体"/>
                <w:color w:val="auto"/>
                <w:sz w:val="20"/>
                <w:szCs w:val="20"/>
                <w:highlight w:val="none"/>
              </w:rPr>
            </w:pPr>
            <w:r>
              <w:rPr>
                <w:rFonts w:ascii="宋体" w:hAnsi="宋体" w:eastAsia="宋体" w:cs="宋体"/>
                <w:color w:val="auto"/>
                <w:spacing w:val="6"/>
                <w:position w:val="1"/>
                <w:sz w:val="20"/>
                <w:szCs w:val="20"/>
                <w:highlight w:val="none"/>
              </w:rPr>
              <w:t>辖区内居民满意度达</w:t>
            </w:r>
            <w:r>
              <w:rPr>
                <w:rFonts w:ascii="宋体" w:hAnsi="宋体" w:eastAsia="宋体" w:cs="宋体"/>
                <w:color w:val="auto"/>
                <w:spacing w:val="-28"/>
                <w:position w:val="1"/>
                <w:sz w:val="20"/>
                <w:szCs w:val="20"/>
                <w:highlight w:val="none"/>
              </w:rPr>
              <w:t xml:space="preserve"> </w:t>
            </w:r>
            <w:r>
              <w:rPr>
                <w:rFonts w:ascii="Times New Roman" w:hAnsi="Times New Roman" w:eastAsia="Times New Roman" w:cs="Times New Roman"/>
                <w:color w:val="auto"/>
                <w:spacing w:val="6"/>
                <w:position w:val="1"/>
                <w:sz w:val="20"/>
                <w:szCs w:val="20"/>
                <w:highlight w:val="none"/>
              </w:rPr>
              <w:t>85%</w:t>
            </w:r>
            <w:r>
              <w:rPr>
                <w:rFonts w:ascii="宋体" w:hAnsi="宋体" w:eastAsia="宋体" w:cs="宋体"/>
                <w:color w:val="auto"/>
                <w:spacing w:val="6"/>
                <w:position w:val="1"/>
                <w:sz w:val="20"/>
                <w:szCs w:val="20"/>
                <w:highlight w:val="none"/>
              </w:rPr>
              <w:t>得</w:t>
            </w:r>
            <w:r>
              <w:rPr>
                <w:rFonts w:ascii="宋体" w:hAnsi="宋体" w:eastAsia="宋体" w:cs="宋体"/>
                <w:color w:val="auto"/>
                <w:spacing w:val="-37"/>
                <w:position w:val="1"/>
                <w:sz w:val="20"/>
                <w:szCs w:val="20"/>
                <w:highlight w:val="none"/>
              </w:rPr>
              <w:t xml:space="preserve"> </w:t>
            </w:r>
            <w:r>
              <w:rPr>
                <w:rFonts w:ascii="Times New Roman" w:hAnsi="Times New Roman" w:eastAsia="Times New Roman" w:cs="Times New Roman"/>
                <w:color w:val="auto"/>
                <w:spacing w:val="6"/>
                <w:position w:val="1"/>
                <w:sz w:val="20"/>
                <w:szCs w:val="20"/>
                <w:highlight w:val="none"/>
              </w:rPr>
              <w:t xml:space="preserve">5 </w:t>
            </w:r>
            <w:r>
              <w:rPr>
                <w:rFonts w:ascii="宋体" w:hAnsi="宋体" w:eastAsia="宋体" w:cs="宋体"/>
                <w:color w:val="auto"/>
                <w:spacing w:val="6"/>
                <w:position w:val="1"/>
                <w:sz w:val="20"/>
                <w:szCs w:val="20"/>
                <w:highlight w:val="none"/>
              </w:rPr>
              <w:t>分</w:t>
            </w:r>
          </w:p>
        </w:tc>
        <w:tc>
          <w:tcPr>
            <w:tcW w:w="708" w:type="dxa"/>
            <w:noWrap w:val="0"/>
            <w:vAlign w:val="top"/>
          </w:tcPr>
          <w:p>
            <w:pPr>
              <w:pStyle w:val="170"/>
              <w:spacing w:line="330" w:lineRule="auto"/>
              <w:rPr>
                <w:color w:val="auto"/>
                <w:highlight w:val="none"/>
              </w:rPr>
            </w:pPr>
          </w:p>
          <w:p>
            <w:pPr>
              <w:spacing w:before="58" w:line="192" w:lineRule="auto"/>
              <w:ind w:left="310"/>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5</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12" w:hRule="atLeast"/>
        </w:trPr>
        <w:tc>
          <w:tcPr>
            <w:tcW w:w="1033" w:type="dxa"/>
            <w:vMerge w:val="continue"/>
            <w:tcBorders>
              <w:top w:val="nil"/>
            </w:tcBorders>
            <w:noWrap w:val="0"/>
            <w:vAlign w:val="top"/>
          </w:tcPr>
          <w:p>
            <w:pPr>
              <w:pStyle w:val="170"/>
              <w:rPr>
                <w:color w:val="auto"/>
                <w:highlight w:val="none"/>
              </w:rPr>
            </w:pPr>
          </w:p>
        </w:tc>
        <w:tc>
          <w:tcPr>
            <w:tcW w:w="943" w:type="dxa"/>
            <w:noWrap w:val="0"/>
            <w:vAlign w:val="top"/>
          </w:tcPr>
          <w:p>
            <w:pPr>
              <w:spacing w:before="231" w:line="225" w:lineRule="auto"/>
              <w:ind w:left="90" w:right="51" w:hanging="34"/>
              <w:rPr>
                <w:rFonts w:ascii="宋体" w:hAnsi="宋体" w:eastAsia="宋体" w:cs="宋体"/>
                <w:color w:val="auto"/>
                <w:sz w:val="20"/>
                <w:szCs w:val="20"/>
                <w:highlight w:val="none"/>
              </w:rPr>
            </w:pPr>
            <w:r>
              <w:rPr>
                <w:rFonts w:ascii="宋体" w:hAnsi="宋体" w:eastAsia="宋体" w:cs="宋体"/>
                <w:color w:val="auto"/>
                <w:spacing w:val="7"/>
                <w:sz w:val="20"/>
                <w:szCs w:val="20"/>
                <w:highlight w:val="none"/>
              </w:rPr>
              <w:t>媒体宣传</w:t>
            </w:r>
            <w:r>
              <w:rPr>
                <w:rFonts w:ascii="宋体" w:hAnsi="宋体" w:eastAsia="宋体" w:cs="宋体"/>
                <w:color w:val="auto"/>
                <w:sz w:val="20"/>
                <w:szCs w:val="20"/>
                <w:highlight w:val="none"/>
              </w:rPr>
              <w:t xml:space="preserve"> </w:t>
            </w:r>
            <w:r>
              <w:rPr>
                <w:rFonts w:ascii="宋体" w:hAnsi="宋体" w:eastAsia="宋体" w:cs="宋体"/>
                <w:color w:val="auto"/>
                <w:spacing w:val="14"/>
                <w:sz w:val="20"/>
                <w:szCs w:val="20"/>
                <w:highlight w:val="none"/>
              </w:rPr>
              <w:t>（</w:t>
            </w:r>
            <w:r>
              <w:rPr>
                <w:rFonts w:ascii="Times New Roman" w:hAnsi="Times New Roman" w:eastAsia="Times New Roman" w:cs="Times New Roman"/>
                <w:color w:val="auto"/>
                <w:spacing w:val="14"/>
                <w:sz w:val="20"/>
                <w:szCs w:val="20"/>
                <w:highlight w:val="none"/>
              </w:rPr>
              <w:t>5</w:t>
            </w:r>
            <w:r>
              <w:rPr>
                <w:rFonts w:ascii="宋体" w:hAnsi="宋体" w:eastAsia="宋体" w:cs="宋体"/>
                <w:color w:val="auto"/>
                <w:spacing w:val="14"/>
                <w:sz w:val="20"/>
                <w:szCs w:val="20"/>
                <w:highlight w:val="none"/>
              </w:rPr>
              <w:t>分）</w:t>
            </w:r>
          </w:p>
        </w:tc>
        <w:tc>
          <w:tcPr>
            <w:tcW w:w="4333" w:type="dxa"/>
            <w:noWrap w:val="0"/>
            <w:vAlign w:val="top"/>
          </w:tcPr>
          <w:p>
            <w:pPr>
              <w:spacing w:before="231" w:line="225" w:lineRule="auto"/>
              <w:ind w:left="134" w:right="124" w:firstLine="2"/>
              <w:rPr>
                <w:rFonts w:ascii="宋体" w:hAnsi="宋体" w:eastAsia="宋体" w:cs="宋体"/>
                <w:color w:val="auto"/>
                <w:sz w:val="20"/>
                <w:szCs w:val="20"/>
                <w:highlight w:val="none"/>
              </w:rPr>
            </w:pPr>
            <w:r>
              <w:rPr>
                <w:rFonts w:ascii="宋体" w:hAnsi="宋体" w:eastAsia="宋体" w:cs="宋体"/>
                <w:color w:val="auto"/>
                <w:spacing w:val="12"/>
                <w:sz w:val="20"/>
                <w:szCs w:val="20"/>
                <w:highlight w:val="none"/>
              </w:rPr>
              <w:t>获得媒体正面宣传，乡镇级得</w:t>
            </w:r>
            <w:r>
              <w:rPr>
                <w:rFonts w:ascii="宋体" w:hAnsi="宋体" w:eastAsia="宋体" w:cs="宋体"/>
                <w:color w:val="auto"/>
                <w:spacing w:val="-32"/>
                <w:sz w:val="20"/>
                <w:szCs w:val="20"/>
                <w:highlight w:val="none"/>
              </w:rPr>
              <w:t xml:space="preserve"> </w:t>
            </w:r>
            <w:r>
              <w:rPr>
                <w:rFonts w:ascii="Times New Roman" w:hAnsi="Times New Roman" w:eastAsia="Times New Roman" w:cs="Times New Roman"/>
                <w:color w:val="auto"/>
                <w:spacing w:val="12"/>
                <w:sz w:val="20"/>
                <w:szCs w:val="20"/>
                <w:highlight w:val="none"/>
              </w:rPr>
              <w:t>3</w:t>
            </w:r>
            <w:r>
              <w:rPr>
                <w:rFonts w:ascii="Times New Roman" w:hAnsi="Times New Roman" w:eastAsia="Times New Roman" w:cs="Times New Roman"/>
                <w:color w:val="auto"/>
                <w:spacing w:val="19"/>
                <w:sz w:val="20"/>
                <w:szCs w:val="20"/>
                <w:highlight w:val="none"/>
              </w:rPr>
              <w:t xml:space="preserve"> </w:t>
            </w:r>
            <w:r>
              <w:rPr>
                <w:rFonts w:ascii="宋体" w:hAnsi="宋体" w:eastAsia="宋体" w:cs="宋体"/>
                <w:color w:val="auto"/>
                <w:spacing w:val="12"/>
                <w:sz w:val="20"/>
                <w:szCs w:val="20"/>
                <w:highlight w:val="none"/>
              </w:rPr>
              <w:t>分，区县级</w:t>
            </w:r>
            <w:r>
              <w:rPr>
                <w:rFonts w:ascii="宋体" w:hAnsi="宋体" w:eastAsia="宋体" w:cs="宋体"/>
                <w:color w:val="auto"/>
                <w:sz w:val="20"/>
                <w:szCs w:val="20"/>
                <w:highlight w:val="none"/>
              </w:rPr>
              <w:t xml:space="preserve"> </w:t>
            </w:r>
            <w:r>
              <w:rPr>
                <w:rFonts w:ascii="宋体" w:hAnsi="宋体" w:eastAsia="宋体" w:cs="宋体"/>
                <w:color w:val="auto"/>
                <w:spacing w:val="5"/>
                <w:sz w:val="20"/>
                <w:szCs w:val="20"/>
                <w:highlight w:val="none"/>
              </w:rPr>
              <w:t>得</w:t>
            </w:r>
            <w:r>
              <w:rPr>
                <w:rFonts w:ascii="宋体" w:hAnsi="宋体" w:eastAsia="宋体" w:cs="宋体"/>
                <w:color w:val="auto"/>
                <w:spacing w:val="-33"/>
                <w:sz w:val="20"/>
                <w:szCs w:val="20"/>
                <w:highlight w:val="none"/>
              </w:rPr>
              <w:t xml:space="preserve"> </w:t>
            </w:r>
            <w:r>
              <w:rPr>
                <w:rFonts w:ascii="Times New Roman" w:hAnsi="Times New Roman" w:eastAsia="Times New Roman" w:cs="Times New Roman"/>
                <w:color w:val="auto"/>
                <w:spacing w:val="5"/>
                <w:sz w:val="20"/>
                <w:szCs w:val="20"/>
                <w:highlight w:val="none"/>
              </w:rPr>
              <w:t xml:space="preserve">4 </w:t>
            </w:r>
            <w:r>
              <w:rPr>
                <w:rFonts w:ascii="宋体" w:hAnsi="宋体" w:eastAsia="宋体" w:cs="宋体"/>
                <w:color w:val="auto"/>
                <w:spacing w:val="5"/>
                <w:sz w:val="20"/>
                <w:szCs w:val="20"/>
                <w:highlight w:val="none"/>
              </w:rPr>
              <w:t>分，市级或以上得</w:t>
            </w:r>
            <w:r>
              <w:rPr>
                <w:rFonts w:ascii="宋体" w:hAnsi="宋体" w:eastAsia="宋体" w:cs="宋体"/>
                <w:color w:val="auto"/>
                <w:spacing w:val="-38"/>
                <w:sz w:val="20"/>
                <w:szCs w:val="20"/>
                <w:highlight w:val="none"/>
              </w:rPr>
              <w:t xml:space="preserve"> </w:t>
            </w:r>
            <w:r>
              <w:rPr>
                <w:rFonts w:ascii="Times New Roman" w:hAnsi="Times New Roman" w:eastAsia="Times New Roman" w:cs="Times New Roman"/>
                <w:color w:val="auto"/>
                <w:spacing w:val="5"/>
                <w:sz w:val="20"/>
                <w:szCs w:val="20"/>
                <w:highlight w:val="none"/>
              </w:rPr>
              <w:t>5</w:t>
            </w:r>
            <w:r>
              <w:rPr>
                <w:rFonts w:ascii="Times New Roman" w:hAnsi="Times New Roman" w:eastAsia="Times New Roman" w:cs="Times New Roman"/>
                <w:color w:val="auto"/>
                <w:spacing w:val="15"/>
                <w:sz w:val="20"/>
                <w:szCs w:val="20"/>
                <w:highlight w:val="none"/>
              </w:rPr>
              <w:t xml:space="preserve"> </w:t>
            </w:r>
            <w:r>
              <w:rPr>
                <w:rFonts w:ascii="宋体" w:hAnsi="宋体" w:eastAsia="宋体" w:cs="宋体"/>
                <w:color w:val="auto"/>
                <w:spacing w:val="5"/>
                <w:sz w:val="20"/>
                <w:szCs w:val="20"/>
                <w:highlight w:val="none"/>
              </w:rPr>
              <w:t>分</w:t>
            </w:r>
          </w:p>
        </w:tc>
        <w:tc>
          <w:tcPr>
            <w:tcW w:w="708" w:type="dxa"/>
            <w:noWrap w:val="0"/>
            <w:vAlign w:val="top"/>
          </w:tcPr>
          <w:p>
            <w:pPr>
              <w:pStyle w:val="170"/>
              <w:spacing w:line="330" w:lineRule="auto"/>
              <w:rPr>
                <w:color w:val="auto"/>
                <w:highlight w:val="none"/>
              </w:rPr>
            </w:pPr>
          </w:p>
          <w:p>
            <w:pPr>
              <w:spacing w:before="57" w:line="192" w:lineRule="auto"/>
              <w:ind w:left="310"/>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z w:val="20"/>
                <w:szCs w:val="20"/>
                <w:highlight w:val="none"/>
              </w:rPr>
              <w:t>5</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1033" w:type="dxa"/>
            <w:noWrap w:val="0"/>
            <w:vAlign w:val="top"/>
          </w:tcPr>
          <w:p>
            <w:pPr>
              <w:spacing w:before="180" w:line="230" w:lineRule="auto"/>
              <w:ind w:left="313"/>
              <w:rPr>
                <w:rFonts w:ascii="宋体" w:hAnsi="宋体" w:eastAsia="宋体" w:cs="宋体"/>
                <w:color w:val="auto"/>
                <w:sz w:val="20"/>
                <w:szCs w:val="20"/>
                <w:highlight w:val="none"/>
              </w:rPr>
            </w:pPr>
            <w:r>
              <w:rPr>
                <w:rFonts w:ascii="宋体" w:hAnsi="宋体" w:eastAsia="宋体" w:cs="宋体"/>
                <w:color w:val="auto"/>
                <w:spacing w:val="4"/>
                <w:sz w:val="20"/>
                <w:szCs w:val="20"/>
                <w:highlight w:val="none"/>
              </w:rPr>
              <w:t>合计</w:t>
            </w:r>
          </w:p>
        </w:tc>
        <w:tc>
          <w:tcPr>
            <w:tcW w:w="943" w:type="dxa"/>
            <w:noWrap w:val="0"/>
            <w:vAlign w:val="top"/>
          </w:tcPr>
          <w:p>
            <w:pPr>
              <w:pStyle w:val="170"/>
              <w:spacing w:line="246" w:lineRule="auto"/>
              <w:rPr>
                <w:color w:val="auto"/>
                <w:highlight w:val="none"/>
              </w:rPr>
            </w:pPr>
          </w:p>
          <w:p>
            <w:pPr>
              <w:spacing w:before="58" w:line="95" w:lineRule="exact"/>
              <w:ind w:left="255"/>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10"/>
                <w:position w:val="-2"/>
                <w:sz w:val="20"/>
                <w:szCs w:val="20"/>
                <w:highlight w:val="none"/>
              </w:rPr>
              <w:t>——</w:t>
            </w:r>
          </w:p>
        </w:tc>
        <w:tc>
          <w:tcPr>
            <w:tcW w:w="4333" w:type="dxa"/>
            <w:noWrap w:val="0"/>
            <w:vAlign w:val="top"/>
          </w:tcPr>
          <w:p>
            <w:pPr>
              <w:pStyle w:val="170"/>
              <w:spacing w:line="246" w:lineRule="auto"/>
              <w:rPr>
                <w:color w:val="auto"/>
                <w:highlight w:val="none"/>
              </w:rPr>
            </w:pPr>
          </w:p>
          <w:p>
            <w:pPr>
              <w:spacing w:before="58" w:line="95" w:lineRule="exact"/>
              <w:ind w:left="1952"/>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10"/>
                <w:position w:val="-2"/>
                <w:sz w:val="20"/>
                <w:szCs w:val="20"/>
                <w:highlight w:val="none"/>
              </w:rPr>
              <w:t>——</w:t>
            </w:r>
          </w:p>
        </w:tc>
        <w:tc>
          <w:tcPr>
            <w:tcW w:w="708" w:type="dxa"/>
            <w:noWrap w:val="0"/>
            <w:vAlign w:val="top"/>
          </w:tcPr>
          <w:p>
            <w:pPr>
              <w:spacing w:before="216" w:line="195" w:lineRule="auto"/>
              <w:ind w:left="221"/>
              <w:rPr>
                <w:rFonts w:ascii="Times New Roman" w:hAnsi="Times New Roman" w:eastAsia="Times New Roman" w:cs="Times New Roman"/>
                <w:color w:val="auto"/>
                <w:sz w:val="20"/>
                <w:szCs w:val="20"/>
                <w:highlight w:val="none"/>
              </w:rPr>
            </w:pPr>
            <w:r>
              <w:rPr>
                <w:rFonts w:ascii="Times New Roman" w:hAnsi="Times New Roman" w:eastAsia="Times New Roman" w:cs="Times New Roman"/>
                <w:color w:val="auto"/>
                <w:spacing w:val="-3"/>
                <w:sz w:val="20"/>
                <w:szCs w:val="20"/>
                <w:highlight w:val="none"/>
              </w:rPr>
              <w:t>100</w:t>
            </w:r>
          </w:p>
        </w:tc>
        <w:tc>
          <w:tcPr>
            <w:tcW w:w="620" w:type="dxa"/>
            <w:noWrap w:val="0"/>
            <w:vAlign w:val="top"/>
          </w:tcPr>
          <w:p>
            <w:pPr>
              <w:pStyle w:val="170"/>
              <w:rPr>
                <w:color w:val="auto"/>
                <w:highlight w:val="none"/>
              </w:rPr>
            </w:pPr>
          </w:p>
        </w:tc>
        <w:tc>
          <w:tcPr>
            <w:tcW w:w="624" w:type="dxa"/>
            <w:noWrap w:val="0"/>
            <w:vAlign w:val="top"/>
          </w:tcPr>
          <w:p>
            <w:pPr>
              <w:pStyle w:val="170"/>
              <w:rPr>
                <w:color w:val="auto"/>
                <w:highlight w:val="none"/>
              </w:rPr>
            </w:pPr>
          </w:p>
        </w:tc>
        <w:tc>
          <w:tcPr>
            <w:tcW w:w="628" w:type="dxa"/>
            <w:noWrap w:val="0"/>
            <w:vAlign w:val="top"/>
          </w:tcPr>
          <w:p>
            <w:pPr>
              <w:pStyle w:val="170"/>
              <w:rPr>
                <w:color w:val="auto"/>
                <w:highlight w:val="none"/>
              </w:rPr>
            </w:pPr>
          </w:p>
        </w:tc>
      </w:tr>
    </w:tbl>
    <w:p>
      <w:pPr>
        <w:numPr>
          <w:ilvl w:val="0"/>
          <w:numId w:val="0"/>
        </w:numPr>
        <w:spacing w:line="460" w:lineRule="exact"/>
        <w:ind w:firstLine="480" w:firstLineChars="200"/>
        <w:rPr>
          <w:rFonts w:hint="eastAsia" w:ascii="宋体" w:hAnsi="宋体" w:eastAsia="宋体" w:cs="宋体"/>
          <w:color w:val="auto"/>
          <w:sz w:val="24"/>
        </w:rPr>
      </w:pPr>
    </w:p>
    <w:p>
      <w:pPr>
        <w:widowControl/>
        <w:jc w:val="left"/>
        <w:rPr>
          <w:rFonts w:ascii="宋体" w:hAnsi="宋体" w:cs="宋体"/>
          <w:b/>
          <w:sz w:val="44"/>
          <w:szCs w:val="44"/>
        </w:rPr>
      </w:pPr>
      <w:r>
        <w:rPr>
          <w:rFonts w:ascii="宋体" w:hAnsi="宋体" w:cs="宋体"/>
          <w:b/>
          <w:sz w:val="44"/>
          <w:szCs w:val="44"/>
        </w:rPr>
        <w:br w:type="page"/>
      </w:r>
    </w:p>
    <w:p>
      <w:pPr>
        <w:rPr>
          <w:rFonts w:hint="eastAsia" w:ascii="宋体" w:hAnsi="宋体" w:cs="宋体"/>
          <w:kern w:val="2"/>
          <w:sz w:val="24"/>
          <w:szCs w:val="24"/>
          <w:lang w:val="en-US" w:eastAsia="zh-CN" w:bidi="ar-SA"/>
        </w:rPr>
      </w:pPr>
      <w:r>
        <w:rPr>
          <w:rFonts w:hint="eastAsia" w:ascii="宋体" w:hAnsi="宋体" w:cs="宋体"/>
          <w:kern w:val="2"/>
          <w:sz w:val="24"/>
          <w:szCs w:val="24"/>
          <w:lang w:val="en-US" w:eastAsia="zh-CN" w:bidi="ar-SA"/>
        </w:rPr>
        <w:t>（二）服务期</w:t>
      </w:r>
    </w:p>
    <w:p>
      <w:pPr>
        <w:rPr>
          <w:rFonts w:hint="eastAsia" w:ascii="宋体" w:hAnsi="宋体" w:cs="宋体"/>
          <w:b/>
          <w:sz w:val="44"/>
          <w:szCs w:val="44"/>
        </w:rPr>
      </w:pPr>
      <w:r>
        <w:rPr>
          <w:rFonts w:hint="eastAsia" w:ascii="宋体" w:hAnsi="宋体" w:cs="宋体"/>
          <w:kern w:val="2"/>
          <w:sz w:val="24"/>
          <w:szCs w:val="24"/>
          <w:lang w:val="en-US" w:eastAsia="zh-CN" w:bidi="ar-SA"/>
        </w:rPr>
        <w:t>具体时间由采购人定。</w:t>
      </w:r>
      <w:r>
        <w:rPr>
          <w:rFonts w:hint="eastAsia" w:ascii="宋体" w:hAnsi="宋体" w:cs="宋体"/>
          <w:b/>
          <w:sz w:val="44"/>
          <w:szCs w:val="44"/>
        </w:rPr>
        <w:br w:type="page"/>
      </w:r>
    </w:p>
    <w:p>
      <w:pPr>
        <w:spacing w:line="360" w:lineRule="auto"/>
        <w:jc w:val="center"/>
        <w:outlineLvl w:val="0"/>
        <w:rPr>
          <w:rFonts w:ascii="宋体" w:hAnsi="宋体" w:cs="宋体"/>
          <w:b/>
          <w:sz w:val="44"/>
          <w:szCs w:val="44"/>
        </w:rPr>
      </w:pPr>
      <w:r>
        <w:rPr>
          <w:rFonts w:hint="eastAsia" w:ascii="宋体" w:hAnsi="宋体" w:cs="宋体"/>
          <w:b/>
          <w:sz w:val="44"/>
          <w:szCs w:val="44"/>
        </w:rPr>
        <w:t>第三章  投标供应商须知</w:t>
      </w:r>
      <w:bookmarkEnd w:id="16"/>
    </w:p>
    <w:p>
      <w:pPr>
        <w:jc w:val="center"/>
        <w:rPr>
          <w:rFonts w:ascii="宋体" w:hAnsi="宋体" w:cs="宋体"/>
          <w:b/>
          <w:szCs w:val="28"/>
        </w:rPr>
      </w:pPr>
      <w:r>
        <w:rPr>
          <w:rFonts w:hint="eastAsia" w:ascii="宋体" w:hAnsi="宋体" w:cs="宋体"/>
          <w:b/>
          <w:szCs w:val="28"/>
        </w:rPr>
        <w:t>前附表</w:t>
      </w:r>
    </w:p>
    <w:tbl>
      <w:tblPr>
        <w:tblStyle w:val="44"/>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7"/>
        <w:gridCol w:w="88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24"/>
                <w:szCs w:val="20"/>
              </w:rPr>
            </w:pPr>
            <w:r>
              <w:rPr>
                <w:rFonts w:hint="eastAsia" w:ascii="宋体" w:hAnsi="宋体" w:cs="宋体"/>
                <w:sz w:val="24"/>
              </w:rPr>
              <w:t>序号</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s="宋体"/>
                <w:sz w:val="24"/>
                <w:szCs w:val="20"/>
              </w:rPr>
            </w:pPr>
            <w:r>
              <w:rPr>
                <w:rFonts w:hint="eastAsia" w:ascii="宋体" w:hAnsi="宋体" w:cs="宋体"/>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1</w:t>
            </w:r>
          </w:p>
        </w:tc>
        <w:tc>
          <w:tcPr>
            <w:tcW w:w="4549" w:type="pct"/>
            <w:tcBorders>
              <w:top w:val="single" w:color="auto" w:sz="4" w:space="0"/>
              <w:left w:val="single" w:color="auto" w:sz="4" w:space="0"/>
              <w:bottom w:val="single" w:color="auto" w:sz="4" w:space="0"/>
              <w:right w:val="single" w:color="auto" w:sz="4" w:space="0"/>
            </w:tcBorders>
            <w:vAlign w:val="center"/>
          </w:tcPr>
          <w:p>
            <w:pPr>
              <w:spacing w:line="520" w:lineRule="exact"/>
              <w:jc w:val="left"/>
              <w:outlineLvl w:val="0"/>
              <w:rPr>
                <w:rFonts w:hint="eastAsia" w:ascii="宋体" w:hAnsi="宋体" w:eastAsia="宋体" w:cs="宋体"/>
                <w:sz w:val="24"/>
                <w:lang w:eastAsia="zh-CN"/>
              </w:rPr>
            </w:pPr>
            <w:r>
              <w:rPr>
                <w:rFonts w:hint="eastAsia" w:ascii="宋体" w:hAnsi="宋体" w:cs="宋体"/>
                <w:sz w:val="24"/>
              </w:rPr>
              <w:t>项目名称：</w:t>
            </w:r>
            <w:r>
              <w:rPr>
                <w:rFonts w:hint="eastAsia" w:ascii="宋体" w:hAnsi="宋体" w:cs="宋体"/>
                <w:sz w:val="24"/>
                <w:lang w:val="en-US" w:eastAsia="zh-CN"/>
              </w:rPr>
              <w:t>飞英街道办事处关于余家漾社区幸福邻里中心（儿童之家）、新华苑社区幸福邻里中心第三方运营服务采购项目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2</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采购内容：具体详见第二章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3</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投标报价及费用：1、本项目投标应以人民币报价；2、不论投标结果如何，投标供应商均应自行承担所有与投标有关的全部费用；3、本项目招标代理服务费：标项一</w:t>
            </w:r>
            <w:r>
              <w:rPr>
                <w:rFonts w:hint="eastAsia" w:ascii="宋体" w:hAnsi="宋体" w:cs="宋体"/>
                <w:sz w:val="24"/>
                <w:lang w:val="en-US" w:eastAsia="zh-CN"/>
              </w:rPr>
              <w:t xml:space="preserve">      8500</w:t>
            </w:r>
            <w:r>
              <w:rPr>
                <w:rFonts w:hint="eastAsia" w:ascii="宋体" w:hAnsi="宋体" w:cs="宋体"/>
                <w:sz w:val="24"/>
              </w:rPr>
              <w:t>元，标项二</w:t>
            </w:r>
            <w:r>
              <w:rPr>
                <w:rFonts w:hint="eastAsia" w:ascii="宋体" w:hAnsi="宋体" w:cs="宋体"/>
                <w:sz w:val="24"/>
                <w:lang w:val="en-US" w:eastAsia="zh-CN"/>
              </w:rPr>
              <w:t>7600</w:t>
            </w:r>
            <w:r>
              <w:rPr>
                <w:rFonts w:hint="eastAsia" w:ascii="宋体" w:hAnsi="宋体" w:cs="宋体"/>
                <w:sz w:val="24"/>
              </w:rPr>
              <w:t>元由中标供应商全额支付，投标供应商应自行考虑列入投标报价。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4</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答疑与澄清：</w:t>
            </w:r>
            <w:r>
              <w:rPr>
                <w:rFonts w:hint="eastAsia" w:ascii="宋体" w:hAnsi="宋体" w:cs="宋体"/>
                <w:sz w:val="24"/>
                <w:szCs w:val="20"/>
              </w:rPr>
              <w:t>供应商认为采购文件使自己的权益受到损害的，可以自收到采购文件之日（发售截止日之后收到采购文件的，以发售截止日为准）或者采购文件公告期限届满之日（公告发布后的第6个工作日）起7个工作日内</w:t>
            </w:r>
            <w:r>
              <w:rPr>
                <w:rFonts w:hint="eastAsia" w:ascii="宋体" w:hAnsi="宋体" w:cs="宋体"/>
                <w:b/>
                <w:sz w:val="24"/>
                <w:szCs w:val="20"/>
              </w:rPr>
              <w:t>（逾期将不再受理）</w:t>
            </w:r>
            <w:r>
              <w:rPr>
                <w:rFonts w:hint="eastAsia" w:ascii="宋体" w:hAnsi="宋体" w:cs="宋体"/>
                <w:sz w:val="24"/>
                <w:szCs w:val="20"/>
              </w:rPr>
              <w:t>，以书面或在线的形式向采购人和采购代理公司提出质疑。质疑供应商对采购人、采购代理公司的答复不满意或者采购人、采购代理公司未在规定的时间内做出答复的，可以在答复期满后十五个工作日内向同级政府采购监督管理部门投诉。采购人和采购代理机构将于提交投标截止时间15日前进行可能影响投标文件编制的澄清或修改；澄清或修改内容是采购文件的组成部份，并将以书面形式送达所有已报名的投标人。因其他紧急情况影响本项目正常招标活动的，采购人和采购代理机构将于投标截止日期一天前书面通知所有已报名的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5</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1、投标文件组成：《资格文件》、《商务技术资信及其他文件》、《报价文件》三部分组成。</w:t>
            </w:r>
          </w:p>
          <w:p>
            <w:pPr>
              <w:snapToGrid w:val="0"/>
              <w:spacing w:line="400" w:lineRule="exact"/>
              <w:rPr>
                <w:rFonts w:ascii="宋体" w:hAnsi="宋体" w:cs="宋体"/>
                <w:sz w:val="24"/>
              </w:rPr>
            </w:pPr>
            <w:r>
              <w:rPr>
                <w:rFonts w:hint="eastAsia" w:ascii="宋体" w:hAnsi="宋体" w:cs="宋体"/>
                <w:sz w:val="24"/>
              </w:rPr>
              <w:t>2、投标文件编制：投标供应商应先安装“政采云电子交易客户端”，并按照本采购文件和“政府采购云平台”的要求，通过“政采云电子交易客户端”编制并加密投标文件。</w:t>
            </w:r>
          </w:p>
          <w:p>
            <w:pPr>
              <w:snapToGrid w:val="0"/>
              <w:spacing w:line="400" w:lineRule="exact"/>
              <w:rPr>
                <w:rFonts w:ascii="宋体" w:hAnsi="宋体" w:cs="宋体"/>
                <w:sz w:val="24"/>
              </w:rPr>
            </w:pPr>
            <w:r>
              <w:rPr>
                <w:rFonts w:hint="eastAsia" w:ascii="宋体" w:hAnsi="宋体" w:cs="宋体"/>
                <w:sz w:val="24"/>
              </w:rPr>
              <w:t>3、投标文件的形式：电子投标文件（包括“电子加密投标文件”和“备份投标文件”，在投标文件编制完成后同时生成）；</w:t>
            </w:r>
          </w:p>
          <w:p>
            <w:pPr>
              <w:snapToGrid w:val="0"/>
              <w:spacing w:line="400" w:lineRule="exact"/>
              <w:ind w:firstLine="480" w:firstLineChars="200"/>
              <w:rPr>
                <w:rFonts w:ascii="宋体" w:hAnsi="宋体" w:cs="宋体"/>
                <w:sz w:val="24"/>
              </w:rPr>
            </w:pPr>
            <w:r>
              <w:rPr>
                <w:rFonts w:hint="eastAsia" w:ascii="宋体" w:hAnsi="宋体" w:cs="宋体"/>
                <w:sz w:val="24"/>
              </w:rPr>
              <w:t>（1）“电子加密投标文件”是指通过“政采云电子交易客户端”完成投标文件编制后生成并加密的数据电文形式的投标文件。</w:t>
            </w:r>
          </w:p>
          <w:p>
            <w:pPr>
              <w:snapToGrid w:val="0"/>
              <w:spacing w:line="400" w:lineRule="exact"/>
              <w:ind w:firstLine="480" w:firstLineChars="200"/>
              <w:rPr>
                <w:rFonts w:ascii="宋体" w:hAnsi="宋体" w:cs="宋体"/>
                <w:sz w:val="24"/>
              </w:rPr>
            </w:pPr>
            <w:r>
              <w:rPr>
                <w:rFonts w:hint="eastAsia" w:ascii="宋体" w:hAnsi="宋体" w:cs="宋体"/>
                <w:sz w:val="24"/>
              </w:rPr>
              <w:t>（2）“备份投标文件”是指与“电子加密投标文件”同时生成的数据电文形式的电子文件（备份标书），其他方式编制的备份投标文件视为无效备份投标文件。</w:t>
            </w:r>
          </w:p>
          <w:p>
            <w:pPr>
              <w:snapToGrid w:val="0"/>
              <w:spacing w:line="400" w:lineRule="exact"/>
              <w:rPr>
                <w:rFonts w:ascii="宋体" w:hAnsi="宋体" w:cs="宋体"/>
                <w:sz w:val="24"/>
              </w:rPr>
            </w:pPr>
            <w:r>
              <w:rPr>
                <w:rFonts w:hint="eastAsia" w:ascii="宋体" w:hAnsi="宋体" w:cs="宋体"/>
                <w:sz w:val="24"/>
              </w:rPr>
              <w:t>4、投标文件份数：</w:t>
            </w:r>
          </w:p>
          <w:p>
            <w:pPr>
              <w:snapToGrid w:val="0"/>
              <w:spacing w:line="400" w:lineRule="exact"/>
              <w:ind w:firstLine="480" w:firstLineChars="200"/>
              <w:rPr>
                <w:rFonts w:ascii="宋体" w:hAnsi="宋体" w:cs="宋体"/>
                <w:sz w:val="24"/>
              </w:rPr>
            </w:pPr>
            <w:r>
              <w:rPr>
                <w:rFonts w:hint="eastAsia" w:ascii="宋体" w:hAnsi="宋体" w:cs="宋体"/>
                <w:sz w:val="24"/>
              </w:rPr>
              <w:t>（1）“电子加密投标文件”：在线上传递交一份。</w:t>
            </w:r>
          </w:p>
          <w:p>
            <w:pPr>
              <w:snapToGrid w:val="0"/>
              <w:spacing w:line="400" w:lineRule="exact"/>
              <w:ind w:firstLine="480" w:firstLineChars="200"/>
              <w:rPr>
                <w:rFonts w:ascii="宋体" w:hAnsi="宋体" w:cs="宋体"/>
                <w:sz w:val="24"/>
              </w:rPr>
            </w:pPr>
            <w:r>
              <w:rPr>
                <w:rFonts w:hint="eastAsia" w:ascii="宋体" w:hAnsi="宋体" w:cs="宋体"/>
                <w:sz w:val="24"/>
              </w:rPr>
              <w:t>（2）“备份投标文件”：密封包装后应在202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日1</w:t>
            </w:r>
            <w:r>
              <w:rPr>
                <w:rFonts w:hint="eastAsia" w:ascii="宋体" w:hAnsi="宋体" w:cs="宋体"/>
                <w:sz w:val="24"/>
                <w:lang w:val="en-US" w:eastAsia="zh-CN"/>
              </w:rPr>
              <w:t>7</w:t>
            </w:r>
            <w:r>
              <w:rPr>
                <w:rFonts w:hint="eastAsia" w:ascii="宋体" w:hAnsi="宋体" w:cs="宋体"/>
                <w:sz w:val="24"/>
              </w:rPr>
              <w:t>:00前邮寄至</w:t>
            </w:r>
            <w:r>
              <w:rPr>
                <w:rFonts w:hint="eastAsia" w:ascii="宋体" w:hAnsi="宋体" w:cs="宋体"/>
                <w:sz w:val="24"/>
                <w:lang w:eastAsia="zh-CN"/>
              </w:rPr>
              <w:t>湖州市腊山路398号8幢2层</w:t>
            </w:r>
            <w:r>
              <w:rPr>
                <w:rFonts w:hint="eastAsia" w:ascii="宋体" w:hAnsi="宋体" w:cs="宋体"/>
                <w:sz w:val="24"/>
              </w:rPr>
              <w:t>（</w:t>
            </w:r>
            <w:r>
              <w:rPr>
                <w:rFonts w:hint="eastAsia" w:ascii="宋体" w:hAnsi="宋体" w:cs="宋体"/>
                <w:sz w:val="24"/>
                <w:lang w:eastAsia="zh-CN"/>
              </w:rPr>
              <w:t>湖州鑫梦工程咨询有限公司</w:t>
            </w:r>
            <w:r>
              <w:rPr>
                <w:rFonts w:hint="eastAsia" w:ascii="宋体" w:hAnsi="宋体" w:cs="宋体"/>
                <w:sz w:val="24"/>
              </w:rPr>
              <w:t>）；收件人：</w:t>
            </w:r>
            <w:r>
              <w:rPr>
                <w:rFonts w:hint="eastAsia" w:ascii="宋体" w:hAnsi="宋体" w:cs="宋体"/>
                <w:sz w:val="24"/>
                <w:lang w:eastAsia="zh-CN"/>
              </w:rPr>
              <w:t>张泽豪</w:t>
            </w:r>
            <w:r>
              <w:rPr>
                <w:rFonts w:hint="eastAsia" w:ascii="宋体" w:hAnsi="宋体" w:cs="宋体"/>
                <w:sz w:val="24"/>
              </w:rPr>
              <w:t>；联系电话：</w:t>
            </w:r>
            <w:r>
              <w:rPr>
                <w:rFonts w:hint="eastAsia" w:ascii="宋体" w:hAnsi="宋体" w:cs="宋体"/>
                <w:sz w:val="24"/>
                <w:lang w:eastAsia="zh-CN"/>
              </w:rPr>
              <w:t>15257277770</w:t>
            </w:r>
            <w:r>
              <w:rPr>
                <w:rFonts w:hint="eastAsia" w:ascii="宋体" w:hAnsi="宋体" w:cs="宋体"/>
                <w:sz w:val="24"/>
              </w:rPr>
              <w:t>，数量为U盘一份。</w:t>
            </w:r>
          </w:p>
          <w:p>
            <w:pPr>
              <w:snapToGrid w:val="0"/>
              <w:spacing w:line="400" w:lineRule="exact"/>
              <w:rPr>
                <w:rFonts w:ascii="宋体" w:hAnsi="宋体" w:cs="宋体"/>
                <w:sz w:val="24"/>
              </w:rPr>
            </w:pPr>
            <w:r>
              <w:rPr>
                <w:rFonts w:hint="eastAsia" w:ascii="宋体" w:hAnsi="宋体" w:cs="宋体"/>
                <w:sz w:val="24"/>
              </w:rPr>
              <w:t>5、投标文件的上传和递交：</w:t>
            </w:r>
          </w:p>
          <w:p>
            <w:pPr>
              <w:snapToGrid w:val="0"/>
              <w:spacing w:line="400" w:lineRule="exact"/>
              <w:ind w:firstLine="480" w:firstLineChars="200"/>
              <w:rPr>
                <w:rFonts w:ascii="宋体" w:hAnsi="宋体" w:cs="宋体"/>
                <w:sz w:val="24"/>
              </w:rPr>
            </w:pPr>
            <w:r>
              <w:rPr>
                <w:rFonts w:hint="eastAsia" w:ascii="宋体" w:hAnsi="宋体" w:cs="宋体"/>
                <w:sz w:val="24"/>
              </w:rPr>
              <w:t>a.投标供应商应在投标截止时间前将“电子加密投标文件”成功上传递交至“政府采购云平台”，否则投标无效。</w:t>
            </w:r>
          </w:p>
          <w:p>
            <w:pPr>
              <w:snapToGrid w:val="0"/>
              <w:spacing w:line="400" w:lineRule="exact"/>
              <w:ind w:firstLine="480" w:firstLineChars="200"/>
              <w:rPr>
                <w:rFonts w:ascii="宋体" w:hAnsi="宋体" w:cs="宋体"/>
                <w:sz w:val="24"/>
              </w:rPr>
            </w:pPr>
            <w:r>
              <w:rPr>
                <w:rFonts w:hint="eastAsia" w:ascii="宋体" w:hAnsi="宋体" w:cs="宋体"/>
                <w:sz w:val="24"/>
              </w:rPr>
              <w:t>b.“电子加密投标文件”成功上传递交后，投标供应商可自行打印投标文件接收回执。</w:t>
            </w:r>
          </w:p>
          <w:p>
            <w:pPr>
              <w:snapToGrid w:val="0"/>
              <w:spacing w:line="400" w:lineRule="exact"/>
              <w:ind w:firstLine="480" w:firstLineChars="200"/>
              <w:rPr>
                <w:rFonts w:ascii="宋体" w:hAnsi="宋体" w:cs="宋体"/>
                <w:sz w:val="24"/>
              </w:rPr>
            </w:pPr>
            <w:r>
              <w:rPr>
                <w:rFonts w:hint="eastAsia" w:ascii="宋体" w:hAnsi="宋体" w:cs="宋体"/>
                <w:sz w:val="24"/>
              </w:rPr>
              <w:t>c.通过“政府采购云平台”成功上传递交的“电子加密投标文件”已按时解密的，“备份投标文件”自动失效。投标文件启用顺序和效力。投标文件的启用，按先后顺位分别为电子投标文件、数据电文形式的备份投标文件。</w:t>
            </w:r>
          </w:p>
          <w:p>
            <w:pPr>
              <w:snapToGrid w:val="0"/>
              <w:spacing w:line="400" w:lineRule="exact"/>
              <w:ind w:firstLine="482" w:firstLineChars="200"/>
              <w:rPr>
                <w:rFonts w:ascii="宋体" w:hAnsi="宋体" w:cs="宋体"/>
                <w:b/>
                <w:bCs/>
                <w:sz w:val="24"/>
              </w:rPr>
            </w:pPr>
            <w:r>
              <w:rPr>
                <w:rFonts w:hint="eastAsia" w:ascii="宋体" w:hAnsi="宋体" w:cs="宋体"/>
                <w:b/>
                <w:bCs/>
                <w:sz w:val="24"/>
              </w:rPr>
              <w:t>（3）所有投标文件逾期解密的视作无效标。</w:t>
            </w:r>
          </w:p>
          <w:p>
            <w:pPr>
              <w:snapToGrid w:val="0"/>
              <w:spacing w:line="400" w:lineRule="exact"/>
              <w:rPr>
                <w:rFonts w:ascii="宋体" w:hAnsi="宋体" w:cs="宋体"/>
                <w:sz w:val="24"/>
              </w:rPr>
            </w:pPr>
            <w:r>
              <w:rPr>
                <w:rFonts w:hint="eastAsia" w:ascii="宋体" w:hAnsi="宋体" w:cs="宋体"/>
                <w:sz w:val="24"/>
              </w:rPr>
              <w:t>6、电子加密投标文件的解密和异常情况处理：</w:t>
            </w:r>
          </w:p>
          <w:p>
            <w:pPr>
              <w:snapToGrid w:val="0"/>
              <w:spacing w:line="400" w:lineRule="exact"/>
              <w:ind w:firstLine="480" w:firstLineChars="200"/>
              <w:rPr>
                <w:rFonts w:ascii="宋体" w:hAnsi="宋体" w:cs="宋体"/>
                <w:sz w:val="24"/>
              </w:rPr>
            </w:pPr>
            <w:r>
              <w:rPr>
                <w:rFonts w:hint="eastAsia" w:ascii="宋体" w:hAnsi="宋体" w:cs="宋体"/>
                <w:sz w:val="24"/>
              </w:rPr>
              <w:t>（1）开标后，采购代理机构将向各投标供应商发出“电子加密投标文件”的解密通知，各投标供应商代表应当在接到解密通知后30分钟内自行完成“电子加密投标文件”的在线解密，未在规定的时间内无法完成投标文件解密的，视为自动放弃本项目的投标。</w:t>
            </w:r>
          </w:p>
          <w:p>
            <w:pPr>
              <w:snapToGrid w:val="0"/>
              <w:spacing w:line="400" w:lineRule="exact"/>
              <w:ind w:firstLine="480" w:firstLineChars="200"/>
              <w:rPr>
                <w:rFonts w:ascii="宋体" w:hAnsi="宋体" w:cs="宋体"/>
                <w:sz w:val="24"/>
              </w:rPr>
            </w:pPr>
            <w:r>
              <w:rPr>
                <w:rFonts w:hint="eastAsia" w:ascii="宋体" w:hAnsi="宋体" w:cs="宋体"/>
                <w:sz w:val="24"/>
              </w:rPr>
              <w:t>（2）通过“政府采购云平台”成功上传“电子加密投标文件”的投标供应商，因遗失CA或其他原因，导致无法解密“电子加密投标文件”的，供应商如按规定递交了“备份投标文件”的，启用数据电子备份投标文件（U 盘）（由采购组织机构按“政府采购云平台”操作规范将“备份投标文件”上传至“政府采购云平台”,上传成功后，“电子加密投标文件”自动失效)。因供应商电子备份投标文件（U 盘）或自身原因造成数据电子备份投标文件（U盘）无法打开的，作无效标处理。</w:t>
            </w:r>
          </w:p>
          <w:p>
            <w:pPr>
              <w:pStyle w:val="23"/>
              <w:spacing w:line="400" w:lineRule="exact"/>
              <w:rPr>
                <w:rFonts w:hAnsi="宋体" w:cs="宋体"/>
                <w:szCs w:val="21"/>
              </w:rPr>
            </w:pPr>
            <w:r>
              <w:rPr>
                <w:rFonts w:hint="eastAsia" w:hAnsi="宋体" w:cs="宋体"/>
                <w:sz w:val="24"/>
                <w:szCs w:val="22"/>
              </w:rPr>
              <w:t xml:space="preserve">（3）投标截止时间前，供应商仅递交了“备份投标文件”而未将电子加密投标文件上传至“政府采购云平台”的，投标无效。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6</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投标截止时间：</w:t>
            </w:r>
            <w:r>
              <w:rPr>
                <w:rFonts w:hint="eastAsia" w:ascii="宋体" w:hAnsi="宋体" w:cs="宋体"/>
                <w:b/>
                <w:bCs/>
                <w:sz w:val="24"/>
                <w:u w:val="single"/>
              </w:rPr>
              <w:t>202</w:t>
            </w:r>
            <w:r>
              <w:rPr>
                <w:rFonts w:hint="eastAsia" w:ascii="宋体" w:hAnsi="宋体" w:cs="宋体"/>
                <w:b/>
                <w:bCs/>
                <w:sz w:val="24"/>
                <w:u w:val="single"/>
                <w:lang w:val="en-US" w:eastAsia="zh-CN"/>
              </w:rPr>
              <w:t>4</w:t>
            </w:r>
            <w:r>
              <w:rPr>
                <w:rFonts w:hint="eastAsia" w:ascii="宋体" w:hAnsi="宋体" w:cs="宋体"/>
                <w:b/>
                <w:bCs/>
                <w:sz w:val="24"/>
                <w:u w:val="single"/>
              </w:rPr>
              <w:t>年</w:t>
            </w:r>
            <w:r>
              <w:rPr>
                <w:rFonts w:hint="eastAsia" w:ascii="宋体" w:hAnsi="宋体" w:cs="宋体"/>
                <w:b/>
                <w:bCs/>
                <w:sz w:val="24"/>
                <w:u w:val="single"/>
                <w:lang w:val="en-US" w:eastAsia="zh-CN"/>
              </w:rPr>
              <w:t>5</w:t>
            </w:r>
            <w:r>
              <w:rPr>
                <w:rFonts w:hint="eastAsia" w:ascii="宋体" w:hAnsi="宋体" w:cs="宋体"/>
                <w:b/>
                <w:bCs/>
                <w:sz w:val="24"/>
                <w:u w:val="single"/>
              </w:rPr>
              <w:t>月</w:t>
            </w:r>
            <w:r>
              <w:rPr>
                <w:rFonts w:hint="eastAsia" w:ascii="宋体" w:hAnsi="宋体" w:cs="宋体"/>
                <w:b/>
                <w:bCs/>
                <w:sz w:val="24"/>
                <w:u w:val="single"/>
                <w:lang w:val="en-US" w:eastAsia="zh-CN"/>
              </w:rPr>
              <w:t>16</w:t>
            </w:r>
            <w:r>
              <w:rPr>
                <w:rFonts w:hint="eastAsia" w:ascii="宋体" w:hAnsi="宋体" w:cs="宋体"/>
                <w:b/>
                <w:bCs/>
                <w:sz w:val="24"/>
                <w:u w:val="single"/>
              </w:rPr>
              <w:t>日1</w:t>
            </w:r>
            <w:r>
              <w:rPr>
                <w:rFonts w:hint="eastAsia" w:ascii="宋体" w:hAnsi="宋体" w:cs="宋体"/>
                <w:b/>
                <w:bCs/>
                <w:sz w:val="24"/>
                <w:u w:val="single"/>
                <w:lang w:val="en-US" w:eastAsia="zh-CN"/>
              </w:rPr>
              <w:t>4</w:t>
            </w:r>
            <w:r>
              <w:rPr>
                <w:rFonts w:hint="eastAsia" w:ascii="宋体" w:hAnsi="宋体" w:cs="宋体"/>
                <w:b/>
                <w:bCs/>
                <w:sz w:val="24"/>
                <w:u w:val="single"/>
              </w:rPr>
              <w:t>:</w:t>
            </w:r>
            <w:r>
              <w:rPr>
                <w:rFonts w:hint="eastAsia" w:ascii="宋体" w:hAnsi="宋体" w:cs="宋体"/>
                <w:b/>
                <w:bCs/>
                <w:sz w:val="24"/>
                <w:u w:val="single"/>
                <w:lang w:val="en-US" w:eastAsia="zh-CN"/>
              </w:rPr>
              <w:t>0</w:t>
            </w:r>
            <w:r>
              <w:rPr>
                <w:rFonts w:hint="eastAsia" w:ascii="宋体" w:hAnsi="宋体" w:cs="宋体"/>
                <w:b/>
                <w:bCs/>
                <w:sz w:val="24"/>
                <w:u w:val="single"/>
              </w:rPr>
              <w:t>0</w:t>
            </w:r>
            <w:r>
              <w:rPr>
                <w:rFonts w:hint="eastAsia" w:ascii="宋体" w:hAnsi="宋体" w:cs="宋体"/>
                <w:sz w:val="24"/>
              </w:rPr>
              <w:t>；</w:t>
            </w:r>
          </w:p>
          <w:p>
            <w:pPr>
              <w:snapToGrid w:val="0"/>
              <w:spacing w:line="400" w:lineRule="exact"/>
              <w:rPr>
                <w:rFonts w:ascii="宋体" w:hAnsi="宋体" w:cs="宋体"/>
                <w:sz w:val="24"/>
              </w:rPr>
            </w:pPr>
            <w:r>
              <w:rPr>
                <w:rFonts w:hint="eastAsia" w:ascii="宋体" w:hAnsi="宋体" w:cs="宋体"/>
                <w:sz w:val="24"/>
              </w:rPr>
              <w:t>投标文件递交地点：</w:t>
            </w:r>
            <w:r>
              <w:rPr>
                <w:rFonts w:hint="eastAsia" w:ascii="宋体" w:hAnsi="宋体" w:cs="宋体"/>
                <w:b/>
                <w:bCs/>
                <w:sz w:val="24"/>
                <w:u w:val="single"/>
              </w:rPr>
              <w:t>本项目通过“政府采购云平台（www.zcygov.cn）”实行在线投标响应（电子投标）。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7</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开标时间：</w:t>
            </w:r>
            <w:r>
              <w:rPr>
                <w:rFonts w:hint="eastAsia" w:ascii="宋体" w:hAnsi="宋体" w:cs="宋体"/>
                <w:b/>
                <w:bCs/>
                <w:sz w:val="24"/>
                <w:u w:val="single"/>
              </w:rPr>
              <w:t>202</w:t>
            </w:r>
            <w:r>
              <w:rPr>
                <w:rFonts w:hint="eastAsia" w:ascii="宋体" w:hAnsi="宋体" w:cs="宋体"/>
                <w:b/>
                <w:bCs/>
                <w:sz w:val="24"/>
                <w:u w:val="single"/>
                <w:lang w:val="en-US" w:eastAsia="zh-CN"/>
              </w:rPr>
              <w:t>4</w:t>
            </w:r>
            <w:r>
              <w:rPr>
                <w:rFonts w:hint="eastAsia" w:ascii="宋体" w:hAnsi="宋体" w:cs="宋体"/>
                <w:b/>
                <w:bCs/>
                <w:sz w:val="24"/>
                <w:u w:val="single"/>
              </w:rPr>
              <w:t>年</w:t>
            </w:r>
            <w:r>
              <w:rPr>
                <w:rFonts w:hint="eastAsia" w:ascii="宋体" w:hAnsi="宋体" w:cs="宋体"/>
                <w:b/>
                <w:bCs/>
                <w:sz w:val="24"/>
                <w:u w:val="single"/>
                <w:lang w:val="en-US" w:eastAsia="zh-CN"/>
              </w:rPr>
              <w:t>5</w:t>
            </w:r>
            <w:r>
              <w:rPr>
                <w:rFonts w:hint="eastAsia" w:ascii="宋体" w:hAnsi="宋体" w:cs="宋体"/>
                <w:b/>
                <w:bCs/>
                <w:sz w:val="24"/>
                <w:u w:val="single"/>
              </w:rPr>
              <w:t>月</w:t>
            </w:r>
            <w:r>
              <w:rPr>
                <w:rFonts w:hint="eastAsia" w:ascii="宋体" w:hAnsi="宋体" w:cs="宋体"/>
                <w:b/>
                <w:bCs/>
                <w:sz w:val="24"/>
                <w:u w:val="single"/>
                <w:lang w:val="en-US" w:eastAsia="zh-CN"/>
              </w:rPr>
              <w:t>16</w:t>
            </w:r>
            <w:r>
              <w:rPr>
                <w:rFonts w:hint="eastAsia" w:ascii="宋体" w:hAnsi="宋体" w:cs="宋体"/>
                <w:b/>
                <w:bCs/>
                <w:sz w:val="24"/>
                <w:u w:val="single"/>
              </w:rPr>
              <w:t>日1</w:t>
            </w:r>
            <w:r>
              <w:rPr>
                <w:rFonts w:hint="eastAsia" w:ascii="宋体" w:hAnsi="宋体" w:cs="宋体"/>
                <w:b/>
                <w:bCs/>
                <w:sz w:val="24"/>
                <w:u w:val="single"/>
                <w:lang w:val="en-US" w:eastAsia="zh-CN"/>
              </w:rPr>
              <w:t>4</w:t>
            </w:r>
            <w:r>
              <w:rPr>
                <w:rFonts w:hint="eastAsia" w:ascii="宋体" w:hAnsi="宋体" w:cs="宋体"/>
                <w:b/>
                <w:bCs/>
                <w:sz w:val="24"/>
                <w:u w:val="single"/>
              </w:rPr>
              <w:t>:</w:t>
            </w:r>
            <w:r>
              <w:rPr>
                <w:rFonts w:hint="eastAsia" w:ascii="宋体" w:hAnsi="宋体" w:cs="宋体"/>
                <w:b/>
                <w:bCs/>
                <w:sz w:val="24"/>
                <w:u w:val="single"/>
                <w:lang w:val="en-US" w:eastAsia="zh-CN"/>
              </w:rPr>
              <w:t>0</w:t>
            </w:r>
            <w:r>
              <w:rPr>
                <w:rFonts w:hint="eastAsia" w:ascii="宋体" w:hAnsi="宋体" w:cs="宋体"/>
                <w:b/>
                <w:bCs/>
                <w:sz w:val="24"/>
                <w:u w:val="single"/>
              </w:rPr>
              <w:t>0</w:t>
            </w:r>
            <w:r>
              <w:rPr>
                <w:rFonts w:hint="eastAsia" w:ascii="宋体" w:hAnsi="宋体" w:cs="宋体"/>
                <w:sz w:val="24"/>
              </w:rPr>
              <w:t>；</w:t>
            </w:r>
          </w:p>
          <w:p>
            <w:pPr>
              <w:snapToGrid w:val="0"/>
              <w:spacing w:line="400" w:lineRule="exact"/>
              <w:rPr>
                <w:rFonts w:ascii="宋体" w:hAnsi="宋体" w:cs="宋体"/>
                <w:sz w:val="24"/>
              </w:rPr>
            </w:pPr>
            <w:r>
              <w:rPr>
                <w:rFonts w:hint="eastAsia" w:ascii="宋体" w:hAnsi="宋体" w:cs="宋体"/>
                <w:sz w:val="24"/>
              </w:rPr>
              <w:t>地点：</w:t>
            </w:r>
            <w:r>
              <w:rPr>
                <w:rFonts w:hint="eastAsia" w:ascii="宋体" w:hAnsi="宋体" w:cs="宋体"/>
                <w:b/>
                <w:bCs/>
                <w:sz w:val="24"/>
                <w:u w:val="single"/>
              </w:rPr>
              <w:t>湖州市吴兴区公共资源交易中心开标室【湖州市吴兴区区府路1188 号总部自由港E 幢4楼】</w:t>
            </w:r>
            <w:r>
              <w:rPr>
                <w:rFonts w:hint="eastAsia" w:ascii="宋体" w:hAnsi="宋体" w:cs="宋体"/>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8</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9</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开始评标前采购代理机构将依法对投标供应商的信用记录查询：依据财库[2016]125号文件执行</w:t>
            </w:r>
          </w:p>
          <w:p>
            <w:pPr>
              <w:snapToGrid w:val="0"/>
              <w:spacing w:line="400" w:lineRule="exact"/>
              <w:rPr>
                <w:rFonts w:ascii="宋体" w:hAnsi="宋体" w:cs="宋体"/>
                <w:sz w:val="24"/>
              </w:rPr>
            </w:pPr>
            <w:r>
              <w:rPr>
                <w:rFonts w:hint="eastAsia" w:ascii="宋体" w:hAnsi="宋体" w:cs="宋体"/>
                <w:sz w:val="24"/>
              </w:rPr>
              <w:t>查询渠道：信用中国（www.creditchina.gov.cn）、中国政府采购网（www.ccgp.gov.cn）；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10</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评标结果公示：评标结束后2个工作日内，评标结果公告于：</w:t>
            </w:r>
          </w:p>
          <w:p>
            <w:pPr>
              <w:snapToGrid w:val="0"/>
              <w:spacing w:line="400" w:lineRule="exact"/>
              <w:rPr>
                <w:rFonts w:ascii="宋体" w:hAnsi="宋体" w:cs="宋体"/>
                <w:sz w:val="24"/>
              </w:rPr>
            </w:pPr>
            <w:r>
              <w:rPr>
                <w:rFonts w:hint="eastAsia" w:ascii="宋体" w:hAnsi="宋体" w:cs="宋体"/>
                <w:sz w:val="24"/>
              </w:rPr>
              <w:t>浙江政府采购网(http://zfcg.czt.zj.gov.cn/)</w:t>
            </w:r>
          </w:p>
          <w:p>
            <w:pPr>
              <w:snapToGrid w:val="0"/>
              <w:spacing w:line="400" w:lineRule="exact"/>
              <w:jc w:val="left"/>
              <w:rPr>
                <w:rFonts w:ascii="宋体" w:hAnsi="宋体" w:cs="宋体"/>
                <w:sz w:val="24"/>
              </w:rPr>
            </w:pPr>
            <w:r>
              <w:rPr>
                <w:rFonts w:hint="eastAsia" w:ascii="宋体" w:hAnsi="宋体" w:cs="宋体"/>
                <w:sz w:val="24"/>
              </w:rPr>
              <w:t>湖州市吴兴区公共资源交易中心</w:t>
            </w:r>
            <w:r>
              <w:rPr>
                <w:rFonts w:hint="eastAsia" w:ascii="宋体" w:hAnsi="宋体" w:cs="宋体"/>
                <w:kern w:val="0"/>
                <w:sz w:val="24"/>
              </w:rPr>
              <w:t>（http://www.wuxing.gov.cn/hzgov/front/s127/sy/index.html）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5"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11</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left"/>
              <w:rPr>
                <w:rFonts w:ascii="宋体" w:hAnsi="宋体" w:cs="宋体"/>
                <w:sz w:val="24"/>
              </w:rPr>
            </w:pPr>
            <w:r>
              <w:rPr>
                <w:rFonts w:hint="eastAsia" w:ascii="宋体" w:hAnsi="宋体" w:cs="宋体"/>
                <w:sz w:val="24"/>
              </w:rPr>
              <w:t xml:space="preserve">在确定中标供应商后，领取中标通知书前，中标供应商须提供二份（一正一副）完整的纸质投标文件给采购人，纸质投标文件须与电子投标文件格式及内容一致。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12</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签订合同时间：中标通知书发出后30日内。</w:t>
            </w:r>
          </w:p>
          <w:p>
            <w:pPr>
              <w:snapToGrid w:val="0"/>
              <w:spacing w:line="400" w:lineRule="exact"/>
              <w:rPr>
                <w:rFonts w:ascii="宋体" w:hAnsi="宋体" w:cs="宋体"/>
                <w:sz w:val="24"/>
              </w:rPr>
            </w:pPr>
            <w:r>
              <w:rPr>
                <w:rFonts w:hint="eastAsia" w:ascii="宋体" w:hAnsi="宋体" w:cs="宋体"/>
                <w:sz w:val="24"/>
              </w:rPr>
              <w:t>合同签订后由中标投标供应商向招标代理机构提供已签订的合同电子扫描件一份用于合同备案。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rPr>
            </w:pPr>
            <w:r>
              <w:rPr>
                <w:rFonts w:hint="eastAsia" w:ascii="宋体" w:hAnsi="宋体" w:cs="宋体"/>
                <w:sz w:val="24"/>
              </w:rPr>
              <w:t>13</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履约保证金的收取及退还:本项目无履约保证金。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14</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采购资金来源：自筹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15</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付款方式：详见合同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16</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投标有效期：自投标文件递交截止之日起</w:t>
            </w:r>
            <w:r>
              <w:rPr>
                <w:rFonts w:hint="eastAsia" w:ascii="宋体" w:hAnsi="宋体" w:cs="宋体"/>
                <w:sz w:val="24"/>
                <w:u w:val="single"/>
              </w:rPr>
              <w:t xml:space="preserve">  60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450"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4"/>
                <w:szCs w:val="20"/>
              </w:rPr>
            </w:pPr>
            <w:r>
              <w:rPr>
                <w:rFonts w:hint="eastAsia" w:ascii="宋体" w:hAnsi="宋体" w:cs="宋体"/>
                <w:sz w:val="24"/>
              </w:rPr>
              <w:t>17</w:t>
            </w:r>
          </w:p>
        </w:tc>
        <w:tc>
          <w:tcPr>
            <w:tcW w:w="4549" w:type="pct"/>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sz w:val="24"/>
              </w:rPr>
            </w:pPr>
            <w:r>
              <w:rPr>
                <w:rFonts w:hint="eastAsia" w:ascii="宋体" w:hAnsi="宋体" w:cs="宋体"/>
                <w:sz w:val="24"/>
              </w:rPr>
              <w:t>解释：本采购文件的解释权属于招标采购单位。</w:t>
            </w:r>
          </w:p>
        </w:tc>
      </w:tr>
    </w:tbl>
    <w:p>
      <w:pPr>
        <w:spacing w:line="500" w:lineRule="exact"/>
        <w:jc w:val="center"/>
        <w:outlineLvl w:val="1"/>
        <w:rPr>
          <w:rFonts w:ascii="宋体" w:hAnsi="宋体" w:cs="宋体"/>
          <w:b/>
          <w:sz w:val="32"/>
          <w:szCs w:val="32"/>
        </w:rPr>
      </w:pPr>
      <w:bookmarkStart w:id="19" w:name="_Toc9577"/>
      <w:r>
        <w:rPr>
          <w:rFonts w:hint="eastAsia" w:ascii="宋体" w:hAnsi="宋体" w:cs="宋体"/>
          <w:b/>
          <w:sz w:val="32"/>
          <w:szCs w:val="32"/>
        </w:rPr>
        <w:t>一、总  则</w:t>
      </w:r>
      <w:bookmarkEnd w:id="19"/>
    </w:p>
    <w:p>
      <w:pPr>
        <w:snapToGrid w:val="0"/>
        <w:spacing w:line="360" w:lineRule="auto"/>
        <w:ind w:firstLine="482" w:firstLineChars="200"/>
        <w:outlineLvl w:val="2"/>
        <w:rPr>
          <w:rFonts w:ascii="宋体" w:hAnsi="宋体" w:cs="宋体"/>
          <w:b/>
          <w:sz w:val="24"/>
        </w:rPr>
      </w:pPr>
      <w:r>
        <w:rPr>
          <w:rFonts w:hint="eastAsia" w:ascii="宋体" w:hAnsi="宋体" w:cs="宋体"/>
          <w:b/>
          <w:sz w:val="24"/>
        </w:rPr>
        <w:t>（一） 适用范围</w:t>
      </w:r>
    </w:p>
    <w:p>
      <w:pPr>
        <w:spacing w:line="520" w:lineRule="exact"/>
        <w:ind w:firstLine="480" w:firstLineChars="200"/>
        <w:jc w:val="left"/>
        <w:outlineLvl w:val="0"/>
        <w:rPr>
          <w:rFonts w:ascii="宋体" w:hAnsi="宋体" w:cs="宋体"/>
          <w:bCs/>
          <w:snapToGrid w:val="0"/>
          <w:sz w:val="24"/>
          <w:u w:val="single"/>
        </w:rPr>
      </w:pPr>
      <w:r>
        <w:rPr>
          <w:rFonts w:hint="eastAsia" w:ascii="宋体" w:hAnsi="宋体" w:cs="宋体"/>
          <w:sz w:val="24"/>
        </w:rPr>
        <w:t>本</w:t>
      </w:r>
      <w:r>
        <w:rPr>
          <w:rFonts w:hint="eastAsia" w:ascii="宋体" w:hAnsi="宋体" w:cs="宋体"/>
          <w:sz w:val="24"/>
          <w:lang w:eastAsia="zh-CN"/>
        </w:rPr>
        <w:t>采购文件</w:t>
      </w:r>
      <w:r>
        <w:rPr>
          <w:rFonts w:hint="eastAsia" w:ascii="宋体" w:hAnsi="宋体" w:cs="宋体"/>
          <w:sz w:val="24"/>
        </w:rPr>
        <w:t>（采购文件）适用于</w:t>
      </w:r>
      <w:r>
        <w:rPr>
          <w:rFonts w:hint="eastAsia" w:ascii="宋体" w:hAnsi="宋体" w:cs="宋体"/>
          <w:sz w:val="24"/>
          <w:lang w:val="en-US" w:eastAsia="zh-CN"/>
        </w:rPr>
        <w:t>飞英街道办事处关于余家漾社区幸福邻里中心（儿童之家）、新华苑社区幸福邻里中心第三方运营服务采购项目</w:t>
      </w:r>
      <w:r>
        <w:rPr>
          <w:rFonts w:hint="eastAsia" w:ascii="宋体" w:hAnsi="宋体" w:cs="宋体"/>
          <w:sz w:val="24"/>
        </w:rPr>
        <w:t>的招标、投标、评标、定标、验收、合同履约、付款等行为（法律、法规另有规定的，从其规定）。</w:t>
      </w:r>
    </w:p>
    <w:p>
      <w:pPr>
        <w:snapToGrid w:val="0"/>
        <w:spacing w:line="360" w:lineRule="auto"/>
        <w:ind w:firstLine="482" w:firstLineChars="200"/>
        <w:outlineLvl w:val="2"/>
        <w:rPr>
          <w:rFonts w:ascii="宋体" w:hAnsi="宋体" w:cs="宋体"/>
          <w:b/>
          <w:sz w:val="24"/>
        </w:rPr>
      </w:pPr>
      <w:r>
        <w:rPr>
          <w:rFonts w:hint="eastAsia" w:ascii="宋体" w:hAnsi="宋体" w:cs="宋体"/>
          <w:b/>
          <w:sz w:val="24"/>
        </w:rPr>
        <w:t>（二）定义</w:t>
      </w:r>
    </w:p>
    <w:p>
      <w:pPr>
        <w:pStyle w:val="29"/>
        <w:spacing w:line="360" w:lineRule="auto"/>
        <w:ind w:firstLine="480" w:firstLineChars="200"/>
        <w:rPr>
          <w:rFonts w:hAnsi="宋体" w:cs="宋体"/>
          <w:sz w:val="24"/>
          <w:szCs w:val="24"/>
        </w:rPr>
      </w:pPr>
      <w:r>
        <w:rPr>
          <w:rFonts w:hint="eastAsia" w:hAnsi="宋体" w:cs="宋体"/>
          <w:sz w:val="24"/>
          <w:szCs w:val="24"/>
        </w:rPr>
        <w:t>1、“采购人”系指</w:t>
      </w:r>
      <w:r>
        <w:rPr>
          <w:rFonts w:hint="eastAsia" w:hAnsi="宋体" w:cs="宋体"/>
          <w:sz w:val="24"/>
          <w:szCs w:val="24"/>
          <w:lang w:eastAsia="zh-CN"/>
        </w:rPr>
        <w:t>湖州市吴兴区人民政府飞英街道办事处</w:t>
      </w:r>
      <w:r>
        <w:rPr>
          <w:rFonts w:hint="eastAsia" w:hAnsi="宋体" w:cs="宋体"/>
          <w:sz w:val="24"/>
          <w:szCs w:val="24"/>
        </w:rPr>
        <w:t>。</w:t>
      </w:r>
    </w:p>
    <w:p>
      <w:pPr>
        <w:snapToGrid w:val="0"/>
        <w:spacing w:line="360" w:lineRule="auto"/>
        <w:ind w:firstLine="480" w:firstLineChars="200"/>
        <w:jc w:val="left"/>
        <w:rPr>
          <w:rFonts w:ascii="宋体" w:hAnsi="宋体" w:cs="宋体"/>
          <w:sz w:val="24"/>
        </w:rPr>
      </w:pPr>
      <w:r>
        <w:rPr>
          <w:rFonts w:hint="eastAsia" w:ascii="宋体" w:hAnsi="宋体" w:cs="宋体"/>
          <w:sz w:val="24"/>
        </w:rPr>
        <w:t>2、“供应商”系指提交投标文件的单位或个人。</w:t>
      </w:r>
    </w:p>
    <w:p>
      <w:pPr>
        <w:snapToGrid w:val="0"/>
        <w:spacing w:line="360" w:lineRule="auto"/>
        <w:ind w:firstLine="480" w:firstLineChars="200"/>
        <w:jc w:val="left"/>
        <w:rPr>
          <w:rFonts w:ascii="宋体" w:hAnsi="宋体" w:cs="宋体"/>
          <w:sz w:val="24"/>
        </w:rPr>
      </w:pPr>
      <w:r>
        <w:rPr>
          <w:rFonts w:hint="eastAsia" w:ascii="宋体" w:hAnsi="宋体" w:cs="宋体"/>
          <w:sz w:val="24"/>
        </w:rPr>
        <w:t>3、“采购代理机构”系指</w:t>
      </w:r>
      <w:r>
        <w:rPr>
          <w:rFonts w:hint="eastAsia" w:ascii="宋体" w:hAnsi="宋体" w:cs="宋体"/>
          <w:sz w:val="24"/>
          <w:lang w:eastAsia="zh-CN"/>
        </w:rPr>
        <w:t>湖州鑫梦工程咨询有限公司</w:t>
      </w:r>
      <w:r>
        <w:rPr>
          <w:rFonts w:hint="eastAsia" w:ascii="宋体" w:hAnsi="宋体" w:cs="宋体"/>
          <w:sz w:val="24"/>
        </w:rPr>
        <w:t>。</w:t>
      </w:r>
    </w:p>
    <w:p>
      <w:pPr>
        <w:snapToGrid w:val="0"/>
        <w:spacing w:line="360" w:lineRule="auto"/>
        <w:ind w:firstLine="480" w:firstLineChars="200"/>
        <w:jc w:val="left"/>
        <w:rPr>
          <w:rFonts w:ascii="宋体" w:hAnsi="宋体" w:cs="宋体"/>
          <w:sz w:val="24"/>
        </w:rPr>
      </w:pPr>
      <w:r>
        <w:rPr>
          <w:rFonts w:hint="eastAsia" w:ascii="宋体" w:hAnsi="宋体" w:cs="宋体"/>
          <w:sz w:val="24"/>
        </w:rPr>
        <w:t>4、“产品”系指供方按采购文件规定，须向采购单位提供的一切设备、保险、税金、备品备件、工具、手册及其它有关技术资料和材料。</w:t>
      </w:r>
    </w:p>
    <w:p>
      <w:pPr>
        <w:snapToGrid w:val="0"/>
        <w:spacing w:line="360" w:lineRule="auto"/>
        <w:ind w:firstLine="480" w:firstLineChars="200"/>
        <w:jc w:val="left"/>
        <w:rPr>
          <w:rFonts w:ascii="宋体" w:hAnsi="宋体" w:cs="宋体"/>
          <w:sz w:val="24"/>
        </w:rPr>
      </w:pPr>
      <w:r>
        <w:rPr>
          <w:rFonts w:hint="eastAsia" w:ascii="宋体" w:hAnsi="宋体" w:cs="宋体"/>
          <w:sz w:val="24"/>
        </w:rPr>
        <w:t>5、“服务”系指采购文件规定投标供应商中标后须承担的与本项目有关的义务。</w:t>
      </w:r>
    </w:p>
    <w:p>
      <w:pPr>
        <w:snapToGrid w:val="0"/>
        <w:spacing w:line="360" w:lineRule="auto"/>
        <w:ind w:firstLine="480" w:firstLineChars="200"/>
        <w:jc w:val="left"/>
        <w:rPr>
          <w:rFonts w:ascii="宋体" w:hAnsi="宋体" w:cs="宋体"/>
          <w:sz w:val="24"/>
        </w:rPr>
      </w:pPr>
      <w:r>
        <w:rPr>
          <w:rFonts w:hint="eastAsia" w:ascii="宋体" w:hAnsi="宋体" w:cs="宋体"/>
          <w:sz w:val="24"/>
        </w:rPr>
        <w:t>6、“项目”系指投标供应商按采购文件规定向采购单位提供的产品和服务。</w:t>
      </w:r>
    </w:p>
    <w:p>
      <w:pPr>
        <w:snapToGrid w:val="0"/>
        <w:spacing w:line="360" w:lineRule="auto"/>
        <w:ind w:firstLine="480" w:firstLineChars="200"/>
        <w:jc w:val="left"/>
        <w:rPr>
          <w:rFonts w:ascii="宋体" w:hAnsi="宋体" w:cs="宋体"/>
          <w:sz w:val="24"/>
        </w:rPr>
      </w:pPr>
      <w:r>
        <w:rPr>
          <w:rFonts w:hint="eastAsia" w:ascii="宋体" w:hAnsi="宋体" w:cs="宋体"/>
          <w:sz w:val="24"/>
        </w:rPr>
        <w:t>7、“书面形式”包括</w:t>
      </w:r>
      <w:r>
        <w:rPr>
          <w:rFonts w:hint="eastAsia" w:ascii="宋体" w:hAnsi="宋体" w:cs="宋体"/>
          <w:kern w:val="0"/>
          <w:sz w:val="24"/>
        </w:rPr>
        <w:t>信函、传真、电子扫描件</w:t>
      </w:r>
      <w:r>
        <w:rPr>
          <w:rFonts w:hint="eastAsia" w:ascii="宋体" w:hAnsi="宋体" w:cs="宋体"/>
          <w:sz w:val="24"/>
        </w:rPr>
        <w:t>等。</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（三）招标方式</w:t>
      </w:r>
    </w:p>
    <w:p>
      <w:pPr>
        <w:snapToGrid w:val="0"/>
        <w:spacing w:line="500" w:lineRule="exact"/>
        <w:ind w:firstLine="480" w:firstLineChars="200"/>
        <w:rPr>
          <w:rFonts w:ascii="宋体" w:hAnsi="宋体" w:cs="宋体"/>
          <w:sz w:val="24"/>
          <w:szCs w:val="20"/>
        </w:rPr>
      </w:pPr>
      <w:r>
        <w:rPr>
          <w:rFonts w:hint="eastAsia" w:ascii="宋体" w:hAnsi="宋体" w:cs="宋体"/>
          <w:sz w:val="24"/>
        </w:rPr>
        <w:t>本次招标采用公开招标方式进行。</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（四）投标委托</w:t>
      </w:r>
    </w:p>
    <w:p>
      <w:pPr>
        <w:snapToGrid w:val="0"/>
        <w:spacing w:line="500" w:lineRule="exact"/>
        <w:ind w:firstLine="480" w:firstLineChars="200"/>
        <w:rPr>
          <w:rFonts w:ascii="宋体" w:hAnsi="宋体" w:cs="宋体"/>
          <w:sz w:val="24"/>
        </w:rPr>
      </w:pPr>
      <w:r>
        <w:rPr>
          <w:rFonts w:hint="eastAsia" w:ascii="宋体" w:hAnsi="宋体" w:cs="宋体"/>
          <w:sz w:val="24"/>
        </w:rPr>
        <w:t>各投标供应商应指派专人（法定代表人或其他本单位正式员工）负责本项目的投标、开标、评标等具体事务和签署相关文件。</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（五）投标费用</w:t>
      </w:r>
    </w:p>
    <w:p>
      <w:pPr>
        <w:spacing w:line="360" w:lineRule="auto"/>
        <w:ind w:firstLine="480" w:firstLineChars="200"/>
        <w:rPr>
          <w:rFonts w:ascii="宋体" w:hAnsi="宋体" w:cs="宋体"/>
          <w:sz w:val="24"/>
        </w:rPr>
      </w:pPr>
      <w:r>
        <w:rPr>
          <w:rFonts w:hint="eastAsia" w:ascii="宋体" w:hAnsi="宋体" w:cs="宋体"/>
          <w:sz w:val="24"/>
        </w:rPr>
        <w:t>不论投标结果如何，投标供应商均应自行承担所有与投标有关的全部费用（采购文件有相关规定除外）。</w:t>
      </w:r>
    </w:p>
    <w:p>
      <w:pPr>
        <w:snapToGrid w:val="0"/>
        <w:spacing w:line="360" w:lineRule="auto"/>
        <w:ind w:firstLine="480" w:firstLineChars="200"/>
        <w:jc w:val="left"/>
        <w:rPr>
          <w:rFonts w:ascii="宋体" w:hAnsi="宋体" w:cs="宋体"/>
          <w:sz w:val="24"/>
        </w:rPr>
      </w:pPr>
      <w:r>
        <w:rPr>
          <w:rFonts w:hint="eastAsia" w:ascii="宋体" w:hAnsi="宋体" w:cs="宋体"/>
          <w:sz w:val="24"/>
        </w:rPr>
        <w:t>本项目招标代理服务费：按人民币贰万玖仟元整收取。由中标供应商全额支付，投标供应商应自行考虑列入投标报价。</w:t>
      </w:r>
    </w:p>
    <w:p>
      <w:pPr>
        <w:snapToGrid w:val="0"/>
        <w:spacing w:line="360" w:lineRule="auto"/>
        <w:ind w:firstLine="472" w:firstLineChars="196"/>
        <w:jc w:val="left"/>
        <w:rPr>
          <w:rFonts w:ascii="宋体" w:hAnsi="宋体" w:cs="宋体"/>
          <w:b/>
          <w:sz w:val="24"/>
        </w:rPr>
      </w:pPr>
      <w:r>
        <w:rPr>
          <w:rFonts w:hint="eastAsia" w:ascii="宋体" w:hAnsi="宋体" w:cs="宋体"/>
          <w:b/>
          <w:sz w:val="24"/>
        </w:rPr>
        <w:t>（六）联合体投标</w:t>
      </w:r>
    </w:p>
    <w:p>
      <w:pPr>
        <w:snapToGrid w:val="0"/>
        <w:spacing w:line="360" w:lineRule="auto"/>
        <w:ind w:firstLine="480" w:firstLineChars="200"/>
        <w:jc w:val="left"/>
        <w:rPr>
          <w:rFonts w:ascii="宋体" w:hAnsi="宋体" w:cs="宋体"/>
          <w:sz w:val="24"/>
        </w:rPr>
      </w:pPr>
      <w:r>
        <w:rPr>
          <w:rFonts w:hint="eastAsia" w:ascii="宋体" w:hAnsi="宋体" w:cs="宋体"/>
          <w:sz w:val="24"/>
        </w:rPr>
        <w:t>本项目不接受联合体投标。</w:t>
      </w:r>
    </w:p>
    <w:p>
      <w:pPr>
        <w:snapToGrid w:val="0"/>
        <w:spacing w:line="360" w:lineRule="auto"/>
        <w:ind w:firstLine="472" w:firstLineChars="196"/>
        <w:rPr>
          <w:rFonts w:ascii="宋体" w:hAnsi="宋体" w:cs="宋体"/>
          <w:b/>
          <w:kern w:val="0"/>
          <w:sz w:val="24"/>
        </w:rPr>
      </w:pPr>
      <w:r>
        <w:rPr>
          <w:rFonts w:hint="eastAsia" w:ascii="宋体" w:hAnsi="宋体" w:cs="宋体"/>
          <w:b/>
          <w:sz w:val="24"/>
        </w:rPr>
        <w:t>（七）</w:t>
      </w:r>
      <w:r>
        <w:rPr>
          <w:rFonts w:hint="eastAsia" w:ascii="宋体" w:hAnsi="宋体" w:cs="宋体"/>
          <w:b/>
          <w:kern w:val="0"/>
          <w:sz w:val="24"/>
        </w:rPr>
        <w:t>转包与分包</w:t>
      </w:r>
    </w:p>
    <w:p>
      <w:pPr>
        <w:snapToGrid w:val="0"/>
        <w:spacing w:line="360" w:lineRule="auto"/>
        <w:ind w:firstLine="480" w:firstLineChars="200"/>
        <w:rPr>
          <w:rFonts w:ascii="宋体" w:hAnsi="宋体" w:cs="宋体"/>
          <w:sz w:val="24"/>
        </w:rPr>
      </w:pPr>
      <w:r>
        <w:rPr>
          <w:rFonts w:hint="eastAsia" w:ascii="宋体" w:hAnsi="宋体" w:cs="宋体"/>
          <w:kern w:val="0"/>
          <w:sz w:val="24"/>
        </w:rPr>
        <w:t>本项目不允许任何形式的转包和分包。</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（八）特别说明：</w:t>
      </w:r>
    </w:p>
    <w:p>
      <w:pPr>
        <w:spacing w:line="500" w:lineRule="exact"/>
        <w:ind w:firstLine="480" w:firstLineChars="200"/>
        <w:rPr>
          <w:rFonts w:ascii="宋体" w:hAnsi="宋体" w:cs="宋体"/>
          <w:sz w:val="24"/>
        </w:rPr>
      </w:pPr>
      <w:r>
        <w:rPr>
          <w:rFonts w:hint="eastAsia" w:ascii="宋体" w:hAnsi="宋体" w:cs="宋体"/>
          <w:sz w:val="24"/>
        </w:rPr>
        <w:t>▲1、单位负责人为同一人或者存在直接控股、管理关系的不同投标供应商，不得参加同一合同项下的政府采购活动。</w:t>
      </w:r>
    </w:p>
    <w:p>
      <w:pPr>
        <w:spacing w:line="500" w:lineRule="exact"/>
        <w:ind w:firstLine="480" w:firstLineChars="200"/>
        <w:rPr>
          <w:rFonts w:ascii="宋体" w:hAnsi="宋体" w:cs="宋体"/>
          <w:sz w:val="24"/>
        </w:rPr>
      </w:pPr>
      <w:r>
        <w:rPr>
          <w:rFonts w:hint="eastAsia" w:ascii="宋体" w:hAnsi="宋体" w:cs="宋体"/>
          <w:sz w:val="24"/>
        </w:rPr>
        <w:t>▲2、投标供应商投标所使用的资格、信誉、业绩与企业认证必须为本法人所拥有。投标供应商投标所使用的采购项目实施人员必须为本法人员工（或必须为本法人或控股公司正式员工）。</w:t>
      </w:r>
    </w:p>
    <w:p>
      <w:pPr>
        <w:spacing w:line="500" w:lineRule="exact"/>
        <w:ind w:firstLine="480" w:firstLineChars="200"/>
        <w:rPr>
          <w:rFonts w:ascii="宋体" w:hAnsi="宋体" w:cs="宋体"/>
          <w:sz w:val="24"/>
        </w:rPr>
      </w:pPr>
      <w:r>
        <w:rPr>
          <w:rFonts w:hint="eastAsia" w:ascii="宋体" w:hAnsi="宋体" w:cs="宋体"/>
          <w:sz w:val="24"/>
        </w:rPr>
        <w:t>▲3、投标供应商应仔细阅读采购文件的所有内容，按照采购文件的要求提交投标文件，并对所提供的全部资料的真实性承担法律责任。</w:t>
      </w:r>
    </w:p>
    <w:p>
      <w:pPr>
        <w:spacing w:line="500" w:lineRule="exact"/>
        <w:ind w:firstLine="480" w:firstLineChars="200"/>
        <w:rPr>
          <w:rFonts w:ascii="宋体" w:hAnsi="宋体" w:cs="宋体"/>
          <w:sz w:val="24"/>
        </w:rPr>
      </w:pPr>
      <w:r>
        <w:rPr>
          <w:rFonts w:hint="eastAsia" w:ascii="宋体" w:hAnsi="宋体" w:cs="宋体"/>
          <w:sz w:val="24"/>
        </w:rPr>
        <w:t>▲4、投标供应商在投标活动中提供任何虚假材料,其投标无效，并报监管部门查处中标后发现的,中标人须依照《中华人民共和国政府采购法》第七十七条之规定处以采购金额千分之五以上千分之十以下的罚款， 列入不良行为记录名单， 在一至三年内禁止参加政府采购活动，有违法所得的，并处没收违法所得，情节严重的，由工商行政管理机关吊销营业执照； 构成犯罪的，依法追究刑事责任。</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（九）质疑和投诉</w:t>
      </w:r>
    </w:p>
    <w:p>
      <w:pPr>
        <w:spacing w:line="500" w:lineRule="exact"/>
        <w:ind w:firstLine="480" w:firstLineChars="200"/>
        <w:rPr>
          <w:rFonts w:ascii="宋体" w:hAnsi="宋体" w:cs="宋体"/>
          <w:sz w:val="24"/>
        </w:rPr>
      </w:pPr>
      <w:r>
        <w:rPr>
          <w:rFonts w:hint="eastAsia" w:ascii="宋体" w:hAnsi="宋体" w:cs="宋体"/>
          <w:sz w:val="24"/>
        </w:rPr>
        <w:t>1、投标供应商认为采购文件、招标过程或中标结果使自己的合法权益受到损害的，应当在知道或者应知其权益受到损害之日起七个工作日内，以书面形式向采购单位、招标方提出质疑。投标供应商对招标采购单位的质疑答复不满意或者招标采购单位未在规定时间内做出答复的，可以在答复期满后十五个工作日内向同级采购监管部门投诉。</w:t>
      </w:r>
    </w:p>
    <w:p>
      <w:pPr>
        <w:spacing w:line="500" w:lineRule="exact"/>
        <w:ind w:firstLine="480" w:firstLineChars="200"/>
        <w:rPr>
          <w:rFonts w:ascii="宋体" w:hAnsi="宋体" w:cs="宋体"/>
          <w:sz w:val="24"/>
        </w:rPr>
      </w:pPr>
      <w:r>
        <w:rPr>
          <w:rFonts w:hint="eastAsia" w:ascii="宋体" w:hAnsi="宋体" w:cs="宋体"/>
          <w:sz w:val="24"/>
        </w:rPr>
        <w:t>2、提出质疑的投标供应商（以下简称质疑投标供应商）应当是参与所质疑项目采购活动的投标供应商。</w:t>
      </w:r>
    </w:p>
    <w:p>
      <w:pPr>
        <w:spacing w:line="500" w:lineRule="exact"/>
        <w:ind w:firstLine="480" w:firstLineChars="200"/>
        <w:rPr>
          <w:rFonts w:ascii="宋体" w:hAnsi="宋体" w:cs="宋体"/>
          <w:sz w:val="24"/>
        </w:rPr>
      </w:pPr>
      <w:r>
        <w:rPr>
          <w:rFonts w:hint="eastAsia" w:ascii="宋体" w:hAnsi="宋体" w:cs="宋体"/>
          <w:sz w:val="24"/>
        </w:rPr>
        <w:t>潜在投标供应商已依法获取其可质疑的采购文件的，可以对该文件提出质疑。对采购文件提出质疑的，应当在获取采购文件或者采购文件公告期限届满之日起7个工作日内提出。</w:t>
      </w:r>
    </w:p>
    <w:p>
      <w:pPr>
        <w:spacing w:line="500" w:lineRule="exact"/>
        <w:ind w:firstLine="480" w:firstLineChars="200"/>
        <w:rPr>
          <w:rFonts w:ascii="宋体" w:hAnsi="宋体" w:cs="宋体"/>
          <w:sz w:val="24"/>
        </w:rPr>
      </w:pPr>
      <w:r>
        <w:rPr>
          <w:rFonts w:hint="eastAsia" w:ascii="宋体" w:hAnsi="宋体" w:cs="宋体"/>
          <w:sz w:val="24"/>
        </w:rPr>
        <w:t>3、投标供应商提出质疑应当提交质疑函和必要的证明材料。质疑函应当包括下列内容：</w:t>
      </w:r>
    </w:p>
    <w:p>
      <w:pPr>
        <w:spacing w:line="500" w:lineRule="exact"/>
        <w:ind w:firstLine="480" w:firstLineChars="200"/>
        <w:rPr>
          <w:rFonts w:ascii="宋体" w:hAnsi="宋体" w:cs="宋体"/>
          <w:sz w:val="24"/>
        </w:rPr>
      </w:pPr>
      <w:r>
        <w:rPr>
          <w:rFonts w:hint="eastAsia" w:ascii="宋体" w:hAnsi="宋体" w:cs="宋体"/>
          <w:sz w:val="24"/>
        </w:rPr>
        <w:t>（1）投标供应商的姓名或者名称、地址、邮编、联系人及联系电话；</w:t>
      </w:r>
    </w:p>
    <w:p>
      <w:pPr>
        <w:spacing w:line="500" w:lineRule="exact"/>
        <w:ind w:firstLine="480" w:firstLineChars="200"/>
        <w:rPr>
          <w:rFonts w:ascii="宋体" w:hAnsi="宋体" w:cs="宋体"/>
          <w:sz w:val="24"/>
        </w:rPr>
      </w:pPr>
      <w:r>
        <w:rPr>
          <w:rFonts w:hint="eastAsia" w:ascii="宋体" w:hAnsi="宋体" w:cs="宋体"/>
          <w:sz w:val="24"/>
        </w:rPr>
        <w:t>（2）质疑项目的名称、编号；</w:t>
      </w:r>
    </w:p>
    <w:p>
      <w:pPr>
        <w:spacing w:line="500" w:lineRule="exact"/>
        <w:ind w:firstLine="480" w:firstLineChars="200"/>
        <w:rPr>
          <w:rFonts w:ascii="宋体" w:hAnsi="宋体" w:cs="宋体"/>
          <w:sz w:val="24"/>
        </w:rPr>
      </w:pPr>
      <w:r>
        <w:rPr>
          <w:rFonts w:hint="eastAsia" w:ascii="宋体" w:hAnsi="宋体" w:cs="宋体"/>
          <w:sz w:val="24"/>
        </w:rPr>
        <w:t>（3）具体、明确的质疑事项和与质疑事项相关的请求；</w:t>
      </w:r>
    </w:p>
    <w:p>
      <w:pPr>
        <w:spacing w:line="500" w:lineRule="exact"/>
        <w:ind w:firstLine="480" w:firstLineChars="200"/>
        <w:rPr>
          <w:rFonts w:ascii="宋体" w:hAnsi="宋体" w:cs="宋体"/>
          <w:sz w:val="24"/>
        </w:rPr>
      </w:pPr>
      <w:r>
        <w:rPr>
          <w:rFonts w:hint="eastAsia" w:ascii="宋体" w:hAnsi="宋体" w:cs="宋体"/>
          <w:sz w:val="24"/>
        </w:rPr>
        <w:t>（4）事实依据；</w:t>
      </w:r>
    </w:p>
    <w:p>
      <w:pPr>
        <w:spacing w:line="500" w:lineRule="exact"/>
        <w:ind w:firstLine="480" w:firstLineChars="200"/>
        <w:rPr>
          <w:rFonts w:ascii="宋体" w:hAnsi="宋体" w:cs="宋体"/>
          <w:sz w:val="24"/>
        </w:rPr>
      </w:pPr>
      <w:r>
        <w:rPr>
          <w:rFonts w:hint="eastAsia" w:ascii="宋体" w:hAnsi="宋体" w:cs="宋体"/>
          <w:sz w:val="24"/>
        </w:rPr>
        <w:t>（5）必要的法律依据；</w:t>
      </w:r>
    </w:p>
    <w:p>
      <w:pPr>
        <w:spacing w:line="500" w:lineRule="exact"/>
        <w:ind w:firstLine="480" w:firstLineChars="200"/>
        <w:rPr>
          <w:rFonts w:ascii="宋体" w:hAnsi="宋体" w:cs="宋体"/>
          <w:sz w:val="24"/>
        </w:rPr>
      </w:pPr>
      <w:r>
        <w:rPr>
          <w:rFonts w:hint="eastAsia" w:ascii="宋体" w:hAnsi="宋体" w:cs="宋体"/>
          <w:sz w:val="24"/>
        </w:rPr>
        <w:t>（6）提出质疑的日期。</w:t>
      </w:r>
    </w:p>
    <w:p>
      <w:pPr>
        <w:spacing w:line="500" w:lineRule="exact"/>
        <w:ind w:firstLine="480" w:firstLineChars="200"/>
        <w:rPr>
          <w:rFonts w:ascii="宋体" w:hAnsi="宋体" w:cs="宋体"/>
          <w:sz w:val="24"/>
        </w:rPr>
      </w:pPr>
      <w:r>
        <w:rPr>
          <w:rFonts w:hint="eastAsia" w:ascii="宋体" w:hAnsi="宋体" w:cs="宋体"/>
          <w:sz w:val="24"/>
        </w:rPr>
        <w:t>投标供应商为自然人的，应当由本人签字；投标供应商为法人或者其他组织的，应当由法定代表人、主要负责人，或者其授权代表签字或者盖章，并加盖公章。</w:t>
      </w:r>
    </w:p>
    <w:p>
      <w:pPr>
        <w:spacing w:line="500" w:lineRule="exact"/>
        <w:ind w:firstLine="480" w:firstLineChars="200"/>
        <w:rPr>
          <w:rFonts w:ascii="宋体" w:hAnsi="宋体" w:cs="宋体"/>
          <w:sz w:val="24"/>
        </w:rPr>
      </w:pPr>
      <w:r>
        <w:rPr>
          <w:rFonts w:hint="eastAsia" w:ascii="宋体" w:hAnsi="宋体" w:cs="宋体"/>
          <w:sz w:val="24"/>
        </w:rPr>
        <w:t>4、采购人、采购代理机构不得拒收质疑投标供应商在法定质疑期内发出的质疑函，应当在收到质疑函后7个工作日内做出答复，并以书面形式通知质疑投标供应商和其他有关投标供应商。</w:t>
      </w:r>
    </w:p>
    <w:p>
      <w:pPr>
        <w:spacing w:line="500" w:lineRule="exact"/>
        <w:ind w:firstLine="480" w:firstLineChars="200"/>
        <w:rPr>
          <w:rFonts w:ascii="宋体" w:hAnsi="宋体" w:cs="宋体"/>
          <w:sz w:val="24"/>
        </w:rPr>
      </w:pPr>
      <w:r>
        <w:rPr>
          <w:rFonts w:hint="eastAsia" w:ascii="宋体" w:hAnsi="宋体" w:cs="宋体"/>
          <w:sz w:val="24"/>
        </w:rPr>
        <w:t>5、投标供应商对评审过程、中标或者成交结果提出质疑的，采购人、采购代理机构可以组织原评标委员会、竞争性谈判小组、询价小组或者竞争性评标委员会协助答复质疑。</w:t>
      </w:r>
    </w:p>
    <w:p>
      <w:pPr>
        <w:spacing w:line="500" w:lineRule="exact"/>
        <w:ind w:firstLine="480" w:firstLineChars="200"/>
        <w:rPr>
          <w:rFonts w:ascii="宋体" w:hAnsi="宋体" w:cs="宋体"/>
          <w:sz w:val="24"/>
        </w:rPr>
      </w:pPr>
      <w:r>
        <w:rPr>
          <w:rFonts w:hint="eastAsia" w:ascii="宋体" w:hAnsi="宋体" w:cs="宋体"/>
          <w:sz w:val="24"/>
        </w:rPr>
        <w:t>6、质疑答复应当包括下列内容：</w:t>
      </w:r>
    </w:p>
    <w:p>
      <w:pPr>
        <w:spacing w:line="500" w:lineRule="exact"/>
        <w:ind w:firstLine="480" w:firstLineChars="200"/>
        <w:rPr>
          <w:rFonts w:ascii="宋体" w:hAnsi="宋体" w:cs="宋体"/>
          <w:sz w:val="24"/>
        </w:rPr>
      </w:pPr>
      <w:r>
        <w:rPr>
          <w:rFonts w:hint="eastAsia" w:ascii="宋体" w:hAnsi="宋体" w:cs="宋体"/>
          <w:sz w:val="24"/>
        </w:rPr>
        <w:t>（1）质疑投标供应商的姓名或者名称；</w:t>
      </w:r>
    </w:p>
    <w:p>
      <w:pPr>
        <w:spacing w:line="500" w:lineRule="exact"/>
        <w:ind w:firstLine="480" w:firstLineChars="200"/>
        <w:rPr>
          <w:rFonts w:ascii="宋体" w:hAnsi="宋体" w:cs="宋体"/>
          <w:sz w:val="24"/>
        </w:rPr>
      </w:pPr>
      <w:r>
        <w:rPr>
          <w:rFonts w:hint="eastAsia" w:ascii="宋体" w:hAnsi="宋体" w:cs="宋体"/>
          <w:sz w:val="24"/>
        </w:rPr>
        <w:t>（2）收到质疑函的日期、质疑项目名称及编号；</w:t>
      </w:r>
    </w:p>
    <w:p>
      <w:pPr>
        <w:spacing w:line="500" w:lineRule="exact"/>
        <w:ind w:firstLine="480" w:firstLineChars="200"/>
        <w:rPr>
          <w:rFonts w:ascii="宋体" w:hAnsi="宋体" w:cs="宋体"/>
          <w:sz w:val="24"/>
        </w:rPr>
      </w:pPr>
      <w:r>
        <w:rPr>
          <w:rFonts w:hint="eastAsia" w:ascii="宋体" w:hAnsi="宋体" w:cs="宋体"/>
          <w:sz w:val="24"/>
        </w:rPr>
        <w:t>（3）质疑事项、质疑答复的具体内容、事实依据和法律依据；</w:t>
      </w:r>
    </w:p>
    <w:p>
      <w:pPr>
        <w:spacing w:line="500" w:lineRule="exact"/>
        <w:ind w:firstLine="480" w:firstLineChars="200"/>
        <w:rPr>
          <w:rFonts w:ascii="宋体" w:hAnsi="宋体" w:cs="宋体"/>
          <w:sz w:val="24"/>
        </w:rPr>
      </w:pPr>
      <w:r>
        <w:rPr>
          <w:rFonts w:hint="eastAsia" w:ascii="宋体" w:hAnsi="宋体" w:cs="宋体"/>
          <w:sz w:val="24"/>
        </w:rPr>
        <w:t>（4）告知质疑投标供应商依法投诉的权利；</w:t>
      </w:r>
    </w:p>
    <w:p>
      <w:pPr>
        <w:spacing w:line="500" w:lineRule="exact"/>
        <w:ind w:firstLine="480" w:firstLineChars="200"/>
        <w:rPr>
          <w:rFonts w:ascii="宋体" w:hAnsi="宋体" w:cs="宋体"/>
          <w:sz w:val="24"/>
        </w:rPr>
      </w:pPr>
      <w:r>
        <w:rPr>
          <w:rFonts w:hint="eastAsia" w:ascii="宋体" w:hAnsi="宋体" w:cs="宋体"/>
          <w:sz w:val="24"/>
        </w:rPr>
        <w:t>（5）质疑答复人名称；</w:t>
      </w:r>
    </w:p>
    <w:p>
      <w:pPr>
        <w:spacing w:line="500" w:lineRule="exact"/>
        <w:ind w:firstLine="480" w:firstLineChars="200"/>
        <w:rPr>
          <w:rFonts w:ascii="宋体" w:hAnsi="宋体" w:cs="宋体"/>
          <w:sz w:val="24"/>
        </w:rPr>
      </w:pPr>
      <w:r>
        <w:rPr>
          <w:rFonts w:hint="eastAsia" w:ascii="宋体" w:hAnsi="宋体" w:cs="宋体"/>
          <w:sz w:val="24"/>
        </w:rPr>
        <w:t>（6）答复质疑的日期。</w:t>
      </w:r>
    </w:p>
    <w:p>
      <w:pPr>
        <w:spacing w:line="500" w:lineRule="exact"/>
        <w:ind w:firstLine="480" w:firstLineChars="200"/>
        <w:rPr>
          <w:rFonts w:ascii="宋体" w:hAnsi="宋体" w:cs="宋体"/>
          <w:sz w:val="24"/>
        </w:rPr>
      </w:pPr>
      <w:r>
        <w:rPr>
          <w:rFonts w:hint="eastAsia" w:ascii="宋体" w:hAnsi="宋体" w:cs="宋体"/>
          <w:sz w:val="24"/>
        </w:rPr>
        <w:t>质疑答复的内容不得涉及商业秘密。</w:t>
      </w:r>
    </w:p>
    <w:p>
      <w:pPr>
        <w:spacing w:line="500" w:lineRule="exact"/>
        <w:ind w:firstLine="480" w:firstLineChars="200"/>
        <w:rPr>
          <w:rFonts w:ascii="宋体" w:hAnsi="宋体" w:cs="宋体"/>
          <w:sz w:val="24"/>
        </w:rPr>
      </w:pPr>
      <w:r>
        <w:rPr>
          <w:rFonts w:hint="eastAsia" w:ascii="宋体" w:hAnsi="宋体" w:cs="宋体"/>
          <w:sz w:val="24"/>
        </w:rPr>
        <w:t>7、采购人、采购代理机构认为投标供应商质疑不成立，或者成立但未对中标、成交结果构成影响的，继续开展采购活动；认为投标供应商质疑成立且影响或者可能影响中标、成交结果的，按照下列情况处理：</w:t>
      </w:r>
    </w:p>
    <w:p>
      <w:pPr>
        <w:spacing w:line="500" w:lineRule="exact"/>
        <w:ind w:firstLine="480" w:firstLineChars="200"/>
        <w:rPr>
          <w:rFonts w:ascii="宋体" w:hAnsi="宋体" w:cs="宋体"/>
          <w:sz w:val="24"/>
        </w:rPr>
      </w:pPr>
      <w:r>
        <w:rPr>
          <w:rFonts w:hint="eastAsia" w:ascii="宋体" w:hAnsi="宋体" w:cs="宋体"/>
          <w:sz w:val="24"/>
        </w:rPr>
        <w:t>（1）对采购文件提出的质疑，依法通过澄清或者修改可以继续开展采购活动的，澄清或者修改采购文件后继续开展采购活动；否则应当修改采购文件后重新开展采购活动。</w:t>
      </w:r>
    </w:p>
    <w:p>
      <w:pPr>
        <w:spacing w:line="500" w:lineRule="exact"/>
        <w:ind w:firstLine="480" w:firstLineChars="200"/>
        <w:rPr>
          <w:rFonts w:ascii="宋体" w:hAnsi="宋体" w:cs="宋体"/>
          <w:sz w:val="24"/>
        </w:rPr>
      </w:pPr>
      <w:r>
        <w:rPr>
          <w:rFonts w:hint="eastAsia" w:ascii="宋体" w:hAnsi="宋体" w:cs="宋体"/>
          <w:sz w:val="24"/>
        </w:rPr>
        <w:t>（2）对采购过程、中标或者成交结果提出的质疑，合格投标供应商符合法定数量时，可以从合格的中标或者成交候选人中另行确定中标、成交投标供应商的，应当依法另行确定中标、成交投标供应商；否则应当重新开展采购活动。</w:t>
      </w:r>
    </w:p>
    <w:p>
      <w:pPr>
        <w:spacing w:line="500" w:lineRule="exact"/>
        <w:ind w:firstLine="480" w:firstLineChars="200"/>
        <w:rPr>
          <w:rFonts w:ascii="宋体" w:hAnsi="宋体" w:cs="宋体"/>
          <w:sz w:val="24"/>
        </w:rPr>
      </w:pPr>
      <w:r>
        <w:rPr>
          <w:rFonts w:hint="eastAsia" w:ascii="宋体" w:hAnsi="宋体" w:cs="宋体"/>
          <w:sz w:val="24"/>
        </w:rPr>
        <w:t>质疑答复导致中标、成交结果改变的，采购人或者采购代理机构应当将有关情况书面报告本级财政部门。</w:t>
      </w:r>
    </w:p>
    <w:p>
      <w:pPr>
        <w:spacing w:line="500" w:lineRule="exact"/>
        <w:jc w:val="center"/>
        <w:outlineLvl w:val="1"/>
        <w:rPr>
          <w:rFonts w:ascii="宋体" w:hAnsi="宋体" w:cs="宋体"/>
          <w:b/>
          <w:sz w:val="32"/>
          <w:szCs w:val="32"/>
        </w:rPr>
      </w:pPr>
      <w:bookmarkStart w:id="20" w:name="_Toc13309"/>
      <w:r>
        <w:rPr>
          <w:rFonts w:hint="eastAsia" w:ascii="宋体" w:hAnsi="宋体" w:cs="宋体"/>
          <w:b/>
          <w:sz w:val="32"/>
          <w:szCs w:val="32"/>
        </w:rPr>
        <w:t>二、</w:t>
      </w:r>
      <w:bookmarkEnd w:id="20"/>
      <w:r>
        <w:rPr>
          <w:rFonts w:hint="eastAsia" w:ascii="宋体" w:hAnsi="宋体" w:cs="宋体"/>
          <w:b/>
          <w:sz w:val="32"/>
          <w:szCs w:val="32"/>
        </w:rPr>
        <w:t>采购文件</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（一）采购文件的构成。本采购文件由以下部份组成：</w:t>
      </w:r>
    </w:p>
    <w:p>
      <w:pPr>
        <w:snapToGrid w:val="0"/>
        <w:spacing w:line="500" w:lineRule="exact"/>
        <w:ind w:firstLine="480" w:firstLineChars="200"/>
        <w:rPr>
          <w:rFonts w:ascii="宋体" w:hAnsi="宋体" w:cs="宋体"/>
          <w:sz w:val="24"/>
        </w:rPr>
      </w:pPr>
      <w:r>
        <w:rPr>
          <w:rFonts w:hint="eastAsia" w:ascii="宋体" w:hAnsi="宋体" w:cs="宋体"/>
          <w:sz w:val="24"/>
        </w:rPr>
        <w:t>1、招标公告</w:t>
      </w:r>
    </w:p>
    <w:p>
      <w:pPr>
        <w:snapToGrid w:val="0"/>
        <w:spacing w:line="500" w:lineRule="exact"/>
        <w:ind w:firstLine="480" w:firstLineChars="200"/>
        <w:rPr>
          <w:rFonts w:ascii="宋体" w:hAnsi="宋体" w:cs="宋体"/>
          <w:sz w:val="24"/>
        </w:rPr>
      </w:pPr>
      <w:r>
        <w:rPr>
          <w:rFonts w:hint="eastAsia" w:ascii="宋体" w:hAnsi="宋体" w:cs="宋体"/>
          <w:sz w:val="24"/>
        </w:rPr>
        <w:t>2、招标需求</w:t>
      </w:r>
    </w:p>
    <w:p>
      <w:pPr>
        <w:snapToGrid w:val="0"/>
        <w:spacing w:line="500" w:lineRule="exact"/>
        <w:ind w:firstLine="480" w:firstLineChars="200"/>
        <w:rPr>
          <w:rFonts w:ascii="宋体" w:hAnsi="宋体" w:cs="宋体"/>
          <w:sz w:val="24"/>
        </w:rPr>
      </w:pPr>
      <w:r>
        <w:rPr>
          <w:rFonts w:hint="eastAsia" w:ascii="宋体" w:hAnsi="宋体" w:cs="宋体"/>
          <w:sz w:val="24"/>
        </w:rPr>
        <w:t>3、投标供应商须知</w:t>
      </w:r>
    </w:p>
    <w:p>
      <w:pPr>
        <w:snapToGrid w:val="0"/>
        <w:spacing w:line="500" w:lineRule="exact"/>
        <w:ind w:firstLine="480" w:firstLineChars="200"/>
        <w:rPr>
          <w:rFonts w:ascii="宋体" w:hAnsi="宋体" w:cs="宋体"/>
          <w:sz w:val="24"/>
        </w:rPr>
      </w:pPr>
      <w:r>
        <w:rPr>
          <w:rFonts w:hint="eastAsia" w:ascii="宋体" w:hAnsi="宋体" w:cs="宋体"/>
          <w:sz w:val="24"/>
        </w:rPr>
        <w:t>4、评标办法及标准</w:t>
      </w:r>
    </w:p>
    <w:p>
      <w:pPr>
        <w:snapToGrid w:val="0"/>
        <w:spacing w:line="500" w:lineRule="exact"/>
        <w:ind w:firstLine="480" w:firstLineChars="200"/>
        <w:rPr>
          <w:rFonts w:ascii="宋体" w:hAnsi="宋体" w:cs="宋体"/>
          <w:sz w:val="24"/>
        </w:rPr>
      </w:pPr>
      <w:r>
        <w:rPr>
          <w:rFonts w:hint="eastAsia" w:ascii="宋体" w:hAnsi="宋体" w:cs="宋体"/>
          <w:sz w:val="24"/>
        </w:rPr>
        <w:t>5、合同主要条款</w:t>
      </w:r>
    </w:p>
    <w:p>
      <w:pPr>
        <w:snapToGrid w:val="0"/>
        <w:spacing w:line="500" w:lineRule="exact"/>
        <w:ind w:firstLine="480" w:firstLineChars="200"/>
        <w:rPr>
          <w:rFonts w:ascii="宋体" w:hAnsi="宋体" w:cs="宋体"/>
          <w:sz w:val="24"/>
        </w:rPr>
      </w:pPr>
      <w:r>
        <w:rPr>
          <w:rFonts w:hint="eastAsia" w:ascii="宋体" w:hAnsi="宋体" w:cs="宋体"/>
          <w:sz w:val="24"/>
        </w:rPr>
        <w:t>6、投标文件格式</w:t>
      </w:r>
    </w:p>
    <w:p>
      <w:pPr>
        <w:snapToGrid w:val="0"/>
        <w:spacing w:line="500" w:lineRule="exact"/>
        <w:ind w:firstLine="480" w:firstLineChars="200"/>
        <w:rPr>
          <w:rFonts w:ascii="宋体" w:hAnsi="宋体" w:cs="宋体"/>
          <w:sz w:val="24"/>
        </w:rPr>
      </w:pPr>
      <w:r>
        <w:rPr>
          <w:rFonts w:hint="eastAsia" w:ascii="宋体" w:hAnsi="宋体" w:cs="宋体"/>
          <w:sz w:val="24"/>
        </w:rPr>
        <w:t>7、本项目采购文件的澄清、答复、修改、补充的内容</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（二）投标供应商的风险</w:t>
      </w:r>
    </w:p>
    <w:p>
      <w:pPr>
        <w:snapToGrid w:val="0"/>
        <w:spacing w:line="500" w:lineRule="exact"/>
        <w:ind w:firstLine="480" w:firstLineChars="200"/>
        <w:rPr>
          <w:rFonts w:ascii="宋体" w:hAnsi="宋体" w:cs="宋体"/>
          <w:sz w:val="24"/>
        </w:rPr>
      </w:pPr>
      <w:r>
        <w:rPr>
          <w:rFonts w:hint="eastAsia" w:ascii="宋体" w:hAnsi="宋体" w:cs="宋体"/>
          <w:sz w:val="24"/>
        </w:rPr>
        <w:t>投标供应商没有按照采购文件要求提供全部资料，或者投标供应商没有对采购文件在各方面做出实质性响应是投标供应商的风险，并可能导致其投标被拒绝。</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（三）采购文件的澄清与修改</w:t>
      </w:r>
    </w:p>
    <w:p>
      <w:pPr>
        <w:snapToGrid w:val="0"/>
        <w:spacing w:line="500" w:lineRule="exact"/>
        <w:ind w:firstLine="480" w:firstLineChars="200"/>
        <w:rPr>
          <w:rFonts w:ascii="宋体" w:hAnsi="宋体" w:cs="宋体"/>
          <w:sz w:val="24"/>
        </w:rPr>
      </w:pPr>
      <w:r>
        <w:rPr>
          <w:rFonts w:hint="eastAsia" w:ascii="宋体" w:hAnsi="宋体" w:cs="宋体"/>
          <w:sz w:val="24"/>
        </w:rPr>
        <w:t>1、投标供应商应认真阅读本采购文件，发现本文件表述不清晰、存在歧视性、排他性或者其他违法内容的，应当于</w:t>
      </w:r>
      <w:r>
        <w:rPr>
          <w:rFonts w:hint="eastAsia" w:ascii="宋体" w:hAnsi="宋体" w:cs="宋体"/>
          <w:b/>
          <w:bCs/>
          <w:sz w:val="24"/>
          <w:u w:val="single"/>
        </w:rPr>
        <w:t>采购文件发布后7个工作日内</w:t>
      </w:r>
      <w:r>
        <w:rPr>
          <w:rFonts w:hint="eastAsia" w:ascii="宋体" w:hAnsi="宋体" w:cs="宋体"/>
          <w:sz w:val="24"/>
        </w:rPr>
        <w:t>，一次性以书面形式要求招标采购单位做出书面解释、澄清或者向招标采购单位提出书面质疑。招标采购单位对已发出的采购文件进行必要澄清、答复、修改或补充的，应当在采购文件要求提交投标文件截止时间三日前，</w:t>
      </w:r>
      <w:r>
        <w:rPr>
          <w:rFonts w:hint="eastAsia" w:ascii="宋体" w:hAnsi="宋体" w:cs="宋体"/>
          <w:b/>
          <w:kern w:val="0"/>
          <w:sz w:val="24"/>
          <w:szCs w:val="22"/>
        </w:rPr>
        <w:t>在财政部门指定的政府采购信息发布媒体上发布澄清或更正公告，并以传真或邮件（原文扫描件）或网上公告等形式告知所有已登记获取采购文件的投标供应商</w:t>
      </w:r>
      <w:r>
        <w:rPr>
          <w:rFonts w:hint="eastAsia" w:ascii="宋体" w:hAnsi="宋体" w:cs="宋体"/>
          <w:sz w:val="24"/>
        </w:rPr>
        <w:t>。</w:t>
      </w:r>
    </w:p>
    <w:p>
      <w:pPr>
        <w:snapToGrid w:val="0"/>
        <w:spacing w:line="500" w:lineRule="exact"/>
        <w:ind w:firstLine="480" w:firstLineChars="200"/>
        <w:rPr>
          <w:rFonts w:ascii="宋体" w:hAnsi="宋体" w:cs="宋体"/>
          <w:sz w:val="24"/>
        </w:rPr>
      </w:pPr>
      <w:r>
        <w:rPr>
          <w:rFonts w:hint="eastAsia" w:ascii="宋体" w:hAnsi="宋体" w:cs="宋体"/>
          <w:sz w:val="24"/>
        </w:rPr>
        <w:t>2、招标采购单位必须以传真或邮件（原文扫描件）或网上公告等答复投标供应商要求澄清的问题，并将不包含问题来源的答复以此形式通知所有获取采购文件的投标供应商；除传真或邮件（原文扫描件）或网上公告形式答复以外的其他澄清方式及澄清内容均无效。</w:t>
      </w:r>
    </w:p>
    <w:p>
      <w:pPr>
        <w:snapToGrid w:val="0"/>
        <w:spacing w:line="500" w:lineRule="exact"/>
        <w:ind w:firstLine="480" w:firstLineChars="200"/>
        <w:rPr>
          <w:rFonts w:ascii="宋体" w:hAnsi="宋体" w:cs="宋体"/>
          <w:sz w:val="24"/>
        </w:rPr>
      </w:pPr>
      <w:r>
        <w:rPr>
          <w:rFonts w:hint="eastAsia" w:ascii="宋体" w:hAnsi="宋体" w:cs="宋体"/>
          <w:sz w:val="24"/>
        </w:rPr>
        <w:t>3、采购文件澄清、答复、修改、补充的内容为采购文件的组成部分。当采购文件与采购文件的答复、澄清、修改、补充通知就同一内容的表述不一致时，以最后发出的文件为准。</w:t>
      </w:r>
    </w:p>
    <w:p>
      <w:pPr>
        <w:snapToGrid w:val="0"/>
        <w:spacing w:line="500" w:lineRule="exact"/>
        <w:ind w:firstLine="480" w:firstLineChars="200"/>
        <w:rPr>
          <w:rFonts w:ascii="宋体" w:hAnsi="宋体" w:cs="宋体"/>
          <w:sz w:val="24"/>
        </w:rPr>
      </w:pPr>
      <w:r>
        <w:rPr>
          <w:rFonts w:hint="eastAsia" w:ascii="宋体" w:hAnsi="宋体" w:cs="宋体"/>
          <w:sz w:val="24"/>
        </w:rPr>
        <w:t>4、采购文件的澄清、答复、修改或补充都应该通过本招标机构以法定形式发布，采购单位非通过本机构，不得擅自澄清、答复、修改或补充采购文件。</w:t>
      </w:r>
    </w:p>
    <w:p>
      <w:pPr>
        <w:spacing w:line="500" w:lineRule="exact"/>
        <w:jc w:val="center"/>
        <w:outlineLvl w:val="1"/>
        <w:rPr>
          <w:rFonts w:ascii="宋体" w:hAnsi="宋体" w:cs="宋体"/>
          <w:sz w:val="24"/>
        </w:rPr>
      </w:pPr>
      <w:bookmarkStart w:id="21" w:name="_Toc3451"/>
      <w:r>
        <w:rPr>
          <w:rFonts w:hint="eastAsia" w:ascii="宋体" w:hAnsi="宋体" w:cs="宋体"/>
          <w:b/>
          <w:sz w:val="32"/>
          <w:szCs w:val="32"/>
        </w:rPr>
        <w:t>三、投标文件的编制</w:t>
      </w:r>
      <w:bookmarkEnd w:id="21"/>
    </w:p>
    <w:p>
      <w:pPr>
        <w:numPr>
          <w:ilvl w:val="0"/>
          <w:numId w:val="4"/>
        </w:numPr>
        <w:snapToGrid w:val="0"/>
        <w:spacing w:line="360" w:lineRule="auto"/>
        <w:ind w:firstLine="482" w:firstLineChars="200"/>
        <w:outlineLvl w:val="2"/>
        <w:rPr>
          <w:rFonts w:ascii="宋体" w:hAnsi="宋体" w:cs="宋体"/>
          <w:b/>
          <w:sz w:val="24"/>
        </w:rPr>
      </w:pPr>
      <w:r>
        <w:rPr>
          <w:rFonts w:hint="eastAsia" w:ascii="宋体" w:hAnsi="宋体" w:cs="宋体"/>
          <w:b/>
          <w:sz w:val="24"/>
        </w:rPr>
        <w:t>投标文件的组成</w:t>
      </w:r>
    </w:p>
    <w:p>
      <w:pPr>
        <w:snapToGrid w:val="0"/>
        <w:spacing w:line="500" w:lineRule="exact"/>
        <w:ind w:firstLine="480" w:firstLineChars="200"/>
        <w:rPr>
          <w:rFonts w:ascii="宋体" w:hAnsi="宋体" w:cs="宋体"/>
        </w:rPr>
      </w:pPr>
      <w:r>
        <w:rPr>
          <w:rFonts w:hint="eastAsia" w:ascii="宋体" w:hAnsi="宋体" w:cs="宋体"/>
          <w:sz w:val="24"/>
        </w:rPr>
        <w:t>投标文件（包括电子投标文件及数据电子备份投标文件）由《资格文件》、《商务技术文件》和《报价文件》组成，</w:t>
      </w:r>
      <w:r>
        <w:rPr>
          <w:rFonts w:hint="eastAsia" w:ascii="宋体" w:hAnsi="宋体" w:cs="宋体"/>
          <w:b/>
          <w:bCs/>
          <w:sz w:val="24"/>
        </w:rPr>
        <w:t>其中电子投标文件中所须加盖公章部分均采用 CA 签章。</w:t>
      </w:r>
    </w:p>
    <w:p>
      <w:pPr>
        <w:numPr>
          <w:ilvl w:val="0"/>
          <w:numId w:val="5"/>
        </w:numPr>
        <w:snapToGrid w:val="0"/>
        <w:spacing w:line="360" w:lineRule="auto"/>
        <w:ind w:firstLine="482" w:firstLineChars="200"/>
        <w:outlineLvl w:val="3"/>
        <w:rPr>
          <w:rFonts w:ascii="宋体" w:hAnsi="宋体" w:cs="宋体"/>
          <w:b/>
          <w:bCs/>
          <w:sz w:val="24"/>
          <w:szCs w:val="21"/>
        </w:rPr>
      </w:pPr>
      <w:r>
        <w:rPr>
          <w:rFonts w:hint="eastAsia" w:ascii="宋体" w:hAnsi="宋体" w:cs="宋体"/>
          <w:b/>
          <w:bCs/>
          <w:sz w:val="24"/>
          <w:szCs w:val="21"/>
        </w:rPr>
        <w:t>资格文件：</w:t>
      </w:r>
    </w:p>
    <w:p>
      <w:pPr>
        <w:pStyle w:val="63"/>
        <w:spacing w:line="360" w:lineRule="auto"/>
        <w:ind w:firstLine="360" w:firstLineChars="150"/>
        <w:rPr>
          <w:rFonts w:ascii="宋体" w:hAnsi="宋体" w:eastAsia="宋体" w:cs="宋体"/>
          <w:kern w:val="2"/>
          <w:sz w:val="24"/>
          <w:szCs w:val="21"/>
        </w:rPr>
      </w:pPr>
      <w:r>
        <w:rPr>
          <w:rFonts w:hint="eastAsia" w:ascii="宋体" w:hAnsi="宋体" w:eastAsia="宋体" w:cs="宋体"/>
          <w:kern w:val="2"/>
          <w:sz w:val="24"/>
          <w:szCs w:val="21"/>
        </w:rPr>
        <w:t xml:space="preserve"> （1）投标单位情况表；</w:t>
      </w:r>
    </w:p>
    <w:p>
      <w:pPr>
        <w:pStyle w:val="29"/>
        <w:spacing w:line="360" w:lineRule="auto"/>
        <w:ind w:firstLine="480" w:firstLineChars="200"/>
        <w:rPr>
          <w:rFonts w:hAnsi="宋体" w:cs="宋体"/>
          <w:sz w:val="24"/>
        </w:rPr>
      </w:pPr>
      <w:r>
        <w:rPr>
          <w:rFonts w:hint="eastAsia" w:hAnsi="宋体" w:cs="宋体"/>
          <w:sz w:val="24"/>
        </w:rPr>
        <w:t>（2）有效的营业执照、税务登记证、组织机构代码证或“三证合一”的营业执照或“五证合一”的营业执照；</w:t>
      </w:r>
    </w:p>
    <w:p>
      <w:pPr>
        <w:snapToGrid w:val="0"/>
        <w:spacing w:line="360" w:lineRule="auto"/>
        <w:ind w:firstLine="480" w:firstLineChars="200"/>
        <w:rPr>
          <w:rFonts w:ascii="宋体" w:hAnsi="宋体" w:cs="宋体"/>
          <w:sz w:val="24"/>
        </w:rPr>
      </w:pPr>
      <w:r>
        <w:rPr>
          <w:rFonts w:hint="eastAsia" w:ascii="宋体" w:hAnsi="宋体" w:cs="宋体"/>
          <w:sz w:val="24"/>
        </w:rPr>
        <w:t>（3）法定代表人或其授权代理人的授权证书及身份证明；</w:t>
      </w:r>
    </w:p>
    <w:p>
      <w:pPr>
        <w:snapToGrid w:val="0"/>
        <w:spacing w:line="360" w:lineRule="auto"/>
        <w:ind w:firstLine="480" w:firstLineChars="200"/>
        <w:rPr>
          <w:rFonts w:ascii="宋体" w:hAnsi="宋体" w:cs="宋体"/>
          <w:kern w:val="0"/>
          <w:sz w:val="24"/>
        </w:rPr>
      </w:pPr>
      <w:r>
        <w:rPr>
          <w:rFonts w:hint="eastAsia" w:ascii="宋体" w:hAnsi="宋体" w:cs="宋体"/>
          <w:sz w:val="24"/>
        </w:rPr>
        <w:t>（4）授权代理人提供近三个月中任意一个月的社保证明；</w:t>
      </w:r>
    </w:p>
    <w:p>
      <w:pPr>
        <w:pStyle w:val="29"/>
        <w:spacing w:line="360" w:lineRule="auto"/>
        <w:ind w:firstLine="480" w:firstLineChars="200"/>
        <w:rPr>
          <w:rFonts w:hint="eastAsia" w:ascii="宋体" w:hAnsi="宋体" w:eastAsia="宋体" w:cs="宋体"/>
          <w:sz w:val="24"/>
        </w:rPr>
      </w:pPr>
      <w:r>
        <w:rPr>
          <w:rFonts w:hint="eastAsia" w:hAnsi="宋体" w:cs="宋体"/>
          <w:sz w:val="24"/>
        </w:rPr>
        <w:t>（5）</w:t>
      </w:r>
      <w:r>
        <w:rPr>
          <w:rFonts w:hint="eastAsia" w:ascii="宋体" w:hAnsi="宋体" w:eastAsia="宋体" w:cs="宋体"/>
          <w:sz w:val="24"/>
        </w:rPr>
        <w:t>资格承诺书或证明（格式自拟，承诺符合参与政府采购活动的资格条件并且没有税收缴纳、社会保障等方面的失信记录）</w:t>
      </w:r>
    </w:p>
    <w:p>
      <w:pPr>
        <w:pStyle w:val="29"/>
        <w:spacing w:line="360" w:lineRule="auto"/>
        <w:ind w:firstLine="480" w:firstLineChars="200"/>
        <w:rPr>
          <w:rFonts w:hAnsi="宋体" w:cs="宋体"/>
          <w:sz w:val="24"/>
        </w:rPr>
      </w:pPr>
      <w:r>
        <w:rPr>
          <w:rFonts w:hint="eastAsia" w:hAnsi="宋体" w:cs="宋体"/>
          <w:sz w:val="24"/>
        </w:rPr>
        <w:t>（6）信用承诺书；</w:t>
      </w:r>
    </w:p>
    <w:p>
      <w:pPr>
        <w:spacing w:line="360" w:lineRule="auto"/>
        <w:ind w:firstLine="472" w:firstLineChars="196"/>
        <w:rPr>
          <w:rFonts w:ascii="宋体" w:hAnsi="宋体" w:cs="宋体"/>
          <w:b/>
          <w:sz w:val="24"/>
        </w:rPr>
      </w:pPr>
      <w:r>
        <w:rPr>
          <w:rFonts w:hint="eastAsia" w:ascii="宋体" w:hAnsi="宋体" w:cs="宋体"/>
          <w:b/>
          <w:sz w:val="24"/>
        </w:rPr>
        <w:t>2、技术、商务、资信及其他文件</w:t>
      </w:r>
    </w:p>
    <w:p>
      <w:pPr>
        <w:pStyle w:val="20"/>
        <w:spacing w:line="360" w:lineRule="auto"/>
        <w:ind w:firstLine="480" w:firstLineChars="200"/>
        <w:rPr>
          <w:rFonts w:ascii="宋体" w:hAnsi="宋体" w:cs="宋体"/>
          <w:sz w:val="24"/>
        </w:rPr>
      </w:pPr>
      <w:r>
        <w:rPr>
          <w:rFonts w:hint="eastAsia" w:ascii="宋体" w:hAnsi="宋体" w:cs="宋体"/>
          <w:sz w:val="24"/>
        </w:rPr>
        <w:t>（1）评分索引表（格式见附件，主要用于评审委员会对应评分内容，包括商务部分、技术部分）；</w:t>
      </w:r>
    </w:p>
    <w:p>
      <w:pPr>
        <w:pStyle w:val="20"/>
        <w:spacing w:line="360" w:lineRule="auto"/>
        <w:ind w:firstLine="480" w:firstLineChars="200"/>
        <w:rPr>
          <w:rFonts w:ascii="宋体" w:hAnsi="宋体" w:cs="宋体"/>
          <w:sz w:val="24"/>
        </w:rPr>
      </w:pPr>
      <w:r>
        <w:rPr>
          <w:rFonts w:hint="eastAsia" w:ascii="宋体" w:hAnsi="宋体" w:cs="宋体"/>
          <w:sz w:val="24"/>
        </w:rPr>
        <w:t>（2）投标声明书；（格式见附件）</w:t>
      </w:r>
    </w:p>
    <w:p>
      <w:pPr>
        <w:pStyle w:val="20"/>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kern w:val="0"/>
          <w:sz w:val="24"/>
          <w:szCs w:val="24"/>
        </w:rPr>
        <w:t>服务方案</w:t>
      </w:r>
      <w:r>
        <w:rPr>
          <w:rFonts w:hint="eastAsia" w:ascii="宋体" w:hAnsi="宋体" w:cs="宋体"/>
          <w:sz w:val="24"/>
        </w:rPr>
        <w:t>；</w:t>
      </w:r>
    </w:p>
    <w:p>
      <w:pPr>
        <w:pStyle w:val="20"/>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kern w:val="0"/>
          <w:sz w:val="24"/>
          <w:szCs w:val="24"/>
          <w:lang w:eastAsia="zh-CN"/>
        </w:rPr>
        <w:t>人员配备</w:t>
      </w:r>
      <w:r>
        <w:rPr>
          <w:rFonts w:hint="eastAsia" w:ascii="宋体" w:hAnsi="宋体" w:cs="宋体"/>
          <w:sz w:val="24"/>
        </w:rPr>
        <w:t>；</w:t>
      </w:r>
    </w:p>
    <w:p>
      <w:pPr>
        <w:pStyle w:val="20"/>
        <w:spacing w:line="360" w:lineRule="auto"/>
        <w:ind w:left="476" w:leftChars="170"/>
        <w:rPr>
          <w:rFonts w:ascii="宋体" w:hAnsi="宋体" w:cs="宋体"/>
          <w:sz w:val="24"/>
        </w:rPr>
      </w:pPr>
      <w:r>
        <w:rPr>
          <w:rFonts w:hint="eastAsia" w:ascii="宋体" w:hAnsi="宋体" w:cs="宋体"/>
          <w:sz w:val="24"/>
        </w:rPr>
        <w:t>（5）</w:t>
      </w:r>
      <w:r>
        <w:rPr>
          <w:rFonts w:hint="eastAsia" w:ascii="宋体" w:hAnsi="宋体" w:cs="宋体"/>
          <w:kern w:val="0"/>
          <w:sz w:val="24"/>
          <w:szCs w:val="24"/>
          <w:lang w:val="en-US" w:eastAsia="zh-CN"/>
        </w:rPr>
        <w:t>合理化建议</w:t>
      </w:r>
      <w:r>
        <w:rPr>
          <w:rFonts w:hint="eastAsia" w:ascii="宋体" w:hAnsi="宋体" w:cs="宋体"/>
          <w:sz w:val="24"/>
        </w:rPr>
        <w:t>；</w:t>
      </w:r>
    </w:p>
    <w:p>
      <w:pPr>
        <w:pStyle w:val="20"/>
        <w:spacing w:line="360" w:lineRule="auto"/>
        <w:ind w:left="476" w:leftChars="170"/>
        <w:rPr>
          <w:rFonts w:ascii="宋体" w:hAnsi="宋体" w:cs="宋体"/>
          <w:sz w:val="24"/>
        </w:rPr>
      </w:pPr>
      <w:r>
        <w:rPr>
          <w:rFonts w:hint="eastAsia" w:ascii="宋体" w:hAnsi="宋体" w:cs="宋体"/>
          <w:sz w:val="24"/>
        </w:rPr>
        <w:t>（6）</w:t>
      </w:r>
      <w:r>
        <w:rPr>
          <w:rFonts w:hint="eastAsia" w:ascii="宋体" w:hAnsi="宋体" w:cs="宋体"/>
          <w:sz w:val="24"/>
          <w:szCs w:val="24"/>
          <w:lang w:val="en-US" w:eastAsia="zh-CN"/>
        </w:rPr>
        <w:t>售后服务承诺</w:t>
      </w:r>
      <w:r>
        <w:rPr>
          <w:rFonts w:hint="eastAsia" w:ascii="宋体" w:hAnsi="宋体" w:cs="宋体"/>
          <w:sz w:val="24"/>
        </w:rPr>
        <w:t>；</w:t>
      </w:r>
    </w:p>
    <w:p>
      <w:pPr>
        <w:spacing w:line="360" w:lineRule="auto"/>
        <w:ind w:firstLine="470" w:firstLineChars="196"/>
        <w:jc w:val="left"/>
        <w:rPr>
          <w:rFonts w:ascii="宋体" w:hAnsi="宋体"/>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w:t>
      </w:r>
      <w:r>
        <w:rPr>
          <w:rFonts w:hint="eastAsia" w:ascii="宋体" w:hAnsi="宋体" w:cs="宋体"/>
          <w:sz w:val="24"/>
          <w:lang w:val="en-US" w:eastAsia="zh-CN"/>
        </w:rPr>
        <w:t>响应时间</w:t>
      </w:r>
      <w:r>
        <w:rPr>
          <w:rFonts w:hint="eastAsia" w:ascii="宋体" w:hAnsi="宋体"/>
          <w:sz w:val="24"/>
        </w:rPr>
        <w:t>；</w:t>
      </w:r>
    </w:p>
    <w:p>
      <w:pPr>
        <w:spacing w:line="360" w:lineRule="auto"/>
        <w:ind w:firstLine="470" w:firstLineChars="196"/>
        <w:jc w:val="left"/>
        <w:rPr>
          <w:rFonts w:ascii="宋体" w:hAnsi="宋体"/>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w:t>
      </w:r>
      <w:r>
        <w:rPr>
          <w:rFonts w:hint="eastAsia" w:ascii="宋体" w:hAnsi="宋体"/>
          <w:sz w:val="24"/>
          <w:lang w:val="en-US" w:eastAsia="zh-CN"/>
        </w:rPr>
        <w:t>企业业绩</w:t>
      </w:r>
      <w:r>
        <w:rPr>
          <w:rFonts w:hint="eastAsia" w:ascii="宋体" w:hAnsi="宋体"/>
          <w:sz w:val="24"/>
        </w:rPr>
        <w:t>；</w:t>
      </w:r>
    </w:p>
    <w:p>
      <w:pPr>
        <w:pStyle w:val="20"/>
        <w:spacing w:line="360" w:lineRule="auto"/>
        <w:ind w:firstLine="480" w:firstLineChars="200"/>
        <w:rPr>
          <w:rFonts w:ascii="宋体"/>
          <w:sz w:val="24"/>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szCs w:val="24"/>
          <w:lang w:val="en-US" w:eastAsia="zh-CN"/>
        </w:rPr>
        <w:t>权威认证</w:t>
      </w:r>
      <w:r>
        <w:rPr>
          <w:rFonts w:hint="eastAsia" w:ascii="宋体" w:hAnsi="宋体" w:cs="宋体"/>
          <w:sz w:val="24"/>
        </w:rPr>
        <w:t>；</w:t>
      </w:r>
    </w:p>
    <w:p>
      <w:pPr>
        <w:spacing w:line="360" w:lineRule="auto"/>
        <w:ind w:firstLine="480" w:firstLineChars="200"/>
        <w:rPr>
          <w:rFonts w:ascii="宋体"/>
          <w:sz w:val="24"/>
        </w:rPr>
      </w:pPr>
      <w:r>
        <w:rPr>
          <w:rFonts w:hint="eastAsia" w:ascii="宋体" w:hAnsi="宋体" w:cs="宋体"/>
          <w:sz w:val="24"/>
        </w:rPr>
        <w:t>（1</w:t>
      </w:r>
      <w:r>
        <w:rPr>
          <w:rFonts w:hint="eastAsia" w:ascii="宋体" w:hAnsi="宋体" w:cs="宋体"/>
          <w:sz w:val="24"/>
          <w:lang w:val="en-US" w:eastAsia="zh-CN"/>
        </w:rPr>
        <w:t>0</w:t>
      </w:r>
      <w:r>
        <w:rPr>
          <w:rFonts w:hint="eastAsia" w:ascii="宋体" w:hAnsi="宋体" w:cs="宋体"/>
          <w:sz w:val="24"/>
        </w:rPr>
        <w:t>）企业荣誉；</w:t>
      </w:r>
    </w:p>
    <w:p>
      <w:pPr>
        <w:spacing w:line="360" w:lineRule="auto"/>
        <w:ind w:firstLine="470" w:firstLineChars="196"/>
        <w:jc w:val="left"/>
        <w:rPr>
          <w:rFonts w:ascii="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）商务响应表（格式见附件）；</w:t>
      </w:r>
    </w:p>
    <w:p>
      <w:pPr>
        <w:pStyle w:val="20"/>
        <w:spacing w:line="360" w:lineRule="auto"/>
        <w:ind w:firstLine="482" w:firstLineChars="200"/>
        <w:rPr>
          <w:rFonts w:ascii="宋体" w:hAnsi="宋体" w:cs="宋体"/>
          <w:sz w:val="24"/>
        </w:rPr>
      </w:pPr>
      <w:r>
        <w:rPr>
          <w:rFonts w:hint="eastAsia" w:ascii="宋体" w:hAnsi="宋体" w:cs="宋体"/>
          <w:b/>
          <w:bCs/>
          <w:sz w:val="24"/>
        </w:rPr>
        <w:t>（1</w:t>
      </w:r>
      <w:r>
        <w:rPr>
          <w:rFonts w:hint="eastAsia" w:ascii="宋体" w:hAnsi="宋体" w:cs="宋体"/>
          <w:b/>
          <w:bCs/>
          <w:sz w:val="24"/>
          <w:lang w:val="en-US" w:eastAsia="zh-CN"/>
        </w:rPr>
        <w:t>4</w:t>
      </w:r>
      <w:r>
        <w:rPr>
          <w:rFonts w:hint="eastAsia" w:ascii="宋体" w:hAnsi="宋体" w:cs="宋体"/>
          <w:b/>
          <w:bCs/>
          <w:sz w:val="24"/>
        </w:rPr>
        <w:t>）其他投标供应商认为有必要提供的资料。</w:t>
      </w:r>
      <w:r>
        <w:rPr>
          <w:rFonts w:hint="eastAsia" w:ascii="宋体" w:hAnsi="宋体" w:cs="宋体"/>
          <w:sz w:val="24"/>
        </w:rPr>
        <w:tab/>
      </w:r>
    </w:p>
    <w:p>
      <w:pPr>
        <w:pStyle w:val="20"/>
        <w:spacing w:line="360" w:lineRule="auto"/>
        <w:ind w:firstLine="482" w:firstLineChars="200"/>
        <w:rPr>
          <w:rFonts w:ascii="宋体" w:hAnsi="宋体" w:cs="宋体"/>
          <w:b/>
          <w:sz w:val="24"/>
          <w:szCs w:val="24"/>
        </w:rPr>
      </w:pPr>
      <w:r>
        <w:rPr>
          <w:rFonts w:hint="eastAsia" w:ascii="宋体" w:hAnsi="宋体" w:cs="宋体"/>
          <w:b/>
          <w:sz w:val="24"/>
          <w:szCs w:val="24"/>
        </w:rPr>
        <w:t>3、报价文件</w:t>
      </w:r>
    </w:p>
    <w:p>
      <w:pPr>
        <w:tabs>
          <w:tab w:val="left" w:pos="720"/>
        </w:tabs>
        <w:spacing w:line="360" w:lineRule="auto"/>
        <w:ind w:firstLine="480" w:firstLineChars="200"/>
        <w:rPr>
          <w:rFonts w:ascii="宋体" w:hAnsi="宋体" w:cs="宋体"/>
          <w:sz w:val="24"/>
        </w:rPr>
      </w:pPr>
      <w:r>
        <w:rPr>
          <w:rFonts w:hint="eastAsia" w:ascii="宋体" w:hAnsi="宋体" w:cs="宋体"/>
          <w:sz w:val="24"/>
        </w:rPr>
        <w:t>（1）投标函（格式见附件）；</w:t>
      </w:r>
    </w:p>
    <w:p>
      <w:pPr>
        <w:tabs>
          <w:tab w:val="left" w:pos="720"/>
        </w:tabs>
        <w:spacing w:line="360" w:lineRule="auto"/>
        <w:ind w:firstLine="480" w:firstLineChars="200"/>
        <w:rPr>
          <w:rFonts w:ascii="宋体" w:hAnsi="宋体" w:cs="宋体"/>
          <w:sz w:val="24"/>
        </w:rPr>
      </w:pPr>
      <w:r>
        <w:rPr>
          <w:rFonts w:hint="eastAsia" w:ascii="宋体" w:hAnsi="宋体" w:cs="宋体"/>
          <w:sz w:val="24"/>
        </w:rPr>
        <w:t>（2）开标一览表（格式见附件）；</w:t>
      </w:r>
    </w:p>
    <w:p>
      <w:pPr>
        <w:snapToGrid w:val="0"/>
        <w:spacing w:line="360" w:lineRule="auto"/>
        <w:ind w:firstLine="480" w:firstLineChars="200"/>
        <w:jc w:val="left"/>
        <w:rPr>
          <w:rFonts w:ascii="宋体" w:hAnsi="宋体" w:cs="宋体"/>
          <w:sz w:val="24"/>
        </w:rPr>
      </w:pPr>
      <w:r>
        <w:rPr>
          <w:rFonts w:hint="eastAsia" w:ascii="宋体" w:hAnsi="宋体" w:cs="宋体"/>
          <w:sz w:val="24"/>
        </w:rPr>
        <w:t>（3）中小企业声明函（格式见附件）；</w:t>
      </w:r>
    </w:p>
    <w:p>
      <w:pPr>
        <w:snapToGrid w:val="0"/>
        <w:spacing w:line="360" w:lineRule="auto"/>
        <w:ind w:firstLine="480" w:firstLineChars="200"/>
        <w:jc w:val="left"/>
        <w:rPr>
          <w:rFonts w:ascii="宋体" w:hAnsi="宋体" w:cs="宋体"/>
        </w:rPr>
      </w:pPr>
      <w:r>
        <w:rPr>
          <w:rFonts w:hint="eastAsia" w:ascii="宋体" w:hAnsi="宋体" w:cs="宋体"/>
          <w:sz w:val="24"/>
        </w:rPr>
        <w:t>（4）招标代理服务费承诺函(格式见附件)；</w:t>
      </w:r>
    </w:p>
    <w:p>
      <w:pPr>
        <w:pStyle w:val="41"/>
        <w:spacing w:after="120" w:line="360" w:lineRule="auto"/>
        <w:ind w:firstLine="480" w:firstLineChars="200"/>
        <w:rPr>
          <w:rFonts w:cs="宋体"/>
          <w:color w:val="auto"/>
        </w:rPr>
      </w:pPr>
      <w:r>
        <w:rPr>
          <w:rFonts w:hint="eastAsia" w:cs="宋体"/>
          <w:color w:val="auto"/>
        </w:rPr>
        <w:t>（5）其他投标供应商认为有必要提供的资料。</w:t>
      </w:r>
      <w:r>
        <w:rPr>
          <w:rFonts w:hint="eastAsia" w:cs="宋体"/>
          <w:color w:val="auto"/>
        </w:rPr>
        <w:tab/>
      </w:r>
    </w:p>
    <w:p>
      <w:pPr>
        <w:snapToGrid w:val="0"/>
        <w:spacing w:line="360" w:lineRule="auto"/>
        <w:ind w:firstLine="480"/>
        <w:rPr>
          <w:rFonts w:ascii="宋体" w:hAnsi="宋体" w:cs="宋体"/>
          <w:b/>
          <w:sz w:val="24"/>
        </w:rPr>
      </w:pPr>
      <w:r>
        <w:rPr>
          <w:rFonts w:hint="eastAsia" w:ascii="宋体" w:hAnsi="宋体" w:cs="宋体"/>
          <w:b/>
          <w:sz w:val="24"/>
        </w:rPr>
        <w:t>（二）投标文件的语言及计量</w:t>
      </w:r>
    </w:p>
    <w:p>
      <w:pPr>
        <w:snapToGrid w:val="0"/>
        <w:spacing w:line="360" w:lineRule="auto"/>
        <w:ind w:firstLine="480"/>
        <w:rPr>
          <w:rFonts w:ascii="宋体" w:hAnsi="宋体" w:cs="宋体"/>
          <w:b/>
          <w:sz w:val="24"/>
        </w:rPr>
      </w:pPr>
      <w:r>
        <w:rPr>
          <w:rFonts w:hint="eastAsia" w:ascii="宋体" w:hAnsi="宋体" w:cs="宋体"/>
          <w:sz w:val="24"/>
        </w:rPr>
        <w:t>▲1、投标文件以及投标供应商与采购人就有关投标事宜的所有来往函电，均应以中文汉语书写。除签名、盖章、专用名称等特殊情形外，以中文汉语以外的文字表述的投标文件视同未提供。</w:t>
      </w:r>
    </w:p>
    <w:p>
      <w:pPr>
        <w:snapToGrid w:val="0"/>
        <w:spacing w:line="360" w:lineRule="auto"/>
        <w:ind w:firstLine="480"/>
        <w:rPr>
          <w:rFonts w:ascii="宋体" w:hAnsi="宋体" w:cs="宋体"/>
          <w:b/>
          <w:sz w:val="24"/>
        </w:rPr>
      </w:pPr>
      <w:r>
        <w:rPr>
          <w:rFonts w:hint="eastAsia" w:ascii="宋体" w:hAnsi="宋体" w:cs="宋体"/>
          <w:sz w:val="24"/>
        </w:rPr>
        <w:t>▲2、投标计量单位，采购文件已有明确规定的，使用采购文件规定的计量单位；采购文件没有规定的，应采用中华人民共和国法定计量单位（货币单位：人民币元），否则视同未响应。</w:t>
      </w:r>
    </w:p>
    <w:p>
      <w:pPr>
        <w:snapToGrid w:val="0"/>
        <w:spacing w:line="360" w:lineRule="auto"/>
        <w:ind w:firstLine="480"/>
        <w:rPr>
          <w:rFonts w:ascii="宋体" w:hAnsi="宋体" w:cs="宋体"/>
          <w:b/>
          <w:sz w:val="24"/>
        </w:rPr>
      </w:pPr>
      <w:r>
        <w:rPr>
          <w:rFonts w:hint="eastAsia" w:ascii="宋体" w:hAnsi="宋体" w:cs="宋体"/>
          <w:sz w:val="24"/>
        </w:rPr>
        <w:t>▲</w:t>
      </w:r>
      <w:r>
        <w:rPr>
          <w:rFonts w:hint="eastAsia" w:ascii="宋体" w:hAnsi="宋体" w:cs="宋体"/>
          <w:b/>
          <w:sz w:val="24"/>
        </w:rPr>
        <w:t>（三）投标报价：</w:t>
      </w:r>
    </w:p>
    <w:p>
      <w:pPr>
        <w:snapToGrid w:val="0"/>
        <w:spacing w:line="360" w:lineRule="auto"/>
        <w:ind w:firstLine="480"/>
        <w:rPr>
          <w:rFonts w:ascii="宋体" w:hAnsi="宋体" w:cs="宋体"/>
          <w:b/>
          <w:sz w:val="24"/>
        </w:rPr>
      </w:pPr>
      <w:r>
        <w:rPr>
          <w:rFonts w:hint="eastAsia" w:ascii="宋体" w:hAnsi="宋体" w:cs="宋体"/>
          <w:sz w:val="24"/>
        </w:rPr>
        <w:t>1、投标报价应按采购文件中相关附表格式填写。所有报价均应使人民币（元）表示；</w:t>
      </w:r>
    </w:p>
    <w:p>
      <w:pPr>
        <w:snapToGrid w:val="0"/>
        <w:spacing w:line="360" w:lineRule="auto"/>
        <w:ind w:firstLine="480" w:firstLineChars="200"/>
        <w:jc w:val="left"/>
        <w:rPr>
          <w:rFonts w:ascii="宋体" w:hAnsi="宋体" w:cs="宋体"/>
          <w:bCs/>
        </w:rPr>
      </w:pPr>
      <w:r>
        <w:rPr>
          <w:rFonts w:hint="eastAsia" w:ascii="宋体" w:hAnsi="宋体" w:cs="宋体"/>
          <w:sz w:val="24"/>
        </w:rPr>
        <w:t>2、投标报价是履行合同的最终价格</w:t>
      </w:r>
      <w:r>
        <w:rPr>
          <w:rFonts w:hint="eastAsia" w:ascii="宋体" w:hAnsi="宋体" w:cs="宋体"/>
          <w:bCs/>
        </w:rPr>
        <w:t>，</w:t>
      </w:r>
      <w:r>
        <w:rPr>
          <w:rFonts w:hint="eastAsia" w:ascii="宋体" w:hAnsi="宋体" w:cs="宋体"/>
          <w:sz w:val="24"/>
        </w:rPr>
        <w:t>应包括系统的设备、人员、交通、耗材、培训、调试、验收、专用工具、保险、税金等完成本项目的一切税金和费用。</w:t>
      </w:r>
    </w:p>
    <w:p>
      <w:pPr>
        <w:spacing w:line="360" w:lineRule="auto"/>
        <w:ind w:firstLine="480" w:firstLineChars="200"/>
        <w:rPr>
          <w:rFonts w:ascii="宋体" w:hAnsi="宋体" w:cs="宋体"/>
          <w:b/>
          <w:kern w:val="0"/>
          <w:sz w:val="24"/>
          <w:u w:val="single"/>
        </w:rPr>
      </w:pPr>
      <w:r>
        <w:rPr>
          <w:rFonts w:hint="eastAsia" w:ascii="宋体" w:hAnsi="宋体" w:cs="宋体"/>
          <w:kern w:val="0"/>
          <w:sz w:val="24"/>
          <w:u w:val="single"/>
        </w:rPr>
        <w:t>投标供应商对在合同执行中，除上述费用及采购文件规定的由中标供应商负责的工作范围以外需要采购人协调或提供便利的工作应当在报价文件中说明。</w:t>
      </w:r>
    </w:p>
    <w:p>
      <w:pPr>
        <w:snapToGrid w:val="0"/>
        <w:spacing w:line="360" w:lineRule="auto"/>
        <w:ind w:firstLine="480"/>
        <w:rPr>
          <w:rFonts w:ascii="宋体" w:hAnsi="宋体" w:cs="宋体"/>
        </w:rPr>
      </w:pPr>
      <w:r>
        <w:rPr>
          <w:rFonts w:hint="eastAsia" w:ascii="宋体" w:hAnsi="宋体" w:cs="宋体"/>
          <w:sz w:val="24"/>
        </w:rPr>
        <w:t>3、投标文件只允许有一个报价，有选择的或有条件的报价将不予接受。</w:t>
      </w:r>
    </w:p>
    <w:p>
      <w:pPr>
        <w:snapToGrid w:val="0"/>
        <w:spacing w:line="360" w:lineRule="auto"/>
        <w:ind w:firstLine="480"/>
        <w:rPr>
          <w:rFonts w:ascii="宋体" w:hAnsi="宋体" w:cs="宋体"/>
          <w:sz w:val="24"/>
        </w:rPr>
      </w:pPr>
      <w:r>
        <w:rPr>
          <w:rFonts w:hint="eastAsia" w:ascii="宋体" w:hAnsi="宋体" w:cs="宋体"/>
          <w:sz w:val="24"/>
        </w:rPr>
        <w:t>4、投标供应商的最终报价由投标供应商自担全部风险责任，中标后不得以任何理由调整报价或追加任何费用；</w:t>
      </w:r>
    </w:p>
    <w:p>
      <w:pPr>
        <w:snapToGrid w:val="0"/>
        <w:spacing w:line="360" w:lineRule="auto"/>
        <w:ind w:firstLine="480"/>
        <w:rPr>
          <w:rFonts w:ascii="宋体" w:hAnsi="宋体" w:cs="宋体"/>
          <w:sz w:val="24"/>
        </w:rPr>
      </w:pPr>
      <w:r>
        <w:rPr>
          <w:rFonts w:hint="eastAsia" w:ascii="宋体" w:hAnsi="宋体" w:cs="宋体"/>
          <w:sz w:val="24"/>
        </w:rPr>
        <w:t>5、投标供应商所有优惠条件和优惠费用不得降低和影响本采购项目质量；</w:t>
      </w:r>
    </w:p>
    <w:p>
      <w:pPr>
        <w:snapToGrid w:val="0"/>
        <w:spacing w:line="360" w:lineRule="auto"/>
        <w:ind w:firstLine="480"/>
        <w:rPr>
          <w:rFonts w:ascii="宋体" w:hAnsi="宋体" w:cs="宋体"/>
          <w:sz w:val="24"/>
        </w:rPr>
      </w:pPr>
      <w:r>
        <w:rPr>
          <w:rFonts w:hint="eastAsia" w:ascii="宋体" w:hAnsi="宋体" w:cs="宋体"/>
          <w:sz w:val="24"/>
        </w:rPr>
        <w:t>6、报价如单价与总价不符时，以单价为准；大写与小写不符时以大写为准；</w:t>
      </w:r>
    </w:p>
    <w:p>
      <w:pPr>
        <w:snapToGrid w:val="0"/>
        <w:spacing w:line="360" w:lineRule="auto"/>
        <w:ind w:firstLine="480"/>
        <w:rPr>
          <w:rFonts w:ascii="宋体" w:hAnsi="宋体" w:cs="宋体"/>
          <w:sz w:val="24"/>
        </w:rPr>
      </w:pPr>
      <w:r>
        <w:rPr>
          <w:rFonts w:hint="eastAsia" w:ascii="宋体" w:hAnsi="宋体" w:cs="宋体"/>
          <w:sz w:val="24"/>
        </w:rPr>
        <w:t>7、投标供应商对采购文件里有关投标报价的全部内容应仔细确认，若有个别异议，应在开标前提出修改意见，否则视同全部确认；</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（四）投标文件的有效期</w:t>
      </w:r>
    </w:p>
    <w:p>
      <w:pPr>
        <w:pStyle w:val="14"/>
        <w:widowControl w:val="0"/>
        <w:tabs>
          <w:tab w:val="clear" w:pos="454"/>
        </w:tabs>
        <w:snapToGrid w:val="0"/>
        <w:spacing w:afterLines="0" w:line="500" w:lineRule="exact"/>
        <w:ind w:left="0" w:firstLine="480" w:firstLineChars="200"/>
        <w:jc w:val="both"/>
        <w:rPr>
          <w:rFonts w:ascii="宋体" w:hAnsi="宋体" w:cs="宋体"/>
          <w:szCs w:val="24"/>
        </w:rPr>
      </w:pPr>
      <w:r>
        <w:rPr>
          <w:rFonts w:hint="eastAsia" w:ascii="宋体" w:hAnsi="宋体" w:cs="宋体"/>
          <w:szCs w:val="24"/>
        </w:rPr>
        <w:t>▲1、自投标截止日起</w:t>
      </w:r>
      <w:r>
        <w:rPr>
          <w:rFonts w:hint="eastAsia" w:ascii="宋体" w:hAnsi="宋体" w:cs="宋体"/>
          <w:szCs w:val="24"/>
          <w:u w:val="single"/>
        </w:rPr>
        <w:t>60</w:t>
      </w:r>
      <w:r>
        <w:rPr>
          <w:rFonts w:hint="eastAsia" w:ascii="宋体" w:hAnsi="宋体" w:cs="宋体"/>
          <w:szCs w:val="24"/>
        </w:rPr>
        <w:t>天投标文件应保持有效。有效期不足的投标文件将被拒绝。</w:t>
      </w:r>
    </w:p>
    <w:p>
      <w:pPr>
        <w:pStyle w:val="14"/>
        <w:widowControl w:val="0"/>
        <w:tabs>
          <w:tab w:val="clear" w:pos="454"/>
        </w:tabs>
        <w:snapToGrid w:val="0"/>
        <w:spacing w:afterLines="0" w:line="500" w:lineRule="exact"/>
        <w:ind w:left="0" w:firstLine="480" w:firstLineChars="200"/>
        <w:jc w:val="both"/>
        <w:rPr>
          <w:rFonts w:ascii="宋体" w:hAnsi="宋体" w:cs="宋体"/>
          <w:szCs w:val="24"/>
        </w:rPr>
      </w:pPr>
      <w:r>
        <w:rPr>
          <w:rFonts w:hint="eastAsia" w:ascii="宋体" w:hAnsi="宋体" w:cs="宋体"/>
          <w:szCs w:val="24"/>
        </w:rPr>
        <w:t>2、在特殊情况下，采购单位可与投标供应商协商延长投标书的有效期，这种要求和答复均以书面形式进行。</w:t>
      </w:r>
    </w:p>
    <w:p>
      <w:pPr>
        <w:snapToGrid w:val="0"/>
        <w:spacing w:line="500" w:lineRule="exact"/>
        <w:ind w:firstLine="480" w:firstLineChars="200"/>
        <w:rPr>
          <w:rFonts w:ascii="宋体" w:hAnsi="宋体" w:cs="宋体"/>
          <w:b/>
          <w:sz w:val="24"/>
        </w:rPr>
      </w:pPr>
      <w:r>
        <w:rPr>
          <w:rFonts w:hint="eastAsia" w:ascii="宋体" w:hAnsi="宋体" w:cs="宋体"/>
          <w:sz w:val="24"/>
        </w:rPr>
        <w:t>3、投标供应商可拒绝接受延期要求。同意延长有效期的投标供应商不能修改投标文件。</w:t>
      </w:r>
    </w:p>
    <w:p>
      <w:pPr>
        <w:snapToGrid w:val="0"/>
        <w:spacing w:line="500" w:lineRule="exact"/>
        <w:ind w:firstLine="480" w:firstLineChars="200"/>
        <w:rPr>
          <w:rFonts w:ascii="宋体" w:hAnsi="宋体" w:cs="宋体"/>
          <w:b/>
          <w:sz w:val="24"/>
        </w:rPr>
      </w:pPr>
      <w:r>
        <w:rPr>
          <w:rFonts w:hint="eastAsia" w:ascii="宋体" w:hAnsi="宋体" w:cs="宋体"/>
          <w:sz w:val="24"/>
        </w:rPr>
        <w:t>4、中标人的投标文件自开标之日起至合同履行完毕止均应保持有效。</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（五）投标文件的编制</w:t>
      </w:r>
    </w:p>
    <w:p>
      <w:pPr>
        <w:snapToGrid w:val="0"/>
        <w:spacing w:line="500" w:lineRule="exact"/>
        <w:ind w:firstLine="480" w:firstLineChars="200"/>
        <w:rPr>
          <w:rFonts w:ascii="宋体" w:hAnsi="宋体" w:cs="宋体"/>
          <w:bCs/>
          <w:sz w:val="24"/>
        </w:rPr>
      </w:pPr>
      <w:r>
        <w:rPr>
          <w:rFonts w:hint="eastAsia" w:ascii="宋体" w:hAnsi="宋体" w:cs="宋体"/>
          <w:bCs/>
          <w:sz w:val="24"/>
        </w:rPr>
        <w:t>1、本项目通过“政府采购云平台（www.zcygov.cn）”实行在线投标响应（电子投标）。投标供应商应通过“政采云电子交易客户端”，并按照本采购文件和“政府采购云平台”的要求编制并加密投标文件。</w:t>
      </w:r>
    </w:p>
    <w:p>
      <w:pPr>
        <w:snapToGrid w:val="0"/>
        <w:spacing w:line="500" w:lineRule="exact"/>
        <w:ind w:firstLine="480" w:firstLineChars="200"/>
        <w:rPr>
          <w:rFonts w:ascii="宋体" w:hAnsi="宋体" w:cs="宋体"/>
          <w:bCs/>
          <w:sz w:val="24"/>
        </w:rPr>
      </w:pPr>
      <w:r>
        <w:rPr>
          <w:rFonts w:hint="eastAsia" w:ascii="宋体" w:hAnsi="宋体" w:cs="宋体"/>
          <w:bCs/>
          <w:sz w:val="24"/>
        </w:rPr>
        <w:t>2、投标供应商应当按照本章节“投标文件的组成”规定的内容及顺序在“政采云电子交易客户端”编制投标文件。其中《资格文件》和《商务技术资信及其他文件》中不得出现本项目投标报价，如因投标供应商原因提前泄露投标报价，是投标供应商的责任。</w:t>
      </w:r>
    </w:p>
    <w:p>
      <w:pPr>
        <w:snapToGrid w:val="0"/>
        <w:spacing w:line="460" w:lineRule="exact"/>
        <w:ind w:firstLine="480" w:firstLineChars="200"/>
        <w:rPr>
          <w:rFonts w:ascii="宋体" w:hAnsi="宋体" w:cs="宋体"/>
          <w:bCs/>
          <w:sz w:val="24"/>
        </w:rPr>
      </w:pPr>
      <w:r>
        <w:rPr>
          <w:rFonts w:hint="eastAsia" w:ascii="宋体" w:hAnsi="宋体" w:cs="宋体"/>
          <w:bCs/>
          <w:sz w:val="24"/>
        </w:rPr>
        <w:t>3、本采购文件中有提供格式的，投标供应商须参照格式进行编制（格式中要求提供相关证明材料的还需后附相关证明材料），并按格式要求在指定位置根据要求进行签章，未提供格式的，请各投标供应商自行拟定格式，并加盖单位公章并由法定代表人或其授权代表签署（盖章），否则视为未提供。</w:t>
      </w:r>
    </w:p>
    <w:p>
      <w:pPr>
        <w:snapToGrid w:val="0"/>
        <w:spacing w:line="460" w:lineRule="exact"/>
        <w:ind w:firstLine="480" w:firstLineChars="200"/>
        <w:rPr>
          <w:rFonts w:ascii="宋体" w:hAnsi="宋体" w:cs="宋体"/>
          <w:bCs/>
          <w:sz w:val="24"/>
        </w:rPr>
      </w:pPr>
      <w:r>
        <w:rPr>
          <w:rFonts w:hint="eastAsia" w:ascii="宋体" w:hAnsi="宋体" w:cs="宋体"/>
          <w:bCs/>
          <w:sz w:val="24"/>
        </w:rPr>
        <w:t>4、《投标文件》内容不完整、编排混乱导致《投标文件》被误读、漏读或者查找不到相关内容的，是投标供应商的责任。</w:t>
      </w:r>
    </w:p>
    <w:p>
      <w:pPr>
        <w:snapToGrid w:val="0"/>
        <w:spacing w:line="460" w:lineRule="exact"/>
        <w:ind w:firstLine="480" w:firstLineChars="200"/>
        <w:rPr>
          <w:rFonts w:ascii="宋体" w:hAnsi="宋体" w:cs="宋体"/>
          <w:bCs/>
          <w:sz w:val="24"/>
        </w:rPr>
      </w:pPr>
      <w:r>
        <w:rPr>
          <w:rFonts w:hint="eastAsia" w:ascii="宋体" w:hAnsi="宋体" w:cs="宋体"/>
          <w:bCs/>
          <w:sz w:val="24"/>
        </w:rPr>
        <w:t>5、《投标文件》因字迹潦草、上传的内容不清楚或表达不清所引起的后果由投标供应商负责。</w:t>
      </w:r>
    </w:p>
    <w:p>
      <w:pPr>
        <w:snapToGrid w:val="0"/>
        <w:spacing w:line="460" w:lineRule="exact"/>
        <w:ind w:firstLine="480" w:firstLineChars="200"/>
        <w:rPr>
          <w:rFonts w:ascii="宋体" w:hAnsi="宋体" w:cs="宋体"/>
          <w:bCs/>
          <w:sz w:val="24"/>
        </w:rPr>
      </w:pPr>
      <w:r>
        <w:rPr>
          <w:rFonts w:hint="eastAsia" w:ascii="宋体" w:hAnsi="宋体" w:cs="宋体"/>
          <w:bCs/>
          <w:sz w:val="24"/>
        </w:rPr>
        <w:t>6、投标供应商没有按照本采购文件中“投标文件组成”要求提供全部资料，或者没有仔细阅读采购文件，或者没有对采购文件在各方面的要求做出实质性响应是投标供应商的风险，由此造成的一切后果由投标供应商自行承担。</w:t>
      </w:r>
    </w:p>
    <w:p>
      <w:pPr>
        <w:snapToGrid w:val="0"/>
        <w:spacing w:line="460" w:lineRule="exact"/>
        <w:ind w:firstLine="482" w:firstLineChars="200"/>
        <w:outlineLvl w:val="2"/>
        <w:rPr>
          <w:rFonts w:ascii="宋体" w:hAnsi="宋体" w:cs="宋体"/>
          <w:b/>
          <w:sz w:val="24"/>
        </w:rPr>
      </w:pPr>
      <w:r>
        <w:rPr>
          <w:rFonts w:hint="eastAsia" w:ascii="宋体" w:hAnsi="宋体" w:cs="宋体"/>
          <w:b/>
          <w:sz w:val="24"/>
        </w:rPr>
        <w:t>（六）投标文件的签章</w:t>
      </w:r>
    </w:p>
    <w:p>
      <w:pPr>
        <w:snapToGrid w:val="0"/>
        <w:spacing w:line="460" w:lineRule="exact"/>
        <w:ind w:firstLine="480" w:firstLineChars="200"/>
        <w:rPr>
          <w:rFonts w:ascii="宋体" w:hAnsi="宋体" w:cs="宋体"/>
          <w:bCs/>
          <w:sz w:val="24"/>
        </w:rPr>
      </w:pPr>
      <w:r>
        <w:rPr>
          <w:rFonts w:hint="eastAsia" w:ascii="宋体" w:hAnsi="宋体" w:cs="宋体"/>
          <w:bCs/>
          <w:sz w:val="24"/>
        </w:rPr>
        <w:t>1、《投标文件》的签章：使用电子签章；</w:t>
      </w:r>
    </w:p>
    <w:p>
      <w:pPr>
        <w:snapToGrid w:val="0"/>
        <w:spacing w:line="460" w:lineRule="exact"/>
        <w:ind w:firstLine="480" w:firstLineChars="200"/>
        <w:rPr>
          <w:rFonts w:ascii="宋体" w:hAnsi="宋体" w:cs="宋体"/>
          <w:bCs/>
          <w:sz w:val="24"/>
        </w:rPr>
      </w:pPr>
      <w:r>
        <w:rPr>
          <w:rFonts w:hint="eastAsia" w:ascii="宋体" w:hAnsi="宋体" w:cs="宋体"/>
          <w:bCs/>
          <w:sz w:val="24"/>
        </w:rPr>
        <w:t>2、《投标文件》应由投标供应商法定代表人或其授权代表签字（或盖章），并同时加盖单位公章。</w:t>
      </w:r>
    </w:p>
    <w:p>
      <w:pPr>
        <w:snapToGrid w:val="0"/>
        <w:spacing w:line="460" w:lineRule="exact"/>
        <w:ind w:firstLine="480" w:firstLineChars="200"/>
        <w:rPr>
          <w:rFonts w:ascii="宋体" w:hAnsi="宋体" w:cs="宋体"/>
          <w:bCs/>
          <w:sz w:val="24"/>
        </w:rPr>
      </w:pPr>
      <w:r>
        <w:rPr>
          <w:rFonts w:hint="eastAsia" w:ascii="宋体" w:hAnsi="宋体" w:cs="宋体"/>
          <w:bCs/>
          <w:sz w:val="24"/>
        </w:rPr>
        <w:t>3、参与在线投标时如遇平台技术问题详询400-881-7190。</w:t>
      </w:r>
    </w:p>
    <w:p>
      <w:pPr>
        <w:snapToGrid w:val="0"/>
        <w:spacing w:line="460" w:lineRule="exact"/>
        <w:ind w:firstLine="482" w:firstLineChars="200"/>
        <w:outlineLvl w:val="2"/>
        <w:rPr>
          <w:rFonts w:ascii="宋体" w:hAnsi="宋体" w:cs="宋体"/>
          <w:b/>
          <w:sz w:val="24"/>
        </w:rPr>
      </w:pPr>
      <w:r>
        <w:rPr>
          <w:rFonts w:hint="eastAsia" w:ascii="宋体" w:hAnsi="宋体" w:cs="宋体"/>
          <w:b/>
          <w:sz w:val="24"/>
        </w:rPr>
        <w:t>（七）投标文件的形式</w:t>
      </w:r>
    </w:p>
    <w:p>
      <w:pPr>
        <w:snapToGrid w:val="0"/>
        <w:spacing w:line="460" w:lineRule="exact"/>
        <w:ind w:firstLine="480" w:firstLineChars="200"/>
        <w:rPr>
          <w:rFonts w:ascii="宋体" w:hAnsi="宋体" w:cs="宋体"/>
          <w:bCs/>
          <w:sz w:val="24"/>
        </w:rPr>
      </w:pPr>
      <w:r>
        <w:rPr>
          <w:rFonts w:hint="eastAsia" w:ascii="宋体" w:hAnsi="宋体" w:cs="宋体"/>
          <w:bCs/>
          <w:sz w:val="24"/>
        </w:rPr>
        <w:t>1、投标文件的形式：见《前附表》；</w:t>
      </w:r>
    </w:p>
    <w:p>
      <w:pPr>
        <w:snapToGrid w:val="0"/>
        <w:spacing w:line="460" w:lineRule="exact"/>
        <w:ind w:firstLine="480" w:firstLineChars="200"/>
        <w:rPr>
          <w:rFonts w:ascii="宋体" w:hAnsi="宋体" w:cs="宋体"/>
          <w:bCs/>
          <w:sz w:val="24"/>
        </w:rPr>
      </w:pPr>
      <w:r>
        <w:rPr>
          <w:rFonts w:hint="eastAsia" w:ascii="宋体" w:hAnsi="宋体" w:cs="宋体"/>
          <w:bCs/>
          <w:sz w:val="24"/>
        </w:rPr>
        <w:t>2、“电子加密投标文件”：“电子加密投标文件”是指通过“政采云电子交易客户端”完成投标文件编制后生成并加密的数据电文形式的投标文件。</w:t>
      </w:r>
    </w:p>
    <w:p>
      <w:pPr>
        <w:snapToGrid w:val="0"/>
        <w:spacing w:line="460" w:lineRule="exact"/>
        <w:ind w:firstLine="480" w:firstLineChars="200"/>
        <w:rPr>
          <w:rFonts w:ascii="宋体" w:hAnsi="宋体" w:cs="宋体"/>
          <w:bCs/>
          <w:sz w:val="24"/>
        </w:rPr>
      </w:pPr>
      <w:r>
        <w:rPr>
          <w:rFonts w:hint="eastAsia" w:ascii="宋体" w:hAnsi="宋体" w:cs="宋体"/>
          <w:bCs/>
          <w:sz w:val="24"/>
        </w:rPr>
        <w:t>3、“备份投标文件”：“备份投标文件”是指与“电子加密投标文件”同时生成的数据电文形式的电子文件（备份标书），其他方式编制的“备份投标文件”视为无效的“备份投标文件”。</w:t>
      </w:r>
    </w:p>
    <w:p>
      <w:pPr>
        <w:snapToGrid w:val="0"/>
        <w:spacing w:line="460" w:lineRule="exact"/>
        <w:ind w:firstLine="482" w:firstLineChars="200"/>
        <w:outlineLvl w:val="2"/>
        <w:rPr>
          <w:rFonts w:ascii="宋体" w:hAnsi="宋体" w:cs="宋体"/>
          <w:b/>
          <w:sz w:val="24"/>
        </w:rPr>
      </w:pPr>
      <w:r>
        <w:rPr>
          <w:rFonts w:hint="eastAsia" w:ascii="宋体" w:hAnsi="宋体" w:cs="宋体"/>
          <w:b/>
          <w:sz w:val="24"/>
        </w:rPr>
        <w:t>（八）投标文件的份数：投标文件的份数：</w:t>
      </w:r>
      <w:r>
        <w:rPr>
          <w:rFonts w:hint="eastAsia" w:ascii="宋体" w:hAnsi="宋体" w:cs="宋体"/>
          <w:bCs/>
          <w:sz w:val="24"/>
        </w:rPr>
        <w:t>见《前附表》</w:t>
      </w:r>
      <w:r>
        <w:rPr>
          <w:rFonts w:hint="eastAsia" w:ascii="宋体" w:hAnsi="宋体" w:cs="宋体"/>
          <w:b/>
          <w:sz w:val="24"/>
        </w:rPr>
        <w:t>。</w:t>
      </w:r>
    </w:p>
    <w:p>
      <w:pPr>
        <w:snapToGrid w:val="0"/>
        <w:spacing w:line="460" w:lineRule="exact"/>
        <w:ind w:firstLine="482" w:firstLineChars="200"/>
        <w:jc w:val="left"/>
        <w:rPr>
          <w:rFonts w:ascii="宋体" w:hAnsi="宋体" w:cs="宋体"/>
          <w:sz w:val="24"/>
        </w:rPr>
      </w:pPr>
      <w:r>
        <w:rPr>
          <w:rFonts w:hint="eastAsia" w:ascii="宋体" w:hAnsi="宋体" w:cs="宋体"/>
          <w:b/>
          <w:sz w:val="24"/>
        </w:rPr>
        <w:t>（九）投标文件的上传和递交：</w:t>
      </w:r>
      <w:r>
        <w:rPr>
          <w:rFonts w:hint="eastAsia" w:ascii="宋体" w:hAnsi="宋体" w:cs="宋体"/>
          <w:sz w:val="24"/>
        </w:rPr>
        <w:t>见《前附表》。</w:t>
      </w:r>
    </w:p>
    <w:p>
      <w:pPr>
        <w:snapToGrid w:val="0"/>
        <w:spacing w:line="460" w:lineRule="exact"/>
        <w:ind w:firstLine="482" w:firstLineChars="200"/>
        <w:jc w:val="left"/>
        <w:rPr>
          <w:rFonts w:ascii="宋体" w:hAnsi="宋体" w:cs="宋体"/>
          <w:sz w:val="24"/>
        </w:rPr>
      </w:pPr>
      <w:r>
        <w:rPr>
          <w:rFonts w:hint="eastAsia" w:ascii="宋体" w:hAnsi="宋体" w:cs="宋体"/>
          <w:b/>
          <w:sz w:val="24"/>
        </w:rPr>
        <w:t>（十）“电子加密投标文件”解密和异常情况处理：</w:t>
      </w:r>
      <w:r>
        <w:rPr>
          <w:rFonts w:hint="eastAsia" w:ascii="宋体" w:hAnsi="宋体" w:cs="宋体"/>
          <w:sz w:val="24"/>
        </w:rPr>
        <w:t>见《前附表》。</w:t>
      </w:r>
    </w:p>
    <w:p>
      <w:pPr>
        <w:snapToGrid w:val="0"/>
        <w:spacing w:line="460" w:lineRule="exact"/>
        <w:ind w:firstLine="482" w:firstLineChars="200"/>
        <w:jc w:val="left"/>
        <w:rPr>
          <w:rFonts w:ascii="宋体" w:hAnsi="宋体" w:cs="宋体"/>
          <w:b/>
          <w:sz w:val="24"/>
        </w:rPr>
      </w:pPr>
      <w:r>
        <w:rPr>
          <w:rFonts w:hint="eastAsia" w:ascii="宋体" w:hAnsi="宋体" w:cs="宋体"/>
          <w:b/>
          <w:sz w:val="24"/>
        </w:rPr>
        <w:t>（十一）投标文件的补充、修改或撤回</w:t>
      </w:r>
    </w:p>
    <w:p>
      <w:pPr>
        <w:spacing w:line="460" w:lineRule="exact"/>
        <w:ind w:firstLine="424" w:firstLineChars="177"/>
        <w:rPr>
          <w:rFonts w:ascii="宋体" w:hAnsi="宋体" w:cs="宋体"/>
          <w:bCs/>
          <w:sz w:val="24"/>
        </w:rPr>
      </w:pPr>
      <w:r>
        <w:rPr>
          <w:rFonts w:hint="eastAsia" w:ascii="宋体" w:hAnsi="宋体" w:cs="宋体"/>
          <w:bCs/>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napToGrid w:val="0"/>
        <w:spacing w:line="460" w:lineRule="exact"/>
        <w:ind w:firstLine="480" w:firstLineChars="200"/>
        <w:outlineLvl w:val="2"/>
        <w:rPr>
          <w:rFonts w:ascii="宋体" w:hAnsi="宋体" w:cs="宋体"/>
        </w:rPr>
      </w:pPr>
      <w:r>
        <w:rPr>
          <w:rFonts w:hint="eastAsia" w:ascii="宋体" w:hAnsi="宋体" w:cs="宋体"/>
          <w:bCs/>
          <w:sz w:val="24"/>
        </w:rPr>
        <w:t>2、投标截止时间后，投标供应商不得撤回、修改《投标文件》。</w:t>
      </w:r>
    </w:p>
    <w:p>
      <w:pPr>
        <w:spacing w:line="500" w:lineRule="exact"/>
        <w:jc w:val="center"/>
        <w:outlineLvl w:val="1"/>
        <w:rPr>
          <w:rFonts w:ascii="宋体" w:hAnsi="宋体" w:cs="宋体"/>
          <w:b/>
          <w:sz w:val="32"/>
          <w:szCs w:val="32"/>
        </w:rPr>
      </w:pPr>
      <w:bookmarkStart w:id="22" w:name="_Toc16193"/>
      <w:r>
        <w:rPr>
          <w:rFonts w:hint="eastAsia" w:ascii="宋体" w:hAnsi="宋体" w:cs="宋体"/>
          <w:b/>
          <w:sz w:val="32"/>
          <w:szCs w:val="32"/>
        </w:rPr>
        <w:t>四、开标</w:t>
      </w:r>
      <w:bookmarkEnd w:id="22"/>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（一）开标形式</w:t>
      </w:r>
    </w:p>
    <w:p>
      <w:pPr>
        <w:pStyle w:val="29"/>
        <w:spacing w:line="500" w:lineRule="exact"/>
        <w:ind w:firstLine="480" w:firstLineChars="200"/>
        <w:rPr>
          <w:rFonts w:hAnsi="宋体" w:cs="宋体"/>
          <w:sz w:val="24"/>
          <w:szCs w:val="24"/>
        </w:rPr>
      </w:pPr>
      <w:r>
        <w:rPr>
          <w:rFonts w:hint="eastAsia" w:hAnsi="宋体" w:cs="宋体"/>
          <w:sz w:val="24"/>
          <w:szCs w:val="24"/>
        </w:rPr>
        <w:t>采购代理机构将按照采购文件规定的时间通过“政府采购云平台”组织开标、开启投标文件，所有投标供应商均应当准时在线参加。</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（二）开标准备</w:t>
      </w:r>
    </w:p>
    <w:p>
      <w:pPr>
        <w:pStyle w:val="29"/>
        <w:spacing w:line="500" w:lineRule="exact"/>
        <w:ind w:firstLine="480" w:firstLineChars="200"/>
        <w:rPr>
          <w:rFonts w:hAnsi="宋体" w:cs="宋体"/>
          <w:sz w:val="24"/>
          <w:szCs w:val="24"/>
        </w:rPr>
      </w:pPr>
      <w:r>
        <w:rPr>
          <w:rFonts w:hint="eastAsia" w:hAnsi="宋体" w:cs="宋体"/>
          <w:sz w:val="24"/>
          <w:szCs w:val="24"/>
        </w:rPr>
        <w:t>1、开标的准备工作由采购代理机构负责落实；</w:t>
      </w:r>
    </w:p>
    <w:p>
      <w:pPr>
        <w:pStyle w:val="29"/>
        <w:spacing w:line="500" w:lineRule="exact"/>
        <w:ind w:firstLine="480" w:firstLineChars="200"/>
        <w:rPr>
          <w:rFonts w:hAnsi="宋体" w:cs="宋体"/>
          <w:sz w:val="24"/>
          <w:szCs w:val="24"/>
        </w:rPr>
      </w:pPr>
      <w:r>
        <w:rPr>
          <w:rFonts w:hint="eastAsia" w:hAnsi="宋体" w:cs="宋体"/>
          <w:sz w:val="24"/>
          <w:szCs w:val="24"/>
        </w:rPr>
        <w:t>2、</w:t>
      </w:r>
      <w:r>
        <w:rPr>
          <w:rFonts w:hint="eastAsia" w:hAnsi="宋体" w:cs="宋体"/>
          <w:b/>
          <w:bCs/>
          <w:sz w:val="24"/>
          <w:szCs w:val="24"/>
        </w:rPr>
        <w:t>采购代理机构将按照采购文件规定的时间通过“政府采购云平台”组织开标、开启投标文件，所有投标供应商均应当准时在线参加。投标供应商如不参加开标大会的，视同认可开标结果，事后不得对采购相关人员、开标过程和开标结果提出异议，同时投标供应商因未在线参加开标而导致投标文件无法按时解密等一切后果由投标供应商自己承担</w:t>
      </w:r>
      <w:r>
        <w:rPr>
          <w:rFonts w:hint="eastAsia" w:hAnsi="宋体" w:cs="宋体"/>
          <w:sz w:val="24"/>
          <w:szCs w:val="24"/>
        </w:rPr>
        <w:t>。</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（三）开标流程（两个阶段）</w:t>
      </w:r>
    </w:p>
    <w:p>
      <w:pPr>
        <w:snapToGrid w:val="0"/>
        <w:spacing w:line="500" w:lineRule="exact"/>
        <w:ind w:firstLine="482" w:firstLineChars="200"/>
        <w:outlineLvl w:val="3"/>
        <w:rPr>
          <w:rFonts w:ascii="宋体" w:hAnsi="宋体" w:cs="宋体"/>
          <w:b/>
          <w:sz w:val="24"/>
        </w:rPr>
      </w:pPr>
      <w:r>
        <w:rPr>
          <w:rFonts w:hint="eastAsia" w:ascii="宋体" w:hAnsi="宋体" w:cs="宋体"/>
          <w:b/>
          <w:sz w:val="24"/>
        </w:rPr>
        <w:t>1、开标第一阶段</w:t>
      </w:r>
    </w:p>
    <w:p>
      <w:pPr>
        <w:pStyle w:val="29"/>
        <w:spacing w:line="500" w:lineRule="exact"/>
        <w:ind w:firstLine="480" w:firstLineChars="200"/>
        <w:rPr>
          <w:rFonts w:hAnsi="宋体" w:cs="宋体"/>
          <w:sz w:val="24"/>
          <w:szCs w:val="24"/>
        </w:rPr>
      </w:pPr>
      <w:r>
        <w:rPr>
          <w:rFonts w:hint="eastAsia" w:hAnsi="宋体" w:cs="宋体"/>
          <w:sz w:val="24"/>
          <w:szCs w:val="24"/>
        </w:rPr>
        <w:t>（1）向各投标供应商发出电子加密投标文件【开始解密】通知，由投标供应商按采购文件规定的时间内自行进行投标文件解密。投标供应商在规定的时间内无法完成已递交的“电子加密投标文件”解密的，如已按规定递交了备份投标文件的，将由采购代理机构按“政府采购云平台”操作规范点击“异常处理”，由代理机构将备份投标文件上传至“政府采购云平台”，上传成功后，“电子加密投标文件”自动失效；</w:t>
      </w:r>
    </w:p>
    <w:p>
      <w:pPr>
        <w:pStyle w:val="29"/>
        <w:spacing w:line="500" w:lineRule="exact"/>
        <w:ind w:firstLine="480" w:firstLineChars="200"/>
        <w:rPr>
          <w:rFonts w:hAnsi="宋体" w:cs="宋体"/>
          <w:sz w:val="24"/>
          <w:szCs w:val="24"/>
        </w:rPr>
      </w:pPr>
      <w:r>
        <w:rPr>
          <w:rFonts w:hint="eastAsia" w:hAnsi="宋体" w:cs="宋体"/>
          <w:sz w:val="24"/>
          <w:szCs w:val="24"/>
        </w:rPr>
        <w:t>（2）投标文件解密结束，开启投标文件，进入资格审查；</w:t>
      </w:r>
    </w:p>
    <w:p>
      <w:pPr>
        <w:pStyle w:val="29"/>
        <w:spacing w:line="500" w:lineRule="exact"/>
        <w:ind w:firstLine="480" w:firstLineChars="200"/>
        <w:rPr>
          <w:rFonts w:hAnsi="宋体" w:cs="宋体"/>
          <w:sz w:val="24"/>
          <w:szCs w:val="24"/>
        </w:rPr>
      </w:pPr>
      <w:r>
        <w:rPr>
          <w:rFonts w:hint="eastAsia" w:hAnsi="宋体" w:cs="宋体"/>
          <w:sz w:val="24"/>
          <w:szCs w:val="24"/>
        </w:rPr>
        <w:t>（3）开启资格审查通过的投标供应商的商务技术资信及其他文件进入符合性审查、商务技术评审；</w:t>
      </w:r>
    </w:p>
    <w:p>
      <w:pPr>
        <w:pStyle w:val="29"/>
        <w:spacing w:line="500" w:lineRule="exact"/>
        <w:ind w:firstLine="480" w:firstLineChars="200"/>
        <w:rPr>
          <w:rFonts w:hAnsi="宋体" w:cs="宋体"/>
          <w:sz w:val="24"/>
          <w:szCs w:val="24"/>
        </w:rPr>
      </w:pPr>
      <w:r>
        <w:rPr>
          <w:rFonts w:hint="eastAsia" w:hAnsi="宋体" w:cs="宋体"/>
          <w:sz w:val="24"/>
          <w:szCs w:val="24"/>
        </w:rPr>
        <w:t>（4）第一阶段开标结束。</w:t>
      </w:r>
    </w:p>
    <w:p>
      <w:pPr>
        <w:pStyle w:val="29"/>
        <w:spacing w:line="500" w:lineRule="exact"/>
        <w:ind w:firstLine="482" w:firstLineChars="200"/>
        <w:rPr>
          <w:rFonts w:hAnsi="宋体" w:cs="宋体"/>
          <w:b/>
          <w:bCs/>
          <w:sz w:val="24"/>
          <w:szCs w:val="24"/>
        </w:rPr>
      </w:pPr>
      <w:r>
        <w:rPr>
          <w:rFonts w:hint="eastAsia" w:hAnsi="宋体" w:cs="宋体"/>
          <w:b/>
          <w:bCs/>
          <w:sz w:val="24"/>
          <w:szCs w:val="24"/>
        </w:rPr>
        <w:t>备注：开标大会的第一阶段结束后，采购人或采购代理机构将依法对投标供应商的资格进行审查，资格审查结束后进入符合性审查和商务技术的评审工作。</w:t>
      </w:r>
    </w:p>
    <w:p>
      <w:pPr>
        <w:snapToGrid w:val="0"/>
        <w:spacing w:line="500" w:lineRule="exact"/>
        <w:ind w:firstLine="482" w:firstLineChars="200"/>
        <w:outlineLvl w:val="3"/>
        <w:rPr>
          <w:rFonts w:ascii="宋体" w:hAnsi="宋体" w:cs="宋体"/>
          <w:b/>
          <w:sz w:val="24"/>
        </w:rPr>
      </w:pPr>
      <w:r>
        <w:rPr>
          <w:rFonts w:hint="eastAsia" w:ascii="宋体" w:hAnsi="宋体" w:cs="宋体"/>
          <w:b/>
          <w:sz w:val="24"/>
        </w:rPr>
        <w:t>2、开标大会第二阶段</w:t>
      </w:r>
    </w:p>
    <w:p>
      <w:pPr>
        <w:spacing w:line="500" w:lineRule="exact"/>
        <w:ind w:firstLine="480" w:firstLineChars="200"/>
        <w:jc w:val="left"/>
        <w:rPr>
          <w:rFonts w:ascii="宋体" w:hAnsi="宋体" w:cs="宋体"/>
          <w:sz w:val="24"/>
        </w:rPr>
      </w:pPr>
      <w:r>
        <w:rPr>
          <w:rFonts w:hint="eastAsia" w:ascii="宋体" w:hAnsi="宋体" w:cs="宋体"/>
          <w:sz w:val="24"/>
        </w:rPr>
        <w:t>（1）符合性审查、商务技术评审结束后，举行开标大会第二阶段会议。首先通过政采云公布符合性审查、商务技术评审无效投标供应商名称及理由；公布经商务技术评审后有效投标供应商的名单，同时公布其商务技术得分（总分）情况。</w:t>
      </w:r>
    </w:p>
    <w:p>
      <w:pPr>
        <w:spacing w:line="500" w:lineRule="exact"/>
        <w:ind w:firstLine="480" w:firstLineChars="200"/>
        <w:jc w:val="left"/>
        <w:rPr>
          <w:rFonts w:ascii="宋体" w:hAnsi="宋体" w:cs="宋体"/>
          <w:sz w:val="24"/>
        </w:rPr>
      </w:pPr>
      <w:r>
        <w:rPr>
          <w:rFonts w:hint="eastAsia" w:ascii="宋体" w:hAnsi="宋体" w:cs="宋体"/>
          <w:sz w:val="24"/>
        </w:rPr>
        <w:t>（2）开启符合性审查、商务技术评审有效投标供应商的《报价文件》，通过政采云公布开标记录表（所有投标供应商的报价），投标供应商对自己的报价金额有异议的通过发送邮件形式说明（不予说明视为无异议）。唱标结束后，由评标委员会对报价的合理性、准确性等进行审查核实。</w:t>
      </w:r>
    </w:p>
    <w:p>
      <w:pPr>
        <w:spacing w:line="500" w:lineRule="exact"/>
        <w:ind w:firstLine="480" w:firstLineChars="200"/>
        <w:jc w:val="left"/>
        <w:rPr>
          <w:rFonts w:ascii="宋体" w:hAnsi="宋体" w:cs="宋体"/>
          <w:sz w:val="24"/>
        </w:rPr>
      </w:pPr>
      <w:r>
        <w:rPr>
          <w:rFonts w:hint="eastAsia" w:ascii="宋体" w:hAnsi="宋体" w:cs="宋体"/>
          <w:sz w:val="24"/>
        </w:rPr>
        <w:t>（3）评审结束后，通过政采云公布中标候选投标供应商名单，及采购人最终确定中标人。</w:t>
      </w:r>
    </w:p>
    <w:p>
      <w:pPr>
        <w:spacing w:line="500" w:lineRule="exact"/>
        <w:ind w:firstLine="482" w:firstLineChars="200"/>
        <w:jc w:val="left"/>
        <w:rPr>
          <w:rFonts w:ascii="宋体" w:hAnsi="宋体" w:cs="宋体"/>
          <w:b/>
          <w:bCs/>
          <w:sz w:val="24"/>
        </w:rPr>
      </w:pPr>
      <w:r>
        <w:rPr>
          <w:rFonts w:hint="eastAsia" w:ascii="宋体" w:hAnsi="宋体" w:cs="宋体"/>
          <w:b/>
          <w:bCs/>
          <w:sz w:val="24"/>
        </w:rPr>
        <w:t>特别说明：如遇“政府采购云平台”电子化开标或评审程序调整的，按调整后程序执行。</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（四）投标供应商资格审查</w:t>
      </w:r>
    </w:p>
    <w:p>
      <w:pPr>
        <w:spacing w:line="500" w:lineRule="exact"/>
        <w:ind w:firstLine="480" w:firstLineChars="200"/>
        <w:jc w:val="left"/>
        <w:rPr>
          <w:rFonts w:ascii="宋体" w:hAnsi="宋体" w:cs="宋体"/>
          <w:sz w:val="24"/>
        </w:rPr>
      </w:pPr>
      <w:r>
        <w:rPr>
          <w:rFonts w:hint="eastAsia" w:ascii="宋体" w:hAnsi="宋体" w:cs="宋体"/>
          <w:sz w:val="24"/>
        </w:rPr>
        <w:t>1、开标大会第一阶段结束后，采购人或采购代理机构首先依法对各投标供应商的资格进行审查，审查各投标供应商的资格是否满足采购文件的要求。采购人或采购代理机构对投标供应商所提交的资格证明材料仅负审核的责任。如发现投标供应商所提交的资格证明材料不合法或与事实不符，采购人可取消其中标资格并追究投标供应商的法律责任。</w:t>
      </w:r>
    </w:p>
    <w:p>
      <w:pPr>
        <w:spacing w:line="500" w:lineRule="exact"/>
        <w:ind w:firstLine="480" w:firstLineChars="200"/>
        <w:jc w:val="left"/>
        <w:rPr>
          <w:rFonts w:ascii="宋体" w:hAnsi="宋体" w:cs="宋体"/>
          <w:sz w:val="24"/>
        </w:rPr>
      </w:pPr>
      <w:r>
        <w:rPr>
          <w:rFonts w:hint="eastAsia" w:ascii="宋体" w:hAnsi="宋体" w:cs="宋体"/>
          <w:sz w:val="24"/>
        </w:rPr>
        <w:t>2、投标供应商提交的资格证明材料无法证明其符合采购文件规定的“投标供应商资格要求”的，采购人或采购代理机构将对其作资格审查不通过处理（无效投标），并不再将其投标提交评标委员会进行后续评审。</w:t>
      </w:r>
    </w:p>
    <w:p>
      <w:pPr>
        <w:spacing w:line="500" w:lineRule="exact"/>
        <w:ind w:firstLine="480" w:firstLineChars="200"/>
        <w:jc w:val="left"/>
        <w:rPr>
          <w:rFonts w:ascii="宋体" w:hAnsi="宋体" w:cs="宋体"/>
        </w:rPr>
      </w:pPr>
      <w:r>
        <w:rPr>
          <w:rFonts w:hint="eastAsia" w:ascii="宋体" w:hAnsi="宋体" w:cs="宋体"/>
          <w:sz w:val="24"/>
        </w:rPr>
        <w:t>3、单位负责人为同一人或者存在直接控股、管理关系的不同投标供应商参加同一项目下的政府采购活动的，相关投标供应商均作资格无效处理。</w:t>
      </w:r>
    </w:p>
    <w:p>
      <w:pPr>
        <w:spacing w:line="500" w:lineRule="exact"/>
        <w:jc w:val="center"/>
        <w:outlineLvl w:val="1"/>
        <w:rPr>
          <w:rFonts w:ascii="宋体" w:hAnsi="宋体" w:cs="宋体"/>
          <w:b/>
          <w:sz w:val="32"/>
          <w:szCs w:val="32"/>
        </w:rPr>
      </w:pPr>
      <w:bookmarkStart w:id="23" w:name="_Toc17761"/>
      <w:r>
        <w:rPr>
          <w:rFonts w:hint="eastAsia" w:ascii="宋体" w:hAnsi="宋体" w:cs="宋体"/>
          <w:b/>
          <w:sz w:val="32"/>
          <w:szCs w:val="32"/>
        </w:rPr>
        <w:t>五、评标</w:t>
      </w:r>
      <w:bookmarkEnd w:id="23"/>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（一）评审工作的组织</w:t>
      </w:r>
    </w:p>
    <w:p>
      <w:pPr>
        <w:spacing w:line="500" w:lineRule="exact"/>
        <w:ind w:firstLine="480" w:firstLineChars="200"/>
        <w:jc w:val="left"/>
        <w:rPr>
          <w:rFonts w:ascii="宋体" w:hAnsi="宋体" w:cs="宋体"/>
          <w:sz w:val="24"/>
        </w:rPr>
      </w:pPr>
      <w:r>
        <w:rPr>
          <w:rFonts w:hint="eastAsia" w:ascii="宋体" w:hAnsi="宋体" w:cs="宋体"/>
          <w:sz w:val="24"/>
        </w:rPr>
        <w:t>1、采购代理机构负责组织本项目的评审工作，并依据《政府采购货物和服务招标投标管理办法（财政部第87号令）》第四十五条的相关规定履行职责。</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（二）评标委员会的组建</w:t>
      </w:r>
    </w:p>
    <w:p>
      <w:pPr>
        <w:spacing w:line="500" w:lineRule="exact"/>
        <w:ind w:firstLine="480" w:firstLineChars="200"/>
        <w:jc w:val="left"/>
        <w:rPr>
          <w:rFonts w:ascii="宋体" w:hAnsi="宋体" w:cs="宋体"/>
          <w:sz w:val="24"/>
        </w:rPr>
      </w:pPr>
      <w:r>
        <w:rPr>
          <w:rFonts w:hint="eastAsia" w:ascii="宋体" w:hAnsi="宋体" w:cs="宋体"/>
          <w:sz w:val="24"/>
        </w:rPr>
        <w:t>1、评标委员会由采购人或采购代理机构依法组建，成员包括采购人代表和评审专家，成员人数为5人或以上单数，其中评审专家不少于成员总数的三分之二。</w:t>
      </w:r>
    </w:p>
    <w:p>
      <w:pPr>
        <w:spacing w:line="500" w:lineRule="exact"/>
        <w:ind w:firstLine="480" w:firstLineChars="200"/>
        <w:jc w:val="left"/>
        <w:rPr>
          <w:rFonts w:ascii="宋体" w:hAnsi="宋体" w:cs="宋体"/>
          <w:sz w:val="24"/>
        </w:rPr>
      </w:pPr>
      <w:r>
        <w:rPr>
          <w:rFonts w:hint="eastAsia" w:ascii="宋体" w:hAnsi="宋体" w:cs="宋体"/>
          <w:sz w:val="24"/>
        </w:rPr>
        <w:t>2、评标委员会成员名单在评审结果（采购结果）公告前保密。</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（三）评标委员会的职责</w:t>
      </w:r>
    </w:p>
    <w:p>
      <w:pPr>
        <w:spacing w:line="500" w:lineRule="exact"/>
        <w:ind w:firstLine="482" w:firstLineChars="200"/>
        <w:jc w:val="left"/>
        <w:rPr>
          <w:rFonts w:ascii="宋体" w:hAnsi="宋体" w:cs="宋体"/>
          <w:b/>
          <w:bCs/>
          <w:sz w:val="24"/>
        </w:rPr>
      </w:pPr>
      <w:r>
        <w:rPr>
          <w:rFonts w:hint="eastAsia" w:ascii="宋体" w:hAnsi="宋体" w:cs="宋体"/>
          <w:b/>
          <w:bCs/>
          <w:sz w:val="24"/>
        </w:rPr>
        <w:t>1、评标委员会负责具体评审事务，并独立履行下列职责：</w:t>
      </w:r>
    </w:p>
    <w:p>
      <w:pPr>
        <w:spacing w:line="500" w:lineRule="exact"/>
        <w:ind w:firstLine="480" w:firstLineChars="200"/>
        <w:jc w:val="left"/>
        <w:rPr>
          <w:rFonts w:ascii="宋体" w:hAnsi="宋体" w:cs="宋体"/>
          <w:sz w:val="24"/>
        </w:rPr>
      </w:pPr>
      <w:r>
        <w:rPr>
          <w:rFonts w:hint="eastAsia" w:ascii="宋体" w:hAnsi="宋体" w:cs="宋体"/>
          <w:sz w:val="24"/>
        </w:rPr>
        <w:t>（1）审查、评价投标文件是否符合采购文件的资信、技术等实质性要求；</w:t>
      </w:r>
    </w:p>
    <w:p>
      <w:pPr>
        <w:spacing w:line="500" w:lineRule="exact"/>
        <w:ind w:firstLine="480" w:firstLineChars="200"/>
        <w:jc w:val="left"/>
        <w:rPr>
          <w:rFonts w:ascii="宋体" w:hAnsi="宋体" w:cs="宋体"/>
          <w:sz w:val="24"/>
        </w:rPr>
      </w:pPr>
      <w:r>
        <w:rPr>
          <w:rFonts w:hint="eastAsia" w:ascii="宋体" w:hAnsi="宋体" w:cs="宋体"/>
          <w:sz w:val="24"/>
        </w:rPr>
        <w:t>（2）要求投标供应商对投标文件有关事项做出澄清或者说明；</w:t>
      </w:r>
    </w:p>
    <w:p>
      <w:pPr>
        <w:spacing w:line="500" w:lineRule="exact"/>
        <w:ind w:firstLine="480" w:firstLineChars="200"/>
        <w:jc w:val="left"/>
        <w:rPr>
          <w:rFonts w:ascii="宋体" w:hAnsi="宋体" w:cs="宋体"/>
          <w:sz w:val="24"/>
        </w:rPr>
      </w:pPr>
      <w:r>
        <w:rPr>
          <w:rFonts w:hint="eastAsia" w:ascii="宋体" w:hAnsi="宋体" w:cs="宋体"/>
          <w:sz w:val="24"/>
        </w:rPr>
        <w:t>（3）对投标文件进行比较和评价；</w:t>
      </w:r>
    </w:p>
    <w:p>
      <w:pPr>
        <w:spacing w:line="500" w:lineRule="exact"/>
        <w:ind w:firstLine="480" w:firstLineChars="200"/>
        <w:jc w:val="left"/>
        <w:rPr>
          <w:rFonts w:ascii="宋体" w:hAnsi="宋体" w:cs="宋体"/>
          <w:sz w:val="24"/>
        </w:rPr>
      </w:pPr>
      <w:r>
        <w:rPr>
          <w:rFonts w:hint="eastAsia" w:ascii="宋体" w:hAnsi="宋体" w:cs="宋体"/>
          <w:sz w:val="24"/>
        </w:rPr>
        <w:t>（4）确定中标候选人名单，以及根据采购人委托直接确定中标人；</w:t>
      </w:r>
    </w:p>
    <w:p>
      <w:pPr>
        <w:spacing w:line="500" w:lineRule="exact"/>
        <w:ind w:firstLine="480" w:firstLineChars="200"/>
        <w:jc w:val="left"/>
        <w:rPr>
          <w:rFonts w:ascii="宋体" w:hAnsi="宋体" w:cs="宋体"/>
          <w:sz w:val="24"/>
        </w:rPr>
      </w:pPr>
      <w:r>
        <w:rPr>
          <w:rFonts w:hint="eastAsia" w:ascii="宋体" w:hAnsi="宋体" w:cs="宋体"/>
          <w:sz w:val="24"/>
        </w:rPr>
        <w:t>（5）向采购人、采购代理机构或者有关部门报告评审中发现的违法行为。</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（四）评审原则</w:t>
      </w:r>
    </w:p>
    <w:p>
      <w:pPr>
        <w:spacing w:line="500" w:lineRule="exact"/>
        <w:ind w:firstLine="480" w:firstLineChars="200"/>
        <w:jc w:val="left"/>
        <w:rPr>
          <w:rFonts w:ascii="宋体" w:hAnsi="宋体" w:cs="宋体"/>
          <w:sz w:val="24"/>
        </w:rPr>
      </w:pPr>
      <w:r>
        <w:rPr>
          <w:rFonts w:hint="eastAsia" w:ascii="宋体" w:hAnsi="宋体" w:cs="宋体"/>
          <w:sz w:val="24"/>
        </w:rPr>
        <w:t>1、评审原则：评标委员会按照客观、公正、审慎、择优的原则，根据采购文件规定的评审程序、评审方法和评审标准进行独立评审。</w:t>
      </w:r>
    </w:p>
    <w:p>
      <w:pPr>
        <w:spacing w:line="500" w:lineRule="exact"/>
        <w:ind w:firstLine="480" w:firstLineChars="200"/>
        <w:jc w:val="left"/>
        <w:rPr>
          <w:rFonts w:ascii="宋体" w:hAnsi="宋体" w:cs="宋体"/>
          <w:sz w:val="24"/>
        </w:rPr>
      </w:pPr>
      <w:r>
        <w:rPr>
          <w:rFonts w:hint="eastAsia" w:ascii="宋体" w:hAnsi="宋体" w:cs="宋体"/>
          <w:sz w:val="24"/>
        </w:rPr>
        <w:t>2、评审工作将依据采购文件、投标文件及采购文件中事先已列明的内容进行。</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（五）评审意见的争议处理</w:t>
      </w:r>
    </w:p>
    <w:p>
      <w:pPr>
        <w:spacing w:line="500" w:lineRule="exact"/>
        <w:ind w:firstLine="480" w:firstLineChars="200"/>
        <w:jc w:val="left"/>
        <w:rPr>
          <w:rFonts w:ascii="宋体" w:hAnsi="宋体" w:cs="宋体"/>
          <w:sz w:val="24"/>
        </w:rPr>
      </w:pPr>
      <w:r>
        <w:rPr>
          <w:rFonts w:hint="eastAsia" w:ascii="宋体" w:hAnsi="宋体" w:cs="宋体"/>
          <w:sz w:val="24"/>
        </w:rPr>
        <w:t>评标委员会成员对需要共同认定的事项存在争议的，按照少数服从多数的原则做出结论。持不同意见的评标委员会成员应当在评审报告上签署不同意见及理由，否则视为同意评审报告。</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（六）评委纪律</w:t>
      </w:r>
    </w:p>
    <w:p>
      <w:pPr>
        <w:spacing w:line="500" w:lineRule="exact"/>
        <w:ind w:firstLine="480" w:firstLineChars="200"/>
        <w:jc w:val="left"/>
        <w:rPr>
          <w:rFonts w:ascii="宋体" w:hAnsi="宋体" w:cs="宋体"/>
          <w:sz w:val="24"/>
        </w:rPr>
      </w:pPr>
      <w:r>
        <w:rPr>
          <w:rFonts w:hint="eastAsia" w:ascii="宋体" w:hAnsi="宋体" w:cs="宋体"/>
          <w:sz w:val="24"/>
        </w:rPr>
        <w:t>评标委员会成员必须严格遵守保密规定，不得泄露评审的有关情况，任何单位和个人不得干扰、影响评标的正常进行，评标委员会成员不得私下与投标供应商接触，不得出现浙江省政府采购活动现场组织管理办法中规定的其他禁止行为。</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（七）评审流程及内容</w:t>
      </w:r>
    </w:p>
    <w:p>
      <w:pPr>
        <w:spacing w:line="500" w:lineRule="exact"/>
        <w:ind w:firstLine="482" w:firstLineChars="200"/>
        <w:jc w:val="left"/>
        <w:rPr>
          <w:rFonts w:ascii="宋体" w:hAnsi="宋体" w:cs="宋体"/>
          <w:b/>
          <w:bCs/>
          <w:sz w:val="24"/>
        </w:rPr>
      </w:pPr>
      <w:r>
        <w:rPr>
          <w:rFonts w:hint="eastAsia" w:ascii="宋体" w:hAnsi="宋体" w:cs="宋体"/>
          <w:b/>
          <w:bCs/>
          <w:sz w:val="24"/>
        </w:rPr>
        <w:t>本项目具体的评审事务由评标委员会负责，评审流程及内容如下：</w:t>
      </w:r>
    </w:p>
    <w:p>
      <w:pPr>
        <w:spacing w:line="500" w:lineRule="exact"/>
        <w:ind w:firstLine="480" w:firstLineChars="200"/>
        <w:jc w:val="left"/>
        <w:outlineLvl w:val="3"/>
        <w:rPr>
          <w:rFonts w:ascii="宋体" w:hAnsi="宋体" w:cs="宋体"/>
          <w:sz w:val="24"/>
        </w:rPr>
      </w:pPr>
      <w:r>
        <w:rPr>
          <w:rFonts w:hint="eastAsia" w:ascii="宋体" w:hAnsi="宋体" w:cs="宋体"/>
          <w:sz w:val="24"/>
        </w:rPr>
        <w:t>1、评审前准备</w:t>
      </w:r>
    </w:p>
    <w:p>
      <w:pPr>
        <w:spacing w:line="500" w:lineRule="exact"/>
        <w:ind w:firstLine="480" w:firstLineChars="200"/>
        <w:jc w:val="left"/>
        <w:rPr>
          <w:rFonts w:ascii="宋体" w:hAnsi="宋体" w:cs="宋体"/>
          <w:sz w:val="24"/>
        </w:rPr>
      </w:pPr>
      <w:r>
        <w:rPr>
          <w:rFonts w:hint="eastAsia" w:ascii="宋体" w:hAnsi="宋体" w:cs="宋体"/>
          <w:sz w:val="24"/>
        </w:rPr>
        <w:t>（1）由评审专家推选评审小组组长，采购人代表不得担任评审小组组长。</w:t>
      </w:r>
    </w:p>
    <w:p>
      <w:pPr>
        <w:spacing w:line="500" w:lineRule="exact"/>
        <w:ind w:firstLine="480" w:firstLineChars="200"/>
        <w:jc w:val="left"/>
        <w:rPr>
          <w:rFonts w:ascii="宋体" w:hAnsi="宋体" w:cs="宋体"/>
          <w:sz w:val="24"/>
        </w:rPr>
      </w:pPr>
      <w:r>
        <w:rPr>
          <w:rFonts w:hint="eastAsia" w:ascii="宋体" w:hAnsi="宋体" w:cs="宋体"/>
          <w:sz w:val="24"/>
        </w:rPr>
        <w:t>（2）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pPr>
        <w:spacing w:line="500" w:lineRule="exact"/>
        <w:ind w:firstLine="480" w:firstLineChars="200"/>
        <w:jc w:val="left"/>
        <w:outlineLvl w:val="3"/>
        <w:rPr>
          <w:rFonts w:ascii="宋体" w:hAnsi="宋体" w:cs="宋体"/>
          <w:sz w:val="24"/>
        </w:rPr>
      </w:pPr>
      <w:r>
        <w:rPr>
          <w:rFonts w:hint="eastAsia" w:ascii="宋体" w:hAnsi="宋体" w:cs="宋体"/>
          <w:sz w:val="24"/>
        </w:rPr>
        <w:t>2、投标文件的初步审查、符合性审查</w:t>
      </w:r>
    </w:p>
    <w:p>
      <w:pPr>
        <w:spacing w:line="500" w:lineRule="exact"/>
        <w:ind w:firstLine="482" w:firstLineChars="200"/>
        <w:jc w:val="left"/>
        <w:rPr>
          <w:rFonts w:ascii="宋体" w:hAnsi="宋体" w:cs="宋体"/>
          <w:b/>
          <w:bCs/>
          <w:sz w:val="24"/>
        </w:rPr>
      </w:pPr>
      <w:r>
        <w:rPr>
          <w:rFonts w:hint="eastAsia" w:ascii="宋体" w:hAnsi="宋体" w:cs="宋体"/>
          <w:b/>
          <w:bCs/>
          <w:sz w:val="24"/>
        </w:rPr>
        <w:t>对所有通过资格审查的投标供应商的投标文件进行初步审查，审查、评价投标文件是否符合采购文件的资信、技术、服务等实质性要求。</w:t>
      </w:r>
    </w:p>
    <w:p>
      <w:pPr>
        <w:spacing w:line="500" w:lineRule="exact"/>
        <w:ind w:firstLine="480" w:firstLineChars="200"/>
        <w:jc w:val="left"/>
        <w:rPr>
          <w:rFonts w:ascii="宋体" w:hAnsi="宋体" w:cs="宋体"/>
          <w:sz w:val="24"/>
        </w:rPr>
      </w:pPr>
      <w:r>
        <w:rPr>
          <w:rFonts w:hint="eastAsia" w:ascii="宋体" w:hAnsi="宋体" w:cs="宋体"/>
          <w:sz w:val="24"/>
        </w:rPr>
        <w:t>（1）评标委员会首先对所有通过资格审查的投标供应商的投标文件进行符合性审查，审查每份投标文件是否实质上响应了采购文件的要求（实质性响应的投标文件是指投标文件符合采购文件规定的实质性内容、条件和规定）。</w:t>
      </w:r>
    </w:p>
    <w:p>
      <w:pPr>
        <w:spacing w:line="500" w:lineRule="exact"/>
        <w:ind w:firstLine="480" w:firstLineChars="200"/>
        <w:jc w:val="left"/>
        <w:outlineLvl w:val="3"/>
        <w:rPr>
          <w:rFonts w:ascii="宋体" w:hAnsi="宋体" w:cs="宋体"/>
          <w:sz w:val="24"/>
        </w:rPr>
      </w:pPr>
      <w:r>
        <w:rPr>
          <w:rFonts w:hint="eastAsia" w:ascii="宋体" w:hAnsi="宋体" w:cs="宋体"/>
          <w:sz w:val="24"/>
        </w:rPr>
        <w:t>3、投标文件的澄清、说明或补正</w:t>
      </w:r>
    </w:p>
    <w:p>
      <w:pPr>
        <w:spacing w:line="500" w:lineRule="exact"/>
        <w:ind w:firstLine="480" w:firstLineChars="200"/>
        <w:jc w:val="left"/>
        <w:rPr>
          <w:rFonts w:ascii="宋体" w:hAnsi="宋体" w:cs="宋体"/>
          <w:sz w:val="24"/>
        </w:rPr>
      </w:pPr>
      <w:r>
        <w:rPr>
          <w:rFonts w:hint="eastAsia" w:ascii="宋体" w:hAnsi="宋体" w:cs="宋体"/>
          <w:sz w:val="24"/>
        </w:rPr>
        <w:t>（1）对于投标文件中含义不明确、同类问题表述不一致或者有明显文字和计算错误的内容，评标委员会将以书面形式（或通过“政府采购云平台”在线询标）的形式要求投标供应商在规定的时间内做出必要的澄清、说明或者补正，投标供应商澄清、说明或补正时间为30分钟。</w:t>
      </w:r>
    </w:p>
    <w:p>
      <w:pPr>
        <w:spacing w:line="500" w:lineRule="exact"/>
        <w:ind w:firstLine="480" w:firstLineChars="200"/>
        <w:jc w:val="left"/>
        <w:rPr>
          <w:rFonts w:ascii="宋体" w:hAnsi="宋体" w:cs="宋体"/>
          <w:sz w:val="24"/>
        </w:rPr>
      </w:pPr>
      <w:r>
        <w:rPr>
          <w:rFonts w:hint="eastAsia" w:ascii="宋体" w:hAnsi="宋体" w:cs="宋体"/>
          <w:sz w:val="24"/>
        </w:rPr>
        <w:t>（2）评标过程中评标委员会对投标供应商提出质询或要求投标供应商书面确认的（或通过“政府采购云平台”在线答复），采用书面形式提交并加盖公章，或者由法定代表人或其授权的代表签字或盖章，30分钟内予以书面回复或确认，否则视为不予回复或确认，评标委员会有权拒绝该投标文件，澄清、说明或者补正不得超出投标文件的范围或者改变投标文件的实质性内容。</w:t>
      </w:r>
    </w:p>
    <w:p>
      <w:pPr>
        <w:spacing w:line="500" w:lineRule="exact"/>
        <w:ind w:firstLine="480" w:firstLineChars="200"/>
        <w:jc w:val="left"/>
        <w:outlineLvl w:val="3"/>
        <w:rPr>
          <w:rFonts w:ascii="宋体" w:hAnsi="宋体" w:cs="宋体"/>
          <w:sz w:val="24"/>
        </w:rPr>
      </w:pPr>
      <w:r>
        <w:rPr>
          <w:rFonts w:hint="eastAsia" w:ascii="宋体" w:hAnsi="宋体" w:cs="宋体"/>
          <w:sz w:val="24"/>
        </w:rPr>
        <w:t>4、投标文件的错误修正</w:t>
      </w:r>
    </w:p>
    <w:p>
      <w:pPr>
        <w:spacing w:line="500" w:lineRule="exact"/>
        <w:ind w:firstLine="480" w:firstLineChars="200"/>
        <w:jc w:val="left"/>
        <w:rPr>
          <w:rFonts w:ascii="宋体" w:hAnsi="宋体" w:cs="宋体"/>
          <w:sz w:val="24"/>
        </w:rPr>
      </w:pPr>
      <w:r>
        <w:rPr>
          <w:rFonts w:hint="eastAsia" w:ascii="宋体" w:hAnsi="宋体" w:cs="宋体"/>
          <w:sz w:val="24"/>
        </w:rPr>
        <w:t>《投标文件》如果出现计算或表达上的错误，修正错误的原则如下：</w:t>
      </w:r>
    </w:p>
    <w:p>
      <w:pPr>
        <w:spacing w:line="500" w:lineRule="exact"/>
        <w:ind w:firstLine="480" w:firstLineChars="200"/>
        <w:jc w:val="left"/>
        <w:rPr>
          <w:rFonts w:ascii="宋体" w:hAnsi="宋体" w:cs="宋体"/>
          <w:sz w:val="24"/>
        </w:rPr>
      </w:pPr>
      <w:r>
        <w:rPr>
          <w:rFonts w:hint="eastAsia" w:ascii="宋体" w:hAnsi="宋体" w:cs="宋体"/>
          <w:sz w:val="24"/>
        </w:rPr>
        <w:t>（1）投标文件中开标一览表内容与投标文件中相应内容不一致的，以开标一览表为准。</w:t>
      </w:r>
    </w:p>
    <w:p>
      <w:pPr>
        <w:spacing w:line="500" w:lineRule="exact"/>
        <w:ind w:firstLine="480" w:firstLineChars="200"/>
        <w:jc w:val="left"/>
        <w:rPr>
          <w:rFonts w:ascii="宋体" w:hAnsi="宋体" w:cs="宋体"/>
          <w:sz w:val="24"/>
        </w:rPr>
      </w:pPr>
      <w:r>
        <w:rPr>
          <w:rFonts w:hint="eastAsia" w:ascii="宋体" w:hAnsi="宋体" w:cs="宋体"/>
          <w:sz w:val="24"/>
        </w:rPr>
        <w:t>（2）《投标文件》的大写金额和小写金额不一致的，以大写金额为准；</w:t>
      </w:r>
    </w:p>
    <w:p>
      <w:pPr>
        <w:spacing w:line="500" w:lineRule="exact"/>
        <w:ind w:firstLine="480" w:firstLineChars="200"/>
        <w:jc w:val="left"/>
        <w:rPr>
          <w:rFonts w:ascii="宋体" w:hAnsi="宋体" w:cs="宋体"/>
          <w:sz w:val="24"/>
        </w:rPr>
      </w:pPr>
      <w:r>
        <w:rPr>
          <w:rFonts w:hint="eastAsia" w:ascii="宋体" w:hAnsi="宋体" w:cs="宋体"/>
          <w:sz w:val="24"/>
        </w:rPr>
        <w:t>（3）单价金额小数点或者百分比有明显错位的，应以开标一览表的总价为准，并修改单价；</w:t>
      </w:r>
    </w:p>
    <w:p>
      <w:pPr>
        <w:spacing w:line="500" w:lineRule="exact"/>
        <w:ind w:firstLine="480" w:firstLineChars="200"/>
        <w:jc w:val="left"/>
        <w:rPr>
          <w:rFonts w:ascii="宋体" w:hAnsi="宋体" w:cs="宋体"/>
          <w:sz w:val="24"/>
        </w:rPr>
      </w:pPr>
      <w:r>
        <w:rPr>
          <w:rFonts w:hint="eastAsia" w:ascii="宋体" w:hAnsi="宋体" w:cs="宋体"/>
          <w:sz w:val="24"/>
        </w:rPr>
        <w:t>（4）总价金额与按单价汇总金额不一致的，以单价金额计算结果为准。</w:t>
      </w:r>
    </w:p>
    <w:p>
      <w:pPr>
        <w:spacing w:line="500" w:lineRule="exact"/>
        <w:ind w:firstLine="480" w:firstLineChars="200"/>
        <w:jc w:val="left"/>
        <w:outlineLvl w:val="3"/>
        <w:rPr>
          <w:rFonts w:ascii="宋体" w:hAnsi="宋体" w:cs="宋体"/>
          <w:sz w:val="24"/>
        </w:rPr>
      </w:pPr>
      <w:r>
        <w:rPr>
          <w:rFonts w:hint="eastAsia" w:ascii="宋体" w:hAnsi="宋体" w:cs="宋体"/>
          <w:sz w:val="24"/>
        </w:rPr>
        <w:t>5、对不同文字文本《投标文件》的解释发生异议的，以中文文本为准。</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（八）投标文件有下列情况之一者将视为无效：</w:t>
      </w:r>
    </w:p>
    <w:p>
      <w:pPr>
        <w:spacing w:line="500" w:lineRule="exact"/>
        <w:ind w:firstLine="482" w:firstLineChars="200"/>
        <w:jc w:val="left"/>
        <w:outlineLvl w:val="3"/>
        <w:rPr>
          <w:rFonts w:ascii="宋体" w:hAnsi="宋体" w:cs="宋体"/>
          <w:b/>
          <w:bCs/>
          <w:sz w:val="24"/>
        </w:rPr>
      </w:pPr>
      <w:r>
        <w:rPr>
          <w:rFonts w:hint="eastAsia" w:ascii="宋体" w:hAnsi="宋体" w:cs="宋体"/>
          <w:b/>
          <w:bCs/>
          <w:sz w:val="24"/>
        </w:rPr>
        <w:t>1、资格文件、商务技术资信及其他文件符合性审查中，存在下列情形之一的，经评标委员会认定后作无效标处理：</w:t>
      </w:r>
    </w:p>
    <w:p>
      <w:pPr>
        <w:spacing w:line="500" w:lineRule="exact"/>
        <w:ind w:firstLine="480" w:firstLineChars="200"/>
        <w:jc w:val="left"/>
        <w:rPr>
          <w:rFonts w:ascii="宋体" w:hAnsi="宋体" w:cs="宋体"/>
          <w:sz w:val="24"/>
        </w:rPr>
      </w:pPr>
      <w:r>
        <w:rPr>
          <w:rFonts w:hint="eastAsia" w:ascii="宋体" w:hAnsi="宋体" w:cs="宋体"/>
          <w:sz w:val="24"/>
        </w:rPr>
        <w:t>（1）投标文件未有效授权，法定代表人授权委托书等填写错误或有涂改未修正的；</w:t>
      </w:r>
    </w:p>
    <w:p>
      <w:pPr>
        <w:spacing w:line="500" w:lineRule="exact"/>
        <w:ind w:firstLine="480" w:firstLineChars="200"/>
        <w:jc w:val="left"/>
        <w:rPr>
          <w:rFonts w:ascii="宋体" w:hAnsi="宋体" w:cs="宋体"/>
          <w:sz w:val="24"/>
        </w:rPr>
      </w:pPr>
      <w:r>
        <w:rPr>
          <w:rFonts w:hint="eastAsia" w:ascii="宋体" w:hAnsi="宋体" w:cs="宋体"/>
          <w:sz w:val="24"/>
        </w:rPr>
        <w:t>（2）投标文件没有对本采购文件做出实质性响应的，或不满足（不响应）本采购文件实质性要求条款的，或资格文件证明文件不全的，或存在采购文件中明确规定的其他无效标情形的；</w:t>
      </w:r>
    </w:p>
    <w:p>
      <w:pPr>
        <w:spacing w:line="500" w:lineRule="exact"/>
        <w:ind w:firstLine="480" w:firstLineChars="200"/>
        <w:jc w:val="left"/>
        <w:rPr>
          <w:rFonts w:ascii="宋体" w:hAnsi="宋体" w:cs="宋体"/>
          <w:sz w:val="24"/>
        </w:rPr>
      </w:pPr>
      <w:r>
        <w:rPr>
          <w:rFonts w:hint="eastAsia" w:ascii="宋体" w:hAnsi="宋体" w:cs="宋体"/>
          <w:sz w:val="24"/>
        </w:rPr>
        <w:t>（3）投标文件存在一个或一个以上备选（替代）投标方案的；</w:t>
      </w:r>
    </w:p>
    <w:p>
      <w:pPr>
        <w:spacing w:line="500" w:lineRule="exact"/>
        <w:ind w:firstLine="480" w:firstLineChars="200"/>
        <w:jc w:val="left"/>
        <w:rPr>
          <w:rFonts w:ascii="宋体" w:hAnsi="宋体" w:cs="宋体"/>
          <w:sz w:val="24"/>
        </w:rPr>
      </w:pPr>
      <w:r>
        <w:rPr>
          <w:rFonts w:hint="eastAsia" w:ascii="宋体" w:hAnsi="宋体" w:cs="宋体"/>
          <w:sz w:val="24"/>
        </w:rPr>
        <w:t>（4）仅提交“备份投标文件”的；</w:t>
      </w:r>
    </w:p>
    <w:p>
      <w:pPr>
        <w:spacing w:line="500" w:lineRule="exact"/>
        <w:ind w:firstLine="480" w:firstLineChars="200"/>
        <w:jc w:val="left"/>
        <w:rPr>
          <w:rFonts w:ascii="宋体" w:hAnsi="宋体" w:cs="宋体"/>
          <w:sz w:val="24"/>
        </w:rPr>
      </w:pPr>
      <w:r>
        <w:rPr>
          <w:rFonts w:hint="eastAsia" w:ascii="宋体" w:hAnsi="宋体" w:cs="宋体"/>
          <w:sz w:val="24"/>
        </w:rPr>
        <w:t>（5）资格文件组成内容不齐全；</w:t>
      </w:r>
    </w:p>
    <w:p>
      <w:pPr>
        <w:spacing w:line="500" w:lineRule="exact"/>
        <w:ind w:firstLine="480" w:firstLineChars="200"/>
        <w:jc w:val="left"/>
        <w:rPr>
          <w:rFonts w:ascii="宋体" w:hAnsi="宋体" w:cs="宋体"/>
          <w:sz w:val="24"/>
        </w:rPr>
      </w:pPr>
      <w:r>
        <w:rPr>
          <w:rFonts w:hint="eastAsia" w:ascii="宋体" w:hAnsi="宋体" w:cs="宋体"/>
          <w:sz w:val="24"/>
        </w:rPr>
        <w:t>（6）投标文件标注的响应或偏离情况与事实不符，或提供了虚假材料的；</w:t>
      </w:r>
    </w:p>
    <w:p>
      <w:pPr>
        <w:spacing w:line="500" w:lineRule="exact"/>
        <w:ind w:firstLine="480" w:firstLineChars="200"/>
        <w:jc w:val="left"/>
        <w:rPr>
          <w:rFonts w:ascii="宋体" w:hAnsi="宋体" w:cs="宋体"/>
          <w:sz w:val="24"/>
        </w:rPr>
      </w:pPr>
      <w:r>
        <w:rPr>
          <w:rFonts w:hint="eastAsia" w:ascii="宋体" w:hAnsi="宋体" w:cs="宋体"/>
          <w:sz w:val="24"/>
        </w:rPr>
        <w:t>（7）不响应或擅自改变本采购文件要求或投标文件有采购人不能接受的附加条件的；</w:t>
      </w:r>
    </w:p>
    <w:p>
      <w:pPr>
        <w:spacing w:line="500" w:lineRule="exact"/>
        <w:ind w:firstLine="480" w:firstLineChars="200"/>
        <w:jc w:val="left"/>
        <w:rPr>
          <w:rFonts w:ascii="宋体" w:hAnsi="宋体" w:cs="宋体"/>
          <w:sz w:val="24"/>
        </w:rPr>
      </w:pPr>
      <w:r>
        <w:rPr>
          <w:rFonts w:hint="eastAsia" w:ascii="宋体" w:hAnsi="宋体" w:cs="宋体"/>
          <w:sz w:val="24"/>
        </w:rPr>
        <w:t>（8）参加同一项目下政府采购活动的不同投标供应商之间存在利害关系并且存在影响政府采购公平竞争行为的；</w:t>
      </w:r>
    </w:p>
    <w:p>
      <w:pPr>
        <w:spacing w:line="500" w:lineRule="exact"/>
        <w:ind w:firstLine="480" w:firstLineChars="200"/>
        <w:jc w:val="left"/>
        <w:rPr>
          <w:rFonts w:ascii="宋体" w:hAnsi="宋体" w:cs="宋体"/>
          <w:sz w:val="24"/>
        </w:rPr>
      </w:pPr>
      <w:r>
        <w:rPr>
          <w:rFonts w:hint="eastAsia" w:ascii="宋体" w:hAnsi="宋体" w:cs="宋体"/>
          <w:sz w:val="24"/>
        </w:rPr>
        <w:t>（9）违反国家或政府部门相关法律、法规、文件规定的。</w:t>
      </w:r>
    </w:p>
    <w:p>
      <w:pPr>
        <w:spacing w:line="500" w:lineRule="exact"/>
        <w:ind w:firstLine="482" w:firstLineChars="200"/>
        <w:jc w:val="left"/>
        <w:outlineLvl w:val="3"/>
        <w:rPr>
          <w:rFonts w:ascii="宋体" w:hAnsi="宋体" w:cs="宋体"/>
          <w:b/>
          <w:bCs/>
          <w:sz w:val="24"/>
        </w:rPr>
      </w:pPr>
      <w:r>
        <w:rPr>
          <w:rFonts w:hint="eastAsia" w:ascii="宋体" w:hAnsi="宋体" w:cs="宋体"/>
          <w:b/>
          <w:bCs/>
          <w:sz w:val="24"/>
        </w:rPr>
        <w:t>2、报价文件符合性审查中，存在下列情形之一的，经评标委员会认定后作无效标处理：</w:t>
      </w:r>
    </w:p>
    <w:p>
      <w:pPr>
        <w:spacing w:line="500" w:lineRule="exact"/>
        <w:ind w:firstLine="480" w:firstLineChars="200"/>
        <w:jc w:val="left"/>
        <w:rPr>
          <w:rFonts w:ascii="宋体" w:hAnsi="宋体" w:cs="宋体"/>
          <w:sz w:val="24"/>
        </w:rPr>
      </w:pPr>
      <w:r>
        <w:rPr>
          <w:rFonts w:hint="eastAsia" w:ascii="宋体" w:hAnsi="宋体" w:cs="宋体"/>
          <w:sz w:val="24"/>
        </w:rPr>
        <w:t>（1）投标文件没有对本采购文件做出实质性响应的，或不满足（不响应）本采购文件规定的实质性要求条款的，或存在采购文件中明确规定的其他无效标情形的；</w:t>
      </w:r>
    </w:p>
    <w:p>
      <w:pPr>
        <w:spacing w:line="500" w:lineRule="exact"/>
        <w:ind w:firstLine="480" w:firstLineChars="200"/>
        <w:jc w:val="left"/>
        <w:rPr>
          <w:rFonts w:ascii="宋体" w:hAnsi="宋体" w:cs="宋体"/>
          <w:sz w:val="24"/>
        </w:rPr>
      </w:pPr>
      <w:r>
        <w:rPr>
          <w:rFonts w:hint="eastAsia" w:ascii="宋体" w:hAnsi="宋体" w:cs="宋体"/>
          <w:sz w:val="24"/>
        </w:rPr>
        <w:t>（2）投标文件存在一个或一个以上备选（替代）投标方案的；</w:t>
      </w:r>
    </w:p>
    <w:p>
      <w:pPr>
        <w:spacing w:line="500" w:lineRule="exact"/>
        <w:ind w:firstLine="480" w:firstLineChars="200"/>
        <w:jc w:val="left"/>
        <w:rPr>
          <w:rFonts w:ascii="宋体" w:hAnsi="宋体" w:cs="宋体"/>
          <w:sz w:val="24"/>
        </w:rPr>
      </w:pPr>
      <w:r>
        <w:rPr>
          <w:rFonts w:hint="eastAsia" w:ascii="宋体" w:hAnsi="宋体" w:cs="宋体"/>
          <w:sz w:val="24"/>
        </w:rPr>
        <w:t>（3）未按照采购文件标明的币种报价的，或者投标报价涵盖的内容不符合采购文件要求的；</w:t>
      </w:r>
    </w:p>
    <w:p>
      <w:pPr>
        <w:spacing w:line="500" w:lineRule="exact"/>
        <w:ind w:firstLine="480" w:firstLineChars="200"/>
        <w:jc w:val="left"/>
        <w:rPr>
          <w:rFonts w:ascii="宋体" w:hAnsi="宋体" w:cs="宋体"/>
          <w:sz w:val="24"/>
        </w:rPr>
      </w:pPr>
      <w:r>
        <w:rPr>
          <w:rFonts w:hint="eastAsia" w:ascii="宋体" w:hAnsi="宋体" w:cs="宋体"/>
          <w:sz w:val="24"/>
        </w:rPr>
        <w:t>（4）投标报价具有选择性；</w:t>
      </w:r>
    </w:p>
    <w:p>
      <w:pPr>
        <w:spacing w:line="500" w:lineRule="exact"/>
        <w:ind w:firstLine="480" w:firstLineChars="200"/>
        <w:jc w:val="left"/>
        <w:rPr>
          <w:rFonts w:ascii="宋体" w:hAnsi="宋体" w:cs="宋体"/>
          <w:sz w:val="24"/>
        </w:rPr>
      </w:pPr>
      <w:r>
        <w:rPr>
          <w:rFonts w:hint="eastAsia" w:ascii="宋体" w:hAnsi="宋体" w:cs="宋体"/>
          <w:sz w:val="24"/>
        </w:rPr>
        <w:t>（5）投标报价超过采购预算（或最高限价）的；</w:t>
      </w:r>
    </w:p>
    <w:p>
      <w:pPr>
        <w:spacing w:line="500" w:lineRule="exact"/>
        <w:ind w:firstLine="480" w:firstLineChars="200"/>
        <w:jc w:val="left"/>
        <w:rPr>
          <w:rFonts w:ascii="宋体" w:hAnsi="宋体" w:cs="宋体"/>
          <w:sz w:val="24"/>
        </w:rPr>
      </w:pPr>
      <w:r>
        <w:rPr>
          <w:rFonts w:hint="eastAsia" w:ascii="宋体" w:hAnsi="宋体" w:cs="宋体"/>
          <w:sz w:val="24"/>
        </w:rPr>
        <w:t>（6）投标文件组成内容不齐全，本采购文件规定必须提供而未提供的（属于资格审查范围的除外）；</w:t>
      </w:r>
    </w:p>
    <w:p>
      <w:pPr>
        <w:spacing w:line="500" w:lineRule="exact"/>
        <w:ind w:firstLine="480" w:firstLineChars="200"/>
        <w:jc w:val="left"/>
        <w:rPr>
          <w:rFonts w:ascii="宋体" w:hAnsi="宋体" w:cs="宋体"/>
          <w:sz w:val="24"/>
        </w:rPr>
      </w:pPr>
      <w:r>
        <w:rPr>
          <w:rFonts w:hint="eastAsia" w:ascii="宋体" w:hAnsi="宋体" w:cs="宋体"/>
          <w:sz w:val="24"/>
        </w:rPr>
        <w:t>（7）投标文件标注的响应或偏离情况与事实不符，或提供了虚假材料的；</w:t>
      </w:r>
    </w:p>
    <w:p>
      <w:pPr>
        <w:spacing w:line="500" w:lineRule="exact"/>
        <w:ind w:firstLine="480" w:firstLineChars="200"/>
        <w:jc w:val="left"/>
        <w:rPr>
          <w:rFonts w:ascii="宋体" w:hAnsi="宋体" w:cs="宋体"/>
          <w:sz w:val="24"/>
        </w:rPr>
      </w:pPr>
      <w:r>
        <w:rPr>
          <w:rFonts w:hint="eastAsia" w:ascii="宋体" w:hAnsi="宋体" w:cs="宋体"/>
          <w:sz w:val="24"/>
        </w:rPr>
        <w:t>（8）不响应或擅自改变本采购文件要求或投标文件有采购人不能接受的附加条件的；</w:t>
      </w:r>
    </w:p>
    <w:p>
      <w:pPr>
        <w:spacing w:line="500" w:lineRule="exact"/>
        <w:ind w:firstLine="480" w:firstLineChars="200"/>
        <w:jc w:val="left"/>
        <w:rPr>
          <w:rFonts w:ascii="宋体" w:hAnsi="宋体" w:cs="宋体"/>
          <w:sz w:val="24"/>
        </w:rPr>
      </w:pPr>
      <w:r>
        <w:rPr>
          <w:rFonts w:hint="eastAsia" w:ascii="宋体" w:hAnsi="宋体" w:cs="宋体"/>
          <w:sz w:val="24"/>
        </w:rPr>
        <w:t>（9）评审委员会认为投标供应商报价明显低于其他合格投标供应商的报价，有可能影响服务质量或者不能诚信履约的，应当要求其在合理时间内提供书面说明，必要时提供相关证明材料；投标供应商不能证明其报价合理性的，评审委员会应当将其作为无效投标或者无效响应处理；</w:t>
      </w:r>
    </w:p>
    <w:p>
      <w:pPr>
        <w:spacing w:line="500" w:lineRule="exact"/>
        <w:ind w:firstLine="480" w:firstLineChars="200"/>
        <w:jc w:val="left"/>
        <w:rPr>
          <w:rFonts w:ascii="宋体" w:hAnsi="宋体" w:cs="宋体"/>
          <w:sz w:val="24"/>
        </w:rPr>
      </w:pPr>
      <w:r>
        <w:rPr>
          <w:rFonts w:hint="eastAsia" w:ascii="宋体" w:hAnsi="宋体" w:cs="宋体"/>
          <w:sz w:val="24"/>
        </w:rPr>
        <w:t>（10）违反国家或政府部门相关法律、法规、文件规定的。</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（九）投标文件的评估、比较、评分</w:t>
      </w:r>
    </w:p>
    <w:p>
      <w:pPr>
        <w:spacing w:line="500" w:lineRule="exact"/>
        <w:ind w:firstLine="480" w:firstLineChars="200"/>
        <w:jc w:val="left"/>
        <w:rPr>
          <w:rFonts w:ascii="宋体" w:hAnsi="宋体" w:cs="宋体"/>
          <w:sz w:val="24"/>
        </w:rPr>
      </w:pPr>
      <w:r>
        <w:rPr>
          <w:rFonts w:hint="eastAsia" w:ascii="宋体" w:hAnsi="宋体" w:cs="宋体"/>
          <w:sz w:val="24"/>
        </w:rPr>
        <w:t>1、评标委员会应当按照采购文件中规定的评审方法和标准，对符合性审查合格的投标文件进行商务和技术评估，综合比较与评价。评标时，评标委员会各成员将独立对每个投标供应商的投标文件进行评价，并汇总每个投标供应商的得分。评审细则详见第四部分“评标办法及评分标准”。</w:t>
      </w:r>
    </w:p>
    <w:p>
      <w:pPr>
        <w:spacing w:line="500" w:lineRule="exact"/>
        <w:ind w:firstLine="480" w:firstLineChars="200"/>
        <w:jc w:val="left"/>
        <w:rPr>
          <w:rFonts w:ascii="宋体" w:hAnsi="宋体" w:cs="宋体"/>
          <w:sz w:val="24"/>
        </w:rPr>
      </w:pPr>
      <w:r>
        <w:rPr>
          <w:rFonts w:hint="eastAsia" w:ascii="宋体" w:hAnsi="宋体" w:cs="宋体"/>
          <w:sz w:val="24"/>
        </w:rPr>
        <w:t>2、对采购代理机构工作人员汇总的评审结果进行确认。如发现分值汇总计算错误、分项评分超出评分标准范围、客观评分不一致以及存在畸高、畸低（其总评分偏离平均分30%以上的）情形的，评审小组组长应提醒相关评审人员当场改正或书面说明理由，拒不改正又不作书面说明的，由现场监督员如实记载后存入项目档案资料。</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（十）修改评审结果</w:t>
      </w:r>
    </w:p>
    <w:p>
      <w:pPr>
        <w:spacing w:line="500" w:lineRule="exact"/>
        <w:ind w:firstLine="482" w:firstLineChars="200"/>
        <w:jc w:val="left"/>
        <w:outlineLvl w:val="3"/>
        <w:rPr>
          <w:rFonts w:ascii="宋体" w:hAnsi="宋体" w:cs="宋体"/>
          <w:b/>
          <w:bCs/>
          <w:sz w:val="24"/>
        </w:rPr>
      </w:pPr>
      <w:r>
        <w:rPr>
          <w:rFonts w:hint="eastAsia" w:ascii="宋体" w:hAnsi="宋体" w:cs="宋体"/>
          <w:b/>
          <w:bCs/>
          <w:sz w:val="24"/>
        </w:rPr>
        <w:t>1、评标结果汇总完成后，除下列情形外，任何人不得修改评标结果：</w:t>
      </w:r>
    </w:p>
    <w:p>
      <w:pPr>
        <w:spacing w:line="500" w:lineRule="exact"/>
        <w:ind w:firstLine="480" w:firstLineChars="200"/>
        <w:jc w:val="left"/>
        <w:rPr>
          <w:rFonts w:ascii="宋体" w:hAnsi="宋体" w:cs="宋体"/>
          <w:sz w:val="24"/>
        </w:rPr>
      </w:pPr>
      <w:r>
        <w:rPr>
          <w:rFonts w:hint="eastAsia" w:ascii="宋体" w:hAnsi="宋体" w:cs="宋体"/>
          <w:sz w:val="24"/>
        </w:rPr>
        <w:t>（1）分值汇总计算错误的；</w:t>
      </w:r>
    </w:p>
    <w:p>
      <w:pPr>
        <w:spacing w:line="500" w:lineRule="exact"/>
        <w:ind w:firstLine="480" w:firstLineChars="200"/>
        <w:jc w:val="left"/>
        <w:rPr>
          <w:rFonts w:ascii="宋体" w:hAnsi="宋体" w:cs="宋体"/>
          <w:sz w:val="24"/>
        </w:rPr>
      </w:pPr>
      <w:r>
        <w:rPr>
          <w:rFonts w:hint="eastAsia" w:ascii="宋体" w:hAnsi="宋体" w:cs="宋体"/>
          <w:sz w:val="24"/>
        </w:rPr>
        <w:t>（2）分项评分超出评分标准范围的；</w:t>
      </w:r>
    </w:p>
    <w:p>
      <w:pPr>
        <w:spacing w:line="500" w:lineRule="exact"/>
        <w:ind w:firstLine="480" w:firstLineChars="200"/>
        <w:jc w:val="left"/>
        <w:rPr>
          <w:rFonts w:ascii="宋体" w:hAnsi="宋体" w:cs="宋体"/>
          <w:sz w:val="24"/>
        </w:rPr>
      </w:pPr>
      <w:r>
        <w:rPr>
          <w:rFonts w:hint="eastAsia" w:ascii="宋体" w:hAnsi="宋体" w:cs="宋体"/>
          <w:sz w:val="24"/>
        </w:rPr>
        <w:t>（3）评标委员会成员对客观评审因素评分不一致的；</w:t>
      </w:r>
    </w:p>
    <w:p>
      <w:pPr>
        <w:spacing w:line="500" w:lineRule="exact"/>
        <w:ind w:firstLine="480" w:firstLineChars="200"/>
        <w:jc w:val="left"/>
        <w:rPr>
          <w:rFonts w:ascii="宋体" w:hAnsi="宋体" w:cs="宋体"/>
          <w:sz w:val="24"/>
        </w:rPr>
      </w:pPr>
      <w:r>
        <w:rPr>
          <w:rFonts w:hint="eastAsia" w:ascii="宋体" w:hAnsi="宋体" w:cs="宋体"/>
          <w:sz w:val="24"/>
        </w:rPr>
        <w:t>（4）经评标委员会认定评分畸高、畸低的。</w:t>
      </w:r>
    </w:p>
    <w:p>
      <w:pPr>
        <w:spacing w:line="500" w:lineRule="exact"/>
        <w:ind w:firstLine="482" w:firstLineChars="200"/>
        <w:jc w:val="left"/>
        <w:outlineLvl w:val="3"/>
        <w:rPr>
          <w:rFonts w:ascii="宋体" w:hAnsi="宋体" w:cs="宋体"/>
          <w:b/>
          <w:bCs/>
          <w:sz w:val="24"/>
        </w:rPr>
      </w:pPr>
      <w:r>
        <w:rPr>
          <w:rFonts w:hint="eastAsia" w:ascii="宋体" w:hAnsi="宋体" w:cs="宋体"/>
          <w:b/>
          <w:bCs/>
          <w:sz w:val="24"/>
        </w:rPr>
        <w:t>2、评标报告签署前，经复核发现存在以上情形之一的，评标委员会将当场修改评标结果，并在评标报告中记载。</w:t>
      </w:r>
    </w:p>
    <w:p>
      <w:pPr>
        <w:snapToGrid w:val="0"/>
        <w:spacing w:line="500" w:lineRule="exact"/>
        <w:ind w:firstLine="482" w:firstLineChars="200"/>
        <w:outlineLvl w:val="2"/>
        <w:rPr>
          <w:rFonts w:ascii="宋体" w:hAnsi="宋体" w:cs="宋体"/>
          <w:b/>
          <w:sz w:val="24"/>
        </w:rPr>
      </w:pPr>
      <w:r>
        <w:rPr>
          <w:rFonts w:hint="eastAsia" w:ascii="宋体" w:hAnsi="宋体" w:cs="宋体"/>
          <w:b/>
          <w:sz w:val="24"/>
        </w:rPr>
        <w:t>（十一）投标供应商排序及推荐中标候选投标供应商</w:t>
      </w:r>
    </w:p>
    <w:p>
      <w:pPr>
        <w:spacing w:line="500" w:lineRule="exact"/>
        <w:ind w:firstLine="480" w:firstLineChars="200"/>
        <w:jc w:val="left"/>
        <w:rPr>
          <w:rFonts w:ascii="宋体" w:hAnsi="宋体" w:cs="宋体"/>
          <w:sz w:val="24"/>
        </w:rPr>
      </w:pPr>
      <w:r>
        <w:rPr>
          <w:rFonts w:hint="eastAsia" w:ascii="宋体" w:hAnsi="宋体" w:cs="宋体"/>
          <w:sz w:val="24"/>
        </w:rPr>
        <w:t>评标委员会根据以下规定确定投标供应商排名并推荐中标候选投标供应商。</w:t>
      </w:r>
    </w:p>
    <w:p>
      <w:pPr>
        <w:spacing w:line="500" w:lineRule="exact"/>
        <w:ind w:firstLine="482" w:firstLineChars="200"/>
        <w:rPr>
          <w:rFonts w:ascii="宋体" w:hAnsi="宋体" w:cs="宋体"/>
          <w:kern w:val="0"/>
          <w:sz w:val="24"/>
        </w:rPr>
      </w:pPr>
      <w:r>
        <w:rPr>
          <w:rFonts w:hint="eastAsia" w:ascii="宋体" w:hAnsi="宋体" w:cs="宋体"/>
          <w:b/>
          <w:sz w:val="24"/>
        </w:rPr>
        <w:t>1、评标委员会根据各投标供应商的综合得分（商务技术分与报价得分之和）从高到低依次进行排名排序。特殊情形按以下原则处理：</w:t>
      </w:r>
    </w:p>
    <w:p>
      <w:pPr>
        <w:spacing w:line="500" w:lineRule="exact"/>
        <w:ind w:firstLine="480" w:firstLineChars="200"/>
        <w:jc w:val="left"/>
        <w:rPr>
          <w:rFonts w:ascii="宋体" w:hAnsi="宋体" w:cs="宋体"/>
          <w:sz w:val="24"/>
        </w:rPr>
      </w:pPr>
      <w:r>
        <w:rPr>
          <w:rFonts w:hint="eastAsia" w:ascii="宋体" w:hAnsi="宋体" w:cs="宋体"/>
          <w:sz w:val="24"/>
        </w:rPr>
        <w:t>（1）综合得分相同的，按投标报价低的优先原则确定排名；</w:t>
      </w:r>
    </w:p>
    <w:p>
      <w:pPr>
        <w:spacing w:line="500" w:lineRule="exact"/>
        <w:ind w:firstLine="480" w:firstLineChars="200"/>
        <w:jc w:val="left"/>
        <w:rPr>
          <w:rFonts w:ascii="宋体" w:hAnsi="宋体" w:cs="宋体"/>
          <w:sz w:val="24"/>
        </w:rPr>
      </w:pPr>
      <w:r>
        <w:rPr>
          <w:rFonts w:hint="eastAsia" w:ascii="宋体" w:hAnsi="宋体" w:cs="宋体"/>
          <w:sz w:val="24"/>
        </w:rPr>
        <w:t>（2）综合得分和投标报价均相同的，按技术得分从高到低确定排名；</w:t>
      </w:r>
    </w:p>
    <w:p>
      <w:pPr>
        <w:spacing w:line="500" w:lineRule="exact"/>
        <w:ind w:firstLine="482" w:firstLineChars="200"/>
        <w:rPr>
          <w:rFonts w:ascii="宋体" w:hAnsi="宋体" w:cs="宋体"/>
          <w:b/>
          <w:sz w:val="24"/>
        </w:rPr>
      </w:pPr>
      <w:r>
        <w:rPr>
          <w:rFonts w:hint="eastAsia" w:ascii="宋体" w:hAnsi="宋体" w:cs="宋体"/>
          <w:b/>
          <w:sz w:val="24"/>
        </w:rPr>
        <w:t>2、根据最终得分排序，通过书面评审报告的形式，向采购人推荐排名第一的投标供应商为中标人。</w:t>
      </w:r>
    </w:p>
    <w:p>
      <w:pPr>
        <w:spacing w:line="500" w:lineRule="exact"/>
        <w:ind w:firstLine="482" w:firstLineChars="200"/>
        <w:rPr>
          <w:rFonts w:ascii="宋体" w:hAnsi="宋体" w:cs="宋体"/>
          <w:b/>
          <w:sz w:val="24"/>
        </w:rPr>
      </w:pPr>
      <w:r>
        <w:rPr>
          <w:rFonts w:hint="eastAsia" w:ascii="宋体" w:hAnsi="宋体" w:cs="宋体"/>
          <w:b/>
          <w:sz w:val="24"/>
        </w:rPr>
        <w:t>（十二）起草、签署评审报告</w:t>
      </w:r>
    </w:p>
    <w:p>
      <w:pPr>
        <w:autoSpaceDE w:val="0"/>
        <w:autoSpaceDN w:val="0"/>
        <w:spacing w:line="500" w:lineRule="exact"/>
        <w:ind w:firstLine="480" w:firstLineChars="200"/>
        <w:rPr>
          <w:rFonts w:ascii="宋体" w:hAnsi="宋体" w:cs="宋体"/>
          <w:sz w:val="24"/>
        </w:rPr>
      </w:pPr>
      <w:r>
        <w:rPr>
          <w:rFonts w:hint="eastAsia" w:ascii="宋体" w:hAnsi="宋体" w:cs="宋体"/>
          <w:sz w:val="24"/>
        </w:rPr>
        <w:t>评审结束后，评标委员会将通过“政府采购云平台”起草评审报告，评标委员会成员应当在评审报告上签字，对自己的评审意见承担法律责任。对评审报告有异议的，应当在评审报告上签署不同意见，并说明理由，否则视为同意评审报告。</w:t>
      </w:r>
    </w:p>
    <w:p>
      <w:pPr>
        <w:pStyle w:val="115"/>
        <w:spacing w:before="0" w:line="500" w:lineRule="exact"/>
        <w:ind w:firstLine="482"/>
        <w:outlineLvl w:val="0"/>
        <w:rPr>
          <w:rFonts w:ascii="宋体" w:hAnsi="宋体" w:cs="宋体"/>
          <w:b/>
          <w:szCs w:val="24"/>
        </w:rPr>
      </w:pPr>
      <w:r>
        <w:rPr>
          <w:rFonts w:hint="eastAsia" w:ascii="宋体" w:hAnsi="宋体" w:cs="宋体"/>
          <w:b/>
          <w:szCs w:val="24"/>
        </w:rPr>
        <w:t>（十三） 评标内容的保密</w:t>
      </w:r>
    </w:p>
    <w:p>
      <w:pPr>
        <w:pStyle w:val="115"/>
        <w:spacing w:before="0" w:line="500" w:lineRule="exact"/>
        <w:ind w:firstLine="480"/>
        <w:rPr>
          <w:rFonts w:ascii="宋体" w:hAnsi="宋体" w:cs="宋体"/>
          <w:szCs w:val="24"/>
        </w:rPr>
      </w:pPr>
      <w:r>
        <w:rPr>
          <w:rFonts w:hint="eastAsia" w:ascii="宋体" w:hAnsi="宋体" w:cs="宋体"/>
          <w:szCs w:val="24"/>
        </w:rPr>
        <w:t>1、公开开标后，直到宣布中标人止，凡属于审查、澄清、评价和比较投标的所有资料，都不应向投标供应商或与评标无关的其他人泄露。</w:t>
      </w:r>
    </w:p>
    <w:p>
      <w:pPr>
        <w:pStyle w:val="115"/>
        <w:spacing w:before="0" w:line="500" w:lineRule="exact"/>
        <w:ind w:firstLine="480"/>
        <w:rPr>
          <w:rFonts w:ascii="宋体" w:hAnsi="宋体" w:cs="宋体"/>
          <w:szCs w:val="24"/>
        </w:rPr>
      </w:pPr>
      <w:r>
        <w:rPr>
          <w:rFonts w:hint="eastAsia" w:ascii="宋体" w:hAnsi="宋体" w:cs="宋体"/>
          <w:szCs w:val="24"/>
        </w:rPr>
        <w:t>2、在投标文件的审查、澄清、评价和比较以及确定中标人过程中，投标供应商对采购人和评标机构施加影响的任何行为，都将导致取消资格。</w:t>
      </w:r>
    </w:p>
    <w:p>
      <w:pPr>
        <w:pStyle w:val="115"/>
        <w:spacing w:before="0" w:line="500" w:lineRule="exact"/>
        <w:ind w:firstLine="482"/>
        <w:outlineLvl w:val="2"/>
        <w:rPr>
          <w:rFonts w:ascii="宋体" w:hAnsi="宋体" w:cs="宋体"/>
          <w:b/>
          <w:szCs w:val="24"/>
        </w:rPr>
      </w:pPr>
      <w:r>
        <w:rPr>
          <w:rFonts w:hint="eastAsia" w:ascii="宋体" w:hAnsi="宋体" w:cs="宋体"/>
          <w:b/>
          <w:szCs w:val="24"/>
        </w:rPr>
        <w:t>（十四） 投标文件的澄清</w:t>
      </w:r>
    </w:p>
    <w:p>
      <w:pPr>
        <w:snapToGrid w:val="0"/>
        <w:spacing w:line="500" w:lineRule="exact"/>
        <w:ind w:firstLine="480" w:firstLineChars="200"/>
        <w:rPr>
          <w:rFonts w:ascii="宋体" w:hAnsi="宋体" w:cs="宋体"/>
          <w:sz w:val="24"/>
        </w:rPr>
      </w:pPr>
      <w:r>
        <w:rPr>
          <w:rFonts w:hint="eastAsia" w:ascii="宋体" w:hAnsi="宋体" w:cs="宋体"/>
          <w:sz w:val="24"/>
        </w:rPr>
        <w:t>1、公开开标后，直到宣布中标人止，凡属于审查、澄清、评价和比较投标的所有资料，都不应向投标供应商或与评标无关的其他人泄露。</w:t>
      </w:r>
    </w:p>
    <w:p>
      <w:pPr>
        <w:snapToGrid w:val="0"/>
        <w:spacing w:line="500" w:lineRule="exact"/>
        <w:ind w:firstLine="480" w:firstLineChars="200"/>
        <w:rPr>
          <w:rFonts w:ascii="宋体" w:hAnsi="宋体" w:cs="宋体"/>
          <w:sz w:val="24"/>
        </w:rPr>
      </w:pPr>
      <w:r>
        <w:rPr>
          <w:rFonts w:hint="eastAsia" w:ascii="宋体" w:hAnsi="宋体" w:cs="宋体"/>
          <w:sz w:val="24"/>
        </w:rPr>
        <w:t>2、在投标文件的审查、澄清、评价和比较以及确定中标人过程中，投标供应商对采购人、采购代理机构和评标委员会施加影响的任何行为，都将导致取消资格。</w:t>
      </w:r>
    </w:p>
    <w:p>
      <w:pPr>
        <w:pStyle w:val="115"/>
        <w:spacing w:before="0" w:line="500" w:lineRule="exact"/>
        <w:ind w:firstLine="482"/>
        <w:outlineLvl w:val="2"/>
        <w:rPr>
          <w:rFonts w:ascii="宋体" w:hAnsi="宋体" w:cs="宋体"/>
          <w:b/>
          <w:szCs w:val="24"/>
        </w:rPr>
      </w:pPr>
      <w:r>
        <w:rPr>
          <w:rFonts w:hint="eastAsia" w:ascii="宋体" w:hAnsi="宋体" w:cs="宋体"/>
          <w:b/>
          <w:szCs w:val="24"/>
        </w:rPr>
        <w:t>（十五）废标</w:t>
      </w:r>
    </w:p>
    <w:p>
      <w:pPr>
        <w:pStyle w:val="23"/>
        <w:snapToGrid w:val="0"/>
        <w:rPr>
          <w:rFonts w:hAnsi="宋体" w:cs="宋体"/>
          <w:sz w:val="24"/>
          <w:szCs w:val="24"/>
        </w:rPr>
      </w:pPr>
      <w:r>
        <w:rPr>
          <w:rFonts w:hint="eastAsia" w:hAnsi="宋体" w:cs="宋体"/>
          <w:sz w:val="24"/>
          <w:szCs w:val="24"/>
        </w:rPr>
        <w:t>在采购中，出现下列情形之一的，应予废标：</w:t>
      </w:r>
    </w:p>
    <w:p>
      <w:pPr>
        <w:pStyle w:val="23"/>
        <w:snapToGrid w:val="0"/>
        <w:rPr>
          <w:rFonts w:hAnsi="宋体" w:cs="宋体"/>
          <w:sz w:val="24"/>
          <w:szCs w:val="24"/>
        </w:rPr>
      </w:pPr>
      <w:r>
        <w:rPr>
          <w:rFonts w:hint="eastAsia" w:hAnsi="宋体" w:cs="宋体"/>
          <w:sz w:val="24"/>
          <w:szCs w:val="24"/>
        </w:rPr>
        <w:t>1、符合专业条件的投标供应商或者对采购文件作实质响应的投标供应商不足3家的；</w:t>
      </w:r>
    </w:p>
    <w:p>
      <w:pPr>
        <w:pStyle w:val="23"/>
        <w:snapToGrid w:val="0"/>
        <w:rPr>
          <w:rFonts w:hAnsi="宋体" w:cs="宋体"/>
          <w:sz w:val="24"/>
          <w:szCs w:val="24"/>
        </w:rPr>
      </w:pPr>
      <w:r>
        <w:rPr>
          <w:rFonts w:hint="eastAsia" w:hAnsi="宋体" w:cs="宋体"/>
          <w:sz w:val="24"/>
          <w:szCs w:val="24"/>
        </w:rPr>
        <w:t>2、出现影响采购公正的违法、违规行为的；</w:t>
      </w:r>
    </w:p>
    <w:p>
      <w:pPr>
        <w:pStyle w:val="23"/>
        <w:snapToGrid w:val="0"/>
        <w:rPr>
          <w:rFonts w:hAnsi="宋体" w:cs="宋体"/>
          <w:sz w:val="24"/>
          <w:szCs w:val="24"/>
        </w:rPr>
      </w:pPr>
      <w:r>
        <w:rPr>
          <w:rFonts w:hint="eastAsia" w:hAnsi="宋体" w:cs="宋体"/>
          <w:sz w:val="24"/>
          <w:szCs w:val="24"/>
        </w:rPr>
        <w:t>3、报价均超过预算，不能支付的；</w:t>
      </w:r>
    </w:p>
    <w:p>
      <w:pPr>
        <w:snapToGrid w:val="0"/>
        <w:spacing w:line="500" w:lineRule="exact"/>
        <w:ind w:firstLine="480" w:firstLineChars="200"/>
        <w:rPr>
          <w:rFonts w:ascii="宋体" w:hAnsi="宋体" w:cs="宋体"/>
          <w:bCs/>
          <w:sz w:val="24"/>
        </w:rPr>
      </w:pPr>
      <w:r>
        <w:rPr>
          <w:rFonts w:hint="eastAsia" w:ascii="宋体" w:hAnsi="宋体" w:cs="宋体"/>
          <w:sz w:val="24"/>
        </w:rPr>
        <w:t>4、因重大变故，采购任务取消的。</w:t>
      </w:r>
    </w:p>
    <w:p>
      <w:pPr>
        <w:pStyle w:val="115"/>
        <w:spacing w:before="0" w:line="500" w:lineRule="exact"/>
        <w:ind w:firstLine="482"/>
        <w:outlineLvl w:val="2"/>
        <w:rPr>
          <w:rFonts w:ascii="宋体" w:hAnsi="宋体" w:cs="宋体"/>
          <w:b/>
          <w:szCs w:val="24"/>
        </w:rPr>
      </w:pPr>
      <w:r>
        <w:rPr>
          <w:rFonts w:hint="eastAsia" w:ascii="宋体" w:hAnsi="宋体" w:cs="宋体"/>
          <w:b/>
          <w:szCs w:val="24"/>
        </w:rPr>
        <w:t>（十六）可中止电子交易活动的情形</w:t>
      </w:r>
    </w:p>
    <w:p>
      <w:pPr>
        <w:spacing w:line="500" w:lineRule="exact"/>
        <w:ind w:firstLine="482" w:firstLineChars="200"/>
        <w:rPr>
          <w:rFonts w:ascii="宋体" w:hAnsi="宋体" w:cs="宋体"/>
          <w:sz w:val="24"/>
        </w:rPr>
      </w:pPr>
      <w:r>
        <w:rPr>
          <w:rFonts w:hint="eastAsia" w:ascii="宋体" w:hAnsi="宋体" w:cs="宋体"/>
          <w:b/>
          <w:sz w:val="24"/>
        </w:rPr>
        <w:t>采购过程中出现以下情形，导致电子交易平台无法正常运行，或者无法保证电子交易的公平、公正和安全时，采购代理机构可中止电子交易活动：</w:t>
      </w:r>
    </w:p>
    <w:p>
      <w:pPr>
        <w:spacing w:line="500" w:lineRule="exact"/>
        <w:ind w:firstLine="480" w:firstLineChars="200"/>
        <w:rPr>
          <w:rFonts w:ascii="宋体" w:hAnsi="宋体" w:cs="宋体"/>
          <w:sz w:val="24"/>
        </w:rPr>
      </w:pPr>
      <w:r>
        <w:rPr>
          <w:rFonts w:hint="eastAsia" w:ascii="宋体" w:hAnsi="宋体" w:cs="宋体"/>
          <w:sz w:val="24"/>
        </w:rPr>
        <w:t>1、电子交易平台发生故障而无法登录访问的；</w:t>
      </w:r>
    </w:p>
    <w:p>
      <w:pPr>
        <w:spacing w:line="500" w:lineRule="exact"/>
        <w:ind w:firstLine="480" w:firstLineChars="200"/>
        <w:rPr>
          <w:rFonts w:ascii="宋体" w:hAnsi="宋体" w:cs="宋体"/>
          <w:sz w:val="24"/>
        </w:rPr>
      </w:pPr>
      <w:r>
        <w:rPr>
          <w:rFonts w:hint="eastAsia" w:ascii="宋体" w:hAnsi="宋体" w:cs="宋体"/>
          <w:sz w:val="24"/>
        </w:rPr>
        <w:t>2、电子交易平台应用或数据库出现错误，不能进行正常操作的；</w:t>
      </w:r>
    </w:p>
    <w:p>
      <w:pPr>
        <w:spacing w:line="500" w:lineRule="exact"/>
        <w:ind w:firstLine="480" w:firstLineChars="200"/>
        <w:rPr>
          <w:rFonts w:ascii="宋体" w:hAnsi="宋体" w:cs="宋体"/>
          <w:sz w:val="24"/>
        </w:rPr>
      </w:pPr>
      <w:r>
        <w:rPr>
          <w:rFonts w:hint="eastAsia" w:ascii="宋体" w:hAnsi="宋体" w:cs="宋体"/>
          <w:sz w:val="24"/>
        </w:rPr>
        <w:t>3、电子交易平台发现严重安全漏洞，有潜在泄密危险的；</w:t>
      </w:r>
    </w:p>
    <w:p>
      <w:pPr>
        <w:spacing w:line="500" w:lineRule="exact"/>
        <w:ind w:firstLine="480" w:firstLineChars="200"/>
        <w:rPr>
          <w:rFonts w:ascii="宋体" w:hAnsi="宋体" w:cs="宋体"/>
          <w:sz w:val="24"/>
        </w:rPr>
      </w:pPr>
      <w:r>
        <w:rPr>
          <w:rFonts w:hint="eastAsia" w:ascii="宋体" w:hAnsi="宋体" w:cs="宋体"/>
          <w:sz w:val="24"/>
        </w:rPr>
        <w:t>4、病毒发作导致不能进行正常操作的；</w:t>
      </w:r>
    </w:p>
    <w:p>
      <w:pPr>
        <w:spacing w:line="500" w:lineRule="exact"/>
        <w:ind w:firstLine="480" w:firstLineChars="200"/>
        <w:rPr>
          <w:rFonts w:ascii="宋体" w:hAnsi="宋体" w:cs="宋体"/>
          <w:sz w:val="24"/>
        </w:rPr>
      </w:pPr>
      <w:r>
        <w:rPr>
          <w:rFonts w:hint="eastAsia" w:ascii="宋体" w:hAnsi="宋体" w:cs="宋体"/>
          <w:sz w:val="24"/>
        </w:rPr>
        <w:t>5、其他无法保证电子交易的公平、公正和安全的情况。</w:t>
      </w:r>
    </w:p>
    <w:p>
      <w:pPr>
        <w:pStyle w:val="23"/>
        <w:snapToGrid w:val="0"/>
        <w:ind w:firstLine="482" w:firstLineChars="200"/>
        <w:rPr>
          <w:rFonts w:hAnsi="宋体" w:cs="宋体"/>
          <w:b/>
          <w:sz w:val="24"/>
          <w:szCs w:val="24"/>
        </w:rPr>
      </w:pPr>
      <w:r>
        <w:rPr>
          <w:rFonts w:hint="eastAsia" w:hAnsi="宋体" w:cs="宋体"/>
          <w:b/>
          <w:sz w:val="24"/>
          <w:szCs w:val="24"/>
        </w:rPr>
        <w:t>出现以上规定的情形，如果不影响采购公平、公正性的，采购代理机构可以待上述情形消除后继续组织电子交易活动；如果影响或可能影响采购公平、公正性的，应当重新采购。</w:t>
      </w:r>
    </w:p>
    <w:p>
      <w:pPr>
        <w:spacing w:line="500" w:lineRule="exact"/>
        <w:jc w:val="center"/>
        <w:outlineLvl w:val="1"/>
        <w:rPr>
          <w:rFonts w:ascii="宋体" w:hAnsi="宋体" w:cs="宋体"/>
          <w:b/>
          <w:sz w:val="32"/>
          <w:szCs w:val="32"/>
        </w:rPr>
      </w:pPr>
      <w:bookmarkStart w:id="24" w:name="_Toc7711"/>
      <w:r>
        <w:rPr>
          <w:rFonts w:hint="eastAsia" w:ascii="宋体" w:hAnsi="宋体" w:cs="宋体"/>
          <w:b/>
          <w:sz w:val="32"/>
          <w:szCs w:val="32"/>
        </w:rPr>
        <w:t>六、定标</w:t>
      </w:r>
      <w:bookmarkEnd w:id="24"/>
    </w:p>
    <w:p>
      <w:pPr>
        <w:snapToGrid w:val="0"/>
        <w:spacing w:line="360" w:lineRule="auto"/>
        <w:ind w:firstLine="482" w:firstLineChars="200"/>
        <w:outlineLvl w:val="2"/>
        <w:rPr>
          <w:rFonts w:ascii="宋体" w:hAnsi="宋体" w:cs="宋体"/>
          <w:b/>
          <w:sz w:val="24"/>
        </w:rPr>
      </w:pPr>
      <w:r>
        <w:rPr>
          <w:rFonts w:hint="eastAsia" w:ascii="宋体" w:hAnsi="宋体" w:cs="宋体"/>
          <w:b/>
          <w:sz w:val="24"/>
        </w:rPr>
        <w:t>（一）确定中标人。本项目由采购单位授权评标委员会直接确定中标人。</w:t>
      </w:r>
    </w:p>
    <w:p>
      <w:pPr>
        <w:snapToGrid w:val="0"/>
        <w:spacing w:line="360" w:lineRule="auto"/>
        <w:ind w:firstLine="480" w:firstLineChars="200"/>
        <w:rPr>
          <w:rFonts w:ascii="宋体" w:hAnsi="宋体" w:cs="宋体"/>
          <w:sz w:val="24"/>
        </w:rPr>
      </w:pPr>
      <w:r>
        <w:rPr>
          <w:rFonts w:hint="eastAsia" w:ascii="宋体" w:hAnsi="宋体" w:cs="宋体"/>
          <w:sz w:val="24"/>
        </w:rPr>
        <w:t>1、采购代理机构在评标结束后2个工作日内将评标报告交采购单位确认。</w:t>
      </w:r>
    </w:p>
    <w:p>
      <w:pPr>
        <w:snapToGrid w:val="0"/>
        <w:spacing w:line="360" w:lineRule="auto"/>
        <w:ind w:firstLine="480" w:firstLineChars="200"/>
        <w:rPr>
          <w:rFonts w:ascii="宋体" w:hAnsi="宋体" w:cs="宋体"/>
          <w:sz w:val="24"/>
        </w:rPr>
      </w:pPr>
      <w:r>
        <w:rPr>
          <w:rFonts w:hint="eastAsia" w:ascii="宋体" w:hAnsi="宋体" w:cs="宋体"/>
          <w:sz w:val="24"/>
        </w:rPr>
        <w:t>2、投标供应商对评标结果无异议的，采购单位应在收到评标报告后5个工作日内对评标结果进行确认。如有投标供应商对评标结果提出质疑的，采购单位可在质疑处理完毕后确定中标人。</w:t>
      </w:r>
    </w:p>
    <w:p>
      <w:pPr>
        <w:snapToGrid w:val="0"/>
        <w:spacing w:line="360" w:lineRule="auto"/>
        <w:ind w:firstLine="480" w:firstLineChars="200"/>
        <w:rPr>
          <w:rFonts w:ascii="宋体"/>
          <w:sz w:val="24"/>
        </w:rPr>
      </w:pPr>
      <w:r>
        <w:rPr>
          <w:rFonts w:hint="eastAsia" w:ascii="宋体" w:hAnsi="宋体" w:cs="宋体"/>
          <w:sz w:val="24"/>
        </w:rPr>
        <w:t>3、采购单位或采购代理机构应当自中标人确定之日起2个工作日内，在省级以上财政部门指定的媒体上公告中标结果，并以书面形式发出《中标通知书》。</w:t>
      </w:r>
    </w:p>
    <w:p>
      <w:pPr>
        <w:snapToGrid w:val="0"/>
        <w:spacing w:line="360" w:lineRule="auto"/>
        <w:ind w:firstLine="482" w:firstLineChars="200"/>
        <w:rPr>
          <w:rFonts w:ascii="宋体" w:hAnsi="宋体" w:cs="宋体"/>
          <w:b/>
          <w:sz w:val="24"/>
        </w:rPr>
      </w:pPr>
      <w:r>
        <w:rPr>
          <w:rFonts w:hint="eastAsia" w:ascii="宋体" w:hAnsi="宋体" w:cs="宋体"/>
          <w:b/>
          <w:sz w:val="24"/>
        </w:rPr>
        <w:t>（二）中标通知书</w:t>
      </w:r>
    </w:p>
    <w:p>
      <w:pPr>
        <w:snapToGrid w:val="0"/>
        <w:spacing w:line="360" w:lineRule="auto"/>
        <w:ind w:firstLine="480" w:firstLineChars="200"/>
        <w:rPr>
          <w:rFonts w:ascii="宋体" w:hAnsi="宋体" w:cs="宋体"/>
          <w:sz w:val="24"/>
        </w:rPr>
      </w:pPr>
      <w:r>
        <w:rPr>
          <w:rFonts w:hint="eastAsia" w:ascii="宋体" w:hAnsi="宋体" w:cs="宋体"/>
          <w:sz w:val="24"/>
        </w:rPr>
        <w:t>1、确定中标投标供应商后，招标采购单位将以书面形式发出中标通知书，通知中标的投标供应商其投标被接受。</w:t>
      </w:r>
    </w:p>
    <w:p>
      <w:pPr>
        <w:snapToGrid w:val="0"/>
        <w:spacing w:line="360" w:lineRule="auto"/>
        <w:ind w:firstLine="480" w:firstLineChars="200"/>
        <w:rPr>
          <w:rFonts w:ascii="宋体" w:hAnsi="宋体" w:cs="宋体"/>
          <w:sz w:val="24"/>
        </w:rPr>
      </w:pPr>
      <w:r>
        <w:rPr>
          <w:rFonts w:hint="eastAsia" w:ascii="宋体" w:hAnsi="宋体" w:cs="宋体"/>
          <w:sz w:val="24"/>
        </w:rPr>
        <w:t>2、中标通知书为双方签订合同的依据。</w:t>
      </w:r>
    </w:p>
    <w:p>
      <w:pPr>
        <w:snapToGrid w:val="0"/>
        <w:spacing w:line="360" w:lineRule="auto"/>
        <w:ind w:firstLine="480" w:firstLineChars="200"/>
        <w:rPr>
          <w:rFonts w:ascii="宋体" w:hAnsi="宋体" w:cs="宋体"/>
          <w:sz w:val="24"/>
        </w:rPr>
      </w:pPr>
      <w:r>
        <w:rPr>
          <w:rFonts w:hint="eastAsia" w:ascii="宋体" w:hAnsi="宋体" w:cs="宋体"/>
          <w:sz w:val="24"/>
        </w:rPr>
        <w:t>3、中标投标供应商应根据中标通知书中规定的时间内，由法定代表人或其授权代理人与采购单位签订合同。</w:t>
      </w:r>
    </w:p>
    <w:p>
      <w:pPr>
        <w:snapToGrid w:val="0"/>
        <w:spacing w:line="360" w:lineRule="auto"/>
        <w:ind w:firstLine="482" w:firstLineChars="200"/>
        <w:outlineLvl w:val="2"/>
        <w:rPr>
          <w:rFonts w:ascii="宋体" w:hAnsi="宋体" w:cs="宋体"/>
          <w:b/>
          <w:sz w:val="24"/>
        </w:rPr>
      </w:pPr>
      <w:r>
        <w:rPr>
          <w:rFonts w:hint="eastAsia" w:ascii="宋体" w:hAnsi="宋体" w:cs="宋体"/>
          <w:b/>
          <w:sz w:val="24"/>
        </w:rPr>
        <w:t>（三）出现下述情况之一的，采购单位可以与排位在中标人之后第一位的中标候选人签订政府采购合同，以此类推。采购单位也可重新组织招标。</w:t>
      </w:r>
    </w:p>
    <w:p>
      <w:pPr>
        <w:snapToGrid w:val="0"/>
        <w:spacing w:line="360" w:lineRule="auto"/>
        <w:ind w:firstLine="480" w:firstLineChars="200"/>
        <w:rPr>
          <w:rFonts w:ascii="宋体" w:hAnsi="宋体" w:cs="宋体"/>
          <w:sz w:val="24"/>
        </w:rPr>
      </w:pPr>
      <w:r>
        <w:rPr>
          <w:rFonts w:hint="eastAsia" w:ascii="宋体" w:hAnsi="宋体" w:cs="宋体"/>
          <w:sz w:val="24"/>
        </w:rPr>
        <w:t>1、中标人因自身原因放弃中标成交或因不可抗力不能履行合同的；</w:t>
      </w:r>
    </w:p>
    <w:p>
      <w:pPr>
        <w:snapToGrid w:val="0"/>
        <w:spacing w:line="360" w:lineRule="auto"/>
        <w:ind w:firstLine="480" w:firstLineChars="200"/>
        <w:rPr>
          <w:rFonts w:ascii="宋体" w:hAnsi="宋体" w:cs="宋体"/>
          <w:sz w:val="24"/>
        </w:rPr>
      </w:pPr>
      <w:r>
        <w:rPr>
          <w:rFonts w:hint="eastAsia" w:ascii="宋体" w:hAnsi="宋体" w:cs="宋体"/>
          <w:sz w:val="24"/>
        </w:rPr>
        <w:t>2、经质疑，采购代理机构审查确认因中标人在本次采购活动中存在违法违规行为或其他原因使质疑成立的。</w:t>
      </w:r>
    </w:p>
    <w:p>
      <w:pPr>
        <w:spacing w:line="360" w:lineRule="auto"/>
        <w:jc w:val="center"/>
        <w:outlineLvl w:val="1"/>
        <w:rPr>
          <w:rFonts w:ascii="宋体" w:hAnsi="宋体" w:cs="宋体"/>
          <w:b/>
          <w:sz w:val="32"/>
          <w:szCs w:val="32"/>
        </w:rPr>
      </w:pPr>
      <w:bookmarkStart w:id="25" w:name="_Toc23098"/>
      <w:r>
        <w:rPr>
          <w:rFonts w:hint="eastAsia" w:ascii="宋体" w:hAnsi="宋体" w:cs="宋体"/>
          <w:b/>
          <w:sz w:val="32"/>
          <w:szCs w:val="32"/>
        </w:rPr>
        <w:t>七、合同授予</w:t>
      </w:r>
      <w:bookmarkEnd w:id="25"/>
    </w:p>
    <w:p>
      <w:pPr>
        <w:snapToGrid w:val="0"/>
        <w:spacing w:line="360" w:lineRule="auto"/>
        <w:ind w:firstLine="482" w:firstLineChars="200"/>
        <w:outlineLvl w:val="2"/>
        <w:rPr>
          <w:rFonts w:ascii="宋体" w:hAnsi="宋体" w:cs="宋体"/>
          <w:b/>
          <w:sz w:val="24"/>
        </w:rPr>
      </w:pPr>
      <w:r>
        <w:rPr>
          <w:rFonts w:hint="eastAsia" w:ascii="宋体" w:hAnsi="宋体" w:cs="宋体"/>
          <w:b/>
          <w:sz w:val="24"/>
        </w:rPr>
        <w:t>（一）签订合同</w:t>
      </w:r>
    </w:p>
    <w:p>
      <w:pPr>
        <w:snapToGrid w:val="0"/>
        <w:spacing w:line="360" w:lineRule="auto"/>
        <w:ind w:firstLine="480" w:firstLineChars="200"/>
        <w:rPr>
          <w:rFonts w:ascii="宋体" w:hAnsi="宋体" w:cs="宋体"/>
          <w:sz w:val="24"/>
        </w:rPr>
      </w:pPr>
      <w:r>
        <w:rPr>
          <w:rFonts w:hint="eastAsia" w:ascii="宋体" w:hAnsi="宋体" w:cs="宋体"/>
          <w:sz w:val="24"/>
        </w:rPr>
        <w:t>1、采购人与中标人应当在《中标通知书》发出之日起30日内签订政府采购合同。</w:t>
      </w:r>
    </w:p>
    <w:p>
      <w:pPr>
        <w:snapToGrid w:val="0"/>
        <w:spacing w:line="360" w:lineRule="auto"/>
        <w:ind w:firstLine="480" w:firstLineChars="200"/>
        <w:rPr>
          <w:rFonts w:ascii="宋体" w:hAnsi="宋体" w:cs="宋体"/>
          <w:sz w:val="24"/>
        </w:rPr>
      </w:pPr>
      <w:r>
        <w:rPr>
          <w:rFonts w:hint="eastAsia" w:ascii="宋体" w:hAnsi="宋体" w:cs="宋体"/>
          <w:sz w:val="24"/>
        </w:rPr>
        <w:t>2、中标人拖延、拒签合同的，或未按投标时承诺的内容履行的，将被取消中标资格，采购人可以与排位在中标人之后第一位的中标候选人签订政府采购合同,以此类推。</w:t>
      </w:r>
    </w:p>
    <w:p>
      <w:pPr>
        <w:pStyle w:val="29"/>
        <w:spacing w:line="360" w:lineRule="auto"/>
        <w:ind w:firstLine="482" w:firstLineChars="200"/>
        <w:rPr>
          <w:rFonts w:hAnsi="宋体" w:cs="宋体"/>
          <w:b/>
          <w:sz w:val="24"/>
        </w:rPr>
      </w:pPr>
      <w:r>
        <w:rPr>
          <w:rFonts w:hint="eastAsia" w:hAnsi="宋体" w:cs="宋体"/>
          <w:b/>
          <w:sz w:val="24"/>
        </w:rPr>
        <w:t>（二）履约保证金：</w:t>
      </w:r>
    </w:p>
    <w:p>
      <w:pPr>
        <w:pStyle w:val="29"/>
        <w:spacing w:line="360" w:lineRule="auto"/>
        <w:ind w:firstLine="480" w:firstLineChars="200"/>
        <w:rPr>
          <w:rFonts w:hAnsi="宋体" w:cs="宋体"/>
          <w:sz w:val="24"/>
          <w:szCs w:val="24"/>
        </w:rPr>
      </w:pPr>
      <w:r>
        <w:rPr>
          <w:rFonts w:hint="eastAsia" w:hAnsi="宋体" w:cs="宋体"/>
          <w:sz w:val="24"/>
          <w:szCs w:val="24"/>
        </w:rPr>
        <w:t>无。</w:t>
      </w:r>
    </w:p>
    <w:p>
      <w:pPr>
        <w:snapToGrid w:val="0"/>
        <w:spacing w:line="360" w:lineRule="auto"/>
        <w:ind w:firstLine="482" w:firstLineChars="200"/>
        <w:outlineLvl w:val="2"/>
        <w:rPr>
          <w:rFonts w:ascii="宋体" w:hAnsi="宋体" w:cs="宋体"/>
          <w:b/>
          <w:sz w:val="24"/>
        </w:rPr>
      </w:pPr>
    </w:p>
    <w:p>
      <w:pPr>
        <w:spacing w:line="500" w:lineRule="exact"/>
        <w:jc w:val="center"/>
        <w:outlineLvl w:val="0"/>
        <w:rPr>
          <w:rFonts w:ascii="宋体" w:hAnsi="宋体" w:cs="宋体"/>
          <w:b/>
          <w:sz w:val="44"/>
          <w:szCs w:val="44"/>
        </w:rPr>
      </w:pPr>
      <w:r>
        <w:rPr>
          <w:rFonts w:hint="eastAsia" w:ascii="宋体" w:hAnsi="宋体" w:cs="宋体"/>
          <w:b/>
          <w:sz w:val="44"/>
          <w:szCs w:val="44"/>
        </w:rPr>
        <w:br w:type="page"/>
      </w:r>
      <w:bookmarkStart w:id="26" w:name="_Toc31705"/>
      <w:r>
        <w:rPr>
          <w:rFonts w:hint="eastAsia" w:ascii="宋体" w:hAnsi="宋体" w:cs="宋体"/>
          <w:b/>
          <w:sz w:val="44"/>
          <w:szCs w:val="44"/>
        </w:rPr>
        <w:t>第四章  评标办法及评分标准</w:t>
      </w:r>
      <w:bookmarkEnd w:id="26"/>
    </w:p>
    <w:p>
      <w:pPr>
        <w:spacing w:line="500" w:lineRule="exact"/>
        <w:ind w:firstLine="480" w:firstLineChars="200"/>
        <w:rPr>
          <w:rFonts w:ascii="宋体" w:hAnsi="宋体" w:cs="宋体"/>
          <w:sz w:val="24"/>
        </w:rPr>
      </w:pPr>
      <w:r>
        <w:rPr>
          <w:rFonts w:hint="eastAsia" w:ascii="宋体" w:hAnsi="宋体" w:cs="宋体"/>
          <w:sz w:val="24"/>
        </w:rPr>
        <w:t>为公正、公平、科学地选择中标人，根据《中华人民共和国政府采购法》、《政府采购货物和服务招投标管理办法》等有关法律法规的规定，并结合本项目的实际，制定本办法。</w:t>
      </w:r>
    </w:p>
    <w:p>
      <w:pPr>
        <w:spacing w:line="520" w:lineRule="exact"/>
        <w:ind w:firstLine="480" w:firstLineChars="200"/>
        <w:jc w:val="left"/>
        <w:outlineLvl w:val="0"/>
        <w:rPr>
          <w:rFonts w:ascii="宋体" w:hAnsi="宋体" w:cs="宋体"/>
          <w:bCs/>
          <w:sz w:val="24"/>
          <w:szCs w:val="48"/>
        </w:rPr>
      </w:pPr>
      <w:r>
        <w:rPr>
          <w:rFonts w:hint="eastAsia" w:ascii="宋体" w:hAnsi="宋体" w:cs="宋体"/>
          <w:sz w:val="24"/>
        </w:rPr>
        <w:t>本办法适用于</w:t>
      </w:r>
      <w:r>
        <w:rPr>
          <w:rFonts w:hint="eastAsia" w:ascii="宋体" w:hAnsi="宋体" w:cs="宋体"/>
          <w:sz w:val="24"/>
          <w:lang w:val="en-US" w:eastAsia="zh-CN"/>
        </w:rPr>
        <w:t>飞英街道办事处关于余家漾社区幸福邻里中心（儿童之家）、新华苑社区幸福邻里中心第三方运营服务采购项目</w:t>
      </w:r>
      <w:r>
        <w:rPr>
          <w:rFonts w:hint="eastAsia" w:ascii="宋体" w:hAnsi="宋体" w:cs="宋体"/>
          <w:bCs/>
          <w:sz w:val="24"/>
          <w:szCs w:val="48"/>
        </w:rPr>
        <w:t>的评标。</w:t>
      </w:r>
    </w:p>
    <w:p>
      <w:pPr>
        <w:spacing w:line="500" w:lineRule="exact"/>
        <w:ind w:firstLine="562" w:firstLineChars="200"/>
        <w:outlineLvl w:val="1"/>
        <w:rPr>
          <w:rFonts w:ascii="宋体" w:hAnsi="宋体" w:cs="宋体"/>
          <w:b/>
          <w:szCs w:val="28"/>
        </w:rPr>
      </w:pPr>
      <w:bookmarkStart w:id="27" w:name="_Toc23132"/>
      <w:r>
        <w:rPr>
          <w:rFonts w:hint="eastAsia" w:ascii="宋体" w:hAnsi="宋体" w:cs="宋体"/>
          <w:b/>
          <w:szCs w:val="28"/>
        </w:rPr>
        <w:t>一、总则</w:t>
      </w:r>
      <w:bookmarkEnd w:id="27"/>
    </w:p>
    <w:p>
      <w:pPr>
        <w:spacing w:line="500" w:lineRule="exact"/>
        <w:ind w:firstLine="480" w:firstLineChars="200"/>
        <w:rPr>
          <w:rFonts w:ascii="宋体" w:hAnsi="宋体" w:cs="宋体"/>
          <w:bCs/>
          <w:sz w:val="24"/>
        </w:rPr>
      </w:pPr>
      <w:r>
        <w:rPr>
          <w:rFonts w:hint="eastAsia" w:ascii="宋体" w:hAnsi="宋体" w:cs="宋体"/>
          <w:sz w:val="24"/>
        </w:rPr>
        <w:t>本次评标采用综合评分法，总分为100分，其中价格分10分；商务技术分90分。合格投标供应商的评标得分为各项目汇总得分</w:t>
      </w:r>
      <w:r>
        <w:rPr>
          <w:rFonts w:hint="eastAsia" w:ascii="宋体" w:hAnsi="宋体" w:cs="宋体"/>
          <w:bCs/>
          <w:sz w:val="24"/>
        </w:rPr>
        <w:t>。</w:t>
      </w:r>
    </w:p>
    <w:p>
      <w:pPr>
        <w:spacing w:line="500" w:lineRule="exact"/>
        <w:ind w:firstLine="480" w:firstLineChars="200"/>
        <w:rPr>
          <w:rFonts w:ascii="宋体" w:hAnsi="宋体" w:cs="宋体"/>
          <w:bCs/>
          <w:sz w:val="24"/>
        </w:rPr>
      </w:pPr>
      <w:r>
        <w:rPr>
          <w:rFonts w:hint="eastAsia" w:ascii="宋体" w:hAnsi="宋体" w:cs="宋体"/>
          <w:bCs/>
          <w:sz w:val="24"/>
        </w:rPr>
        <w:t>评分过程中采用四舍五入法，并保留小数2位。</w:t>
      </w:r>
    </w:p>
    <w:p>
      <w:pPr>
        <w:spacing w:line="500" w:lineRule="exact"/>
        <w:ind w:firstLine="480" w:firstLineChars="200"/>
        <w:rPr>
          <w:rFonts w:ascii="宋体" w:hAnsi="宋体" w:cs="宋体"/>
          <w:bCs/>
          <w:sz w:val="24"/>
        </w:rPr>
      </w:pPr>
      <w:r>
        <w:rPr>
          <w:rFonts w:hint="eastAsia" w:ascii="宋体" w:hAnsi="宋体" w:cs="宋体"/>
          <w:sz w:val="24"/>
        </w:rPr>
        <w:t>投标供应商评标</w:t>
      </w:r>
      <w:r>
        <w:rPr>
          <w:rFonts w:hint="eastAsia" w:ascii="宋体" w:hAnsi="宋体" w:cs="宋体"/>
          <w:bCs/>
          <w:sz w:val="24"/>
        </w:rPr>
        <w:t>综合得分=价格分+商务技术分</w:t>
      </w:r>
    </w:p>
    <w:p>
      <w:pPr>
        <w:spacing w:line="520" w:lineRule="exact"/>
        <w:ind w:firstLine="562" w:firstLineChars="200"/>
        <w:jc w:val="left"/>
        <w:rPr>
          <w:rFonts w:ascii="宋体" w:hAnsi="宋体" w:cs="宋体"/>
          <w:b/>
          <w:szCs w:val="28"/>
        </w:rPr>
      </w:pPr>
      <w:bookmarkStart w:id="28" w:name="_Toc25886"/>
      <w:r>
        <w:rPr>
          <w:rFonts w:hint="eastAsia" w:ascii="宋体" w:hAnsi="宋体" w:cs="宋体"/>
          <w:b/>
          <w:szCs w:val="28"/>
        </w:rPr>
        <w:t>二、评标内容及标准</w:t>
      </w:r>
      <w:bookmarkEnd w:id="28"/>
    </w:p>
    <w:p>
      <w:pPr>
        <w:spacing w:line="460" w:lineRule="exact"/>
        <w:ind w:firstLine="482" w:firstLineChars="200"/>
        <w:jc w:val="left"/>
        <w:rPr>
          <w:rFonts w:ascii="宋体" w:hAnsi="宋体" w:cs="宋体"/>
          <w:b/>
          <w:bCs/>
          <w:sz w:val="24"/>
        </w:rPr>
      </w:pPr>
      <w:r>
        <w:rPr>
          <w:rFonts w:hint="eastAsia" w:ascii="宋体" w:hAnsi="宋体" w:cs="宋体"/>
          <w:b/>
          <w:sz w:val="24"/>
        </w:rPr>
        <w:t>（一）</w:t>
      </w:r>
      <w:r>
        <w:rPr>
          <w:rFonts w:hint="eastAsia" w:ascii="宋体" w:hAnsi="宋体" w:cs="宋体"/>
          <w:b/>
          <w:bCs/>
          <w:sz w:val="24"/>
        </w:rPr>
        <w:t>价格分（10分）</w:t>
      </w:r>
    </w:p>
    <w:p>
      <w:pPr>
        <w:pStyle w:val="23"/>
        <w:spacing w:line="460" w:lineRule="exact"/>
        <w:ind w:firstLine="480" w:firstLineChars="200"/>
        <w:rPr>
          <w:rFonts w:hAnsi="宋体" w:cs="宋体"/>
          <w:bCs/>
          <w:sz w:val="24"/>
        </w:rPr>
      </w:pPr>
      <w:r>
        <w:rPr>
          <w:rFonts w:hint="eastAsia" w:hAnsi="宋体" w:cs="宋体"/>
          <w:bCs/>
          <w:sz w:val="24"/>
        </w:rPr>
        <w:t>价格部分评审：</w:t>
      </w:r>
    </w:p>
    <w:p>
      <w:pPr>
        <w:pStyle w:val="23"/>
        <w:spacing w:line="460" w:lineRule="exact"/>
        <w:ind w:firstLine="482" w:firstLineChars="200"/>
        <w:rPr>
          <w:rFonts w:hAnsi="宋体" w:cs="宋体"/>
          <w:bCs/>
          <w:sz w:val="24"/>
          <w:szCs w:val="24"/>
        </w:rPr>
      </w:pPr>
      <w:r>
        <w:rPr>
          <w:rFonts w:hint="eastAsia" w:hAnsi="宋体" w:cs="宋体"/>
          <w:b/>
          <w:sz w:val="24"/>
        </w:rPr>
        <w:t>价格分</w:t>
      </w:r>
      <w:r>
        <w:rPr>
          <w:rFonts w:hint="eastAsia" w:hAnsi="宋体" w:cs="宋体"/>
          <w:b/>
          <w:sz w:val="24"/>
          <w:szCs w:val="24"/>
        </w:rPr>
        <w:t>采用低价优先法计算，即满足采购文件要求且投标报价最低的最终有效投标报价为评标基准价，其价格分为满分。</w:t>
      </w:r>
      <w:r>
        <w:rPr>
          <w:rFonts w:hint="eastAsia" w:hAnsi="宋体" w:cs="宋体"/>
          <w:bCs/>
          <w:sz w:val="24"/>
          <w:szCs w:val="24"/>
        </w:rPr>
        <w:t>其他投标供应商的价格分按照下列公式计算（结果保留2位小数，第3位四舍五入）：</w:t>
      </w:r>
    </w:p>
    <w:p>
      <w:pPr>
        <w:pStyle w:val="23"/>
        <w:spacing w:line="460" w:lineRule="exact"/>
        <w:ind w:firstLine="480" w:firstLineChars="200"/>
        <w:rPr>
          <w:rFonts w:hAnsi="宋体" w:cs="宋体"/>
          <w:bCs/>
          <w:sz w:val="24"/>
          <w:szCs w:val="24"/>
        </w:rPr>
      </w:pPr>
      <w:r>
        <w:rPr>
          <w:rFonts w:hint="eastAsia" w:hAnsi="宋体" w:cs="宋体"/>
          <w:bCs/>
          <w:sz w:val="24"/>
          <w:szCs w:val="24"/>
        </w:rPr>
        <w:t>价格分=【评标基准价/投标报价】×10%×100</w:t>
      </w:r>
    </w:p>
    <w:p>
      <w:pPr>
        <w:pStyle w:val="23"/>
        <w:spacing w:line="460" w:lineRule="exact"/>
        <w:ind w:firstLine="480" w:firstLineChars="200"/>
        <w:outlineLvl w:val="2"/>
        <w:rPr>
          <w:rFonts w:hAnsi="宋体" w:cs="宋体"/>
          <w:sz w:val="24"/>
        </w:rPr>
      </w:pPr>
      <w:r>
        <w:rPr>
          <w:rFonts w:hint="eastAsia" w:hAnsi="宋体" w:cs="宋体"/>
          <w:sz w:val="24"/>
        </w:rPr>
        <w:t>评委小组认为供应商的报价明低于其他通过符合性审查供应商的报价，有可能影响产品质量或都不能诚信履约的，应当要求供应商书面说明并提供相关证明材料。供应商不能当场合理说明原因并提供证明材料的，评标委员会应将该供应商的响应文件作无效处理，并在评审报告中说明。</w:t>
      </w:r>
    </w:p>
    <w:p>
      <w:pPr>
        <w:spacing w:line="460" w:lineRule="exact"/>
        <w:ind w:firstLine="361" w:firstLineChars="150"/>
        <w:rPr>
          <w:rFonts w:ascii="宋体" w:hAnsi="宋体" w:cs="宋体"/>
          <w:sz w:val="24"/>
        </w:rPr>
      </w:pPr>
      <w:r>
        <w:rPr>
          <w:rFonts w:hint="eastAsia" w:ascii="宋体" w:hAnsi="宋体" w:cs="宋体"/>
          <w:b/>
          <w:bCs/>
          <w:sz w:val="24"/>
        </w:rPr>
        <w:t>扶持政策说明：</w:t>
      </w:r>
    </w:p>
    <w:p>
      <w:pPr>
        <w:spacing w:line="460" w:lineRule="exact"/>
        <w:ind w:firstLine="480" w:firstLineChars="200"/>
        <w:rPr>
          <w:rFonts w:ascii="宋体" w:hAnsi="宋体" w:cs="宋体"/>
          <w:sz w:val="24"/>
        </w:rPr>
      </w:pPr>
      <w:r>
        <w:rPr>
          <w:rFonts w:hint="eastAsia" w:ascii="宋体" w:hAnsi="宋体" w:cs="宋体"/>
          <w:kern w:val="0"/>
          <w:sz w:val="24"/>
          <w:szCs w:val="20"/>
        </w:rPr>
        <w:t>本项目采购标的对应的中小企业划分标准所属行业为</w:t>
      </w:r>
      <w:r>
        <w:rPr>
          <w:rFonts w:hint="eastAsia" w:ascii="宋体" w:hAnsi="宋体" w:cs="宋体"/>
          <w:b/>
          <w:bCs/>
          <w:kern w:val="0"/>
          <w:sz w:val="24"/>
          <w:szCs w:val="20"/>
        </w:rPr>
        <w:t>其他未列明行业。</w:t>
      </w:r>
    </w:p>
    <w:p>
      <w:pPr>
        <w:spacing w:line="460" w:lineRule="exact"/>
        <w:ind w:firstLine="480" w:firstLineChars="200"/>
        <w:rPr>
          <w:rFonts w:ascii="宋体" w:hAnsi="宋体" w:cs="宋体"/>
          <w:sz w:val="24"/>
        </w:rPr>
      </w:pPr>
      <w:r>
        <w:rPr>
          <w:rFonts w:hint="eastAsia" w:ascii="宋体" w:hAnsi="宋体" w:cs="宋体"/>
          <w:sz w:val="24"/>
          <w:lang w:bidi="ar"/>
        </w:rPr>
        <w:t>根据财政部、工业和信息化部制定的《政府采购促进中小企业发展管理办法》(财库〔2020〕46号)，对小型或微型企业的报价给予</w:t>
      </w:r>
      <w:r>
        <w:rPr>
          <w:rFonts w:hint="eastAsia" w:ascii="宋体" w:hAnsi="宋体" w:cs="宋体"/>
          <w:sz w:val="24"/>
          <w:lang w:val="en-US" w:eastAsia="zh-CN" w:bidi="ar"/>
        </w:rPr>
        <w:t>1</w:t>
      </w:r>
      <w:r>
        <w:rPr>
          <w:rFonts w:hint="eastAsia" w:ascii="宋体" w:hAnsi="宋体" w:cs="宋体"/>
          <w:sz w:val="24"/>
          <w:lang w:bidi="ar"/>
        </w:rPr>
        <w:t>0%的扣除，并用扣除后的价格计算价格评分。</w:t>
      </w:r>
    </w:p>
    <w:p>
      <w:pPr>
        <w:spacing w:line="460" w:lineRule="exact"/>
        <w:ind w:firstLine="480" w:firstLineChars="200"/>
        <w:rPr>
          <w:rFonts w:ascii="宋体" w:hAnsi="宋体" w:cs="宋体"/>
          <w:sz w:val="24"/>
        </w:rPr>
      </w:pPr>
      <w:r>
        <w:rPr>
          <w:rFonts w:hint="eastAsia" w:ascii="宋体" w:hAnsi="宋体" w:cs="宋体"/>
          <w:sz w:val="24"/>
          <w:lang w:bidi="ar"/>
        </w:rPr>
        <w:t>符合以下所有要求的供应商被认定为小型、微型企业：</w:t>
      </w:r>
    </w:p>
    <w:p>
      <w:pPr>
        <w:spacing w:line="460" w:lineRule="exact"/>
        <w:ind w:firstLine="480" w:firstLineChars="200"/>
        <w:rPr>
          <w:rFonts w:ascii="宋体" w:hAnsi="宋体" w:cs="宋体"/>
          <w:sz w:val="24"/>
        </w:rPr>
      </w:pPr>
      <w:r>
        <w:rPr>
          <w:rFonts w:hint="eastAsia" w:ascii="宋体" w:hAnsi="宋体" w:cs="宋体"/>
          <w:sz w:val="24"/>
          <w:lang w:bidi="ar"/>
        </w:rPr>
        <w:t>1</w:t>
      </w:r>
      <w:r>
        <w:rPr>
          <w:rFonts w:hint="eastAsia" w:cs="宋体"/>
          <w:sz w:val="24"/>
          <w:lang w:bidi="ar"/>
        </w:rPr>
        <w:t>、</w:t>
      </w:r>
      <w:r>
        <w:rPr>
          <w:rFonts w:hint="eastAsia" w:ascii="宋体" w:hAnsi="宋体" w:cs="宋体"/>
          <w:sz w:val="24"/>
          <w:lang w:bidi="ar"/>
        </w:rPr>
        <w:t>供应商按照《关于印发中小企业划型标准规定的通知》（工信部联企业【2011】300号）的所属行业规定为小型、微型企业</w:t>
      </w:r>
      <w:r>
        <w:rPr>
          <w:rFonts w:hint="eastAsia" w:ascii="宋体" w:hAnsi="宋体" w:cs="宋体"/>
          <w:b/>
          <w:sz w:val="24"/>
          <w:lang w:bidi="ar"/>
        </w:rPr>
        <w:t>【按《政府采购促进中小企业发展管理办法》的通知（财库【2020】46 号）规定提供《中小企业声明函》，不提供不予认可】</w:t>
      </w:r>
      <w:r>
        <w:rPr>
          <w:rFonts w:hint="eastAsia" w:ascii="宋体" w:hAnsi="宋体" w:cs="宋体"/>
          <w:sz w:val="24"/>
          <w:lang w:bidi="ar"/>
        </w:rPr>
        <w:t>。</w:t>
      </w:r>
    </w:p>
    <w:p>
      <w:pPr>
        <w:spacing w:line="460" w:lineRule="exact"/>
        <w:ind w:firstLine="480" w:firstLineChars="200"/>
        <w:rPr>
          <w:rFonts w:ascii="宋体" w:hAnsi="宋体" w:cs="宋体"/>
          <w:sz w:val="24"/>
          <w:lang w:bidi="ar"/>
        </w:rPr>
      </w:pPr>
      <w:r>
        <w:rPr>
          <w:rFonts w:hint="eastAsia" w:ascii="宋体" w:hAnsi="宋体" w:cs="宋体"/>
          <w:sz w:val="24"/>
          <w:lang w:bidi="ar"/>
        </w:rPr>
        <w:t>2、监狱企业参加投标</w:t>
      </w:r>
      <w:r>
        <w:rPr>
          <w:rFonts w:hint="eastAsia" w:ascii="宋体" w:hAnsi="宋体" w:cs="宋体"/>
          <w:b/>
          <w:sz w:val="24"/>
          <w:lang w:bidi="ar"/>
        </w:rPr>
        <w:t>【提供《监狱企业声明函》及其相关的证明材料，不提供不予认可】</w:t>
      </w:r>
      <w:r>
        <w:rPr>
          <w:rFonts w:hint="eastAsia" w:ascii="宋体" w:hAnsi="宋体" w:cs="宋体"/>
          <w:sz w:val="24"/>
          <w:lang w:bidi="ar"/>
        </w:rPr>
        <w:t xml:space="preserve">，视为小型、微型企业，享受小微企业政策扶持，监狱企业属于小型、微型企业的，不重复享受政策。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提供由省级以上监狱管理局、戒毒管理局(含新疆生产建设兵团)出具的属于监狱企业的证明文件。   </w:t>
      </w:r>
    </w:p>
    <w:p>
      <w:pPr>
        <w:spacing w:line="460" w:lineRule="exact"/>
        <w:ind w:firstLine="480" w:firstLineChars="200"/>
        <w:rPr>
          <w:rFonts w:ascii="宋体" w:hAnsi="宋体" w:cs="宋体"/>
          <w:bCs/>
          <w:color w:val="000000"/>
          <w:sz w:val="24"/>
        </w:rPr>
      </w:pPr>
      <w:r>
        <w:rPr>
          <w:rFonts w:hint="eastAsia" w:ascii="宋体" w:hAnsi="宋体" w:cs="宋体"/>
          <w:sz w:val="24"/>
          <w:lang w:bidi="ar"/>
        </w:rPr>
        <w:t>3、残疾人福利性单位参加投标</w:t>
      </w:r>
      <w:r>
        <w:rPr>
          <w:rFonts w:hint="eastAsia" w:ascii="宋体" w:hAnsi="宋体" w:cs="宋体"/>
          <w:b/>
          <w:sz w:val="24"/>
          <w:lang w:bidi="ar"/>
        </w:rPr>
        <w:t>【提供《残疾人福利性单位声明函》及其相关的证明材料，不提供不予认可】</w:t>
      </w:r>
      <w:r>
        <w:rPr>
          <w:rFonts w:hint="eastAsia" w:ascii="宋体" w:hAnsi="宋体" w:cs="宋体"/>
          <w:sz w:val="24"/>
          <w:lang w:bidi="ar"/>
        </w:rPr>
        <w:t>，视为小型、微型企业，享受小微企业政策扶持，残疾人福利性单位属于小型、微型企业的，不重复享受政策。残疾人福利性单位指符合《财政部 民政部 中国残疾人联合会关于促进残疾人就业政府采购政策的通知》（财库（2017）141号）的规定单位。</w:t>
      </w:r>
    </w:p>
    <w:p>
      <w:pPr>
        <w:spacing w:line="460" w:lineRule="exact"/>
        <w:ind w:firstLine="480" w:firstLineChars="200"/>
        <w:rPr>
          <w:rFonts w:ascii="宋体" w:hAnsi="宋体"/>
          <w:b/>
          <w:snapToGrid w:val="0"/>
          <w:color w:val="000000"/>
          <w:sz w:val="24"/>
        </w:rPr>
      </w:pPr>
      <w:r>
        <w:rPr>
          <w:rFonts w:hint="eastAsia" w:ascii="宋体" w:hAnsi="宋体" w:cs="宋体"/>
          <w:sz w:val="24"/>
          <w:lang w:bidi="ar"/>
        </w:rPr>
        <w:t>此项由评标小组集体核实后统一打分。</w:t>
      </w:r>
    </w:p>
    <w:p>
      <w:pPr>
        <w:pStyle w:val="23"/>
        <w:spacing w:line="460" w:lineRule="exact"/>
        <w:ind w:firstLine="482" w:firstLineChars="200"/>
        <w:outlineLvl w:val="2"/>
        <w:rPr>
          <w:rFonts w:hAnsi="宋体" w:cs="宋体"/>
          <w:b/>
          <w:bCs/>
          <w:sz w:val="24"/>
        </w:rPr>
      </w:pPr>
      <w:r>
        <w:rPr>
          <w:rFonts w:hint="eastAsia" w:hAnsi="宋体" w:cs="宋体"/>
          <w:b/>
          <w:bCs/>
          <w:sz w:val="24"/>
        </w:rPr>
        <w:t>（二）商务技术分（90分）</w:t>
      </w:r>
    </w:p>
    <w:p>
      <w:pPr>
        <w:pStyle w:val="23"/>
        <w:spacing w:line="460" w:lineRule="exact"/>
        <w:ind w:firstLine="720" w:firstLineChars="300"/>
        <w:outlineLvl w:val="2"/>
        <w:rPr>
          <w:rFonts w:hAnsi="宋体" w:cs="宋体"/>
          <w:sz w:val="24"/>
        </w:rPr>
      </w:pPr>
      <w:r>
        <w:rPr>
          <w:rFonts w:hint="eastAsia" w:hAnsi="宋体" w:cs="宋体"/>
          <w:sz w:val="24"/>
        </w:rPr>
        <w:t>技术、商务、资信及其他分按照评标小组成员的独立评分结果汇总数的算术平均分计算，计算公式为：</w:t>
      </w:r>
    </w:p>
    <w:p>
      <w:pPr>
        <w:pStyle w:val="23"/>
        <w:spacing w:line="460" w:lineRule="exact"/>
        <w:ind w:firstLine="723" w:firstLineChars="300"/>
        <w:outlineLvl w:val="2"/>
        <w:rPr>
          <w:rFonts w:hAnsi="宋体" w:cs="宋体"/>
          <w:b/>
          <w:bCs/>
          <w:sz w:val="24"/>
        </w:rPr>
      </w:pPr>
      <w:r>
        <w:rPr>
          <w:rFonts w:hint="eastAsia" w:hAnsi="宋体" w:cs="宋体"/>
          <w:b/>
          <w:bCs/>
          <w:sz w:val="24"/>
        </w:rPr>
        <w:t>技术分、商务分、资信及其他分=（评标小组所有成员评分合计数）/（评标小组组成人员数）</w:t>
      </w:r>
    </w:p>
    <w:p>
      <w:pPr>
        <w:spacing w:line="440" w:lineRule="exact"/>
        <w:rPr>
          <w:rFonts w:ascii="宋体" w:hAnsi="宋体" w:cs="宋体"/>
        </w:rPr>
      </w:pPr>
      <w:r>
        <w:rPr>
          <w:rFonts w:hint="eastAsia" w:ascii="宋体" w:hAnsi="宋体" w:cs="宋体"/>
          <w:b/>
          <w:sz w:val="24"/>
        </w:rPr>
        <w:t>附件：评分表格式（技术、商务、资信及其他分，共90分）</w:t>
      </w:r>
    </w:p>
    <w:p>
      <w:pPr>
        <w:rPr>
          <w:rFonts w:ascii="宋体" w:hAnsi="宋体" w:cs="宋体"/>
        </w:rPr>
      </w:pPr>
    </w:p>
    <w:tbl>
      <w:tblPr>
        <w:tblStyle w:val="44"/>
        <w:tblpPr w:leftFromText="180" w:rightFromText="180" w:vertAnchor="text" w:tblpXSpec="center" w:tblpY="1"/>
        <w:tblOverlap w:val="never"/>
        <w:tblW w:w="937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3"/>
        <w:gridCol w:w="1321"/>
        <w:gridCol w:w="6214"/>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793"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jc w:val="center"/>
              <w:rPr>
                <w:rFonts w:cs="宋体"/>
                <w:b/>
                <w:bCs/>
                <w:sz w:val="24"/>
                <w:szCs w:val="24"/>
              </w:rPr>
            </w:pPr>
            <w:bookmarkStart w:id="29" w:name="_Toc16549"/>
            <w:r>
              <w:rPr>
                <w:rFonts w:hint="eastAsia" w:cs="宋体"/>
                <w:b/>
                <w:bCs/>
                <w:sz w:val="24"/>
                <w:szCs w:val="24"/>
              </w:rPr>
              <w:t>序号</w:t>
            </w:r>
          </w:p>
        </w:tc>
        <w:tc>
          <w:tcPr>
            <w:tcW w:w="1321"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rPr>
                <w:rFonts w:cs="宋体"/>
                <w:b/>
                <w:bCs/>
                <w:sz w:val="24"/>
                <w:szCs w:val="24"/>
              </w:rPr>
            </w:pPr>
            <w:r>
              <w:rPr>
                <w:rFonts w:hint="eastAsia" w:cs="宋体"/>
                <w:b/>
                <w:bCs/>
                <w:sz w:val="24"/>
                <w:szCs w:val="24"/>
              </w:rPr>
              <w:t>评标内容</w:t>
            </w:r>
          </w:p>
        </w:tc>
        <w:tc>
          <w:tcPr>
            <w:tcW w:w="6214"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388"/>
              <w:jc w:val="center"/>
              <w:rPr>
                <w:rFonts w:cs="宋体"/>
                <w:b/>
                <w:bCs/>
                <w:sz w:val="24"/>
                <w:szCs w:val="24"/>
              </w:rPr>
            </w:pPr>
            <w:r>
              <w:rPr>
                <w:rFonts w:hint="eastAsia" w:cs="宋体"/>
                <w:b/>
                <w:bCs/>
                <w:sz w:val="24"/>
                <w:szCs w:val="24"/>
              </w:rPr>
              <w:t>评分标准</w:t>
            </w:r>
          </w:p>
        </w:tc>
        <w:tc>
          <w:tcPr>
            <w:tcW w:w="1050"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jc w:val="center"/>
              <w:rPr>
                <w:rFonts w:cs="宋体"/>
                <w:b/>
                <w:bCs/>
                <w:sz w:val="24"/>
                <w:szCs w:val="24"/>
              </w:rPr>
            </w:pPr>
            <w:r>
              <w:rPr>
                <w:rFonts w:hint="eastAsia" w:cs="宋体"/>
                <w:b/>
                <w:bCs/>
                <w:sz w:val="24"/>
                <w:szCs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8328" w:type="dxa"/>
            <w:gridSpan w:val="3"/>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388"/>
              <w:jc w:val="center"/>
              <w:rPr>
                <w:b/>
                <w:bCs/>
                <w:sz w:val="24"/>
                <w:szCs w:val="24"/>
              </w:rPr>
            </w:pPr>
            <w:r>
              <w:rPr>
                <w:rFonts w:hint="eastAsia"/>
                <w:b/>
                <w:bCs/>
                <w:sz w:val="24"/>
                <w:szCs w:val="24"/>
              </w:rPr>
              <w:t>技术部分</w:t>
            </w:r>
          </w:p>
        </w:tc>
        <w:tc>
          <w:tcPr>
            <w:tcW w:w="1050"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jc w:val="center"/>
              <w:rPr>
                <w:b/>
                <w:bCs/>
                <w:sz w:val="24"/>
                <w:szCs w:val="24"/>
              </w:rPr>
            </w:pPr>
            <w:r>
              <w:rPr>
                <w:rFonts w:hint="eastAsia"/>
                <w:b/>
                <w:bCs/>
                <w:sz w:val="24"/>
                <w:szCs w:val="24"/>
              </w:rPr>
              <w:t>0</w:t>
            </w:r>
            <w:r>
              <w:rPr>
                <w:b/>
                <w:bCs/>
                <w:sz w:val="24"/>
                <w:szCs w:val="24"/>
              </w:rPr>
              <w:t>-</w:t>
            </w:r>
            <w:r>
              <w:rPr>
                <w:rFonts w:hint="eastAsia"/>
                <w:b/>
                <w:bCs/>
                <w:sz w:val="24"/>
                <w:szCs w:val="24"/>
                <w:lang w:val="en-US" w:eastAsia="zh-CN"/>
              </w:rPr>
              <w:t>62</w:t>
            </w:r>
            <w:r>
              <w:rPr>
                <w:rFonts w:hint="eastAsia"/>
                <w:b/>
                <w:bCs/>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6" w:hRule="atLeast"/>
        </w:trPr>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sz w:val="24"/>
              </w:rPr>
            </w:pPr>
            <w:r>
              <w:rPr>
                <w:rFonts w:hint="eastAsia" w:ascii="宋体" w:hAnsi="宋体" w:cs="宋体"/>
                <w:sz w:val="24"/>
              </w:rPr>
              <w:t>1</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sz w:val="24"/>
              </w:rPr>
            </w:pPr>
            <w:r>
              <w:rPr>
                <w:rFonts w:hint="eastAsia" w:ascii="宋体" w:hAnsi="宋体" w:cs="宋体"/>
                <w:sz w:val="24"/>
              </w:rPr>
              <w:t>服务方案</w:t>
            </w:r>
          </w:p>
        </w:tc>
        <w:tc>
          <w:tcPr>
            <w:tcW w:w="6214" w:type="dxa"/>
            <w:tcBorders>
              <w:top w:val="single" w:color="auto" w:sz="4" w:space="0"/>
              <w:left w:val="single" w:color="auto" w:sz="4" w:space="0"/>
              <w:bottom w:val="single" w:color="auto" w:sz="4" w:space="0"/>
              <w:right w:val="single" w:color="auto" w:sz="4" w:space="0"/>
            </w:tcBorders>
            <w:vAlign w:val="center"/>
          </w:tcPr>
          <w:p>
            <w:pPr>
              <w:tabs>
                <w:tab w:val="left" w:pos="1080"/>
              </w:tabs>
              <w:spacing w:line="380" w:lineRule="exact"/>
              <w:rPr>
                <w:rFonts w:hint="eastAsia" w:ascii="宋体" w:hAnsi="宋体" w:cs="宋体"/>
                <w:sz w:val="24"/>
              </w:rPr>
            </w:pPr>
            <w:r>
              <w:rPr>
                <w:rFonts w:hint="eastAsia" w:ascii="宋体" w:hAnsi="宋体" w:cs="宋体"/>
                <w:sz w:val="24"/>
              </w:rPr>
              <w:t>1、针对本项目的近期、远期服务目标，目标层次非常清晰、具体，可执行、可测量的得7-9分；针对本项目的近期、远期服务目标，目标层次相对清晰、具体，可执行、可测量的得4-6分；针对本项目的近期、远期服务目标，目标层次模糊、不具体，执行、测量有难度的得1-3分；最高得9分。</w:t>
            </w:r>
          </w:p>
          <w:p>
            <w:pPr>
              <w:tabs>
                <w:tab w:val="left" w:pos="1080"/>
              </w:tabs>
              <w:spacing w:line="380" w:lineRule="exact"/>
              <w:rPr>
                <w:rFonts w:hint="eastAsia" w:ascii="宋体" w:hAnsi="宋体" w:cs="宋体"/>
                <w:sz w:val="24"/>
              </w:rPr>
            </w:pPr>
            <w:r>
              <w:rPr>
                <w:rFonts w:hint="eastAsia" w:ascii="宋体" w:hAnsi="宋体" w:cs="宋体"/>
                <w:sz w:val="24"/>
              </w:rPr>
              <w:t>2、明确项目进度安排，时间节点明确，任务分解清晰具体的得7-9分；项目进度安排，时间节点明确，任务分解较清晰具体的得4-6分；项目进度安排，时间节点不明确，任务分解含糊不清的得1-3分。最高9分。</w:t>
            </w:r>
          </w:p>
          <w:p>
            <w:pPr>
              <w:tabs>
                <w:tab w:val="left" w:pos="1080"/>
              </w:tabs>
              <w:spacing w:line="380" w:lineRule="exact"/>
              <w:rPr>
                <w:rFonts w:hint="eastAsia" w:ascii="宋体" w:hAnsi="宋体" w:cs="宋体"/>
                <w:sz w:val="24"/>
              </w:rPr>
            </w:pPr>
            <w:r>
              <w:rPr>
                <w:rFonts w:hint="eastAsia" w:ascii="宋体" w:hAnsi="宋体" w:cs="宋体"/>
                <w:sz w:val="24"/>
              </w:rPr>
              <w:t>3、服务方案的先后、主次安排逻辑合理，有效回应项目需求，能体现专业能力、关键技术和创新性。每项不完整合理扣1-2分扣完为止。最高分9分</w:t>
            </w:r>
          </w:p>
          <w:p>
            <w:pPr>
              <w:tabs>
                <w:tab w:val="left" w:pos="1080"/>
              </w:tabs>
              <w:spacing w:line="380" w:lineRule="exact"/>
              <w:rPr>
                <w:rFonts w:hint="eastAsia" w:ascii="宋体" w:hAnsi="宋体" w:cs="宋体"/>
                <w:sz w:val="24"/>
              </w:rPr>
            </w:pPr>
            <w:r>
              <w:rPr>
                <w:rFonts w:hint="eastAsia" w:ascii="宋体" w:hAnsi="宋体" w:cs="宋体"/>
                <w:sz w:val="24"/>
              </w:rPr>
              <w:t>4、服务方案回应所有项目服务需求类别无缺漏的得6分。每缺一项扣1分，扣完为止。不提供不得分。最高得6分。</w:t>
            </w:r>
          </w:p>
          <w:p>
            <w:pPr>
              <w:tabs>
                <w:tab w:val="left" w:pos="1080"/>
              </w:tabs>
              <w:spacing w:line="380" w:lineRule="exact"/>
              <w:rPr>
                <w:rFonts w:hint="eastAsia" w:ascii="宋体" w:hAnsi="宋体" w:cs="宋体"/>
                <w:sz w:val="24"/>
              </w:rPr>
            </w:pPr>
            <w:r>
              <w:rPr>
                <w:rFonts w:hint="eastAsia" w:ascii="宋体" w:hAnsi="宋体" w:cs="宋体"/>
                <w:sz w:val="24"/>
              </w:rPr>
              <w:t>5、应急实施方案(临时突发性特殊、急件等服务项目)的科学的、</w:t>
            </w:r>
          </w:p>
          <w:p>
            <w:pPr>
              <w:tabs>
                <w:tab w:val="left" w:pos="1080"/>
              </w:tabs>
              <w:spacing w:line="380" w:lineRule="exact"/>
              <w:rPr>
                <w:rFonts w:hint="eastAsia" w:ascii="宋体" w:hAnsi="宋体" w:cs="宋体"/>
                <w:sz w:val="24"/>
              </w:rPr>
            </w:pPr>
            <w:r>
              <w:rPr>
                <w:rFonts w:hint="eastAsia" w:ascii="宋体" w:hAnsi="宋体" w:cs="宋体"/>
                <w:sz w:val="24"/>
              </w:rPr>
              <w:t>合理的方案得4-5分，方案良好的得3-4分，一般的得1-2分，没有的不得分。最高得5分。</w:t>
            </w:r>
          </w:p>
          <w:p>
            <w:pPr>
              <w:tabs>
                <w:tab w:val="left" w:pos="1080"/>
              </w:tabs>
              <w:spacing w:line="380" w:lineRule="exact"/>
              <w:rPr>
                <w:rFonts w:hint="eastAsia" w:ascii="宋体" w:hAnsi="宋体" w:cs="宋体"/>
                <w:sz w:val="24"/>
              </w:rPr>
            </w:pPr>
            <w:r>
              <w:rPr>
                <w:rFonts w:hint="eastAsia" w:ascii="宋体" w:hAnsi="宋体" w:cs="宋体"/>
                <w:sz w:val="24"/>
              </w:rPr>
              <w:t>6、供应商针对项目现状、存在的问题和服务的难点、要点等问题进行调查剖析0-3分；并针对性的提出克服难点和要点技术措施0-3 分； 最高得6分。</w:t>
            </w:r>
          </w:p>
          <w:p>
            <w:pPr>
              <w:tabs>
                <w:tab w:val="left" w:pos="1080"/>
              </w:tabs>
              <w:spacing w:line="380" w:lineRule="exact"/>
              <w:rPr>
                <w:rFonts w:hint="eastAsia" w:ascii="宋体" w:hAnsi="宋体" w:cs="宋体"/>
                <w:sz w:val="24"/>
              </w:rPr>
            </w:pPr>
            <w:r>
              <w:rPr>
                <w:rFonts w:hint="eastAsia" w:ascii="宋体" w:hAnsi="宋体" w:cs="宋体"/>
                <w:sz w:val="24"/>
              </w:rPr>
              <w:t>7、与采购单位的配合：0-3分。</w:t>
            </w:r>
          </w:p>
          <w:p>
            <w:pPr>
              <w:tabs>
                <w:tab w:val="left" w:pos="1080"/>
              </w:tabs>
              <w:spacing w:line="380" w:lineRule="exact"/>
              <w:rPr>
                <w:rFonts w:ascii="宋体" w:hAnsi="宋体" w:cs="宋体"/>
                <w:sz w:val="24"/>
              </w:rPr>
            </w:pPr>
            <w:r>
              <w:rPr>
                <w:rFonts w:hint="eastAsia" w:ascii="宋体" w:hAnsi="宋体" w:cs="宋体"/>
                <w:sz w:val="24"/>
              </w:rPr>
              <w:t>以上方案未提供不得分。</w:t>
            </w:r>
          </w:p>
        </w:tc>
        <w:tc>
          <w:tcPr>
            <w:tcW w:w="1050"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jc w:val="center"/>
              <w:rPr>
                <w:rFonts w:cs="宋体"/>
                <w:sz w:val="24"/>
                <w:szCs w:val="24"/>
              </w:rPr>
            </w:pPr>
            <w:r>
              <w:rPr>
                <w:rFonts w:hint="eastAsia"/>
                <w:sz w:val="24"/>
                <w:szCs w:val="24"/>
                <w:lang w:val="en-US" w:eastAsia="zh-CN"/>
              </w:rPr>
              <w:t>0-47</w:t>
            </w:r>
            <w:r>
              <w:rPr>
                <w:rFonts w:hint="eastAsia"/>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6" w:hRule="atLeast"/>
        </w:trPr>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sz w:val="24"/>
              </w:rPr>
            </w:pPr>
            <w:r>
              <w:rPr>
                <w:rFonts w:hint="eastAsia" w:ascii="宋体" w:hAnsi="宋体" w:cs="宋体"/>
                <w:sz w:val="24"/>
              </w:rPr>
              <w:t>2</w:t>
            </w:r>
          </w:p>
        </w:tc>
        <w:tc>
          <w:tcPr>
            <w:tcW w:w="1321" w:type="dxa"/>
            <w:tcBorders>
              <w:top w:val="single" w:color="auto" w:sz="4" w:space="0"/>
              <w:left w:val="single" w:color="auto" w:sz="4" w:space="0"/>
              <w:bottom w:val="single" w:color="auto" w:sz="4" w:space="0"/>
              <w:right w:val="single" w:color="auto" w:sz="4" w:space="0"/>
            </w:tcBorders>
            <w:vAlign w:val="center"/>
          </w:tcPr>
          <w:p>
            <w:pPr>
              <w:pStyle w:val="20"/>
              <w:spacing w:after="0" w:line="420" w:lineRule="exact"/>
              <w:jc w:val="center"/>
              <w:rPr>
                <w:rFonts w:hint="eastAsia" w:cs="宋体"/>
                <w:b w:val="0"/>
                <w:bCs/>
                <w:color w:val="auto"/>
                <w:sz w:val="24"/>
              </w:rPr>
            </w:pPr>
            <w:r>
              <w:rPr>
                <w:rFonts w:hint="eastAsia" w:cs="宋体"/>
                <w:b w:val="0"/>
                <w:bCs/>
                <w:color w:val="auto"/>
                <w:sz w:val="24"/>
              </w:rPr>
              <w:t>人员</w:t>
            </w:r>
          </w:p>
          <w:p>
            <w:pPr>
              <w:pStyle w:val="20"/>
              <w:spacing w:after="0" w:line="420" w:lineRule="exact"/>
              <w:jc w:val="center"/>
              <w:rPr>
                <w:rFonts w:hint="eastAsia" w:ascii="宋体" w:hAnsi="宋体" w:eastAsia="宋体" w:cs="宋体"/>
                <w:sz w:val="24"/>
                <w:lang w:eastAsia="zh-CN"/>
              </w:rPr>
            </w:pPr>
            <w:r>
              <w:rPr>
                <w:rFonts w:hint="eastAsia" w:cs="宋体"/>
                <w:b w:val="0"/>
                <w:bCs/>
                <w:color w:val="auto"/>
                <w:sz w:val="24"/>
              </w:rPr>
              <w:t>配备</w:t>
            </w:r>
          </w:p>
        </w:tc>
        <w:tc>
          <w:tcPr>
            <w:tcW w:w="621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cs="宋体"/>
                <w:bCs/>
                <w:color w:val="auto"/>
                <w:sz w:val="24"/>
              </w:rPr>
            </w:pPr>
            <w:r>
              <w:rPr>
                <w:rFonts w:hint="eastAsia" w:cs="宋体"/>
                <w:bCs/>
                <w:color w:val="auto"/>
                <w:sz w:val="24"/>
              </w:rPr>
              <w:t>1、人员配置齐全、岗位分工完整，能很好的分工协调项目实施事宜的得6分，专业配置不齐全扣1-3分, 岗位分工不明确、不完整扣1-3分。</w:t>
            </w:r>
          </w:p>
          <w:p>
            <w:pPr>
              <w:spacing w:line="440" w:lineRule="exact"/>
              <w:rPr>
                <w:rFonts w:ascii="宋体" w:hAnsi="宋体" w:cs="宋体"/>
                <w:sz w:val="24"/>
              </w:rPr>
            </w:pPr>
            <w:r>
              <w:rPr>
                <w:rFonts w:hint="eastAsia" w:cs="宋体"/>
                <w:bCs/>
                <w:color w:val="auto"/>
                <w:sz w:val="24"/>
              </w:rPr>
              <w:t>2、供应商具有运营项目的专业能力，负责人及管理人员持有人力社保部和民政局颁发的社会工作者职业资格证，每提供1个得3分，最高得9分。（提供证书复印件及在本单位缴纳近3个月及以上的社保等相关证明材料，未提供或无法认定的不得分。）</w:t>
            </w:r>
          </w:p>
        </w:tc>
        <w:tc>
          <w:tcPr>
            <w:tcW w:w="1050" w:type="dxa"/>
            <w:tcBorders>
              <w:top w:val="single" w:color="auto" w:sz="4" w:space="0"/>
              <w:left w:val="single" w:color="auto" w:sz="4" w:space="0"/>
              <w:bottom w:val="single" w:color="auto" w:sz="4" w:space="0"/>
              <w:right w:val="single" w:color="auto" w:sz="4" w:space="0"/>
            </w:tcBorders>
            <w:vAlign w:val="center"/>
          </w:tcPr>
          <w:p>
            <w:pPr>
              <w:pStyle w:val="20"/>
              <w:spacing w:after="0" w:line="420" w:lineRule="exact"/>
              <w:jc w:val="center"/>
              <w:rPr>
                <w:rFonts w:ascii="宋体" w:hAnsi="宋体" w:cs="宋体"/>
                <w:sz w:val="24"/>
              </w:rPr>
            </w:pPr>
            <w:r>
              <w:rPr>
                <w:rFonts w:hint="eastAsia" w:cs="宋体"/>
                <w:b w:val="0"/>
                <w:bCs/>
                <w:color w:val="auto"/>
                <w:sz w:val="24"/>
                <w:lang w:val="en-US" w:eastAsia="zh-CN"/>
              </w:rPr>
              <w:t>0-</w:t>
            </w:r>
            <w:r>
              <w:rPr>
                <w:rFonts w:hint="eastAsia" w:cs="宋体"/>
                <w:b w:val="0"/>
                <w:bCs/>
                <w:color w:val="auto"/>
                <w:sz w:val="24"/>
              </w:rPr>
              <w:t>15分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832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b/>
                <w:bCs/>
                <w:sz w:val="24"/>
              </w:rPr>
            </w:pPr>
            <w:r>
              <w:rPr>
                <w:rFonts w:hint="eastAsia" w:ascii="宋体" w:hAnsi="宋体" w:cs="宋体"/>
                <w:b/>
                <w:bCs/>
                <w:sz w:val="24"/>
              </w:rPr>
              <w:t>商务、资信及其他部分</w:t>
            </w:r>
          </w:p>
        </w:tc>
        <w:tc>
          <w:tcPr>
            <w:tcW w:w="1050"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jc w:val="center"/>
              <w:rPr>
                <w:rFonts w:cs="宋体"/>
                <w:b/>
                <w:bCs/>
                <w:sz w:val="24"/>
                <w:szCs w:val="24"/>
              </w:rPr>
            </w:pPr>
            <w:r>
              <w:rPr>
                <w:rFonts w:hint="eastAsia"/>
                <w:b/>
                <w:bCs/>
                <w:sz w:val="24"/>
                <w:szCs w:val="24"/>
              </w:rPr>
              <w:t>0</w:t>
            </w:r>
            <w:r>
              <w:rPr>
                <w:b/>
                <w:bCs/>
                <w:sz w:val="24"/>
                <w:szCs w:val="24"/>
              </w:rPr>
              <w:t>-</w:t>
            </w:r>
            <w:r>
              <w:rPr>
                <w:rFonts w:hint="eastAsia"/>
                <w:b/>
                <w:bCs/>
                <w:sz w:val="24"/>
                <w:szCs w:val="24"/>
                <w:lang w:val="en-US" w:eastAsia="zh-CN"/>
              </w:rPr>
              <w:t>28</w:t>
            </w:r>
            <w:r>
              <w:rPr>
                <w:rFonts w:hint="eastAsia"/>
                <w:b/>
                <w:bCs/>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lang w:val="en-US" w:eastAsia="zh-CN"/>
              </w:rPr>
            </w:pPr>
            <w:r>
              <w:rPr>
                <w:rFonts w:hint="eastAsia" w:ascii="宋体" w:hAnsi="宋体" w:cs="宋体"/>
                <w:sz w:val="24"/>
                <w:lang w:val="en-US" w:eastAsia="zh-CN"/>
              </w:rPr>
              <w:t>3</w:t>
            </w:r>
          </w:p>
        </w:tc>
        <w:tc>
          <w:tcPr>
            <w:tcW w:w="1321" w:type="dxa"/>
            <w:tcBorders>
              <w:top w:val="single" w:color="auto" w:sz="4" w:space="0"/>
              <w:left w:val="single" w:color="auto" w:sz="4" w:space="0"/>
              <w:bottom w:val="single" w:color="auto" w:sz="4" w:space="0"/>
              <w:right w:val="single" w:color="auto" w:sz="4" w:space="0"/>
            </w:tcBorders>
            <w:vAlign w:val="center"/>
          </w:tcPr>
          <w:p>
            <w:pPr>
              <w:pStyle w:val="20"/>
              <w:spacing w:after="0" w:line="420" w:lineRule="exact"/>
              <w:jc w:val="center"/>
              <w:rPr>
                <w:rFonts w:hint="eastAsia" w:hAnsi="宋体" w:cs="宋体"/>
                <w:sz w:val="24"/>
              </w:rPr>
            </w:pPr>
            <w:r>
              <w:rPr>
                <w:rFonts w:hint="eastAsia" w:ascii="宋体" w:hAnsi="宋体" w:eastAsia="宋体" w:cs="宋体"/>
                <w:b w:val="0"/>
                <w:bCs/>
                <w:color w:val="auto"/>
                <w:sz w:val="24"/>
                <w:lang w:eastAsia="zh-CN"/>
              </w:rPr>
              <w:t>合理化建议</w:t>
            </w:r>
          </w:p>
        </w:tc>
        <w:tc>
          <w:tcPr>
            <w:tcW w:w="6214" w:type="dxa"/>
            <w:tcBorders>
              <w:top w:val="single" w:color="auto" w:sz="4" w:space="0"/>
              <w:left w:val="single" w:color="auto" w:sz="4" w:space="0"/>
              <w:bottom w:val="single" w:color="auto" w:sz="4" w:space="0"/>
              <w:right w:val="single" w:color="auto" w:sz="4" w:space="0"/>
            </w:tcBorders>
            <w:vAlign w:val="center"/>
          </w:tcPr>
          <w:p>
            <w:pPr>
              <w:pStyle w:val="20"/>
              <w:spacing w:after="0" w:line="420" w:lineRule="exact"/>
              <w:jc w:val="left"/>
              <w:rPr>
                <w:rFonts w:ascii="宋体" w:hAnsi="宋体" w:cs="宋体"/>
                <w:sz w:val="24"/>
              </w:rPr>
            </w:pPr>
            <w:r>
              <w:rPr>
                <w:rFonts w:hint="eastAsia" w:ascii="宋体" w:hAnsi="宋体" w:eastAsia="宋体" w:cs="宋体"/>
                <w:b w:val="0"/>
                <w:bCs/>
                <w:color w:val="auto"/>
                <w:sz w:val="24"/>
                <w:lang w:eastAsia="zh-CN"/>
              </w:rPr>
              <w:t>本项目的了解程度，系统是否存在不足之处，针对本项目提出合理化建议，每提出一条合理化建议的得1分，最高得</w:t>
            </w:r>
            <w:r>
              <w:rPr>
                <w:rFonts w:hint="eastAsia" w:ascii="宋体" w:hAnsi="宋体" w:eastAsia="宋体" w:cs="宋体"/>
                <w:b w:val="0"/>
                <w:bCs/>
                <w:color w:val="auto"/>
                <w:sz w:val="24"/>
                <w:lang w:val="en-US" w:eastAsia="zh-CN"/>
              </w:rPr>
              <w:t>3</w:t>
            </w:r>
            <w:r>
              <w:rPr>
                <w:rFonts w:hint="eastAsia" w:ascii="宋体" w:hAnsi="宋体" w:eastAsia="宋体" w:cs="宋体"/>
                <w:b w:val="0"/>
                <w:bCs/>
                <w:color w:val="auto"/>
                <w:sz w:val="24"/>
                <w:lang w:eastAsia="zh-CN"/>
              </w:rPr>
              <w:t>分。</w:t>
            </w:r>
          </w:p>
        </w:tc>
        <w:tc>
          <w:tcPr>
            <w:tcW w:w="1050"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jc w:val="center"/>
              <w:rPr>
                <w:rFonts w:hint="eastAsia" w:ascii="宋体" w:hAnsi="宋体" w:eastAsia="宋体" w:cs="Times New Roman"/>
                <w:sz w:val="24"/>
                <w:szCs w:val="24"/>
              </w:rPr>
            </w:pPr>
            <w:r>
              <w:rPr>
                <w:rFonts w:hint="eastAsia" w:ascii="宋体" w:hAnsi="宋体" w:eastAsia="宋体" w:cs="Times New Roman"/>
                <w:sz w:val="24"/>
                <w:szCs w:val="24"/>
                <w:lang w:val="en-US" w:eastAsia="zh-CN"/>
              </w:rPr>
              <w:t>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default" w:ascii="宋体" w:hAnsi="宋体" w:cs="宋体"/>
                <w:sz w:val="24"/>
                <w:lang w:val="en-US" w:eastAsia="zh-CN"/>
              </w:rPr>
            </w:pPr>
            <w:r>
              <w:rPr>
                <w:rFonts w:hint="eastAsia" w:ascii="宋体" w:hAnsi="宋体" w:cs="宋体"/>
                <w:sz w:val="24"/>
                <w:lang w:val="en-US" w:eastAsia="zh-CN"/>
              </w:rPr>
              <w:t>4</w:t>
            </w:r>
          </w:p>
        </w:tc>
        <w:tc>
          <w:tcPr>
            <w:tcW w:w="1321" w:type="dxa"/>
            <w:tcBorders>
              <w:top w:val="single" w:color="auto" w:sz="4" w:space="0"/>
              <w:left w:val="single" w:color="auto" w:sz="4" w:space="0"/>
              <w:bottom w:val="single" w:color="auto" w:sz="4" w:space="0"/>
              <w:right w:val="single" w:color="auto" w:sz="4" w:space="0"/>
            </w:tcBorders>
            <w:vAlign w:val="center"/>
          </w:tcPr>
          <w:p>
            <w:pPr>
              <w:pStyle w:val="20"/>
              <w:spacing w:after="0" w:line="420" w:lineRule="exact"/>
              <w:jc w:val="center"/>
              <w:rPr>
                <w:rFonts w:hint="eastAsia" w:ascii="宋体" w:hAnsi="宋体" w:eastAsia="宋体" w:cs="宋体"/>
                <w:b w:val="0"/>
                <w:bCs/>
                <w:color w:val="auto"/>
                <w:sz w:val="24"/>
                <w:lang w:eastAsia="zh-CN"/>
              </w:rPr>
            </w:pPr>
            <w:r>
              <w:rPr>
                <w:rFonts w:hint="eastAsia" w:cs="宋体"/>
                <w:sz w:val="24"/>
                <w:lang w:val="en-US" w:eastAsia="zh-CN"/>
              </w:rPr>
              <w:t>售后服务承诺</w:t>
            </w:r>
          </w:p>
        </w:tc>
        <w:tc>
          <w:tcPr>
            <w:tcW w:w="6214"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firstLine="240" w:firstLineChars="100"/>
              <w:jc w:val="left"/>
              <w:rPr>
                <w:rFonts w:hint="eastAsia" w:cs="宋体"/>
                <w:bCs/>
                <w:sz w:val="24"/>
              </w:rPr>
            </w:pPr>
            <w:r>
              <w:rPr>
                <w:rFonts w:hint="eastAsia" w:ascii="宋体" w:hAnsi="宋体" w:cs="宋体"/>
                <w:bCs/>
                <w:sz w:val="24"/>
              </w:rPr>
              <w:t>1、服</w:t>
            </w:r>
            <w:r>
              <w:rPr>
                <w:rFonts w:hint="eastAsia" w:cs="宋体"/>
                <w:bCs/>
                <w:sz w:val="24"/>
              </w:rPr>
              <w:t>务承诺：服务方案全面周到的得</w:t>
            </w:r>
            <w:r>
              <w:rPr>
                <w:rFonts w:hint="eastAsia" w:cs="宋体"/>
                <w:bCs/>
                <w:sz w:val="24"/>
                <w:lang w:val="en-US" w:eastAsia="zh-CN"/>
              </w:rPr>
              <w:t>3</w:t>
            </w:r>
            <w:r>
              <w:rPr>
                <w:rFonts w:hint="eastAsia" w:cs="宋体"/>
                <w:bCs/>
                <w:sz w:val="24"/>
              </w:rPr>
              <w:t>分，</w:t>
            </w:r>
            <w:r>
              <w:rPr>
                <w:rFonts w:hint="eastAsia" w:ascii="宋体" w:hAnsi="宋体" w:cs="宋体"/>
                <w:sz w:val="24"/>
              </w:rPr>
              <w:t>售后服务方案较全面的得</w:t>
            </w:r>
            <w:r>
              <w:rPr>
                <w:rFonts w:hint="eastAsia" w:ascii="宋体" w:hAnsi="宋体" w:cs="宋体"/>
                <w:sz w:val="24"/>
                <w:lang w:val="en-US" w:eastAsia="zh-CN"/>
              </w:rPr>
              <w:t>2</w:t>
            </w:r>
            <w:r>
              <w:rPr>
                <w:rFonts w:hint="eastAsia" w:ascii="宋体" w:hAnsi="宋体" w:cs="宋体"/>
                <w:sz w:val="24"/>
              </w:rPr>
              <w:t>分，方案不全面的得1分，未提供不得分。</w:t>
            </w:r>
          </w:p>
          <w:p>
            <w:pPr>
              <w:pStyle w:val="20"/>
              <w:spacing w:after="0" w:line="400" w:lineRule="exact"/>
              <w:ind w:firstLine="235" w:firstLineChars="98"/>
              <w:rPr>
                <w:rFonts w:hint="eastAsia" w:cs="宋体"/>
                <w:bCs/>
                <w:sz w:val="24"/>
                <w:lang w:val="en-US" w:eastAsia="zh-CN"/>
              </w:rPr>
            </w:pPr>
            <w:r>
              <w:rPr>
                <w:rFonts w:hint="eastAsia" w:cs="宋体"/>
                <w:bCs/>
                <w:sz w:val="24"/>
                <w:lang w:val="en-US" w:eastAsia="zh-CN"/>
              </w:rPr>
              <w:t>2、响应时间：接到采购fu人通知（电话、电传等）后3小时现场响应得1分，每减少0.5小时加1分，最高得3分。</w:t>
            </w:r>
          </w:p>
          <w:p>
            <w:pPr>
              <w:pStyle w:val="20"/>
              <w:spacing w:after="0" w:line="400" w:lineRule="exact"/>
              <w:ind w:firstLine="235" w:firstLineChars="98"/>
              <w:rPr>
                <w:rFonts w:hint="eastAsia"/>
                <w:sz w:val="24"/>
                <w:lang w:val="en-US" w:eastAsia="zh-CN"/>
              </w:rPr>
            </w:pPr>
            <w:r>
              <w:rPr>
                <w:rFonts w:hint="eastAsia" w:cs="宋体"/>
                <w:bCs/>
                <w:sz w:val="24"/>
                <w:lang w:val="en-US" w:eastAsia="zh-CN"/>
              </w:rPr>
              <w:t>3、供应商每提出一个对采购项目有实质建设性作用的承诺得1分，</w:t>
            </w:r>
            <w:r>
              <w:rPr>
                <w:rFonts w:hint="eastAsia"/>
                <w:sz w:val="24"/>
                <w:lang w:val="en-US" w:eastAsia="zh-CN"/>
              </w:rPr>
              <w:t xml:space="preserve"> 本项最高得2分。</w:t>
            </w:r>
          </w:p>
          <w:p>
            <w:pPr>
              <w:pStyle w:val="20"/>
              <w:spacing w:after="0" w:line="400" w:lineRule="exact"/>
              <w:ind w:firstLine="235" w:firstLineChars="98"/>
              <w:rPr>
                <w:rFonts w:hint="eastAsia"/>
                <w:sz w:val="24"/>
                <w:lang w:val="en-US" w:eastAsia="zh-CN"/>
              </w:rPr>
            </w:pPr>
            <w:r>
              <w:rPr>
                <w:rFonts w:hint="eastAsia"/>
                <w:sz w:val="24"/>
                <w:lang w:val="en-US" w:eastAsia="zh-CN"/>
              </w:rPr>
              <w:t>4、安全事故责任</w:t>
            </w:r>
            <w:r>
              <w:rPr>
                <w:rFonts w:hint="eastAsia" w:cs="宋体"/>
                <w:bCs/>
                <w:sz w:val="24"/>
                <w:lang w:val="en-US" w:eastAsia="zh-CN"/>
              </w:rPr>
              <w:t>承诺书</w:t>
            </w:r>
            <w:r>
              <w:rPr>
                <w:rFonts w:hint="eastAsia"/>
                <w:sz w:val="24"/>
                <w:lang w:val="en-US" w:eastAsia="zh-CN"/>
              </w:rPr>
              <w:t>。供应商承诺服务期内所发生一切安全事故由供应商负责的承诺书得5分，不提供不得分。</w:t>
            </w:r>
          </w:p>
          <w:p>
            <w:pPr>
              <w:pStyle w:val="20"/>
              <w:spacing w:after="0" w:line="420" w:lineRule="exact"/>
              <w:jc w:val="left"/>
              <w:rPr>
                <w:rFonts w:hint="eastAsia" w:ascii="宋体" w:hAnsi="宋体" w:eastAsia="宋体" w:cs="宋体"/>
                <w:b w:val="0"/>
                <w:bCs/>
                <w:color w:val="auto"/>
                <w:sz w:val="24"/>
                <w:lang w:eastAsia="zh-CN"/>
              </w:rPr>
            </w:pPr>
            <w:r>
              <w:rPr>
                <w:rFonts w:hint="eastAsia" w:cs="宋体"/>
                <w:b/>
                <w:sz w:val="24"/>
                <w:u w:val="single"/>
                <w:lang w:val="en-US" w:eastAsia="zh-CN"/>
              </w:rPr>
              <w:t>以上1-4项承诺不提供的不得分。</w:t>
            </w:r>
            <w:r>
              <w:rPr>
                <w:rFonts w:hint="eastAsia" w:ascii="宋体" w:hAnsi="宋体" w:cs="宋体"/>
                <w:b/>
                <w:bCs/>
                <w:sz w:val="24"/>
                <w:u w:val="single"/>
              </w:rPr>
              <w:t>联合体投标的，任意一方提供均认可。</w:t>
            </w:r>
          </w:p>
        </w:tc>
        <w:tc>
          <w:tcPr>
            <w:tcW w:w="1050"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jc w:val="center"/>
              <w:rPr>
                <w:rFonts w:hint="default" w:ascii="宋体" w:hAnsi="宋体" w:eastAsia="宋体" w:cs="Times New Roman"/>
                <w:sz w:val="24"/>
                <w:szCs w:val="24"/>
                <w:lang w:val="en-US" w:eastAsia="zh-CN"/>
              </w:rPr>
            </w:pPr>
            <w:r>
              <w:rPr>
                <w:rFonts w:hint="eastAsia" w:cs="Times New Roman"/>
                <w:sz w:val="24"/>
                <w:szCs w:val="24"/>
                <w:lang w:val="en-US" w:eastAsia="zh-CN"/>
              </w:rPr>
              <w:t>0-13分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default" w:ascii="宋体" w:hAnsi="宋体" w:cs="宋体"/>
                <w:sz w:val="24"/>
                <w:lang w:val="en-US" w:eastAsia="zh-CN"/>
              </w:rPr>
            </w:pPr>
            <w:r>
              <w:rPr>
                <w:rFonts w:hint="eastAsia" w:ascii="宋体" w:hAnsi="宋体" w:cs="宋体"/>
                <w:sz w:val="24"/>
                <w:lang w:val="en-US" w:eastAsia="zh-CN"/>
              </w:rPr>
              <w:t>5</w:t>
            </w:r>
          </w:p>
        </w:tc>
        <w:tc>
          <w:tcPr>
            <w:tcW w:w="1321" w:type="dxa"/>
            <w:tcBorders>
              <w:top w:val="single" w:color="auto" w:sz="4" w:space="0"/>
              <w:left w:val="single" w:color="auto" w:sz="4" w:space="0"/>
              <w:bottom w:val="single" w:color="auto" w:sz="4" w:space="0"/>
              <w:right w:val="single" w:color="auto" w:sz="4" w:space="0"/>
            </w:tcBorders>
            <w:vAlign w:val="center"/>
          </w:tcPr>
          <w:p>
            <w:pPr>
              <w:pStyle w:val="20"/>
              <w:spacing w:after="0" w:line="420" w:lineRule="exact"/>
              <w:jc w:val="center"/>
              <w:rPr>
                <w:rFonts w:hint="eastAsia" w:ascii="宋体" w:hAnsi="宋体" w:eastAsia="宋体" w:cs="宋体"/>
                <w:b w:val="0"/>
                <w:bCs/>
                <w:color w:val="auto"/>
                <w:sz w:val="24"/>
                <w:lang w:eastAsia="zh-CN"/>
              </w:rPr>
            </w:pPr>
            <w:r>
              <w:rPr>
                <w:rFonts w:hint="eastAsia" w:eastAsia="宋体" w:cs="宋体"/>
                <w:b w:val="0"/>
                <w:bCs/>
                <w:color w:val="auto"/>
                <w:sz w:val="24"/>
                <w:lang w:eastAsia="zh-CN"/>
              </w:rPr>
              <w:t>响应时间</w:t>
            </w:r>
          </w:p>
        </w:tc>
        <w:tc>
          <w:tcPr>
            <w:tcW w:w="6214"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b w:val="0"/>
                <w:bCs/>
                <w:color w:val="auto"/>
                <w:sz w:val="24"/>
                <w:lang w:eastAsia="zh-CN"/>
              </w:rPr>
            </w:pPr>
            <w:r>
              <w:rPr>
                <w:rFonts w:hint="eastAsia" w:cs="宋体"/>
                <w:bCs/>
                <w:color w:val="auto"/>
                <w:sz w:val="24"/>
              </w:rPr>
              <w:t>响应时间：接到采购人通知（电话、电传等）后3小时现场响应得1分，每减少0.5小时加1分，最高得3分。</w:t>
            </w:r>
          </w:p>
        </w:tc>
        <w:tc>
          <w:tcPr>
            <w:tcW w:w="1050"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jc w:val="center"/>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0-3</w:t>
            </w:r>
            <w:r>
              <w:rPr>
                <w:rFonts w:hint="eastAsia" w:ascii="宋体" w:hAnsi="宋体" w:eastAsia="宋体" w:cs="Times New Roman"/>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lang w:eastAsia="zh-CN"/>
              </w:rPr>
            </w:pPr>
            <w:r>
              <w:rPr>
                <w:rFonts w:hint="eastAsia" w:ascii="宋体" w:hAnsi="宋体" w:cs="宋体"/>
                <w:sz w:val="24"/>
                <w:lang w:val="en-US" w:eastAsia="zh-CN"/>
              </w:rPr>
              <w:t>6</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sz w:val="24"/>
              </w:rPr>
            </w:pPr>
            <w:r>
              <w:rPr>
                <w:rFonts w:hint="eastAsia" w:hAnsi="宋体" w:cs="宋体"/>
                <w:sz w:val="24"/>
              </w:rPr>
              <w:t>企业业绩</w:t>
            </w:r>
          </w:p>
        </w:tc>
        <w:tc>
          <w:tcPr>
            <w:tcW w:w="6214" w:type="dxa"/>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宋体" w:hAnsi="宋体" w:cs="宋体"/>
                <w:sz w:val="24"/>
              </w:rPr>
            </w:pPr>
            <w:r>
              <w:rPr>
                <w:rFonts w:ascii="宋体" w:hAnsi="宋体" w:cs="宋体"/>
                <w:sz w:val="24"/>
              </w:rPr>
              <w:t>供应商</w:t>
            </w:r>
            <w:r>
              <w:rPr>
                <w:rFonts w:hint="eastAsia" w:ascii="宋体" w:hAnsi="宋体" w:cs="宋体"/>
                <w:kern w:val="0"/>
                <w:sz w:val="24"/>
              </w:rPr>
              <w:t>2019年1月1日</w:t>
            </w:r>
            <w:r>
              <w:rPr>
                <w:rFonts w:hint="eastAsia" w:ascii="宋体" w:hAnsi="宋体" w:cs="宋体"/>
                <w:kern w:val="0"/>
                <w:sz w:val="24"/>
                <w:lang w:eastAsia="zh-CN"/>
              </w:rPr>
              <w:t>（以合同签订日期为准）</w:t>
            </w:r>
            <w:r>
              <w:rPr>
                <w:rFonts w:hint="eastAsia" w:ascii="宋体" w:hAnsi="宋体" w:cs="宋体"/>
                <w:kern w:val="0"/>
                <w:sz w:val="24"/>
              </w:rPr>
              <w:t>至今，</w:t>
            </w:r>
            <w:r>
              <w:rPr>
                <w:rFonts w:ascii="宋体" w:hAnsi="宋体" w:cs="宋体"/>
                <w:sz w:val="24"/>
              </w:rPr>
              <w:t>类似</w:t>
            </w:r>
            <w:r>
              <w:rPr>
                <w:rFonts w:hint="eastAsia" w:ascii="宋体" w:hAnsi="宋体" w:cs="宋体"/>
                <w:kern w:val="0"/>
                <w:sz w:val="24"/>
              </w:rPr>
              <w:t>项目的成功案例，每提供1个</w:t>
            </w:r>
            <w:r>
              <w:rPr>
                <w:rFonts w:ascii="宋体" w:hAnsi="宋体" w:cs="宋体"/>
                <w:sz w:val="24"/>
              </w:rPr>
              <w:t>合同</w:t>
            </w:r>
            <w:r>
              <w:rPr>
                <w:rFonts w:hint="eastAsia" w:ascii="宋体" w:hAnsi="宋体" w:cs="宋体"/>
                <w:kern w:val="0"/>
                <w:sz w:val="24"/>
              </w:rPr>
              <w:t>得0.5分，最高得1分。需提供</w:t>
            </w:r>
            <w:r>
              <w:rPr>
                <w:rFonts w:ascii="宋体" w:hAnsi="宋体" w:cs="宋体"/>
                <w:sz w:val="24"/>
              </w:rPr>
              <w:t>合同</w:t>
            </w:r>
            <w:r>
              <w:rPr>
                <w:rFonts w:hint="eastAsia" w:ascii="宋体" w:hAnsi="宋体" w:cs="宋体"/>
                <w:kern w:val="0"/>
                <w:sz w:val="24"/>
              </w:rPr>
              <w:t>复印件，不提供的不得分。</w:t>
            </w:r>
          </w:p>
        </w:tc>
        <w:tc>
          <w:tcPr>
            <w:tcW w:w="1050"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jc w:val="center"/>
              <w:rPr>
                <w:sz w:val="24"/>
                <w:szCs w:val="24"/>
              </w:rPr>
            </w:pPr>
            <w:r>
              <w:rPr>
                <w:rFonts w:hint="eastAsia"/>
                <w:sz w:val="24"/>
                <w:szCs w:val="24"/>
              </w:rPr>
              <w:t>0</w:t>
            </w:r>
            <w:r>
              <w:rPr>
                <w:sz w:val="24"/>
                <w:szCs w:val="24"/>
              </w:rPr>
              <w:t>-1</w:t>
            </w:r>
            <w:r>
              <w:rPr>
                <w:rFonts w:hint="eastAsia"/>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default" w:ascii="宋体" w:hAnsi="宋体" w:eastAsia="宋体" w:cs="宋体"/>
                <w:sz w:val="24"/>
                <w:lang w:val="en-US" w:eastAsia="zh-CN"/>
              </w:rPr>
            </w:pPr>
            <w:r>
              <w:rPr>
                <w:rFonts w:hint="eastAsia" w:ascii="宋体" w:hAnsi="宋体" w:cs="宋体"/>
                <w:sz w:val="24"/>
                <w:lang w:val="en-US" w:eastAsia="zh-CN"/>
              </w:rPr>
              <w:t>7</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sz w:val="24"/>
              </w:rPr>
            </w:pPr>
            <w:r>
              <w:rPr>
                <w:rFonts w:hint="eastAsia" w:hAnsi="宋体" w:cs="宋体"/>
                <w:sz w:val="24"/>
              </w:rPr>
              <w:t>权威认证</w:t>
            </w:r>
          </w:p>
        </w:tc>
        <w:tc>
          <w:tcPr>
            <w:tcW w:w="6214" w:type="dxa"/>
            <w:tcBorders>
              <w:top w:val="single" w:color="auto" w:sz="4" w:space="0"/>
              <w:left w:val="single" w:color="auto" w:sz="4" w:space="0"/>
              <w:bottom w:val="single" w:color="auto" w:sz="4" w:space="0"/>
              <w:right w:val="single" w:color="auto" w:sz="4" w:space="0"/>
            </w:tcBorders>
            <w:vAlign w:val="center"/>
          </w:tcPr>
          <w:p>
            <w:pPr>
              <w:snapToGrid w:val="0"/>
              <w:spacing w:line="380" w:lineRule="exact"/>
              <w:jc w:val="left"/>
              <w:rPr>
                <w:rFonts w:ascii="宋体" w:hAnsi="宋体" w:cs="宋体"/>
                <w:kern w:val="0"/>
                <w:sz w:val="24"/>
              </w:rPr>
            </w:pPr>
            <w:r>
              <w:rPr>
                <w:rFonts w:ascii="宋体" w:hAnsi="宋体" w:cs="宋体"/>
                <w:kern w:val="0"/>
                <w:sz w:val="24"/>
              </w:rPr>
              <w:t>1、</w:t>
            </w:r>
            <w:r>
              <w:rPr>
                <w:rFonts w:hint="eastAsia" w:ascii="宋体" w:hAnsi="宋体" w:cs="宋体"/>
                <w:kern w:val="0"/>
                <w:sz w:val="24"/>
              </w:rPr>
              <w:t>供应商</w:t>
            </w:r>
            <w:r>
              <w:rPr>
                <w:rFonts w:ascii="宋体" w:hAnsi="宋体" w:cs="宋体"/>
                <w:kern w:val="0"/>
                <w:sz w:val="24"/>
              </w:rPr>
              <w:t>具备有效质量管理体系认证证书且在有效期范围，认证内容须包含社区养老服务的得</w:t>
            </w:r>
            <w:r>
              <w:rPr>
                <w:rFonts w:hint="eastAsia" w:ascii="宋体" w:hAnsi="宋体" w:cs="宋体"/>
                <w:kern w:val="0"/>
                <w:sz w:val="24"/>
                <w:lang w:val="en-US" w:eastAsia="zh-CN"/>
              </w:rPr>
              <w:t>1</w:t>
            </w:r>
            <w:r>
              <w:rPr>
                <w:rFonts w:ascii="宋体" w:hAnsi="宋体" w:cs="宋体"/>
                <w:kern w:val="0"/>
                <w:sz w:val="24"/>
              </w:rPr>
              <w:t>分。</w:t>
            </w:r>
          </w:p>
          <w:p>
            <w:pPr>
              <w:snapToGrid w:val="0"/>
              <w:spacing w:line="380" w:lineRule="exact"/>
              <w:jc w:val="left"/>
              <w:rPr>
                <w:rFonts w:ascii="宋体" w:hAnsi="宋体" w:cs="宋体"/>
                <w:kern w:val="0"/>
                <w:sz w:val="24"/>
              </w:rPr>
            </w:pPr>
            <w:r>
              <w:rPr>
                <w:rFonts w:ascii="宋体" w:hAnsi="宋体" w:cs="宋体"/>
                <w:kern w:val="0"/>
                <w:sz w:val="24"/>
              </w:rPr>
              <w:t>2、</w:t>
            </w:r>
            <w:r>
              <w:rPr>
                <w:rFonts w:hint="eastAsia" w:ascii="宋体" w:hAnsi="宋体" w:cs="宋体"/>
                <w:kern w:val="0"/>
                <w:sz w:val="24"/>
              </w:rPr>
              <w:t>供应商</w:t>
            </w:r>
            <w:r>
              <w:rPr>
                <w:rFonts w:ascii="宋体" w:hAnsi="宋体" w:cs="宋体"/>
                <w:kern w:val="0"/>
                <w:sz w:val="24"/>
              </w:rPr>
              <w:t>具备有效职业健康安全管理体系认证证书且在有效期范围，认证内容须包含社区养老服务的得</w:t>
            </w:r>
            <w:r>
              <w:rPr>
                <w:rFonts w:hint="eastAsia" w:ascii="宋体" w:hAnsi="宋体" w:cs="宋体"/>
                <w:kern w:val="0"/>
                <w:sz w:val="24"/>
                <w:lang w:val="en-US" w:eastAsia="zh-CN"/>
              </w:rPr>
              <w:t>1</w:t>
            </w:r>
            <w:r>
              <w:rPr>
                <w:rFonts w:ascii="宋体" w:hAnsi="宋体" w:cs="宋体"/>
                <w:kern w:val="0"/>
                <w:sz w:val="24"/>
              </w:rPr>
              <w:t>分。</w:t>
            </w:r>
          </w:p>
          <w:p>
            <w:pPr>
              <w:snapToGrid w:val="0"/>
              <w:spacing w:line="380" w:lineRule="exact"/>
              <w:jc w:val="left"/>
              <w:rPr>
                <w:rFonts w:ascii="宋体" w:hAnsi="宋体" w:cs="宋体"/>
                <w:kern w:val="0"/>
                <w:sz w:val="24"/>
              </w:rPr>
            </w:pPr>
            <w:r>
              <w:rPr>
                <w:rFonts w:ascii="宋体" w:hAnsi="宋体" w:cs="宋体"/>
                <w:kern w:val="0"/>
                <w:sz w:val="24"/>
              </w:rPr>
              <w:t>3、</w:t>
            </w:r>
            <w:r>
              <w:rPr>
                <w:rFonts w:hint="eastAsia" w:ascii="宋体" w:hAnsi="宋体" w:cs="宋体"/>
                <w:kern w:val="0"/>
                <w:sz w:val="24"/>
              </w:rPr>
              <w:t>供应商</w:t>
            </w:r>
            <w:r>
              <w:rPr>
                <w:rFonts w:ascii="宋体" w:hAnsi="宋体" w:cs="宋体"/>
                <w:kern w:val="0"/>
                <w:sz w:val="24"/>
              </w:rPr>
              <w:t>具备有效的环境管理体系认证证书且在有效期范围，认证内容须包含社区养老服务的得</w:t>
            </w:r>
            <w:r>
              <w:rPr>
                <w:rFonts w:hint="eastAsia" w:ascii="宋体" w:hAnsi="宋体" w:cs="宋体"/>
                <w:kern w:val="0"/>
                <w:sz w:val="24"/>
                <w:lang w:val="en-US" w:eastAsia="zh-CN"/>
              </w:rPr>
              <w:t>1</w:t>
            </w:r>
            <w:r>
              <w:rPr>
                <w:rFonts w:ascii="宋体" w:hAnsi="宋体" w:cs="宋体"/>
                <w:kern w:val="0"/>
                <w:sz w:val="24"/>
              </w:rPr>
              <w:t>分。</w:t>
            </w:r>
          </w:p>
          <w:p>
            <w:pPr>
              <w:spacing w:line="380" w:lineRule="exact"/>
              <w:jc w:val="left"/>
              <w:rPr>
                <w:rFonts w:ascii="宋体" w:hAnsi="宋体" w:cs="宋体"/>
                <w:sz w:val="24"/>
              </w:rPr>
            </w:pPr>
            <w:r>
              <w:rPr>
                <w:rFonts w:ascii="宋体" w:hAnsi="宋体" w:cs="宋体"/>
                <w:sz w:val="24"/>
              </w:rPr>
              <w:t>【须提供以上认证证书复印件，并提供国家认证认可业务信息统一查询平台（http://www.cnca.gov.cn）的证书查询截图和网址，否则不得分】</w:t>
            </w:r>
          </w:p>
        </w:tc>
        <w:tc>
          <w:tcPr>
            <w:tcW w:w="1050"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jc w:val="center"/>
              <w:rPr>
                <w:sz w:val="24"/>
                <w:szCs w:val="24"/>
              </w:rPr>
            </w:pPr>
            <w:r>
              <w:rPr>
                <w:rFonts w:hint="eastAsia"/>
                <w:sz w:val="24"/>
                <w:szCs w:val="24"/>
              </w:rPr>
              <w:t>0</w:t>
            </w:r>
            <w:r>
              <w:rPr>
                <w:sz w:val="24"/>
                <w:szCs w:val="24"/>
              </w:rPr>
              <w:t>-</w:t>
            </w:r>
            <w:r>
              <w:rPr>
                <w:rFonts w:hint="eastAsia"/>
                <w:sz w:val="24"/>
                <w:szCs w:val="24"/>
                <w:lang w:val="en-US" w:eastAsia="zh-CN"/>
              </w:rPr>
              <w:t>3</w:t>
            </w:r>
            <w:r>
              <w:rPr>
                <w:rFonts w:hint="eastAsia"/>
                <w:sz w:val="24"/>
                <w:szCs w:val="24"/>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48" w:hRule="atLeast"/>
        </w:trPr>
        <w:tc>
          <w:tcPr>
            <w:tcW w:w="793"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hint="eastAsia" w:ascii="宋体" w:hAnsi="宋体" w:eastAsia="宋体" w:cs="宋体"/>
                <w:sz w:val="24"/>
                <w:lang w:eastAsia="zh-CN"/>
              </w:rPr>
            </w:pPr>
            <w:r>
              <w:rPr>
                <w:rFonts w:hint="eastAsia" w:ascii="宋体" w:hAnsi="宋体" w:cs="宋体"/>
                <w:sz w:val="24"/>
                <w:lang w:val="en-US" w:eastAsia="zh-CN"/>
              </w:rPr>
              <w:t>8</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spacing w:line="380" w:lineRule="exact"/>
              <w:jc w:val="center"/>
              <w:rPr>
                <w:rFonts w:ascii="宋体" w:hAnsi="宋体" w:cs="宋体"/>
                <w:sz w:val="24"/>
              </w:rPr>
            </w:pPr>
            <w:r>
              <w:rPr>
                <w:rFonts w:hint="eastAsia" w:hAnsi="宋体" w:cs="宋体"/>
                <w:sz w:val="24"/>
              </w:rPr>
              <w:t>企业荣誉</w:t>
            </w:r>
          </w:p>
        </w:tc>
        <w:tc>
          <w:tcPr>
            <w:tcW w:w="6214" w:type="dxa"/>
            <w:tcBorders>
              <w:top w:val="single" w:color="auto" w:sz="4" w:space="0"/>
              <w:left w:val="single" w:color="auto" w:sz="4" w:space="0"/>
              <w:bottom w:val="single" w:color="auto" w:sz="4" w:space="0"/>
              <w:right w:val="single" w:color="auto" w:sz="4" w:space="0"/>
            </w:tcBorders>
            <w:vAlign w:val="center"/>
          </w:tcPr>
          <w:p>
            <w:pPr>
              <w:widowControl/>
              <w:spacing w:line="380" w:lineRule="exact"/>
              <w:textAlignment w:val="baseline"/>
              <w:rPr>
                <w:rFonts w:ascii="宋体" w:hAnsi="宋体" w:cs="宋体"/>
                <w:kern w:val="0"/>
                <w:sz w:val="24"/>
              </w:rPr>
            </w:pPr>
            <w:r>
              <w:rPr>
                <w:rFonts w:ascii="宋体" w:hAnsi="宋体" w:cs="宋体"/>
                <w:kern w:val="0"/>
                <w:sz w:val="24"/>
              </w:rPr>
              <w:t>供应商</w:t>
            </w:r>
            <w:r>
              <w:rPr>
                <w:rFonts w:hint="eastAsia" w:ascii="宋体" w:hAnsi="宋体" w:cs="宋体"/>
                <w:kern w:val="0"/>
                <w:sz w:val="24"/>
              </w:rPr>
              <w:t>获得</w:t>
            </w:r>
            <w:r>
              <w:rPr>
                <w:rFonts w:ascii="宋体" w:hAnsi="宋体" w:cs="宋体"/>
                <w:kern w:val="0"/>
                <w:sz w:val="24"/>
              </w:rPr>
              <w:t>有效的政府行政职能部门或行业主管部门授予的企业荣誉证书</w:t>
            </w:r>
            <w:r>
              <w:rPr>
                <w:rFonts w:hint="eastAsia" w:ascii="宋体" w:hAnsi="宋体" w:cs="宋体"/>
                <w:kern w:val="0"/>
                <w:sz w:val="24"/>
              </w:rPr>
              <w:t>：国家级荣誉得5分；省级得3分；市级荣誉得1分。</w:t>
            </w:r>
          </w:p>
          <w:p>
            <w:pPr>
              <w:spacing w:line="380" w:lineRule="exact"/>
              <w:rPr>
                <w:rFonts w:ascii="宋体" w:hAnsi="宋体" w:cs="宋体"/>
                <w:sz w:val="24"/>
              </w:rPr>
            </w:pPr>
            <w:r>
              <w:rPr>
                <w:rFonts w:hint="eastAsia" w:ascii="宋体" w:hAnsi="宋体" w:cs="宋体"/>
                <w:kern w:val="0"/>
                <w:sz w:val="24"/>
              </w:rPr>
              <w:t>提供由政府行政职能部门或行业主管部门颁发的荣誉证书或文件。本项</w:t>
            </w:r>
            <w:r>
              <w:rPr>
                <w:rFonts w:hint="eastAsia" w:ascii="宋体" w:hAnsi="宋体" w:cs="宋体"/>
                <w:sz w:val="24"/>
              </w:rPr>
              <w:t>以最高奖项计，不累计计分，未提供不得分。</w:t>
            </w:r>
          </w:p>
        </w:tc>
        <w:tc>
          <w:tcPr>
            <w:tcW w:w="1050" w:type="dxa"/>
            <w:tcBorders>
              <w:top w:val="single" w:color="auto" w:sz="4" w:space="0"/>
              <w:left w:val="single" w:color="auto" w:sz="4" w:space="0"/>
              <w:bottom w:val="single" w:color="auto" w:sz="4" w:space="0"/>
              <w:right w:val="single" w:color="auto" w:sz="4" w:space="0"/>
            </w:tcBorders>
            <w:vAlign w:val="center"/>
          </w:tcPr>
          <w:p>
            <w:pPr>
              <w:pStyle w:val="39"/>
              <w:spacing w:line="380" w:lineRule="exact"/>
              <w:ind w:firstLine="0" w:firstLineChars="0"/>
              <w:jc w:val="center"/>
              <w:rPr>
                <w:sz w:val="24"/>
                <w:szCs w:val="24"/>
              </w:rPr>
            </w:pPr>
            <w:r>
              <w:rPr>
                <w:rFonts w:hint="eastAsia"/>
                <w:sz w:val="24"/>
                <w:szCs w:val="24"/>
              </w:rPr>
              <w:t>0</w:t>
            </w:r>
            <w:r>
              <w:rPr>
                <w:sz w:val="24"/>
                <w:szCs w:val="24"/>
              </w:rPr>
              <w:t>-5</w:t>
            </w:r>
            <w:r>
              <w:rPr>
                <w:rFonts w:hint="eastAsia"/>
                <w:sz w:val="24"/>
                <w:szCs w:val="24"/>
              </w:rPr>
              <w:t>分</w:t>
            </w:r>
          </w:p>
        </w:tc>
      </w:tr>
    </w:tbl>
    <w:p>
      <w:pPr>
        <w:spacing w:line="360" w:lineRule="auto"/>
        <w:jc w:val="center"/>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spacing w:line="360" w:lineRule="auto"/>
        <w:jc w:val="center"/>
        <w:rPr>
          <w:rFonts w:ascii="宋体" w:hAnsi="宋体" w:cs="宋体"/>
          <w:sz w:val="24"/>
        </w:rPr>
      </w:pPr>
      <w:r>
        <w:rPr>
          <w:rFonts w:hint="eastAsia" w:ascii="宋体" w:hAnsi="宋体" w:cs="宋体"/>
          <w:b/>
          <w:sz w:val="36"/>
          <w:szCs w:val="36"/>
        </w:rPr>
        <w:t>第五章  合同主要条款</w:t>
      </w:r>
      <w:bookmarkEnd w:id="29"/>
    </w:p>
    <w:p>
      <w:pPr>
        <w:spacing w:line="500" w:lineRule="exact"/>
        <w:ind w:right="560" w:rightChars="200"/>
        <w:jc w:val="center"/>
        <w:rPr>
          <w:rFonts w:ascii="宋体" w:hAnsi="宋体" w:cs="宋体"/>
          <w:sz w:val="22"/>
          <w:szCs w:val="22"/>
        </w:rPr>
      </w:pPr>
      <w:bookmarkStart w:id="30" w:name="_Toc11931"/>
      <w:r>
        <w:rPr>
          <w:rFonts w:hint="eastAsia" w:ascii="宋体" w:hAnsi="宋体" w:cs="宋体"/>
          <w:sz w:val="22"/>
          <w:szCs w:val="22"/>
        </w:rPr>
        <w:t>（仅供参考，以正式合同为准）</w:t>
      </w:r>
    </w:p>
    <w:p>
      <w:pPr>
        <w:spacing w:line="500" w:lineRule="exact"/>
        <w:ind w:right="560" w:rightChars="200"/>
        <w:jc w:val="right"/>
        <w:rPr>
          <w:rFonts w:ascii="宋体" w:hAnsi="宋体" w:cs="宋体"/>
          <w:b/>
          <w:bCs/>
          <w:sz w:val="36"/>
          <w:szCs w:val="36"/>
        </w:rPr>
      </w:pPr>
    </w:p>
    <w:p>
      <w:pPr>
        <w:spacing w:line="460" w:lineRule="exact"/>
        <w:rPr>
          <w:rFonts w:ascii="宋体" w:hAnsi="宋体" w:cs="宋体"/>
          <w:sz w:val="24"/>
        </w:rPr>
      </w:pPr>
      <w:r>
        <w:rPr>
          <w:rFonts w:hint="eastAsia" w:ascii="宋体" w:hAnsi="宋体" w:cs="宋体"/>
          <w:b/>
          <w:bCs/>
          <w:sz w:val="24"/>
        </w:rPr>
        <w:t>项目名称：                              项目编号：</w:t>
      </w:r>
    </w:p>
    <w:p>
      <w:pPr>
        <w:spacing w:line="460" w:lineRule="exact"/>
        <w:rPr>
          <w:rFonts w:ascii="宋体" w:hAnsi="宋体" w:cs="宋体"/>
          <w:sz w:val="24"/>
        </w:rPr>
      </w:pPr>
      <w:r>
        <w:rPr>
          <w:rFonts w:hint="eastAsia" w:ascii="宋体" w:hAnsi="宋体" w:cs="宋体"/>
          <w:sz w:val="24"/>
        </w:rPr>
        <w:t>甲方：（采购人）</w:t>
      </w:r>
    </w:p>
    <w:p>
      <w:pPr>
        <w:spacing w:line="460" w:lineRule="exact"/>
        <w:rPr>
          <w:rFonts w:ascii="宋体" w:hAnsi="宋体" w:cs="宋体"/>
          <w:sz w:val="24"/>
        </w:rPr>
      </w:pPr>
      <w:r>
        <w:rPr>
          <w:rFonts w:hint="eastAsia" w:ascii="宋体" w:hAnsi="宋体" w:cs="宋体"/>
          <w:sz w:val="24"/>
        </w:rPr>
        <w:t>乙方：（成交供应商）</w:t>
      </w:r>
    </w:p>
    <w:p>
      <w:pPr>
        <w:spacing w:line="520" w:lineRule="exact"/>
        <w:ind w:firstLine="480" w:firstLineChars="200"/>
        <w:jc w:val="left"/>
        <w:outlineLvl w:val="0"/>
        <w:rPr>
          <w:rFonts w:ascii="宋体" w:hAnsi="宋体" w:cs="宋体"/>
          <w:sz w:val="24"/>
        </w:rPr>
      </w:pPr>
      <w:r>
        <w:rPr>
          <w:rFonts w:hint="eastAsia" w:ascii="宋体" w:hAnsi="宋体" w:cs="宋体"/>
          <w:sz w:val="24"/>
        </w:rPr>
        <w:t>乙双方根据</w:t>
      </w:r>
      <w:r>
        <w:rPr>
          <w:rFonts w:hint="eastAsia" w:ascii="宋体" w:hAnsi="宋体" w:cs="宋体"/>
          <w:sz w:val="24"/>
          <w:u w:val="single"/>
          <w:lang w:eastAsia="zh-CN"/>
        </w:rPr>
        <w:t>湖州鑫梦工程咨询有限公司</w:t>
      </w:r>
      <w:r>
        <w:rPr>
          <w:rFonts w:hint="eastAsia" w:ascii="宋体" w:hAnsi="宋体" w:cs="宋体"/>
          <w:sz w:val="24"/>
        </w:rPr>
        <w:t>关于</w:t>
      </w:r>
      <w:r>
        <w:rPr>
          <w:rFonts w:hint="eastAsia" w:ascii="宋体" w:hAnsi="宋体" w:cs="宋体"/>
          <w:spacing w:val="-4"/>
          <w:sz w:val="24"/>
          <w:u w:val="single"/>
          <w:lang w:eastAsia="zh-CN"/>
        </w:rPr>
        <w:t>飞</w:t>
      </w:r>
      <w:r>
        <w:rPr>
          <w:rFonts w:hint="eastAsia" w:ascii="宋体" w:hAnsi="宋体" w:cs="宋体"/>
          <w:sz w:val="24"/>
          <w:u w:val="single"/>
          <w:lang w:val="en-US" w:eastAsia="zh-CN"/>
        </w:rPr>
        <w:t>英街道办事处关于余家漾社区幸福邻里中心（儿童之家）、新华苑社区幸福邻里中心第三方运营服务采购项目</w:t>
      </w:r>
      <w:r>
        <w:rPr>
          <w:rFonts w:hint="eastAsia" w:ascii="宋体" w:hAnsi="宋体" w:cs="宋体"/>
          <w:sz w:val="24"/>
          <w:lang w:val="en-US" w:eastAsia="zh-CN"/>
        </w:rPr>
        <w:t>公开招标</w:t>
      </w:r>
      <w:r>
        <w:rPr>
          <w:rFonts w:hint="eastAsia" w:ascii="宋体" w:hAnsi="宋体" w:cs="宋体"/>
          <w:sz w:val="24"/>
        </w:rPr>
        <w:t>的结果，签署本合同。</w:t>
      </w:r>
    </w:p>
    <w:p>
      <w:pPr>
        <w:spacing w:line="460" w:lineRule="exact"/>
        <w:ind w:firstLine="482" w:firstLineChars="200"/>
        <w:rPr>
          <w:rFonts w:ascii="宋体" w:hAnsi="宋体" w:cs="宋体"/>
          <w:b/>
          <w:bCs/>
          <w:sz w:val="24"/>
        </w:rPr>
      </w:pPr>
      <w:r>
        <w:rPr>
          <w:rFonts w:hint="eastAsia" w:ascii="宋体" w:hAnsi="宋体" w:cs="宋体"/>
          <w:b/>
          <w:bCs/>
          <w:sz w:val="24"/>
        </w:rPr>
        <w:t>一、服务内容</w:t>
      </w:r>
    </w:p>
    <w:p>
      <w:pPr>
        <w:spacing w:line="460" w:lineRule="exact"/>
        <w:ind w:firstLine="464" w:firstLineChars="200"/>
        <w:rPr>
          <w:rFonts w:ascii="宋体" w:hAnsi="宋体" w:cs="宋体"/>
          <w:spacing w:val="-4"/>
          <w:sz w:val="24"/>
        </w:rPr>
      </w:pPr>
      <w:r>
        <w:rPr>
          <w:rFonts w:hint="eastAsia" w:ascii="宋体" w:hAnsi="宋体" w:cs="宋体"/>
          <w:spacing w:val="-4"/>
          <w:sz w:val="24"/>
          <w:u w:val="none"/>
          <w:lang w:eastAsia="zh-CN"/>
        </w:rPr>
        <w:t>幸福邻里</w:t>
      </w:r>
      <w:r>
        <w:rPr>
          <w:rFonts w:hint="eastAsia" w:ascii="宋体" w:hAnsi="宋体" w:cs="宋体"/>
          <w:spacing w:val="-4"/>
          <w:sz w:val="24"/>
          <w:u w:val="none"/>
        </w:rPr>
        <w:t>运</w:t>
      </w:r>
      <w:r>
        <w:rPr>
          <w:rFonts w:hint="eastAsia" w:ascii="宋体" w:hAnsi="宋体" w:cs="宋体"/>
          <w:spacing w:val="-4"/>
          <w:sz w:val="24"/>
        </w:rPr>
        <w:t>营项目</w:t>
      </w:r>
    </w:p>
    <w:p>
      <w:pPr>
        <w:spacing w:line="460" w:lineRule="exact"/>
        <w:ind w:firstLine="482" w:firstLineChars="200"/>
        <w:rPr>
          <w:rFonts w:ascii="宋体" w:hAnsi="宋体" w:cs="宋体"/>
          <w:b/>
          <w:bCs/>
          <w:sz w:val="24"/>
        </w:rPr>
      </w:pPr>
      <w:r>
        <w:rPr>
          <w:rFonts w:hint="eastAsia" w:ascii="宋体" w:hAnsi="宋体" w:cs="宋体"/>
          <w:b/>
          <w:bCs/>
          <w:sz w:val="24"/>
        </w:rPr>
        <w:t>二、合同金额</w:t>
      </w:r>
    </w:p>
    <w:p>
      <w:pPr>
        <w:spacing w:line="460" w:lineRule="exact"/>
        <w:ind w:firstLine="480" w:firstLineChars="200"/>
        <w:rPr>
          <w:rFonts w:ascii="宋体" w:hAnsi="宋体" w:cs="宋体"/>
          <w:sz w:val="24"/>
        </w:rPr>
      </w:pPr>
      <w:r>
        <w:rPr>
          <w:rFonts w:hint="eastAsia" w:ascii="宋体" w:hAnsi="宋体" w:cs="宋体"/>
          <w:sz w:val="24"/>
        </w:rPr>
        <w:t>本合同金额为（大写）：_____________________元（￥_______________元）人民币。</w:t>
      </w:r>
    </w:p>
    <w:p>
      <w:pPr>
        <w:spacing w:line="460" w:lineRule="exact"/>
        <w:ind w:firstLine="482" w:firstLineChars="200"/>
        <w:rPr>
          <w:rFonts w:ascii="宋体" w:hAnsi="宋体" w:cs="宋体"/>
          <w:sz w:val="24"/>
        </w:rPr>
      </w:pPr>
      <w:r>
        <w:rPr>
          <w:rFonts w:hint="eastAsia" w:ascii="宋体" w:hAnsi="宋体" w:cs="宋体"/>
          <w:b/>
          <w:bCs/>
          <w:sz w:val="24"/>
        </w:rPr>
        <w:t>三、技术资料</w:t>
      </w:r>
    </w:p>
    <w:p>
      <w:pPr>
        <w:spacing w:line="460" w:lineRule="exact"/>
        <w:ind w:firstLine="480" w:firstLineChars="200"/>
        <w:rPr>
          <w:rFonts w:ascii="宋体" w:hAnsi="宋体" w:cs="宋体"/>
          <w:sz w:val="24"/>
        </w:rPr>
      </w:pPr>
      <w:r>
        <w:rPr>
          <w:rFonts w:hint="eastAsia" w:ascii="宋体" w:hAnsi="宋体" w:cs="宋体"/>
          <w:sz w:val="24"/>
        </w:rPr>
        <w:t>1.乙方应按采购文件规定的时间向甲方提供有关技术资料。</w:t>
      </w:r>
    </w:p>
    <w:p>
      <w:pPr>
        <w:spacing w:line="460" w:lineRule="exact"/>
        <w:ind w:firstLine="480" w:firstLineChars="200"/>
        <w:rPr>
          <w:rFonts w:ascii="宋体" w:hAnsi="宋体" w:cs="宋体"/>
          <w:sz w:val="24"/>
        </w:rPr>
      </w:pPr>
      <w:r>
        <w:rPr>
          <w:rFonts w:hint="eastAsia" w:ascii="宋体" w:hAnsi="宋体" w:cs="宋体"/>
          <w:sz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pacing w:line="460" w:lineRule="exact"/>
        <w:ind w:firstLine="482" w:firstLineChars="200"/>
        <w:rPr>
          <w:rFonts w:ascii="宋体" w:hAnsi="宋体" w:cs="宋体"/>
          <w:b/>
          <w:bCs/>
          <w:sz w:val="24"/>
        </w:rPr>
      </w:pPr>
      <w:r>
        <w:rPr>
          <w:rFonts w:hint="eastAsia" w:ascii="宋体" w:hAnsi="宋体" w:cs="宋体"/>
          <w:b/>
          <w:bCs/>
          <w:sz w:val="24"/>
        </w:rPr>
        <w:t>四、知识产权</w:t>
      </w:r>
    </w:p>
    <w:p>
      <w:pPr>
        <w:spacing w:line="460" w:lineRule="exact"/>
        <w:ind w:firstLine="480" w:firstLineChars="200"/>
        <w:rPr>
          <w:rFonts w:ascii="宋体" w:hAnsi="宋体" w:cs="宋体"/>
          <w:sz w:val="24"/>
        </w:rPr>
      </w:pPr>
      <w:r>
        <w:rPr>
          <w:rFonts w:hint="eastAsia" w:ascii="宋体" w:hAnsi="宋体" w:cs="宋体"/>
          <w:sz w:val="24"/>
        </w:rPr>
        <w:t>乙方应保证提供服务过程中不会侵犯任何第三方的知识产权。</w:t>
      </w:r>
    </w:p>
    <w:p>
      <w:pPr>
        <w:spacing w:line="460" w:lineRule="exact"/>
        <w:ind w:firstLine="482" w:firstLineChars="200"/>
        <w:rPr>
          <w:rFonts w:ascii="宋体" w:hAnsi="宋体" w:cs="宋体"/>
          <w:b/>
          <w:bCs/>
          <w:sz w:val="24"/>
        </w:rPr>
      </w:pPr>
      <w:r>
        <w:rPr>
          <w:rFonts w:hint="eastAsia" w:ascii="宋体" w:hAnsi="宋体" w:cs="宋体"/>
          <w:b/>
          <w:bCs/>
          <w:sz w:val="24"/>
        </w:rPr>
        <w:t>五、转包或分包</w:t>
      </w:r>
    </w:p>
    <w:p>
      <w:pPr>
        <w:spacing w:line="460" w:lineRule="exact"/>
        <w:ind w:firstLine="480" w:firstLineChars="200"/>
        <w:rPr>
          <w:rFonts w:ascii="宋体" w:hAnsi="宋体" w:cs="宋体"/>
          <w:sz w:val="24"/>
        </w:rPr>
      </w:pPr>
      <w:r>
        <w:rPr>
          <w:rFonts w:hint="eastAsia" w:ascii="宋体" w:hAnsi="宋体" w:cs="宋体"/>
          <w:sz w:val="24"/>
        </w:rPr>
        <w:t>1.本合同范围的服务，应由乙方直接供应，不得转让他人供应。</w:t>
      </w:r>
    </w:p>
    <w:p>
      <w:pPr>
        <w:spacing w:line="460" w:lineRule="exact"/>
        <w:ind w:firstLine="480" w:firstLineChars="200"/>
        <w:rPr>
          <w:rFonts w:ascii="宋体" w:hAnsi="宋体" w:cs="宋体"/>
          <w:sz w:val="24"/>
        </w:rPr>
      </w:pPr>
      <w:r>
        <w:rPr>
          <w:rFonts w:hint="eastAsia" w:ascii="宋体" w:hAnsi="宋体" w:cs="宋体"/>
          <w:sz w:val="24"/>
        </w:rPr>
        <w:t>2.除非得到甲方的书面同意，乙方不得将本合同范围的服务全部或部分分包给他人供应。</w:t>
      </w:r>
    </w:p>
    <w:p>
      <w:pPr>
        <w:spacing w:line="460" w:lineRule="exact"/>
        <w:ind w:firstLine="482" w:firstLineChars="200"/>
        <w:rPr>
          <w:rFonts w:ascii="宋体" w:hAnsi="宋体" w:cs="宋体"/>
          <w:b/>
          <w:bCs/>
          <w:sz w:val="24"/>
        </w:rPr>
      </w:pPr>
      <w:r>
        <w:rPr>
          <w:rFonts w:hint="eastAsia" w:ascii="宋体" w:hAnsi="宋体" w:cs="宋体"/>
          <w:b/>
          <w:bCs/>
          <w:sz w:val="24"/>
        </w:rPr>
        <w:t>六、合同履行时间</w:t>
      </w:r>
    </w:p>
    <w:p>
      <w:pPr>
        <w:spacing w:line="460" w:lineRule="exact"/>
        <w:ind w:firstLine="480" w:firstLineChars="200"/>
        <w:rPr>
          <w:rFonts w:ascii="宋体" w:hAnsi="宋体" w:cs="宋体"/>
          <w:sz w:val="24"/>
        </w:rPr>
      </w:pPr>
      <w:r>
        <w:rPr>
          <w:rFonts w:hint="eastAsia" w:ascii="宋体" w:hAnsi="宋体" w:cs="宋体"/>
          <w:sz w:val="24"/>
        </w:rPr>
        <w:t>1.履行时间：自合同签订之日起</w:t>
      </w:r>
      <w:r>
        <w:rPr>
          <w:rFonts w:hint="eastAsia" w:ascii="宋体" w:hAnsi="宋体" w:cs="宋体"/>
          <w:sz w:val="24"/>
          <w:lang w:val="en-US" w:eastAsia="zh-CN"/>
        </w:rPr>
        <w:t>2</w:t>
      </w:r>
      <w:r>
        <w:rPr>
          <w:rFonts w:hint="eastAsia" w:ascii="宋体" w:hAnsi="宋体" w:cs="宋体"/>
          <w:sz w:val="24"/>
        </w:rPr>
        <w:t>年。</w:t>
      </w:r>
    </w:p>
    <w:p>
      <w:pPr>
        <w:spacing w:line="360" w:lineRule="auto"/>
        <w:ind w:firstLine="482" w:firstLineChars="200"/>
        <w:rPr>
          <w:rFonts w:ascii="宋体" w:hAnsi="宋体" w:cs="宋体"/>
          <w:b/>
          <w:bCs/>
          <w:sz w:val="24"/>
        </w:rPr>
      </w:pPr>
      <w:r>
        <w:rPr>
          <w:rFonts w:hint="eastAsia" w:ascii="宋体" w:hAnsi="宋体" w:cs="宋体"/>
          <w:b/>
          <w:bCs/>
          <w:sz w:val="24"/>
        </w:rPr>
        <w:t>七、款项支付</w:t>
      </w:r>
    </w:p>
    <w:p>
      <w:pPr>
        <w:pStyle w:val="168"/>
        <w:tabs>
          <w:tab w:val="left" w:pos="900"/>
          <w:tab w:val="left" w:pos="980"/>
          <w:tab w:val="left" w:pos="1710"/>
          <w:tab w:val="clear" w:pos="360"/>
        </w:tabs>
        <w:spacing w:before="120" w:after="120" w:line="360" w:lineRule="auto"/>
        <w:ind w:left="2" w:firstLine="480"/>
        <w:rPr>
          <w:rFonts w:ascii="宋体" w:hAnsi="宋体" w:cs="宋体"/>
          <w:kern w:val="2"/>
        </w:rPr>
      </w:pPr>
      <w:r>
        <w:rPr>
          <w:rFonts w:hint="eastAsia" w:ascii="宋体" w:hAnsi="宋体" w:cs="宋体"/>
        </w:rPr>
        <w:t>1.</w:t>
      </w:r>
      <w:r>
        <w:rPr>
          <w:rFonts w:hint="eastAsia" w:ascii="宋体" w:hAnsi="宋体" w:cs="宋体"/>
          <w:kern w:val="2"/>
        </w:rPr>
        <w:t>合同生效以及具备实施条件后7个工作日内支付年度合同价款的</w:t>
      </w:r>
      <w:r>
        <w:rPr>
          <w:rFonts w:ascii="宋体" w:hAnsi="宋体" w:cs="宋体"/>
          <w:kern w:val="2"/>
        </w:rPr>
        <w:t>4</w:t>
      </w:r>
      <w:r>
        <w:rPr>
          <w:rFonts w:hint="eastAsia" w:ascii="宋体" w:hAnsi="宋体" w:cs="宋体"/>
          <w:kern w:val="2"/>
        </w:rPr>
        <w:t>0%作为预付款；</w:t>
      </w:r>
    </w:p>
    <w:p>
      <w:pPr>
        <w:pStyle w:val="168"/>
        <w:tabs>
          <w:tab w:val="left" w:pos="900"/>
          <w:tab w:val="left" w:pos="980"/>
          <w:tab w:val="left" w:pos="1710"/>
          <w:tab w:val="clear" w:pos="360"/>
        </w:tabs>
        <w:spacing w:before="120" w:after="120" w:line="360" w:lineRule="auto"/>
        <w:ind w:left="2" w:firstLine="480"/>
        <w:rPr>
          <w:rFonts w:ascii="宋体" w:hAnsi="宋体" w:cs="宋体"/>
        </w:rPr>
      </w:pPr>
      <w:r>
        <w:rPr>
          <w:rFonts w:ascii="宋体" w:hAnsi="宋体" w:cs="宋体"/>
          <w:kern w:val="2"/>
        </w:rPr>
        <w:t>2.</w:t>
      </w:r>
      <w:r>
        <w:rPr>
          <w:rFonts w:hint="eastAsia" w:ascii="宋体" w:hAnsi="宋体" w:cs="宋体"/>
        </w:rPr>
        <w:t>采购人将实时对成交供应商的服务质量实施监督，由指定的第三方根据考核评分表每季度进行一次考核。中心运行服务经费按季拨付，季度拨付资金由基础性服务经费的平均值和个性化服务的完成比例对应经费组成。考核优秀的，支付该季度服务费的100%。考核良好的，支付该季度服务费的80%。考核合格的，支付该季度服务费的60%。考核不合格的，不予支付。如考核结果由于涉及连续性任务量未完成导致不合格的，可在下一季度完成规定的累计数量后，补发上一季度的补助资金。（预付款在第一次付款时扣回）。</w:t>
      </w:r>
    </w:p>
    <w:p>
      <w:pPr>
        <w:pStyle w:val="168"/>
        <w:tabs>
          <w:tab w:val="left" w:pos="900"/>
          <w:tab w:val="left" w:pos="980"/>
          <w:tab w:val="left" w:pos="1710"/>
          <w:tab w:val="clear" w:pos="360"/>
        </w:tabs>
        <w:spacing w:before="120" w:after="120" w:line="360" w:lineRule="auto"/>
        <w:ind w:left="2" w:firstLine="480"/>
        <w:rPr>
          <w:rFonts w:ascii="宋体" w:hAnsi="宋体" w:cs="宋体"/>
        </w:rPr>
      </w:pPr>
      <w:r>
        <w:rPr>
          <w:rFonts w:hint="eastAsia" w:ascii="宋体" w:hAnsi="宋体" w:cs="宋体"/>
        </w:rPr>
        <w:t>2.当采购数量与实际使用不一致时，乙方应根据实际情况，合同的最终结算金额按实际使用量乘以成交单价进行计算。</w:t>
      </w:r>
    </w:p>
    <w:p>
      <w:pPr>
        <w:pStyle w:val="168"/>
        <w:tabs>
          <w:tab w:val="left" w:pos="900"/>
          <w:tab w:val="left" w:pos="980"/>
          <w:tab w:val="left" w:pos="1710"/>
          <w:tab w:val="clear" w:pos="360"/>
        </w:tabs>
        <w:spacing w:before="120" w:after="120" w:line="360" w:lineRule="auto"/>
        <w:ind w:left="2" w:firstLine="0"/>
        <w:rPr>
          <w:rFonts w:ascii="宋体" w:hAnsi="宋体" w:cs="宋体"/>
          <w:b/>
          <w:bCs/>
        </w:rPr>
      </w:pPr>
      <w:r>
        <w:rPr>
          <w:rFonts w:hint="eastAsia" w:ascii="宋体" w:hAnsi="宋体" w:cs="宋体"/>
          <w:b/>
          <w:bCs/>
        </w:rPr>
        <w:t>八、税费</w:t>
      </w:r>
    </w:p>
    <w:p>
      <w:pPr>
        <w:spacing w:line="360" w:lineRule="auto"/>
        <w:ind w:firstLine="480" w:firstLineChars="200"/>
        <w:rPr>
          <w:rFonts w:ascii="宋体" w:hAnsi="宋体" w:cs="宋体"/>
          <w:sz w:val="24"/>
        </w:rPr>
      </w:pPr>
      <w:r>
        <w:rPr>
          <w:rFonts w:hint="eastAsia" w:ascii="宋体" w:hAnsi="宋体" w:cs="宋体"/>
          <w:sz w:val="24"/>
        </w:rPr>
        <w:t>本合同执行中相关的一切税费均由乙方负担。</w:t>
      </w:r>
    </w:p>
    <w:p>
      <w:pPr>
        <w:spacing w:line="360" w:lineRule="auto"/>
        <w:rPr>
          <w:rFonts w:ascii="宋体" w:hAnsi="宋体" w:cs="宋体"/>
          <w:b/>
          <w:bCs/>
          <w:sz w:val="24"/>
        </w:rPr>
      </w:pPr>
      <w:r>
        <w:rPr>
          <w:rFonts w:hint="eastAsia" w:ascii="宋体" w:hAnsi="宋体" w:cs="宋体"/>
          <w:b/>
          <w:bCs/>
        </w:rPr>
        <w:t>九</w:t>
      </w:r>
      <w:r>
        <w:rPr>
          <w:rFonts w:hint="eastAsia" w:ascii="宋体" w:hAnsi="宋体" w:cs="宋体"/>
          <w:b/>
          <w:bCs/>
          <w:sz w:val="24"/>
        </w:rPr>
        <w:t>、质量保证及后续服务</w:t>
      </w:r>
    </w:p>
    <w:p>
      <w:pPr>
        <w:spacing w:line="460" w:lineRule="exact"/>
        <w:ind w:firstLine="480" w:firstLineChars="200"/>
        <w:rPr>
          <w:rFonts w:ascii="宋体" w:hAnsi="宋体" w:cs="宋体"/>
          <w:sz w:val="24"/>
        </w:rPr>
      </w:pPr>
      <w:r>
        <w:rPr>
          <w:rFonts w:hint="eastAsia" w:ascii="宋体" w:hAnsi="宋体" w:cs="宋体"/>
          <w:sz w:val="24"/>
        </w:rPr>
        <w:t>1．乙方应按采购文件规定向甲方提供服务。</w:t>
      </w:r>
    </w:p>
    <w:p>
      <w:pPr>
        <w:spacing w:line="460" w:lineRule="exact"/>
        <w:ind w:firstLine="480" w:firstLineChars="200"/>
        <w:rPr>
          <w:rFonts w:ascii="宋体" w:hAnsi="宋体" w:cs="宋体"/>
          <w:sz w:val="24"/>
        </w:rPr>
      </w:pPr>
      <w:r>
        <w:rPr>
          <w:rFonts w:hint="eastAsia" w:ascii="宋体" w:hAnsi="宋体" w:cs="宋体"/>
          <w:sz w:val="24"/>
        </w:rPr>
        <w:t>2．乙方提供的服务不到要求者，根据实际情况，经双方协商，可按以下办法处理：</w:t>
      </w:r>
    </w:p>
    <w:p>
      <w:pPr>
        <w:spacing w:line="460" w:lineRule="exact"/>
        <w:ind w:firstLine="480" w:firstLineChars="200"/>
        <w:rPr>
          <w:rFonts w:ascii="宋体" w:hAnsi="宋体" w:cs="宋体"/>
          <w:sz w:val="24"/>
        </w:rPr>
      </w:pPr>
      <w:r>
        <w:rPr>
          <w:rFonts w:hint="eastAsia" w:ascii="宋体" w:hAnsi="宋体" w:cs="宋体"/>
          <w:sz w:val="24"/>
        </w:rPr>
        <w:t>⑴重做：由乙方承担所发生的全部费用。</w:t>
      </w:r>
    </w:p>
    <w:p>
      <w:pPr>
        <w:spacing w:line="460" w:lineRule="exact"/>
        <w:ind w:firstLine="480" w:firstLineChars="200"/>
        <w:rPr>
          <w:rFonts w:ascii="宋体" w:hAnsi="宋体" w:cs="宋体"/>
          <w:sz w:val="24"/>
        </w:rPr>
      </w:pPr>
      <w:r>
        <w:rPr>
          <w:rFonts w:hint="eastAsia" w:ascii="宋体" w:hAnsi="宋体" w:cs="宋体"/>
          <w:sz w:val="24"/>
        </w:rPr>
        <w:t>⑵贬值处理：由甲乙双方合议定价。</w:t>
      </w:r>
    </w:p>
    <w:p>
      <w:pPr>
        <w:spacing w:line="460" w:lineRule="exact"/>
        <w:ind w:firstLine="480" w:firstLineChars="200"/>
        <w:rPr>
          <w:rFonts w:ascii="宋体" w:hAnsi="宋体" w:cs="宋体"/>
          <w:sz w:val="24"/>
        </w:rPr>
      </w:pPr>
      <w:r>
        <w:rPr>
          <w:rFonts w:hint="eastAsia" w:ascii="宋体" w:hAnsi="宋体" w:cs="宋体"/>
          <w:sz w:val="24"/>
        </w:rPr>
        <w:t>⑶解除合同。</w:t>
      </w:r>
    </w:p>
    <w:p>
      <w:pPr>
        <w:spacing w:line="460" w:lineRule="exact"/>
        <w:rPr>
          <w:rFonts w:ascii="宋体" w:hAnsi="宋体" w:cs="宋体"/>
          <w:b/>
          <w:bCs/>
          <w:sz w:val="24"/>
        </w:rPr>
      </w:pPr>
      <w:r>
        <w:rPr>
          <w:rFonts w:hint="eastAsia" w:ascii="宋体" w:hAnsi="宋体" w:cs="宋体"/>
          <w:b/>
          <w:bCs/>
          <w:sz w:val="24"/>
        </w:rPr>
        <w:t>十、违约责任</w:t>
      </w:r>
    </w:p>
    <w:p>
      <w:pPr>
        <w:spacing w:line="460" w:lineRule="exact"/>
        <w:ind w:firstLine="480" w:firstLineChars="200"/>
        <w:rPr>
          <w:rFonts w:ascii="宋体" w:hAnsi="宋体" w:cs="宋体"/>
          <w:sz w:val="24"/>
        </w:rPr>
      </w:pPr>
      <w:r>
        <w:rPr>
          <w:rFonts w:hint="eastAsia" w:ascii="宋体" w:hAnsi="宋体" w:cs="宋体"/>
          <w:sz w:val="24"/>
        </w:rPr>
        <w:t>1．甲方无正当理由拒收接受服务的，甲方向乙方偿付合同款项百分之五作为违约金。</w:t>
      </w:r>
    </w:p>
    <w:p>
      <w:pPr>
        <w:spacing w:line="460" w:lineRule="exact"/>
        <w:ind w:firstLine="480" w:firstLineChars="200"/>
        <w:rPr>
          <w:rFonts w:ascii="宋体" w:hAnsi="宋体" w:cs="宋体"/>
          <w:sz w:val="24"/>
        </w:rPr>
      </w:pPr>
      <w:r>
        <w:rPr>
          <w:rFonts w:hint="eastAsia" w:ascii="宋体" w:hAnsi="宋体" w:cs="宋体"/>
          <w:sz w:val="24"/>
        </w:rPr>
        <w:t>2．甲方无故逾期验收和办理款项支付手续的,甲方应按逾期付款总额每日万分之五向乙方支付违约金。</w:t>
      </w:r>
    </w:p>
    <w:p>
      <w:pPr>
        <w:spacing w:line="460" w:lineRule="exact"/>
        <w:ind w:firstLine="480" w:firstLineChars="200"/>
        <w:rPr>
          <w:rFonts w:ascii="宋体" w:hAnsi="宋体" w:cs="宋体"/>
          <w:sz w:val="24"/>
        </w:rPr>
      </w:pPr>
      <w:r>
        <w:rPr>
          <w:rFonts w:hint="eastAsia" w:ascii="宋体" w:hAnsi="宋体" w:cs="宋体"/>
          <w:sz w:val="24"/>
        </w:rPr>
        <w:t>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p>
    <w:p>
      <w:pPr>
        <w:spacing w:line="460" w:lineRule="exact"/>
        <w:rPr>
          <w:rFonts w:ascii="宋体" w:hAnsi="宋体" w:cs="宋体"/>
          <w:b/>
          <w:bCs/>
          <w:sz w:val="24"/>
        </w:rPr>
      </w:pPr>
      <w:r>
        <w:rPr>
          <w:rFonts w:hint="eastAsia" w:ascii="宋体" w:hAnsi="宋体" w:cs="宋体"/>
          <w:b/>
          <w:bCs/>
          <w:sz w:val="24"/>
        </w:rPr>
        <w:t>十一、不可抗力事件处理</w:t>
      </w:r>
    </w:p>
    <w:p>
      <w:pPr>
        <w:spacing w:line="460" w:lineRule="exact"/>
        <w:ind w:firstLine="480" w:firstLineChars="200"/>
        <w:rPr>
          <w:rFonts w:ascii="宋体" w:hAnsi="宋体" w:cs="宋体"/>
          <w:sz w:val="24"/>
        </w:rPr>
      </w:pPr>
      <w:r>
        <w:rPr>
          <w:rFonts w:hint="eastAsia" w:ascii="宋体" w:hAnsi="宋体" w:cs="宋体"/>
          <w:sz w:val="24"/>
        </w:rPr>
        <w:t>1．在合同有效期内，任何一方因不可抗力事件导致不能履行合同，则合同履行期可延长，其延长期与不可抗力影响期相同。</w:t>
      </w:r>
    </w:p>
    <w:p>
      <w:pPr>
        <w:spacing w:line="460" w:lineRule="exact"/>
        <w:ind w:firstLine="480" w:firstLineChars="200"/>
        <w:rPr>
          <w:rFonts w:ascii="宋体" w:hAnsi="宋体" w:cs="宋体"/>
          <w:sz w:val="24"/>
        </w:rPr>
      </w:pPr>
      <w:r>
        <w:rPr>
          <w:rFonts w:hint="eastAsia" w:ascii="宋体" w:hAnsi="宋体" w:cs="宋体"/>
          <w:sz w:val="24"/>
        </w:rPr>
        <w:t>2．不可抗力事件发生后，应立即通知对方，并寄送有关权威机构出具的证明。</w:t>
      </w:r>
    </w:p>
    <w:p>
      <w:pPr>
        <w:spacing w:line="460" w:lineRule="exact"/>
        <w:ind w:firstLine="480" w:firstLineChars="200"/>
        <w:rPr>
          <w:rFonts w:ascii="宋体" w:hAnsi="宋体" w:cs="宋体"/>
          <w:sz w:val="24"/>
        </w:rPr>
      </w:pPr>
      <w:r>
        <w:rPr>
          <w:rFonts w:hint="eastAsia" w:ascii="宋体" w:hAnsi="宋体" w:cs="宋体"/>
          <w:sz w:val="24"/>
        </w:rPr>
        <w:t>3．不可抗力事件延续120天以上，双方应通过友好协商，确定是否继续履行合同。</w:t>
      </w:r>
    </w:p>
    <w:p>
      <w:pPr>
        <w:spacing w:line="460" w:lineRule="exact"/>
        <w:rPr>
          <w:rFonts w:ascii="宋体" w:hAnsi="宋体" w:cs="宋体"/>
          <w:b/>
          <w:bCs/>
          <w:sz w:val="24"/>
        </w:rPr>
      </w:pPr>
      <w:r>
        <w:rPr>
          <w:rFonts w:hint="eastAsia" w:ascii="宋体" w:hAnsi="宋体" w:cs="宋体"/>
          <w:b/>
          <w:bCs/>
          <w:sz w:val="24"/>
        </w:rPr>
        <w:t>十二、诉讼</w:t>
      </w:r>
    </w:p>
    <w:p>
      <w:pPr>
        <w:spacing w:line="460" w:lineRule="exact"/>
        <w:ind w:firstLine="480" w:firstLineChars="200"/>
        <w:rPr>
          <w:rFonts w:ascii="宋体" w:hAnsi="宋体" w:cs="宋体"/>
          <w:sz w:val="24"/>
        </w:rPr>
      </w:pPr>
      <w:r>
        <w:rPr>
          <w:rFonts w:hint="eastAsia" w:ascii="宋体" w:hAnsi="宋体" w:cs="宋体"/>
          <w:sz w:val="24"/>
        </w:rPr>
        <w:t>双方在执行合同中所发生的一切争议，应通过协商解决。如协商不成，可向甲方所在地法院起诉。</w:t>
      </w:r>
    </w:p>
    <w:p>
      <w:pPr>
        <w:spacing w:line="460" w:lineRule="exact"/>
        <w:rPr>
          <w:rFonts w:ascii="宋体" w:hAnsi="宋体" w:cs="宋体"/>
          <w:b/>
          <w:bCs/>
          <w:sz w:val="24"/>
        </w:rPr>
      </w:pPr>
      <w:r>
        <w:rPr>
          <w:rFonts w:hint="eastAsia" w:ascii="宋体" w:hAnsi="宋体" w:cs="宋体"/>
          <w:b/>
          <w:bCs/>
          <w:sz w:val="24"/>
        </w:rPr>
        <w:t>十三、合同生效及其它</w:t>
      </w:r>
    </w:p>
    <w:p>
      <w:pPr>
        <w:spacing w:line="460" w:lineRule="exact"/>
        <w:ind w:firstLine="480" w:firstLineChars="200"/>
        <w:rPr>
          <w:rFonts w:ascii="宋体" w:hAnsi="宋体" w:cs="宋体"/>
          <w:sz w:val="24"/>
        </w:rPr>
      </w:pPr>
      <w:r>
        <w:rPr>
          <w:rFonts w:hint="eastAsia" w:ascii="宋体" w:hAnsi="宋体" w:cs="宋体"/>
          <w:sz w:val="24"/>
        </w:rPr>
        <w:t>1．合同经双方法定代表人或授权代表签字并加盖单位公章后生效。</w:t>
      </w:r>
    </w:p>
    <w:p>
      <w:pPr>
        <w:spacing w:line="460" w:lineRule="exact"/>
        <w:ind w:firstLine="480" w:firstLineChars="200"/>
        <w:rPr>
          <w:rFonts w:ascii="宋体" w:hAnsi="宋体" w:cs="宋体"/>
          <w:sz w:val="24"/>
        </w:rPr>
      </w:pPr>
      <w:r>
        <w:rPr>
          <w:rFonts w:hint="eastAsia" w:ascii="宋体" w:hAnsi="宋体" w:cs="宋体"/>
          <w:sz w:val="24"/>
        </w:rPr>
        <w:t>2．合同执行中涉及采购资金和采购内容修改或补充的，须经财政部门审批，并签书面补充协议报政府采购监督管理部门备案，方可作为主合同不可分割的一部分。</w:t>
      </w:r>
    </w:p>
    <w:p>
      <w:pPr>
        <w:spacing w:line="460" w:lineRule="exact"/>
        <w:ind w:firstLine="480" w:firstLineChars="200"/>
        <w:rPr>
          <w:rFonts w:ascii="宋体" w:hAnsi="宋体" w:cs="宋体"/>
          <w:sz w:val="24"/>
        </w:rPr>
      </w:pPr>
      <w:r>
        <w:rPr>
          <w:rFonts w:hint="eastAsia" w:ascii="宋体" w:hAnsi="宋体" w:cs="宋体"/>
          <w:sz w:val="24"/>
        </w:rPr>
        <w:t>3．本合同未尽事宜，遵照《中华人民共和国民法典》有关条文执行。</w:t>
      </w:r>
    </w:p>
    <w:p>
      <w:pPr>
        <w:spacing w:line="460" w:lineRule="exact"/>
        <w:ind w:firstLine="480" w:firstLineChars="200"/>
        <w:rPr>
          <w:rFonts w:ascii="宋体" w:hAnsi="宋体" w:cs="宋体"/>
          <w:sz w:val="24"/>
        </w:rPr>
      </w:pPr>
      <w:r>
        <w:rPr>
          <w:rFonts w:hint="eastAsia" w:ascii="宋体" w:hAnsi="宋体" w:cs="宋体"/>
          <w:sz w:val="24"/>
        </w:rPr>
        <w:t>4．合同正本一式六份，甲乙双方各执</w:t>
      </w:r>
      <w:r>
        <w:rPr>
          <w:rFonts w:hint="eastAsia" w:ascii="宋体" w:hAnsi="宋体" w:cs="宋体"/>
          <w:sz w:val="24"/>
          <w:lang w:val="en-US" w:eastAsia="zh-CN"/>
        </w:rPr>
        <w:t>三</w:t>
      </w:r>
      <w:r>
        <w:rPr>
          <w:rFonts w:hint="eastAsia" w:ascii="宋体" w:hAnsi="宋体" w:cs="宋体"/>
          <w:sz w:val="24"/>
        </w:rPr>
        <w:t>份。</w:t>
      </w:r>
    </w:p>
    <w:p>
      <w:pPr>
        <w:spacing w:line="460" w:lineRule="exact"/>
        <w:ind w:firstLine="482" w:firstLineChars="200"/>
        <w:rPr>
          <w:rFonts w:ascii="宋体" w:hAnsi="宋体" w:cs="宋体"/>
          <w:b/>
          <w:bCs/>
          <w:sz w:val="24"/>
        </w:rPr>
      </w:pPr>
    </w:p>
    <w:p>
      <w:pPr>
        <w:spacing w:line="460" w:lineRule="exact"/>
        <w:rPr>
          <w:rFonts w:ascii="宋体" w:hAnsi="宋体" w:cs="宋体"/>
          <w:sz w:val="24"/>
        </w:rPr>
      </w:pPr>
    </w:p>
    <w:p>
      <w:pPr>
        <w:tabs>
          <w:tab w:val="left" w:pos="1440"/>
        </w:tabs>
        <w:spacing w:line="460" w:lineRule="exact"/>
        <w:rPr>
          <w:rFonts w:ascii="宋体" w:hAnsi="宋体" w:cs="宋体"/>
          <w:sz w:val="24"/>
        </w:rPr>
      </w:pPr>
    </w:p>
    <w:p>
      <w:pPr>
        <w:tabs>
          <w:tab w:val="left" w:pos="1440"/>
        </w:tabs>
        <w:spacing w:line="460" w:lineRule="exact"/>
        <w:rPr>
          <w:rFonts w:ascii="宋体" w:hAnsi="宋体" w:cs="宋体"/>
          <w:sz w:val="24"/>
        </w:rPr>
      </w:pPr>
      <w:r>
        <w:rPr>
          <w:rFonts w:hint="eastAsia" w:ascii="宋体" w:hAnsi="宋体" w:cs="宋体"/>
          <w:sz w:val="24"/>
        </w:rPr>
        <w:t>甲方：                         乙方：</w:t>
      </w:r>
    </w:p>
    <w:p>
      <w:pPr>
        <w:tabs>
          <w:tab w:val="left" w:pos="1440"/>
        </w:tabs>
        <w:spacing w:line="460" w:lineRule="exact"/>
        <w:rPr>
          <w:rFonts w:ascii="宋体" w:hAnsi="宋体" w:cs="宋体"/>
          <w:sz w:val="24"/>
        </w:rPr>
      </w:pPr>
      <w:r>
        <w:rPr>
          <w:rFonts w:hint="eastAsia" w:ascii="宋体" w:hAnsi="宋体" w:cs="宋体"/>
          <w:sz w:val="24"/>
        </w:rPr>
        <w:t>地址：                         地址：</w:t>
      </w:r>
    </w:p>
    <w:p>
      <w:pPr>
        <w:tabs>
          <w:tab w:val="left" w:pos="1440"/>
        </w:tabs>
        <w:spacing w:line="460" w:lineRule="exact"/>
        <w:rPr>
          <w:rFonts w:ascii="宋体" w:hAnsi="宋体" w:cs="宋体"/>
          <w:sz w:val="24"/>
        </w:rPr>
      </w:pPr>
      <w:r>
        <w:rPr>
          <w:rFonts w:hint="eastAsia" w:ascii="宋体" w:hAnsi="宋体" w:cs="宋体"/>
          <w:sz w:val="24"/>
        </w:rPr>
        <w:t>法定（授权）代表人：           法定（授权）代表人：</w:t>
      </w:r>
    </w:p>
    <w:p>
      <w:pPr>
        <w:tabs>
          <w:tab w:val="left" w:pos="1440"/>
        </w:tabs>
        <w:spacing w:line="460" w:lineRule="exact"/>
        <w:rPr>
          <w:rFonts w:ascii="宋体" w:hAnsi="宋体" w:cs="宋体"/>
          <w:sz w:val="24"/>
        </w:rPr>
      </w:pPr>
      <w:r>
        <w:rPr>
          <w:rFonts w:hint="eastAsia" w:ascii="宋体" w:hAnsi="宋体" w:cs="宋体"/>
          <w:sz w:val="24"/>
        </w:rPr>
        <w:t>邮编：                         邮编：</w:t>
      </w:r>
    </w:p>
    <w:p>
      <w:pPr>
        <w:spacing w:line="460" w:lineRule="exact"/>
        <w:ind w:right="560" w:rightChars="200"/>
        <w:rPr>
          <w:rFonts w:ascii="宋体" w:hAnsi="宋体" w:cs="宋体"/>
          <w:sz w:val="24"/>
        </w:rPr>
      </w:pPr>
      <w:r>
        <w:rPr>
          <w:rFonts w:hint="eastAsia" w:ascii="宋体" w:hAnsi="宋体" w:cs="宋体"/>
          <w:sz w:val="24"/>
        </w:rPr>
        <w:t>日期：                         日期：</w:t>
      </w:r>
    </w:p>
    <w:p>
      <w:pPr>
        <w:autoSpaceDE w:val="0"/>
        <w:autoSpaceDN w:val="0"/>
        <w:spacing w:line="360" w:lineRule="auto"/>
        <w:jc w:val="center"/>
        <w:textAlignment w:val="bottom"/>
        <w:rPr>
          <w:rFonts w:ascii="宋体" w:hAnsi="宋体" w:cs="宋体"/>
          <w:b/>
          <w:sz w:val="44"/>
          <w:szCs w:val="44"/>
        </w:rPr>
      </w:pPr>
    </w:p>
    <w:p>
      <w:pPr>
        <w:autoSpaceDE w:val="0"/>
        <w:autoSpaceDN w:val="0"/>
        <w:spacing w:line="360" w:lineRule="auto"/>
        <w:jc w:val="center"/>
        <w:textAlignment w:val="bottom"/>
        <w:rPr>
          <w:rFonts w:ascii="宋体" w:hAnsi="宋体" w:cs="宋体"/>
          <w:b/>
          <w:sz w:val="44"/>
          <w:szCs w:val="44"/>
        </w:rPr>
      </w:pPr>
    </w:p>
    <w:p>
      <w:pPr>
        <w:autoSpaceDE w:val="0"/>
        <w:autoSpaceDN w:val="0"/>
        <w:spacing w:line="360" w:lineRule="auto"/>
        <w:jc w:val="center"/>
        <w:textAlignment w:val="bottom"/>
        <w:rPr>
          <w:rFonts w:ascii="宋体" w:hAnsi="宋体" w:cs="宋体"/>
          <w:b/>
          <w:sz w:val="44"/>
          <w:szCs w:val="44"/>
        </w:rPr>
      </w:pPr>
    </w:p>
    <w:p>
      <w:pPr>
        <w:pStyle w:val="29"/>
        <w:spacing w:line="440" w:lineRule="exact"/>
        <w:ind w:firstLine="5280" w:firstLineChars="2200"/>
        <w:rPr>
          <w:rFonts w:hAnsi="宋体" w:cs="宋体"/>
          <w:sz w:val="24"/>
          <w:szCs w:val="24"/>
        </w:rPr>
      </w:pPr>
    </w:p>
    <w:p>
      <w:pPr>
        <w:rPr>
          <w:rFonts w:ascii="宋体" w:hAnsi="宋体" w:cs="宋体"/>
          <w:sz w:val="24"/>
        </w:rPr>
      </w:pPr>
      <w:r>
        <w:rPr>
          <w:rFonts w:hint="eastAsia" w:ascii="宋体" w:hAnsi="宋体" w:cs="宋体"/>
          <w:sz w:val="24"/>
        </w:rPr>
        <w:br w:type="page"/>
      </w:r>
    </w:p>
    <w:p>
      <w:pPr>
        <w:rPr>
          <w:rFonts w:ascii="宋体" w:hAnsi="宋体" w:cs="宋体"/>
        </w:rPr>
      </w:pPr>
    </w:p>
    <w:p>
      <w:pPr>
        <w:numPr>
          <w:ilvl w:val="0"/>
          <w:numId w:val="6"/>
        </w:numPr>
        <w:snapToGrid w:val="0"/>
        <w:spacing w:before="50" w:after="50" w:line="360" w:lineRule="auto"/>
        <w:jc w:val="center"/>
        <w:rPr>
          <w:rFonts w:ascii="宋体" w:hAnsi="宋体" w:cs="宋体"/>
          <w:b/>
          <w:sz w:val="44"/>
          <w:szCs w:val="44"/>
        </w:rPr>
      </w:pPr>
    </w:p>
    <w:p>
      <w:pPr>
        <w:snapToGrid w:val="0"/>
        <w:spacing w:before="50" w:after="50" w:line="360" w:lineRule="auto"/>
        <w:jc w:val="center"/>
        <w:rPr>
          <w:rFonts w:ascii="宋体" w:hAnsi="宋体" w:cs="宋体"/>
          <w:b/>
          <w:sz w:val="44"/>
          <w:szCs w:val="44"/>
        </w:rPr>
      </w:pPr>
      <w:r>
        <w:rPr>
          <w:rFonts w:hint="eastAsia" w:ascii="宋体" w:hAnsi="宋体" w:cs="宋体"/>
          <w:b/>
          <w:sz w:val="44"/>
          <w:szCs w:val="44"/>
        </w:rPr>
        <w:t>投标文件格式</w:t>
      </w:r>
      <w:bookmarkEnd w:id="30"/>
    </w:p>
    <w:p>
      <w:pPr>
        <w:snapToGrid w:val="0"/>
        <w:spacing w:before="120" w:beforeLines="50" w:after="50"/>
        <w:rPr>
          <w:rFonts w:ascii="宋体" w:hAnsi="宋体" w:cs="宋体"/>
          <w:b/>
          <w:sz w:val="24"/>
          <w:szCs w:val="20"/>
        </w:rPr>
      </w:pPr>
      <w:r>
        <w:rPr>
          <w:rFonts w:hint="eastAsia" w:ascii="宋体" w:hAnsi="宋体" w:cs="宋体"/>
          <w:b/>
          <w:sz w:val="24"/>
        </w:rPr>
        <w:t>1、资格文件（或</w:t>
      </w:r>
      <w:r>
        <w:rPr>
          <w:rFonts w:hint="eastAsia" w:ascii="宋体" w:hAnsi="宋体" w:cs="宋体"/>
          <w:b/>
          <w:bCs/>
          <w:sz w:val="24"/>
        </w:rPr>
        <w:t>商务技术文件）格式</w:t>
      </w:r>
    </w:p>
    <w:p>
      <w:pPr>
        <w:snapToGrid w:val="0"/>
        <w:spacing w:before="120" w:beforeLines="50" w:after="50"/>
        <w:jc w:val="right"/>
        <w:rPr>
          <w:rFonts w:ascii="宋体" w:hAnsi="宋体" w:cs="宋体"/>
          <w:b/>
          <w:bCs/>
          <w:sz w:val="32"/>
          <w:szCs w:val="20"/>
        </w:rPr>
      </w:pPr>
      <w:r>
        <w:rPr>
          <w:rFonts w:hint="eastAsia" w:ascii="宋体" w:hAnsi="宋体" w:cs="宋体"/>
          <w:b/>
          <w:bCs/>
        </w:rPr>
        <w:t>正本/或副本</w:t>
      </w:r>
    </w:p>
    <w:p>
      <w:pPr>
        <w:snapToGrid w:val="0"/>
        <w:spacing w:before="120" w:beforeLines="50" w:after="50"/>
        <w:rPr>
          <w:rFonts w:ascii="宋体" w:hAnsi="宋体" w:cs="宋体"/>
          <w:sz w:val="24"/>
          <w:szCs w:val="20"/>
        </w:rPr>
      </w:pPr>
    </w:p>
    <w:p>
      <w:pPr>
        <w:snapToGrid w:val="0"/>
        <w:spacing w:before="120" w:beforeLines="50" w:after="50"/>
        <w:jc w:val="center"/>
        <w:rPr>
          <w:rFonts w:ascii="宋体" w:hAnsi="宋体" w:cs="宋体"/>
          <w:bCs/>
          <w:sz w:val="24"/>
          <w:szCs w:val="20"/>
        </w:rPr>
      </w:pPr>
    </w:p>
    <w:p>
      <w:pPr>
        <w:snapToGrid w:val="0"/>
        <w:spacing w:before="120" w:beforeLines="50" w:after="50"/>
        <w:jc w:val="center"/>
        <w:rPr>
          <w:rFonts w:ascii="宋体" w:hAnsi="宋体" w:cs="宋体"/>
          <w:bCs/>
          <w:sz w:val="24"/>
          <w:szCs w:val="20"/>
        </w:rPr>
      </w:pPr>
      <w:r>
        <w:rPr>
          <w:rFonts w:hint="eastAsia" w:ascii="宋体" w:hAnsi="宋体" w:cs="宋体"/>
          <w:bCs/>
          <w:sz w:val="24"/>
        </w:rPr>
        <w:t>资格文件（或商务技术文件）</w:t>
      </w:r>
    </w:p>
    <w:p>
      <w:pPr>
        <w:snapToGrid w:val="0"/>
        <w:spacing w:before="120" w:beforeLines="50" w:after="50"/>
        <w:rPr>
          <w:rFonts w:ascii="宋体" w:hAnsi="宋体" w:cs="宋体"/>
          <w:bCs/>
          <w:sz w:val="24"/>
          <w:szCs w:val="20"/>
        </w:rPr>
      </w:pPr>
    </w:p>
    <w:p>
      <w:pPr>
        <w:snapToGrid w:val="0"/>
        <w:spacing w:before="120" w:beforeLines="50" w:after="50"/>
        <w:ind w:firstLine="1068" w:firstLineChars="445"/>
        <w:rPr>
          <w:rFonts w:ascii="宋体" w:hAnsi="宋体" w:cs="宋体"/>
          <w:bCs/>
          <w:sz w:val="24"/>
        </w:rPr>
      </w:pPr>
      <w:r>
        <w:rPr>
          <w:rFonts w:hint="eastAsia" w:ascii="宋体" w:hAnsi="宋体" w:cs="宋体"/>
          <w:bCs/>
          <w:sz w:val="24"/>
        </w:rPr>
        <w:t>项目名称：</w:t>
      </w:r>
    </w:p>
    <w:p>
      <w:pPr>
        <w:snapToGrid w:val="0"/>
        <w:spacing w:before="120" w:beforeLines="50" w:after="50"/>
        <w:ind w:firstLine="1068" w:firstLineChars="445"/>
        <w:rPr>
          <w:rFonts w:ascii="宋体" w:hAnsi="宋体" w:cs="宋体"/>
          <w:bCs/>
          <w:sz w:val="24"/>
        </w:rPr>
      </w:pPr>
      <w:r>
        <w:rPr>
          <w:rFonts w:hint="eastAsia" w:ascii="宋体" w:hAnsi="宋体" w:cs="宋体"/>
          <w:bCs/>
          <w:sz w:val="24"/>
        </w:rPr>
        <w:t>项目编号：</w:t>
      </w:r>
    </w:p>
    <w:p>
      <w:pPr>
        <w:snapToGrid w:val="0"/>
        <w:spacing w:before="120" w:beforeLines="50" w:after="50"/>
        <w:ind w:firstLine="1068" w:firstLineChars="445"/>
        <w:rPr>
          <w:rFonts w:ascii="宋体" w:hAnsi="宋体" w:cs="宋体"/>
          <w:bCs/>
          <w:sz w:val="24"/>
        </w:rPr>
      </w:pPr>
      <w:r>
        <w:rPr>
          <w:rFonts w:hint="eastAsia" w:ascii="宋体" w:hAnsi="宋体" w:cs="宋体"/>
          <w:bCs/>
          <w:sz w:val="24"/>
        </w:rPr>
        <w:t>投标人名称：</w:t>
      </w:r>
    </w:p>
    <w:p>
      <w:pPr>
        <w:snapToGrid w:val="0"/>
        <w:spacing w:before="120" w:beforeLines="50" w:after="50"/>
        <w:ind w:firstLine="1068" w:firstLineChars="445"/>
        <w:rPr>
          <w:rFonts w:ascii="宋体" w:hAnsi="宋体" w:cs="宋体"/>
          <w:bCs/>
          <w:sz w:val="24"/>
        </w:rPr>
      </w:pPr>
      <w:r>
        <w:rPr>
          <w:rFonts w:hint="eastAsia" w:ascii="宋体" w:hAnsi="宋体" w:cs="宋体"/>
          <w:bCs/>
          <w:sz w:val="24"/>
        </w:rPr>
        <w:t>投标人地址：</w:t>
      </w:r>
    </w:p>
    <w:p>
      <w:pPr>
        <w:snapToGrid w:val="0"/>
        <w:spacing w:before="120" w:beforeLines="50" w:after="50"/>
        <w:ind w:firstLine="1068" w:firstLineChars="445"/>
        <w:rPr>
          <w:rFonts w:ascii="宋体" w:hAnsi="宋体" w:cs="宋体"/>
          <w:bCs/>
          <w:sz w:val="24"/>
        </w:rPr>
      </w:pPr>
      <w:r>
        <w:rPr>
          <w:rFonts w:hint="eastAsia" w:ascii="宋体" w:hAnsi="宋体" w:cs="宋体"/>
          <w:bCs/>
          <w:sz w:val="24"/>
        </w:rPr>
        <w:t>在   年  月  日  时  分之前不得启封</w:t>
      </w:r>
    </w:p>
    <w:p>
      <w:pPr>
        <w:pStyle w:val="7"/>
        <w:snapToGrid w:val="0"/>
        <w:spacing w:before="50" w:after="50"/>
        <w:ind w:firstLine="960" w:firstLineChars="400"/>
        <w:rPr>
          <w:rFonts w:ascii="宋体" w:hAnsi="宋体" w:cs="宋体"/>
          <w:bCs/>
          <w:sz w:val="24"/>
        </w:rPr>
      </w:pPr>
    </w:p>
    <w:p>
      <w:pPr>
        <w:snapToGrid w:val="0"/>
        <w:spacing w:before="120" w:beforeLines="50" w:after="50"/>
        <w:ind w:firstLine="4080" w:firstLineChars="1700"/>
        <w:rPr>
          <w:rFonts w:ascii="宋体" w:hAnsi="宋体" w:cs="宋体"/>
          <w:sz w:val="24"/>
          <w:szCs w:val="20"/>
        </w:rPr>
      </w:pPr>
    </w:p>
    <w:p>
      <w:pPr>
        <w:snapToGrid w:val="0"/>
        <w:spacing w:before="120" w:beforeLines="50" w:after="50"/>
        <w:ind w:firstLine="645"/>
        <w:jc w:val="right"/>
        <w:rPr>
          <w:rFonts w:ascii="宋体" w:hAnsi="宋体" w:cs="宋体"/>
          <w:sz w:val="24"/>
          <w:szCs w:val="20"/>
        </w:rPr>
      </w:pPr>
      <w:r>
        <w:rPr>
          <w:rFonts w:hint="eastAsia" w:ascii="宋体" w:hAnsi="宋体" w:cs="宋体"/>
          <w:sz w:val="24"/>
        </w:rPr>
        <w:t>年  月  日</w:t>
      </w:r>
    </w:p>
    <w:p>
      <w:pPr>
        <w:snapToGrid w:val="0"/>
        <w:spacing w:before="120" w:beforeLines="50" w:after="50"/>
        <w:rPr>
          <w:rFonts w:ascii="宋体" w:hAnsi="宋体" w:cs="宋体"/>
          <w:sz w:val="24"/>
          <w:szCs w:val="20"/>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pStyle w:val="63"/>
        <w:rPr>
          <w:rFonts w:ascii="宋体" w:hAnsi="宋体" w:eastAsia="宋体" w:cs="宋体"/>
        </w:rPr>
      </w:pPr>
    </w:p>
    <w:p>
      <w:pPr>
        <w:snapToGrid w:val="0"/>
        <w:spacing w:before="120" w:beforeLines="50" w:after="50"/>
        <w:ind w:firstLine="602" w:firstLineChars="250"/>
        <w:rPr>
          <w:rFonts w:ascii="宋体" w:hAnsi="宋体" w:cs="宋体"/>
          <w:b/>
          <w:sz w:val="24"/>
        </w:rPr>
      </w:pPr>
      <w:r>
        <w:rPr>
          <w:rFonts w:hint="eastAsia" w:ascii="宋体" w:hAnsi="宋体" w:cs="宋体"/>
          <w:b/>
          <w:sz w:val="24"/>
        </w:rPr>
        <w:t>资格文件目录</w:t>
      </w:r>
    </w:p>
    <w:p>
      <w:pPr>
        <w:pStyle w:val="63"/>
        <w:spacing w:line="360" w:lineRule="auto"/>
        <w:ind w:firstLine="360" w:firstLineChars="150"/>
        <w:rPr>
          <w:rFonts w:ascii="宋体" w:hAnsi="宋体" w:eastAsia="宋体" w:cs="宋体"/>
          <w:kern w:val="2"/>
          <w:sz w:val="24"/>
          <w:szCs w:val="21"/>
        </w:rPr>
      </w:pPr>
      <w:r>
        <w:rPr>
          <w:rFonts w:hint="eastAsia" w:ascii="宋体" w:hAnsi="宋体" w:eastAsia="宋体" w:cs="宋体"/>
          <w:kern w:val="2"/>
          <w:sz w:val="24"/>
          <w:szCs w:val="21"/>
        </w:rPr>
        <w:t xml:space="preserve"> （1）投标单位情况表；</w:t>
      </w:r>
    </w:p>
    <w:p>
      <w:pPr>
        <w:pStyle w:val="29"/>
        <w:spacing w:line="360" w:lineRule="auto"/>
        <w:ind w:firstLine="480" w:firstLineChars="200"/>
        <w:rPr>
          <w:rFonts w:hAnsi="宋体" w:cs="宋体"/>
          <w:sz w:val="24"/>
        </w:rPr>
      </w:pPr>
      <w:r>
        <w:rPr>
          <w:rFonts w:hint="eastAsia" w:hAnsi="宋体" w:cs="宋体"/>
          <w:sz w:val="24"/>
        </w:rPr>
        <w:t>（2）有效的营业执照、税务登记证、组织机构代码证或“三证合一”的营业执照或“五证合一”的营业执照；</w:t>
      </w:r>
    </w:p>
    <w:p>
      <w:pPr>
        <w:snapToGrid w:val="0"/>
        <w:spacing w:line="360" w:lineRule="auto"/>
        <w:ind w:firstLine="480" w:firstLineChars="200"/>
        <w:rPr>
          <w:rFonts w:ascii="宋体" w:hAnsi="宋体" w:cs="宋体"/>
          <w:sz w:val="24"/>
        </w:rPr>
      </w:pPr>
      <w:r>
        <w:rPr>
          <w:rFonts w:hint="eastAsia" w:ascii="宋体" w:hAnsi="宋体" w:cs="宋体"/>
          <w:sz w:val="24"/>
        </w:rPr>
        <w:t>（3）法定代表人或其授权代理人的授权证书及身份证明；</w:t>
      </w:r>
    </w:p>
    <w:p>
      <w:pPr>
        <w:snapToGrid w:val="0"/>
        <w:spacing w:line="360" w:lineRule="auto"/>
        <w:ind w:firstLine="480" w:firstLineChars="200"/>
        <w:rPr>
          <w:rFonts w:ascii="宋体" w:hAnsi="宋体" w:cs="宋体"/>
          <w:kern w:val="0"/>
          <w:sz w:val="24"/>
        </w:rPr>
      </w:pPr>
      <w:r>
        <w:rPr>
          <w:rFonts w:hint="eastAsia" w:ascii="宋体" w:hAnsi="宋体" w:cs="宋体"/>
          <w:sz w:val="24"/>
        </w:rPr>
        <w:t>（4）</w:t>
      </w:r>
      <w:r>
        <w:rPr>
          <w:rFonts w:hint="eastAsia" w:ascii="宋体" w:hAnsi="宋体" w:cs="宋体"/>
          <w:sz w:val="24"/>
          <w:lang w:eastAsia="zh-CN"/>
        </w:rPr>
        <w:t>承诺书</w:t>
      </w:r>
      <w:r>
        <w:rPr>
          <w:rFonts w:hint="eastAsia" w:ascii="宋体" w:hAnsi="宋体" w:cs="宋体"/>
          <w:sz w:val="24"/>
        </w:rPr>
        <w:t>；</w:t>
      </w:r>
    </w:p>
    <w:p>
      <w:pPr>
        <w:pStyle w:val="29"/>
        <w:spacing w:line="360" w:lineRule="auto"/>
        <w:ind w:firstLine="480" w:firstLineChars="200"/>
        <w:rPr>
          <w:rFonts w:hAnsi="宋体" w:cs="宋体"/>
          <w:sz w:val="24"/>
        </w:rPr>
      </w:pPr>
      <w:r>
        <w:rPr>
          <w:rFonts w:hint="eastAsia" w:hAnsi="宋体" w:cs="宋体"/>
          <w:sz w:val="24"/>
        </w:rPr>
        <w:t>（5）信用承诺书；</w:t>
      </w:r>
    </w:p>
    <w:p>
      <w:pPr>
        <w:pStyle w:val="29"/>
        <w:spacing w:line="360" w:lineRule="auto"/>
        <w:ind w:firstLine="480" w:firstLineChars="200"/>
        <w:rPr>
          <w:rFonts w:hAnsi="宋体" w:cs="宋体"/>
          <w:sz w:val="24"/>
        </w:rPr>
      </w:pPr>
    </w:p>
    <w:p>
      <w:pPr>
        <w:pStyle w:val="29"/>
        <w:spacing w:line="360" w:lineRule="auto"/>
        <w:ind w:firstLine="480" w:firstLineChars="200"/>
        <w:rPr>
          <w:rFonts w:hAnsi="宋体" w:cs="宋体"/>
          <w:sz w:val="24"/>
        </w:rPr>
      </w:pPr>
    </w:p>
    <w:p>
      <w:pPr>
        <w:snapToGrid w:val="0"/>
        <w:spacing w:before="120" w:beforeLines="50" w:after="50" w:line="276" w:lineRule="auto"/>
        <w:rPr>
          <w:rFonts w:ascii="宋体" w:hAnsi="宋体" w:cs="宋体"/>
          <w:b/>
          <w:sz w:val="30"/>
        </w:rPr>
      </w:pPr>
    </w:p>
    <w:p>
      <w:pPr>
        <w:snapToGrid w:val="0"/>
        <w:spacing w:before="120" w:beforeLines="50" w:after="50" w:line="276" w:lineRule="auto"/>
        <w:rPr>
          <w:rFonts w:ascii="宋体" w:hAnsi="宋体" w:cs="宋体"/>
          <w:b/>
          <w:sz w:val="30"/>
        </w:rPr>
      </w:pPr>
    </w:p>
    <w:p>
      <w:pPr>
        <w:pStyle w:val="21"/>
        <w:ind w:firstLine="240"/>
        <w:rPr>
          <w:rFonts w:ascii="宋体" w:hAnsi="宋体" w:cs="宋体"/>
          <w:sz w:val="24"/>
        </w:rPr>
      </w:pPr>
    </w:p>
    <w:p>
      <w:pPr>
        <w:snapToGrid w:val="0"/>
        <w:spacing w:before="120" w:beforeLines="50" w:after="50" w:line="276" w:lineRule="auto"/>
        <w:rPr>
          <w:rFonts w:ascii="宋体" w:hAnsi="宋体" w:cs="宋体"/>
          <w:b/>
          <w:sz w:val="30"/>
        </w:rPr>
      </w:pPr>
    </w:p>
    <w:p>
      <w:pPr>
        <w:pStyle w:val="21"/>
        <w:ind w:firstLine="240"/>
        <w:rPr>
          <w:rFonts w:ascii="宋体" w:hAnsi="宋体" w:cs="宋体"/>
          <w:sz w:val="24"/>
        </w:rPr>
      </w:pPr>
    </w:p>
    <w:p>
      <w:pPr>
        <w:pStyle w:val="21"/>
        <w:ind w:firstLine="240"/>
        <w:rPr>
          <w:rFonts w:ascii="宋体" w:hAnsi="宋体" w:cs="宋体"/>
          <w:sz w:val="24"/>
        </w:rPr>
      </w:pPr>
    </w:p>
    <w:p>
      <w:pPr>
        <w:pStyle w:val="21"/>
        <w:ind w:firstLine="240"/>
        <w:rPr>
          <w:rFonts w:ascii="宋体" w:hAnsi="宋体" w:cs="宋体"/>
          <w:sz w:val="24"/>
        </w:rPr>
      </w:pPr>
    </w:p>
    <w:p>
      <w:pPr>
        <w:pStyle w:val="21"/>
        <w:ind w:firstLine="240"/>
        <w:rPr>
          <w:rFonts w:ascii="宋体" w:hAnsi="宋体" w:cs="宋体"/>
          <w:sz w:val="24"/>
        </w:rPr>
      </w:pPr>
    </w:p>
    <w:p>
      <w:pPr>
        <w:pStyle w:val="21"/>
        <w:ind w:firstLine="240"/>
        <w:rPr>
          <w:rFonts w:ascii="宋体" w:hAnsi="宋体" w:cs="宋体"/>
          <w:sz w:val="24"/>
        </w:rPr>
      </w:pPr>
    </w:p>
    <w:p>
      <w:pPr>
        <w:pStyle w:val="21"/>
        <w:ind w:firstLine="240"/>
        <w:rPr>
          <w:rFonts w:ascii="宋体" w:hAnsi="宋体" w:cs="宋体"/>
          <w:sz w:val="24"/>
        </w:rPr>
      </w:pPr>
    </w:p>
    <w:p>
      <w:pPr>
        <w:pStyle w:val="21"/>
        <w:ind w:firstLine="240"/>
        <w:rPr>
          <w:rFonts w:ascii="宋体" w:hAnsi="宋体" w:cs="宋体"/>
          <w:sz w:val="24"/>
        </w:rPr>
      </w:pPr>
    </w:p>
    <w:p>
      <w:pPr>
        <w:pStyle w:val="21"/>
        <w:ind w:firstLine="240"/>
        <w:rPr>
          <w:rFonts w:ascii="宋体" w:hAnsi="宋体" w:cs="宋体"/>
          <w:sz w:val="24"/>
        </w:rPr>
      </w:pPr>
    </w:p>
    <w:p>
      <w:pPr>
        <w:pStyle w:val="21"/>
        <w:ind w:firstLine="240"/>
        <w:rPr>
          <w:rFonts w:ascii="宋体" w:hAnsi="宋体" w:cs="宋体"/>
          <w:sz w:val="24"/>
        </w:rPr>
      </w:pPr>
    </w:p>
    <w:p>
      <w:pPr>
        <w:pStyle w:val="23"/>
        <w:ind w:firstLine="0"/>
        <w:rPr>
          <w:rFonts w:hAnsi="宋体" w:cs="宋体"/>
        </w:rPr>
      </w:pPr>
    </w:p>
    <w:p>
      <w:pPr>
        <w:pStyle w:val="21"/>
        <w:ind w:firstLine="240"/>
        <w:rPr>
          <w:rFonts w:ascii="宋体" w:hAnsi="宋体" w:cs="宋体"/>
          <w:sz w:val="24"/>
        </w:rPr>
      </w:pPr>
    </w:p>
    <w:p>
      <w:pPr>
        <w:rPr>
          <w:rFonts w:ascii="宋体" w:hAnsi="宋体" w:cs="宋体"/>
          <w:sz w:val="24"/>
        </w:rPr>
      </w:pPr>
      <w:r>
        <w:rPr>
          <w:rFonts w:hint="eastAsia" w:ascii="宋体" w:hAnsi="宋体" w:cs="宋体"/>
          <w:b/>
          <w:bCs/>
          <w:sz w:val="24"/>
        </w:rPr>
        <w:br w:type="page"/>
      </w:r>
    </w:p>
    <w:p>
      <w:pPr>
        <w:numPr>
          <w:ilvl w:val="0"/>
          <w:numId w:val="7"/>
        </w:numPr>
        <w:spacing w:line="480" w:lineRule="exact"/>
        <w:ind w:firstLine="560"/>
        <w:jc w:val="center"/>
        <w:rPr>
          <w:rFonts w:ascii="宋体" w:hAnsi="宋体" w:cs="宋体"/>
          <w:sz w:val="24"/>
        </w:rPr>
      </w:pPr>
      <w:r>
        <w:rPr>
          <w:rFonts w:hint="eastAsia" w:ascii="宋体" w:hAnsi="宋体" w:cs="宋体"/>
          <w:b/>
          <w:bCs/>
          <w:sz w:val="24"/>
        </w:rPr>
        <w:t>投标单位情况介绍</w:t>
      </w:r>
    </w:p>
    <w:tbl>
      <w:tblPr>
        <w:tblStyle w:val="44"/>
        <w:tblW w:w="909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900"/>
        <w:gridCol w:w="1135"/>
        <w:gridCol w:w="918"/>
        <w:gridCol w:w="218"/>
        <w:gridCol w:w="1136"/>
        <w:gridCol w:w="174"/>
        <w:gridCol w:w="961"/>
        <w:gridCol w:w="943"/>
        <w:gridCol w:w="114"/>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9098" w:type="dxa"/>
            <w:gridSpan w:val="11"/>
            <w:vAlign w:val="center"/>
          </w:tcPr>
          <w:p>
            <w:pPr>
              <w:spacing w:line="240" w:lineRule="exact"/>
              <w:jc w:val="center"/>
              <w:rPr>
                <w:rFonts w:ascii="宋体" w:hAnsi="宋体" w:cs="宋体"/>
                <w:sz w:val="24"/>
              </w:rPr>
            </w:pPr>
            <w:r>
              <w:rPr>
                <w:rFonts w:hint="eastAsia" w:ascii="宋体" w:hAnsi="宋体" w:cs="宋体"/>
                <w:sz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cs="宋体"/>
                <w:sz w:val="24"/>
              </w:rPr>
            </w:pPr>
            <w:r>
              <w:rPr>
                <w:rFonts w:hint="eastAsia" w:ascii="宋体" w:hAnsi="宋体" w:cs="宋体"/>
                <w:sz w:val="24"/>
              </w:rPr>
              <w:t>单位名称</w:t>
            </w:r>
          </w:p>
        </w:tc>
        <w:tc>
          <w:tcPr>
            <w:tcW w:w="7298" w:type="dxa"/>
            <w:gridSpan w:val="10"/>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cs="宋体"/>
                <w:sz w:val="24"/>
              </w:rPr>
            </w:pPr>
            <w:r>
              <w:rPr>
                <w:rFonts w:hint="eastAsia" w:ascii="宋体" w:hAnsi="宋体" w:cs="宋体"/>
                <w:sz w:val="24"/>
              </w:rPr>
              <w:t>地  址</w:t>
            </w:r>
          </w:p>
        </w:tc>
        <w:tc>
          <w:tcPr>
            <w:tcW w:w="4481" w:type="dxa"/>
            <w:gridSpan w:val="6"/>
            <w:vAlign w:val="center"/>
          </w:tcPr>
          <w:p>
            <w:pPr>
              <w:spacing w:line="240" w:lineRule="exact"/>
              <w:jc w:val="center"/>
              <w:rPr>
                <w:rFonts w:ascii="宋体" w:hAnsi="宋体" w:cs="宋体"/>
                <w:sz w:val="24"/>
              </w:rPr>
            </w:pPr>
          </w:p>
        </w:tc>
        <w:tc>
          <w:tcPr>
            <w:tcW w:w="1904" w:type="dxa"/>
            <w:gridSpan w:val="2"/>
            <w:vAlign w:val="center"/>
          </w:tcPr>
          <w:p>
            <w:pPr>
              <w:spacing w:line="240" w:lineRule="exact"/>
              <w:jc w:val="center"/>
              <w:rPr>
                <w:rFonts w:ascii="宋体" w:hAnsi="宋体" w:cs="宋体"/>
                <w:sz w:val="24"/>
              </w:rPr>
            </w:pPr>
            <w:r>
              <w:rPr>
                <w:rFonts w:hint="eastAsia" w:ascii="宋体" w:hAnsi="宋体" w:cs="宋体"/>
                <w:sz w:val="24"/>
              </w:rPr>
              <w:t>法定代表人</w:t>
            </w:r>
          </w:p>
        </w:tc>
        <w:tc>
          <w:tcPr>
            <w:tcW w:w="913" w:type="dxa"/>
            <w:gridSpan w:val="2"/>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cs="宋体"/>
                <w:sz w:val="24"/>
              </w:rPr>
            </w:pPr>
            <w:r>
              <w:rPr>
                <w:rFonts w:hint="eastAsia" w:ascii="宋体" w:hAnsi="宋体" w:cs="宋体"/>
                <w:sz w:val="24"/>
              </w:rPr>
              <w:t>成立时间</w:t>
            </w:r>
          </w:p>
        </w:tc>
        <w:tc>
          <w:tcPr>
            <w:tcW w:w="4481" w:type="dxa"/>
            <w:gridSpan w:val="6"/>
            <w:vAlign w:val="center"/>
          </w:tcPr>
          <w:p>
            <w:pPr>
              <w:spacing w:line="240" w:lineRule="exact"/>
              <w:jc w:val="center"/>
              <w:rPr>
                <w:rFonts w:ascii="宋体" w:hAnsi="宋体" w:cs="宋体"/>
                <w:sz w:val="24"/>
              </w:rPr>
            </w:pPr>
          </w:p>
        </w:tc>
        <w:tc>
          <w:tcPr>
            <w:tcW w:w="1904" w:type="dxa"/>
            <w:gridSpan w:val="2"/>
            <w:vAlign w:val="center"/>
          </w:tcPr>
          <w:p>
            <w:pPr>
              <w:spacing w:line="240" w:lineRule="exact"/>
              <w:jc w:val="center"/>
              <w:rPr>
                <w:rFonts w:ascii="宋体" w:hAnsi="宋体" w:cs="宋体"/>
                <w:sz w:val="24"/>
              </w:rPr>
            </w:pPr>
            <w:r>
              <w:rPr>
                <w:rFonts w:hint="eastAsia" w:ascii="宋体" w:hAnsi="宋体" w:cs="宋体"/>
                <w:sz w:val="24"/>
              </w:rPr>
              <w:t>注册资本</w:t>
            </w:r>
          </w:p>
        </w:tc>
        <w:tc>
          <w:tcPr>
            <w:tcW w:w="913" w:type="dxa"/>
            <w:gridSpan w:val="2"/>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cs="宋体"/>
                <w:sz w:val="24"/>
              </w:rPr>
            </w:pPr>
            <w:r>
              <w:rPr>
                <w:rFonts w:hint="eastAsia" w:ascii="宋体" w:hAnsi="宋体" w:cs="宋体"/>
                <w:sz w:val="24"/>
              </w:rPr>
              <w:t>开户银行</w:t>
            </w:r>
          </w:p>
        </w:tc>
        <w:tc>
          <w:tcPr>
            <w:tcW w:w="2953" w:type="dxa"/>
            <w:gridSpan w:val="3"/>
            <w:vAlign w:val="center"/>
          </w:tcPr>
          <w:p>
            <w:pPr>
              <w:spacing w:line="240" w:lineRule="exact"/>
              <w:jc w:val="center"/>
              <w:rPr>
                <w:rFonts w:ascii="宋体" w:hAnsi="宋体" w:cs="宋体"/>
                <w:sz w:val="24"/>
              </w:rPr>
            </w:pPr>
          </w:p>
        </w:tc>
        <w:tc>
          <w:tcPr>
            <w:tcW w:w="1528" w:type="dxa"/>
            <w:gridSpan w:val="3"/>
            <w:vAlign w:val="center"/>
          </w:tcPr>
          <w:p>
            <w:pPr>
              <w:spacing w:line="240" w:lineRule="exact"/>
              <w:jc w:val="center"/>
              <w:rPr>
                <w:rFonts w:ascii="宋体" w:hAnsi="宋体" w:cs="宋体"/>
                <w:sz w:val="24"/>
              </w:rPr>
            </w:pPr>
            <w:r>
              <w:rPr>
                <w:rFonts w:hint="eastAsia" w:ascii="宋体" w:hAnsi="宋体" w:cs="宋体"/>
                <w:sz w:val="24"/>
              </w:rPr>
              <w:t>帐  号</w:t>
            </w:r>
          </w:p>
        </w:tc>
        <w:tc>
          <w:tcPr>
            <w:tcW w:w="2817" w:type="dxa"/>
            <w:gridSpan w:val="4"/>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cs="宋体"/>
                <w:sz w:val="24"/>
              </w:rPr>
            </w:pPr>
            <w:r>
              <w:rPr>
                <w:rFonts w:hint="eastAsia" w:ascii="宋体" w:hAnsi="宋体" w:cs="宋体"/>
                <w:sz w:val="24"/>
              </w:rPr>
              <w:t>联系电话</w:t>
            </w:r>
          </w:p>
        </w:tc>
        <w:tc>
          <w:tcPr>
            <w:tcW w:w="7298" w:type="dxa"/>
            <w:gridSpan w:val="10"/>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cs="宋体"/>
                <w:sz w:val="24"/>
              </w:rPr>
            </w:pPr>
            <w:r>
              <w:rPr>
                <w:rFonts w:hint="eastAsia" w:ascii="宋体" w:hAnsi="宋体" w:cs="宋体"/>
                <w:sz w:val="24"/>
              </w:rPr>
              <w:t>企业总人数</w:t>
            </w:r>
          </w:p>
        </w:tc>
        <w:tc>
          <w:tcPr>
            <w:tcW w:w="900" w:type="dxa"/>
            <w:vAlign w:val="center"/>
          </w:tcPr>
          <w:p>
            <w:pPr>
              <w:spacing w:line="240" w:lineRule="exact"/>
              <w:jc w:val="center"/>
              <w:rPr>
                <w:rFonts w:ascii="宋体" w:hAnsi="宋体" w:cs="宋体"/>
                <w:sz w:val="24"/>
              </w:rPr>
            </w:pPr>
          </w:p>
        </w:tc>
        <w:tc>
          <w:tcPr>
            <w:tcW w:w="1135" w:type="dxa"/>
            <w:vAlign w:val="center"/>
          </w:tcPr>
          <w:p>
            <w:pPr>
              <w:spacing w:line="240" w:lineRule="exact"/>
              <w:jc w:val="center"/>
              <w:rPr>
                <w:rFonts w:ascii="宋体" w:hAnsi="宋体" w:cs="宋体"/>
                <w:sz w:val="24"/>
              </w:rPr>
            </w:pPr>
            <w:r>
              <w:rPr>
                <w:rFonts w:hint="eastAsia" w:ascii="宋体" w:hAnsi="宋体" w:cs="宋体"/>
                <w:sz w:val="24"/>
              </w:rPr>
              <w:t>管理</w:t>
            </w:r>
          </w:p>
          <w:p>
            <w:pPr>
              <w:spacing w:line="240" w:lineRule="exact"/>
              <w:jc w:val="center"/>
              <w:rPr>
                <w:rFonts w:ascii="宋体" w:hAnsi="宋体" w:cs="宋体"/>
                <w:sz w:val="24"/>
              </w:rPr>
            </w:pPr>
            <w:r>
              <w:rPr>
                <w:rFonts w:hint="eastAsia" w:ascii="宋体" w:hAnsi="宋体" w:cs="宋体"/>
                <w:sz w:val="24"/>
              </w:rPr>
              <w:t>人员</w:t>
            </w:r>
          </w:p>
        </w:tc>
        <w:tc>
          <w:tcPr>
            <w:tcW w:w="1136" w:type="dxa"/>
            <w:gridSpan w:val="2"/>
            <w:vAlign w:val="center"/>
          </w:tcPr>
          <w:p>
            <w:pPr>
              <w:spacing w:line="240" w:lineRule="exact"/>
              <w:jc w:val="center"/>
              <w:rPr>
                <w:rFonts w:ascii="宋体" w:hAnsi="宋体" w:cs="宋体"/>
                <w:sz w:val="24"/>
              </w:rPr>
            </w:pPr>
          </w:p>
        </w:tc>
        <w:tc>
          <w:tcPr>
            <w:tcW w:w="1136" w:type="dxa"/>
            <w:vAlign w:val="center"/>
          </w:tcPr>
          <w:p>
            <w:pPr>
              <w:spacing w:line="240" w:lineRule="exact"/>
              <w:jc w:val="center"/>
              <w:rPr>
                <w:rFonts w:ascii="宋体" w:hAnsi="宋体" w:cs="宋体"/>
                <w:sz w:val="24"/>
              </w:rPr>
            </w:pPr>
            <w:r>
              <w:rPr>
                <w:rFonts w:hint="eastAsia" w:ascii="宋体" w:hAnsi="宋体" w:cs="宋体"/>
                <w:sz w:val="24"/>
              </w:rPr>
              <w:t>技术</w:t>
            </w:r>
          </w:p>
          <w:p>
            <w:pPr>
              <w:spacing w:line="240" w:lineRule="exact"/>
              <w:jc w:val="center"/>
              <w:rPr>
                <w:rFonts w:ascii="宋体" w:hAnsi="宋体" w:cs="宋体"/>
                <w:sz w:val="24"/>
              </w:rPr>
            </w:pPr>
            <w:r>
              <w:rPr>
                <w:rFonts w:hint="eastAsia" w:ascii="宋体" w:hAnsi="宋体" w:cs="宋体"/>
                <w:sz w:val="24"/>
              </w:rPr>
              <w:t>人员</w:t>
            </w:r>
          </w:p>
        </w:tc>
        <w:tc>
          <w:tcPr>
            <w:tcW w:w="1135" w:type="dxa"/>
            <w:gridSpan w:val="2"/>
            <w:vAlign w:val="center"/>
          </w:tcPr>
          <w:p>
            <w:pPr>
              <w:spacing w:line="240" w:lineRule="exact"/>
              <w:jc w:val="center"/>
              <w:rPr>
                <w:rFonts w:ascii="宋体" w:hAnsi="宋体" w:cs="宋体"/>
                <w:sz w:val="24"/>
              </w:rPr>
            </w:pPr>
          </w:p>
        </w:tc>
        <w:tc>
          <w:tcPr>
            <w:tcW w:w="1057" w:type="dxa"/>
            <w:gridSpan w:val="2"/>
            <w:vAlign w:val="center"/>
          </w:tcPr>
          <w:p>
            <w:pPr>
              <w:spacing w:line="240" w:lineRule="exact"/>
              <w:jc w:val="center"/>
              <w:rPr>
                <w:rFonts w:ascii="宋体" w:hAnsi="宋体" w:cs="宋体"/>
                <w:sz w:val="24"/>
              </w:rPr>
            </w:pPr>
            <w:r>
              <w:rPr>
                <w:rFonts w:hint="eastAsia" w:ascii="宋体" w:hAnsi="宋体" w:cs="宋体"/>
                <w:sz w:val="24"/>
              </w:rPr>
              <w:t>职工</w:t>
            </w:r>
          </w:p>
          <w:p>
            <w:pPr>
              <w:spacing w:line="240" w:lineRule="exact"/>
              <w:jc w:val="center"/>
              <w:rPr>
                <w:rFonts w:ascii="宋体" w:hAnsi="宋体" w:cs="宋体"/>
                <w:sz w:val="24"/>
              </w:rPr>
            </w:pPr>
            <w:r>
              <w:rPr>
                <w:rFonts w:hint="eastAsia" w:ascii="宋体" w:hAnsi="宋体" w:cs="宋体"/>
                <w:sz w:val="24"/>
              </w:rPr>
              <w:t>人员</w:t>
            </w:r>
          </w:p>
        </w:tc>
        <w:tc>
          <w:tcPr>
            <w:tcW w:w="799" w:type="dxa"/>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800" w:type="dxa"/>
            <w:vAlign w:val="center"/>
          </w:tcPr>
          <w:p>
            <w:pPr>
              <w:spacing w:line="240" w:lineRule="exact"/>
              <w:jc w:val="center"/>
              <w:rPr>
                <w:rFonts w:ascii="宋体" w:hAnsi="宋体" w:cs="宋体"/>
                <w:sz w:val="24"/>
              </w:rPr>
            </w:pPr>
            <w:r>
              <w:rPr>
                <w:rFonts w:hint="eastAsia" w:ascii="宋体" w:hAnsi="宋体" w:cs="宋体"/>
                <w:sz w:val="24"/>
              </w:rPr>
              <w:t>经营范围</w:t>
            </w:r>
          </w:p>
        </w:tc>
        <w:tc>
          <w:tcPr>
            <w:tcW w:w="7298" w:type="dxa"/>
            <w:gridSpan w:val="10"/>
            <w:vAlign w:val="center"/>
          </w:tcPr>
          <w:p>
            <w:pPr>
              <w:spacing w:line="2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trPr>
        <w:tc>
          <w:tcPr>
            <w:tcW w:w="1800" w:type="dxa"/>
            <w:tcBorders>
              <w:bottom w:val="single" w:color="auto" w:sz="4" w:space="0"/>
            </w:tcBorders>
            <w:vAlign w:val="center"/>
          </w:tcPr>
          <w:p>
            <w:pPr>
              <w:spacing w:line="240" w:lineRule="exact"/>
              <w:jc w:val="center"/>
              <w:rPr>
                <w:rFonts w:ascii="宋体" w:hAnsi="宋体" w:cs="宋体"/>
                <w:sz w:val="24"/>
              </w:rPr>
            </w:pPr>
            <w:r>
              <w:rPr>
                <w:rFonts w:hint="eastAsia" w:ascii="宋体" w:hAnsi="宋体" w:cs="宋体"/>
                <w:sz w:val="24"/>
              </w:rPr>
              <w:t>企业现有的资质证书</w:t>
            </w:r>
          </w:p>
        </w:tc>
        <w:tc>
          <w:tcPr>
            <w:tcW w:w="7298" w:type="dxa"/>
            <w:gridSpan w:val="10"/>
            <w:tcBorders>
              <w:bottom w:val="single" w:color="auto" w:sz="4" w:space="0"/>
            </w:tcBorders>
            <w:vAlign w:val="center"/>
          </w:tcPr>
          <w:p>
            <w:pPr>
              <w:spacing w:line="240" w:lineRule="exact"/>
              <w:jc w:val="center"/>
              <w:rPr>
                <w:rFonts w:ascii="宋体" w:hAnsi="宋体" w:cs="宋体"/>
                <w:sz w:val="24"/>
              </w:rPr>
            </w:pPr>
          </w:p>
        </w:tc>
      </w:tr>
    </w:tbl>
    <w:p>
      <w:pPr>
        <w:spacing w:line="480" w:lineRule="exact"/>
        <w:ind w:firstLine="480"/>
        <w:rPr>
          <w:rFonts w:ascii="宋体" w:hAnsi="宋体" w:cs="宋体"/>
          <w:sz w:val="24"/>
        </w:rPr>
      </w:pPr>
      <w:r>
        <w:rPr>
          <w:rFonts w:hint="eastAsia" w:ascii="宋体" w:hAnsi="宋体" w:cs="宋体"/>
          <w:sz w:val="24"/>
        </w:rPr>
        <w:t>注：表格不能满足时可自行增加。</w:t>
      </w:r>
    </w:p>
    <w:p>
      <w:pPr>
        <w:snapToGrid w:val="0"/>
        <w:spacing w:before="120" w:beforeLines="50"/>
        <w:ind w:firstLine="640"/>
        <w:rPr>
          <w:rFonts w:ascii="宋体" w:hAnsi="宋体" w:cs="宋体"/>
          <w:b/>
          <w:bCs/>
          <w:sz w:val="24"/>
        </w:rPr>
      </w:pPr>
    </w:p>
    <w:p>
      <w:pPr>
        <w:snapToGrid w:val="0"/>
        <w:spacing w:before="120" w:beforeLines="50"/>
        <w:ind w:firstLine="640"/>
        <w:rPr>
          <w:rFonts w:ascii="宋体" w:hAnsi="宋体" w:cs="宋体"/>
          <w:b/>
          <w:bCs/>
          <w:sz w:val="24"/>
        </w:rPr>
      </w:pPr>
    </w:p>
    <w:p>
      <w:pPr>
        <w:snapToGrid w:val="0"/>
        <w:spacing w:before="120" w:beforeLines="50"/>
        <w:ind w:firstLine="480"/>
        <w:rPr>
          <w:rFonts w:ascii="宋体" w:hAnsi="宋体" w:cs="宋体"/>
          <w:sz w:val="24"/>
          <w:u w:val="single"/>
        </w:rPr>
      </w:pPr>
      <w:r>
        <w:rPr>
          <w:rFonts w:hint="eastAsia" w:ascii="宋体" w:hAnsi="宋体" w:cs="宋体"/>
          <w:sz w:val="24"/>
        </w:rPr>
        <w:t>法定代表人或其授权代理人签名或盖章：</w:t>
      </w:r>
    </w:p>
    <w:p>
      <w:pPr>
        <w:snapToGrid w:val="0"/>
        <w:spacing w:before="120" w:beforeLines="50" w:after="50"/>
        <w:ind w:firstLine="480"/>
        <w:rPr>
          <w:rFonts w:ascii="宋体" w:hAnsi="宋体" w:cs="宋体"/>
          <w:sz w:val="24"/>
        </w:rPr>
      </w:pPr>
      <w:r>
        <w:rPr>
          <w:rFonts w:hint="eastAsia" w:ascii="宋体" w:hAnsi="宋体" w:cs="宋体"/>
          <w:sz w:val="24"/>
        </w:rPr>
        <w:t>供应商公章：</w:t>
      </w:r>
    </w:p>
    <w:p>
      <w:pPr>
        <w:snapToGrid w:val="0"/>
        <w:spacing w:before="120" w:beforeLines="50" w:after="50"/>
        <w:ind w:firstLine="6240" w:firstLineChars="2600"/>
        <w:rPr>
          <w:rFonts w:ascii="宋体" w:hAnsi="宋体" w:cs="宋体"/>
          <w:sz w:val="24"/>
        </w:rPr>
      </w:pPr>
    </w:p>
    <w:p>
      <w:pPr>
        <w:snapToGrid w:val="0"/>
        <w:spacing w:before="50" w:after="120" w:afterLines="50"/>
        <w:ind w:firstLine="480"/>
        <w:jc w:val="right"/>
        <w:rPr>
          <w:rFonts w:ascii="宋体" w:hAnsi="宋体" w:cs="宋体"/>
          <w:sz w:val="24"/>
        </w:rPr>
      </w:pPr>
      <w:r>
        <w:rPr>
          <w:rFonts w:hint="eastAsia" w:ascii="宋体" w:hAnsi="宋体" w:cs="宋体"/>
          <w:sz w:val="24"/>
        </w:rPr>
        <w:t>年    月    日</w:t>
      </w:r>
    </w:p>
    <w:p>
      <w:pPr>
        <w:snapToGrid w:val="0"/>
        <w:spacing w:before="50" w:after="120" w:afterLines="50"/>
        <w:jc w:val="left"/>
        <w:rPr>
          <w:rFonts w:ascii="宋体" w:hAnsi="宋体" w:cs="宋体"/>
          <w:b/>
          <w:sz w:val="24"/>
        </w:rPr>
      </w:pPr>
    </w:p>
    <w:p>
      <w:pPr>
        <w:snapToGrid w:val="0"/>
        <w:spacing w:before="50" w:after="120" w:afterLines="50"/>
        <w:jc w:val="left"/>
        <w:rPr>
          <w:rFonts w:ascii="宋体" w:hAnsi="宋体" w:cs="宋体"/>
          <w:b/>
          <w:sz w:val="24"/>
        </w:rPr>
      </w:pPr>
    </w:p>
    <w:p>
      <w:pPr>
        <w:pStyle w:val="23"/>
        <w:rPr>
          <w:rFonts w:hAnsi="宋体" w:cs="宋体"/>
          <w:b/>
          <w:sz w:val="24"/>
          <w:szCs w:val="24"/>
        </w:rPr>
      </w:pPr>
    </w:p>
    <w:p>
      <w:pPr>
        <w:pStyle w:val="23"/>
        <w:rPr>
          <w:rFonts w:hAnsi="宋体" w:cs="宋体"/>
          <w:b/>
          <w:sz w:val="24"/>
          <w:szCs w:val="24"/>
        </w:rPr>
      </w:pPr>
    </w:p>
    <w:p>
      <w:pPr>
        <w:pStyle w:val="7"/>
        <w:ind w:firstLine="0"/>
        <w:rPr>
          <w:rFonts w:ascii="宋体" w:hAnsi="宋体" w:cs="宋体"/>
          <w:b/>
          <w:sz w:val="24"/>
        </w:rPr>
      </w:pPr>
    </w:p>
    <w:p>
      <w:pPr>
        <w:snapToGrid w:val="0"/>
        <w:spacing w:line="360" w:lineRule="auto"/>
        <w:jc w:val="center"/>
        <w:rPr>
          <w:rFonts w:ascii="宋体" w:hAnsi="宋体" w:cs="宋体"/>
          <w:b/>
          <w:sz w:val="24"/>
        </w:rPr>
      </w:pPr>
      <w:r>
        <w:rPr>
          <w:rFonts w:hint="eastAsia" w:ascii="宋体" w:hAnsi="宋体" w:cs="宋体"/>
          <w:b/>
          <w:sz w:val="24"/>
        </w:rPr>
        <w:t>二、有效的营业执照、税务登记证、组织机构代码证或“三证合一”的营业执照或“五证合一”的营业执照</w:t>
      </w:r>
    </w:p>
    <w:p>
      <w:pPr>
        <w:snapToGrid w:val="0"/>
        <w:spacing w:line="360" w:lineRule="auto"/>
        <w:ind w:firstLine="482" w:firstLineChars="200"/>
        <w:jc w:val="center"/>
        <w:rPr>
          <w:rFonts w:ascii="宋体" w:hAnsi="宋体" w:cs="宋体"/>
          <w:b/>
          <w:sz w:val="24"/>
        </w:rPr>
      </w:pPr>
    </w:p>
    <w:p>
      <w:pPr>
        <w:snapToGrid w:val="0"/>
        <w:spacing w:line="360" w:lineRule="auto"/>
        <w:rPr>
          <w:rFonts w:ascii="宋体" w:hAnsi="宋体" w:cs="宋体"/>
          <w:sz w:val="24"/>
        </w:rPr>
      </w:pPr>
    </w:p>
    <w:p>
      <w:pPr>
        <w:pStyle w:val="21"/>
        <w:ind w:left="560" w:firstLine="0" w:firstLineChars="0"/>
        <w:rPr>
          <w:rFonts w:ascii="宋体" w:hAnsi="宋体" w:cs="宋体"/>
        </w:rPr>
      </w:pPr>
    </w:p>
    <w:p>
      <w:pPr>
        <w:snapToGrid w:val="0"/>
        <w:spacing w:line="360" w:lineRule="auto"/>
        <w:ind w:firstLine="964" w:firstLineChars="400"/>
        <w:rPr>
          <w:rFonts w:ascii="宋体" w:hAnsi="宋体" w:cs="宋体"/>
          <w:b/>
          <w:sz w:val="24"/>
        </w:rPr>
      </w:pPr>
      <w:r>
        <w:rPr>
          <w:rFonts w:hint="eastAsia" w:ascii="宋体" w:hAnsi="宋体" w:cs="宋体"/>
          <w:b/>
          <w:sz w:val="24"/>
        </w:rPr>
        <w:t>三、法定代表人或其授权代理人的授权证书及身份证明</w:t>
      </w:r>
    </w:p>
    <w:p>
      <w:pPr>
        <w:snapToGrid w:val="0"/>
        <w:spacing w:line="360" w:lineRule="auto"/>
        <w:ind w:firstLine="482" w:firstLineChars="200"/>
        <w:jc w:val="center"/>
        <w:rPr>
          <w:rFonts w:ascii="宋体" w:hAnsi="宋体" w:cs="宋体"/>
          <w:b/>
          <w:sz w:val="24"/>
        </w:rPr>
      </w:pPr>
    </w:p>
    <w:p>
      <w:pPr>
        <w:snapToGrid w:val="0"/>
        <w:spacing w:line="360" w:lineRule="auto"/>
        <w:ind w:firstLine="482" w:firstLineChars="200"/>
        <w:jc w:val="center"/>
        <w:rPr>
          <w:rFonts w:ascii="宋体" w:hAnsi="宋体" w:cs="宋体"/>
          <w:b/>
          <w:sz w:val="24"/>
        </w:rPr>
      </w:pPr>
      <w:r>
        <w:rPr>
          <w:rFonts w:hint="eastAsia" w:ascii="宋体" w:hAnsi="宋体" w:cs="宋体"/>
          <w:b/>
          <w:sz w:val="24"/>
        </w:rPr>
        <w:t>法定代表人有效身份证明书</w:t>
      </w:r>
    </w:p>
    <w:p>
      <w:pPr>
        <w:pStyle w:val="7"/>
        <w:spacing w:line="400" w:lineRule="exact"/>
        <w:ind w:firstLine="511" w:firstLineChars="156"/>
        <w:jc w:val="center"/>
        <w:rPr>
          <w:rFonts w:ascii="宋体" w:hAnsi="宋体" w:cs="宋体"/>
          <w:bCs/>
          <w:spacing w:val="24"/>
          <w:sz w:val="28"/>
          <w:szCs w:val="28"/>
        </w:rPr>
      </w:pPr>
    </w:p>
    <w:p>
      <w:pPr>
        <w:pStyle w:val="7"/>
        <w:spacing w:line="400" w:lineRule="exact"/>
        <w:ind w:firstLine="449" w:firstLineChars="156"/>
        <w:jc w:val="center"/>
        <w:rPr>
          <w:rFonts w:ascii="宋体" w:hAnsi="宋体" w:cs="宋体"/>
          <w:bCs/>
          <w:spacing w:val="24"/>
          <w:sz w:val="24"/>
          <w:szCs w:val="24"/>
        </w:rPr>
      </w:pPr>
    </w:p>
    <w:p>
      <w:pPr>
        <w:pStyle w:val="7"/>
        <w:spacing w:line="360" w:lineRule="auto"/>
        <w:ind w:firstLine="480" w:firstLineChars="200"/>
        <w:rPr>
          <w:rFonts w:ascii="宋体" w:hAnsi="宋体" w:cs="宋体"/>
          <w:sz w:val="24"/>
          <w:szCs w:val="24"/>
        </w:rPr>
      </w:pPr>
      <w:r>
        <w:rPr>
          <w:rFonts w:hint="eastAsia" w:ascii="宋体" w:hAnsi="宋体" w:cs="宋体"/>
          <w:sz w:val="24"/>
          <w:szCs w:val="24"/>
        </w:rPr>
        <w:t>（姓名）是（单位全称）的法定代表人，身份证号码为。</w:t>
      </w:r>
    </w:p>
    <w:p>
      <w:pPr>
        <w:pStyle w:val="7"/>
        <w:spacing w:line="400" w:lineRule="exact"/>
        <w:ind w:firstLine="374" w:firstLineChars="156"/>
        <w:rPr>
          <w:rFonts w:ascii="宋体" w:hAnsi="宋体" w:cs="宋体"/>
          <w:sz w:val="24"/>
          <w:szCs w:val="24"/>
        </w:rPr>
      </w:pPr>
    </w:p>
    <w:p>
      <w:pPr>
        <w:pStyle w:val="7"/>
        <w:spacing w:line="400" w:lineRule="exact"/>
        <w:ind w:firstLine="374" w:firstLineChars="156"/>
        <w:rPr>
          <w:rFonts w:ascii="宋体" w:hAnsi="宋体" w:cs="宋体"/>
          <w:sz w:val="24"/>
          <w:szCs w:val="24"/>
        </w:rPr>
      </w:pPr>
    </w:p>
    <w:p>
      <w:pPr>
        <w:pStyle w:val="7"/>
        <w:spacing w:line="400" w:lineRule="exact"/>
        <w:ind w:firstLine="374" w:firstLineChars="156"/>
        <w:rPr>
          <w:rFonts w:ascii="宋体" w:hAnsi="宋体" w:cs="宋体"/>
          <w:sz w:val="24"/>
          <w:szCs w:val="24"/>
        </w:rPr>
      </w:pPr>
      <w:r>
        <w:rPr>
          <w:rFonts w:hint="eastAsia" w:ascii="宋体" w:hAnsi="宋体" w:cs="宋体"/>
          <w:sz w:val="24"/>
          <w:szCs w:val="24"/>
        </w:rPr>
        <w:t xml:space="preserve">    特此证明</w:t>
      </w:r>
    </w:p>
    <w:p>
      <w:pPr>
        <w:pStyle w:val="7"/>
        <w:spacing w:line="400" w:lineRule="exact"/>
        <w:ind w:firstLine="374" w:firstLineChars="156"/>
        <w:rPr>
          <w:rFonts w:ascii="宋体" w:hAnsi="宋体" w:cs="宋体"/>
          <w:sz w:val="24"/>
          <w:szCs w:val="24"/>
        </w:rPr>
      </w:pPr>
    </w:p>
    <w:p>
      <w:pPr>
        <w:pStyle w:val="7"/>
        <w:spacing w:line="400" w:lineRule="exact"/>
        <w:ind w:firstLine="374" w:firstLineChars="156"/>
        <w:rPr>
          <w:rFonts w:ascii="宋体" w:hAnsi="宋体" w:cs="宋体"/>
          <w:sz w:val="24"/>
          <w:szCs w:val="24"/>
        </w:rPr>
      </w:pPr>
    </w:p>
    <w:p>
      <w:pPr>
        <w:pStyle w:val="7"/>
        <w:spacing w:line="400" w:lineRule="exact"/>
        <w:ind w:firstLine="374" w:firstLineChars="156"/>
        <w:rPr>
          <w:rFonts w:ascii="宋体" w:hAnsi="宋体" w:cs="宋体"/>
          <w:sz w:val="24"/>
          <w:szCs w:val="24"/>
        </w:rPr>
      </w:pPr>
    </w:p>
    <w:p>
      <w:pPr>
        <w:pStyle w:val="7"/>
        <w:spacing w:line="400" w:lineRule="exact"/>
        <w:ind w:firstLine="374" w:firstLineChars="156"/>
        <w:rPr>
          <w:rFonts w:ascii="宋体" w:hAnsi="宋体" w:cs="宋体"/>
          <w:sz w:val="24"/>
          <w:szCs w:val="24"/>
        </w:rPr>
      </w:pPr>
    </w:p>
    <w:p>
      <w:pPr>
        <w:pStyle w:val="7"/>
        <w:spacing w:line="400" w:lineRule="exact"/>
        <w:ind w:firstLine="374" w:firstLineChars="156"/>
        <w:rPr>
          <w:rFonts w:ascii="宋体" w:hAnsi="宋体" w:cs="宋体"/>
          <w:sz w:val="24"/>
          <w:szCs w:val="24"/>
        </w:rPr>
      </w:pPr>
      <w:r>
        <w:rPr>
          <w:rFonts w:hint="eastAsia" w:ascii="宋体" w:hAnsi="宋体" w:cs="宋体"/>
          <w:sz w:val="24"/>
          <w:szCs w:val="24"/>
        </w:rPr>
        <w:t xml:space="preserve">                      投标供应商：（盖章）</w:t>
      </w:r>
    </w:p>
    <w:p>
      <w:pPr>
        <w:pStyle w:val="7"/>
        <w:spacing w:line="400" w:lineRule="exact"/>
        <w:ind w:firstLine="374" w:firstLineChars="156"/>
        <w:rPr>
          <w:rFonts w:ascii="宋体" w:hAnsi="宋体" w:cs="宋体"/>
          <w:sz w:val="24"/>
          <w:szCs w:val="24"/>
        </w:rPr>
      </w:pPr>
    </w:p>
    <w:p>
      <w:pPr>
        <w:pStyle w:val="7"/>
        <w:spacing w:line="400" w:lineRule="exact"/>
        <w:ind w:firstLine="3012" w:firstLineChars="1255"/>
        <w:rPr>
          <w:rFonts w:ascii="宋体" w:hAnsi="宋体" w:cs="宋体"/>
          <w:sz w:val="24"/>
          <w:szCs w:val="24"/>
        </w:rPr>
      </w:pPr>
      <w:r>
        <w:rPr>
          <w:rFonts w:hint="eastAsia" w:ascii="宋体" w:hAnsi="宋体" w:cs="宋体"/>
          <w:sz w:val="24"/>
          <w:szCs w:val="24"/>
        </w:rPr>
        <w:t>法定代表人或其授权代理人（盖章）</w:t>
      </w:r>
    </w:p>
    <w:p>
      <w:pPr>
        <w:pStyle w:val="7"/>
        <w:spacing w:line="400" w:lineRule="exact"/>
        <w:ind w:firstLine="374" w:firstLineChars="156"/>
        <w:jc w:val="center"/>
        <w:rPr>
          <w:rFonts w:ascii="宋体" w:hAnsi="宋体" w:cs="宋体"/>
          <w:sz w:val="24"/>
          <w:szCs w:val="24"/>
        </w:rPr>
      </w:pPr>
    </w:p>
    <w:p>
      <w:pPr>
        <w:pStyle w:val="7"/>
        <w:spacing w:line="400" w:lineRule="exact"/>
        <w:ind w:firstLine="374" w:firstLineChars="156"/>
        <w:rPr>
          <w:rFonts w:ascii="宋体" w:hAnsi="宋体" w:cs="宋体"/>
          <w:sz w:val="24"/>
          <w:szCs w:val="24"/>
        </w:rPr>
      </w:pPr>
      <w:r>
        <w:rPr>
          <w:rFonts w:hint="eastAsia" w:ascii="宋体" w:hAnsi="宋体" w:cs="宋体"/>
          <w:sz w:val="24"/>
          <w:szCs w:val="24"/>
        </w:rPr>
        <w:t xml:space="preserve">        日期：    年   月   日</w:t>
      </w:r>
    </w:p>
    <w:p>
      <w:pPr>
        <w:pStyle w:val="7"/>
        <w:spacing w:line="400" w:lineRule="exact"/>
        <w:ind w:firstLine="374" w:firstLineChars="156"/>
        <w:jc w:val="center"/>
        <w:rPr>
          <w:rFonts w:ascii="宋体" w:hAnsi="宋体" w:cs="宋体"/>
          <w:sz w:val="24"/>
          <w:szCs w:val="24"/>
        </w:rPr>
      </w:pPr>
    </w:p>
    <w:p>
      <w:pPr>
        <w:pStyle w:val="7"/>
        <w:spacing w:line="400" w:lineRule="exact"/>
        <w:ind w:firstLine="0"/>
        <w:rPr>
          <w:rFonts w:ascii="宋体" w:hAnsi="宋体" w:cs="宋体"/>
          <w:sz w:val="24"/>
          <w:szCs w:val="24"/>
        </w:rPr>
      </w:pPr>
    </w:p>
    <w:p>
      <w:pPr>
        <w:pStyle w:val="7"/>
        <w:spacing w:line="400" w:lineRule="exact"/>
        <w:ind w:firstLine="374" w:firstLineChars="156"/>
        <w:rPr>
          <w:rFonts w:ascii="宋体" w:hAnsi="宋体" w:cs="宋体"/>
          <w:sz w:val="24"/>
          <w:szCs w:val="24"/>
        </w:rPr>
      </w:pPr>
      <w:r>
        <w:rPr>
          <w:rFonts w:hint="eastAsia" w:ascii="宋体" w:hAnsi="宋体" w:cs="宋体"/>
          <w:sz w:val="24"/>
          <w:szCs w:val="24"/>
        </w:rPr>
        <w:t>—————————————————————————————————</w:t>
      </w:r>
    </w:p>
    <w:p>
      <w:pPr>
        <w:pStyle w:val="7"/>
        <w:spacing w:line="400" w:lineRule="exact"/>
        <w:ind w:firstLine="0"/>
        <w:rPr>
          <w:rFonts w:ascii="宋体" w:hAnsi="宋体" w:cs="宋体"/>
          <w:sz w:val="24"/>
          <w:szCs w:val="24"/>
        </w:rPr>
      </w:pPr>
    </w:p>
    <w:p>
      <w:pPr>
        <w:pStyle w:val="7"/>
        <w:spacing w:line="400" w:lineRule="exact"/>
        <w:ind w:firstLine="374" w:firstLineChars="156"/>
        <w:jc w:val="center"/>
        <w:rPr>
          <w:rFonts w:ascii="宋体" w:hAnsi="宋体" w:cs="宋体"/>
          <w:sz w:val="24"/>
          <w:szCs w:val="24"/>
        </w:rPr>
      </w:pPr>
      <w:r>
        <w:rPr>
          <w:rFonts w:hint="eastAsia" w:ascii="宋体" w:hAnsi="宋体" w:cs="宋体"/>
          <w:sz w:val="24"/>
          <w:szCs w:val="24"/>
        </w:rPr>
        <w:t>有效身份证明</w:t>
      </w:r>
    </w:p>
    <w:p>
      <w:pPr>
        <w:widowControl/>
        <w:tabs>
          <w:tab w:val="left" w:pos="801"/>
        </w:tabs>
        <w:spacing w:line="460" w:lineRule="exact"/>
        <w:rPr>
          <w:rFonts w:ascii="宋体" w:hAnsi="宋体" w:cs="宋体"/>
          <w:b/>
          <w:sz w:val="24"/>
        </w:rPr>
      </w:pPr>
    </w:p>
    <w:p>
      <w:pPr>
        <w:pStyle w:val="7"/>
        <w:ind w:firstLine="0"/>
        <w:rPr>
          <w:rFonts w:ascii="宋体" w:hAnsi="宋体" w:cs="宋体"/>
          <w:b/>
          <w:sz w:val="24"/>
        </w:rPr>
      </w:pPr>
    </w:p>
    <w:p>
      <w:pPr>
        <w:pStyle w:val="7"/>
        <w:rPr>
          <w:rFonts w:ascii="宋体" w:hAnsi="宋体" w:cs="宋体"/>
          <w:b/>
          <w:sz w:val="24"/>
        </w:rPr>
      </w:pPr>
    </w:p>
    <w:p>
      <w:pPr>
        <w:pStyle w:val="7"/>
        <w:ind w:firstLine="0"/>
        <w:rPr>
          <w:rFonts w:ascii="宋体" w:hAnsi="宋体" w:cs="宋体"/>
          <w:b/>
          <w:sz w:val="24"/>
        </w:rPr>
      </w:pPr>
    </w:p>
    <w:p>
      <w:pPr>
        <w:widowControl/>
        <w:tabs>
          <w:tab w:val="left" w:pos="801"/>
        </w:tabs>
        <w:spacing w:line="460" w:lineRule="exact"/>
        <w:ind w:firstLine="482" w:firstLineChars="200"/>
        <w:jc w:val="center"/>
        <w:rPr>
          <w:rFonts w:ascii="宋体" w:hAnsi="宋体" w:cs="宋体"/>
          <w:b/>
          <w:sz w:val="24"/>
        </w:rPr>
      </w:pPr>
    </w:p>
    <w:p>
      <w:pPr>
        <w:pStyle w:val="23"/>
        <w:rPr>
          <w:rFonts w:hAnsi="宋体" w:cs="宋体"/>
          <w:b/>
          <w:sz w:val="24"/>
        </w:rPr>
      </w:pPr>
    </w:p>
    <w:p>
      <w:pPr>
        <w:pStyle w:val="23"/>
        <w:rPr>
          <w:rFonts w:hAnsi="宋体" w:cs="宋体"/>
          <w:b/>
          <w:sz w:val="24"/>
        </w:rPr>
      </w:pPr>
    </w:p>
    <w:p>
      <w:pPr>
        <w:widowControl/>
        <w:tabs>
          <w:tab w:val="left" w:pos="801"/>
        </w:tabs>
        <w:spacing w:line="460" w:lineRule="exact"/>
        <w:ind w:firstLine="482" w:firstLineChars="200"/>
        <w:jc w:val="center"/>
        <w:rPr>
          <w:rFonts w:ascii="宋体" w:hAnsi="宋体" w:cs="宋体"/>
          <w:b/>
          <w:sz w:val="24"/>
        </w:rPr>
      </w:pPr>
      <w:r>
        <w:rPr>
          <w:rFonts w:hint="eastAsia" w:ascii="宋体" w:hAnsi="宋体" w:cs="宋体"/>
          <w:b/>
          <w:sz w:val="24"/>
        </w:rPr>
        <w:t>法定代表人授权书及授权人身份证</w:t>
      </w:r>
    </w:p>
    <w:p>
      <w:pPr>
        <w:snapToGrid w:val="0"/>
        <w:spacing w:before="120" w:beforeLines="50" w:after="50"/>
        <w:rPr>
          <w:rFonts w:ascii="宋体" w:hAnsi="宋体" w:cs="宋体"/>
          <w:bCs/>
          <w:sz w:val="24"/>
        </w:rPr>
      </w:pPr>
    </w:p>
    <w:p>
      <w:pPr>
        <w:snapToGrid w:val="0"/>
        <w:spacing w:before="120" w:beforeLines="50" w:after="50" w:line="360" w:lineRule="auto"/>
        <w:rPr>
          <w:rFonts w:ascii="宋体" w:hAnsi="宋体" w:cs="宋体"/>
          <w:b/>
          <w:bCs/>
          <w:sz w:val="24"/>
          <w:szCs w:val="20"/>
        </w:rPr>
      </w:pPr>
      <w:r>
        <w:rPr>
          <w:rFonts w:hint="eastAsia" w:ascii="宋体" w:hAnsi="宋体" w:cs="宋体"/>
          <w:bCs/>
          <w:sz w:val="24"/>
        </w:rPr>
        <w:t>致：</w:t>
      </w:r>
      <w:r>
        <w:rPr>
          <w:rFonts w:hint="eastAsia" w:ascii="宋体" w:hAnsi="宋体" w:cs="宋体"/>
          <w:sz w:val="24"/>
        </w:rPr>
        <w:t>（采购人名称）：</w:t>
      </w:r>
    </w:p>
    <w:p>
      <w:pPr>
        <w:spacing w:line="520" w:lineRule="exact"/>
        <w:ind w:firstLine="480" w:firstLineChars="200"/>
        <w:jc w:val="left"/>
        <w:outlineLvl w:val="0"/>
        <w:rPr>
          <w:rFonts w:ascii="宋体" w:hAnsi="宋体" w:cs="宋体"/>
          <w:sz w:val="24"/>
          <w:szCs w:val="20"/>
        </w:rPr>
      </w:pPr>
      <w:r>
        <w:rPr>
          <w:rFonts w:hint="eastAsia" w:ascii="宋体" w:hAnsi="宋体" w:cs="宋体"/>
          <w:sz w:val="24"/>
        </w:rPr>
        <w:t>我（姓名）系</w:t>
      </w:r>
      <w:r>
        <w:rPr>
          <w:rFonts w:hint="eastAsia" w:ascii="宋体" w:hAnsi="宋体" w:cs="宋体"/>
          <w:bCs/>
          <w:sz w:val="24"/>
        </w:rPr>
        <w:t>：</w:t>
      </w:r>
      <w:r>
        <w:rPr>
          <w:rFonts w:hint="eastAsia" w:ascii="宋体" w:hAnsi="宋体" w:cs="宋体"/>
          <w:sz w:val="24"/>
        </w:rPr>
        <w:t>（投标供应商名称）的法定代表人，现授权委托本单位在职职工（姓名）以我方的名义参加</w:t>
      </w:r>
      <w:r>
        <w:rPr>
          <w:rFonts w:hint="eastAsia" w:ascii="宋体" w:hAnsi="宋体" w:cs="宋体"/>
          <w:sz w:val="24"/>
          <w:lang w:val="en-US" w:eastAsia="zh-CN"/>
        </w:rPr>
        <w:t>飞英街道办事处关于余家漾社区幸福邻里中心（儿童之家）、新华苑社区幸福邻里中心第三方运营服务采购项目</w:t>
      </w:r>
      <w:r>
        <w:rPr>
          <w:rFonts w:hint="eastAsia" w:ascii="宋体" w:hAnsi="宋体" w:cs="宋体"/>
          <w:sz w:val="24"/>
        </w:rPr>
        <w:t>的投标活动，并代表我方全权办理针对上述项目的投标、开标、评标、签约等具体事务和签署相关文件。</w:t>
      </w:r>
    </w:p>
    <w:p>
      <w:pPr>
        <w:snapToGrid w:val="0"/>
        <w:spacing w:before="120" w:beforeLines="50" w:after="50" w:line="360" w:lineRule="auto"/>
        <w:rPr>
          <w:rFonts w:ascii="宋体" w:hAnsi="宋体" w:cs="宋体"/>
          <w:sz w:val="24"/>
          <w:szCs w:val="20"/>
        </w:rPr>
      </w:pPr>
      <w:r>
        <w:rPr>
          <w:rFonts w:hint="eastAsia" w:ascii="宋体" w:hAnsi="宋体" w:cs="宋体"/>
          <w:sz w:val="24"/>
        </w:rPr>
        <w:t>我方对被授权人的签名事项负全部责任。</w:t>
      </w:r>
    </w:p>
    <w:p>
      <w:pPr>
        <w:snapToGrid w:val="0"/>
        <w:spacing w:before="120" w:beforeLines="50" w:after="50" w:line="360" w:lineRule="auto"/>
        <w:ind w:firstLine="480"/>
        <w:rPr>
          <w:rFonts w:ascii="宋体" w:hAnsi="宋体" w:cs="宋体"/>
          <w:sz w:val="24"/>
          <w:szCs w:val="20"/>
        </w:rPr>
      </w:pPr>
      <w:r>
        <w:rPr>
          <w:rFonts w:hint="eastAsia" w:ascii="宋体" w:hAnsi="宋体" w:cs="宋体"/>
          <w:sz w:val="24"/>
          <w:u w:val="single"/>
        </w:rPr>
        <w:t>在撤销授权的书面通知以前，本授权书一直有效。</w:t>
      </w:r>
      <w:r>
        <w:rPr>
          <w:rFonts w:hint="eastAsia" w:ascii="宋体" w:hAnsi="宋体" w:cs="宋体"/>
          <w:sz w:val="24"/>
        </w:rPr>
        <w:t>被授权人在授权书有效期内签署的所有文件不因授权的撤销而失效。</w:t>
      </w:r>
    </w:p>
    <w:p>
      <w:pPr>
        <w:snapToGrid w:val="0"/>
        <w:spacing w:before="120" w:beforeLines="50" w:after="50" w:line="360" w:lineRule="auto"/>
        <w:ind w:firstLine="480"/>
        <w:rPr>
          <w:rFonts w:ascii="宋体" w:hAnsi="宋体" w:cs="宋体"/>
          <w:sz w:val="24"/>
          <w:szCs w:val="20"/>
        </w:rPr>
      </w:pPr>
      <w:r>
        <w:rPr>
          <w:rFonts w:hint="eastAsia" w:ascii="宋体" w:hAnsi="宋体" w:cs="宋体"/>
          <w:sz w:val="24"/>
        </w:rPr>
        <w:t>被授权人无转委托权，特此委托。</w:t>
      </w:r>
    </w:p>
    <w:p>
      <w:pPr>
        <w:snapToGrid w:val="0"/>
        <w:spacing w:before="120" w:beforeLines="50" w:after="50" w:line="360" w:lineRule="auto"/>
        <w:rPr>
          <w:rFonts w:ascii="宋体" w:hAnsi="宋体" w:cs="宋体"/>
          <w:sz w:val="24"/>
          <w:szCs w:val="20"/>
        </w:rPr>
      </w:pPr>
    </w:p>
    <w:p>
      <w:pPr>
        <w:snapToGrid w:val="0"/>
        <w:spacing w:before="120" w:beforeLines="50" w:after="50" w:line="360" w:lineRule="auto"/>
        <w:rPr>
          <w:rFonts w:ascii="宋体" w:hAnsi="宋体" w:cs="宋体"/>
          <w:sz w:val="24"/>
          <w:szCs w:val="20"/>
          <w:u w:val="single"/>
        </w:rPr>
      </w:pPr>
      <w:r>
        <w:rPr>
          <w:rFonts w:hint="eastAsia" w:ascii="宋体" w:hAnsi="宋体" w:cs="宋体"/>
          <w:sz w:val="24"/>
        </w:rPr>
        <w:t>被授权人签名：法定代表人盖章：</w:t>
      </w:r>
    </w:p>
    <w:p>
      <w:pPr>
        <w:snapToGrid w:val="0"/>
        <w:spacing w:before="120" w:beforeLines="50" w:after="50" w:line="360" w:lineRule="auto"/>
        <w:ind w:firstLine="960" w:firstLineChars="400"/>
        <w:rPr>
          <w:rFonts w:ascii="宋体" w:hAnsi="宋体" w:cs="宋体"/>
          <w:sz w:val="24"/>
          <w:szCs w:val="20"/>
        </w:rPr>
      </w:pPr>
      <w:r>
        <w:rPr>
          <w:rFonts w:hint="eastAsia" w:ascii="宋体" w:hAnsi="宋体" w:cs="宋体"/>
          <w:sz w:val="24"/>
        </w:rPr>
        <w:t>职务：职务：</w:t>
      </w:r>
    </w:p>
    <w:p>
      <w:pPr>
        <w:snapToGrid w:val="0"/>
        <w:spacing w:before="120" w:beforeLines="50" w:after="50" w:line="360" w:lineRule="auto"/>
        <w:rPr>
          <w:rFonts w:ascii="宋体" w:hAnsi="宋体" w:cs="宋体"/>
          <w:sz w:val="24"/>
          <w:szCs w:val="20"/>
        </w:rPr>
      </w:pPr>
      <w:r>
        <w:rPr>
          <w:rFonts w:hint="eastAsia" w:ascii="宋体" w:hAnsi="宋体" w:cs="宋体"/>
          <w:sz w:val="24"/>
        </w:rPr>
        <w:t>被授权人身份证号码：</w:t>
      </w:r>
    </w:p>
    <w:p>
      <w:pPr>
        <w:snapToGrid w:val="0"/>
        <w:spacing w:before="120" w:beforeLines="50" w:after="50" w:line="360" w:lineRule="auto"/>
        <w:rPr>
          <w:rFonts w:ascii="宋体" w:hAnsi="宋体" w:cs="宋体"/>
          <w:sz w:val="24"/>
        </w:rPr>
      </w:pPr>
      <w:r>
        <w:rPr>
          <w:rFonts w:hint="eastAsia" w:ascii="宋体" w:hAnsi="宋体" w:cs="宋体"/>
          <w:sz w:val="24"/>
        </w:rPr>
        <w:t>投标供应商公章：</w:t>
      </w:r>
    </w:p>
    <w:p>
      <w:pPr>
        <w:pStyle w:val="7"/>
        <w:spacing w:line="360" w:lineRule="auto"/>
        <w:ind w:firstLine="374" w:firstLineChars="156"/>
        <w:jc w:val="center"/>
        <w:rPr>
          <w:rFonts w:ascii="宋体" w:hAnsi="宋体" w:cs="宋体"/>
          <w:sz w:val="24"/>
          <w:szCs w:val="24"/>
        </w:rPr>
      </w:pPr>
      <w:r>
        <w:rPr>
          <w:rFonts w:hint="eastAsia" w:ascii="宋体" w:hAnsi="宋体" w:cs="宋体"/>
          <w:sz w:val="24"/>
          <w:szCs w:val="24"/>
        </w:rPr>
        <w:t>————————————————————</w:t>
      </w:r>
    </w:p>
    <w:p>
      <w:pPr>
        <w:pStyle w:val="7"/>
        <w:spacing w:line="360" w:lineRule="auto"/>
        <w:ind w:firstLine="374" w:firstLineChars="156"/>
        <w:jc w:val="center"/>
        <w:rPr>
          <w:rFonts w:ascii="宋体" w:hAnsi="宋体" w:cs="宋体"/>
          <w:sz w:val="24"/>
          <w:szCs w:val="24"/>
        </w:rPr>
      </w:pPr>
    </w:p>
    <w:p>
      <w:pPr>
        <w:pStyle w:val="7"/>
        <w:spacing w:line="360" w:lineRule="auto"/>
        <w:ind w:firstLine="374" w:firstLineChars="156"/>
        <w:jc w:val="center"/>
        <w:rPr>
          <w:rFonts w:ascii="宋体" w:hAnsi="宋体" w:cs="宋体"/>
          <w:sz w:val="24"/>
          <w:szCs w:val="24"/>
        </w:rPr>
      </w:pPr>
      <w:r>
        <w:rPr>
          <w:rFonts w:hint="eastAsia" w:ascii="宋体" w:hAnsi="宋体" w:cs="宋体"/>
          <w:sz w:val="24"/>
          <w:szCs w:val="24"/>
        </w:rPr>
        <w:t>授权代理人有效身份证明</w:t>
      </w:r>
    </w:p>
    <w:p>
      <w:pPr>
        <w:snapToGrid w:val="0"/>
        <w:spacing w:before="120" w:beforeLines="50" w:after="50"/>
        <w:rPr>
          <w:rFonts w:ascii="宋体" w:hAnsi="宋体" w:cs="宋体"/>
          <w:sz w:val="24"/>
        </w:rPr>
      </w:pPr>
    </w:p>
    <w:p>
      <w:pPr>
        <w:snapToGrid w:val="0"/>
        <w:spacing w:before="120" w:beforeLines="50" w:after="50"/>
        <w:rPr>
          <w:rFonts w:ascii="宋体" w:hAnsi="宋体" w:cs="宋体"/>
          <w:sz w:val="24"/>
        </w:rPr>
      </w:pPr>
    </w:p>
    <w:p>
      <w:pPr>
        <w:snapToGrid w:val="0"/>
        <w:spacing w:line="360" w:lineRule="auto"/>
        <w:ind w:firstLine="482" w:firstLineChars="200"/>
        <w:jc w:val="center"/>
        <w:rPr>
          <w:rFonts w:ascii="宋体" w:hAnsi="宋体" w:cs="宋体"/>
          <w:b/>
          <w:sz w:val="24"/>
        </w:rPr>
      </w:pPr>
    </w:p>
    <w:p>
      <w:pPr>
        <w:snapToGrid w:val="0"/>
        <w:spacing w:line="360" w:lineRule="auto"/>
        <w:ind w:firstLine="482" w:firstLineChars="200"/>
        <w:jc w:val="center"/>
        <w:rPr>
          <w:rFonts w:ascii="宋体" w:hAnsi="宋体" w:cs="宋体"/>
          <w:b/>
          <w:sz w:val="24"/>
        </w:rPr>
      </w:pPr>
    </w:p>
    <w:p>
      <w:pPr>
        <w:snapToGrid w:val="0"/>
        <w:spacing w:line="360" w:lineRule="auto"/>
        <w:ind w:firstLine="482" w:firstLineChars="200"/>
        <w:rPr>
          <w:rFonts w:ascii="宋体" w:hAnsi="宋体" w:cs="宋体"/>
          <w:b/>
          <w:sz w:val="24"/>
        </w:rPr>
      </w:pPr>
    </w:p>
    <w:p>
      <w:pPr>
        <w:pStyle w:val="7"/>
        <w:rPr>
          <w:rFonts w:ascii="宋体" w:hAnsi="宋体" w:cs="宋体"/>
          <w:b/>
          <w:sz w:val="24"/>
        </w:rPr>
      </w:pPr>
    </w:p>
    <w:p>
      <w:pPr>
        <w:pStyle w:val="7"/>
        <w:rPr>
          <w:rFonts w:ascii="宋体" w:hAnsi="宋体" w:cs="宋体"/>
          <w:b/>
          <w:sz w:val="24"/>
        </w:rPr>
      </w:pPr>
    </w:p>
    <w:p>
      <w:pPr>
        <w:pStyle w:val="7"/>
        <w:rPr>
          <w:rFonts w:ascii="宋体" w:hAnsi="宋体" w:cs="宋体"/>
          <w:b/>
          <w:sz w:val="24"/>
        </w:rPr>
      </w:pPr>
    </w:p>
    <w:p>
      <w:pPr>
        <w:pStyle w:val="7"/>
        <w:ind w:firstLine="0"/>
        <w:rPr>
          <w:rFonts w:ascii="宋体" w:hAnsi="宋体" w:cs="宋体"/>
          <w:b/>
          <w:sz w:val="24"/>
        </w:rPr>
      </w:pPr>
    </w:p>
    <w:p>
      <w:pPr>
        <w:pStyle w:val="7"/>
        <w:rPr>
          <w:rFonts w:ascii="宋体" w:hAnsi="宋体" w:cs="宋体"/>
          <w:b/>
          <w:sz w:val="24"/>
        </w:rPr>
      </w:pPr>
    </w:p>
    <w:p>
      <w:pPr>
        <w:rPr>
          <w:rFonts w:hint="eastAsia" w:ascii="宋体" w:hAnsi="宋体" w:cs="宋体"/>
          <w:b/>
          <w:bCs/>
          <w:sz w:val="24"/>
        </w:rPr>
      </w:pPr>
      <w:r>
        <w:rPr>
          <w:rFonts w:hint="eastAsia" w:ascii="宋体" w:hAnsi="宋体" w:cs="宋体"/>
          <w:b/>
          <w:bCs/>
          <w:sz w:val="24"/>
        </w:rPr>
        <w:br w:type="page"/>
      </w:r>
    </w:p>
    <w:p>
      <w:pPr>
        <w:snapToGrid w:val="0"/>
        <w:spacing w:line="360" w:lineRule="auto"/>
        <w:jc w:val="center"/>
        <w:rPr>
          <w:rFonts w:ascii="宋体" w:hAnsi="宋体" w:cs="宋体"/>
          <w:b/>
          <w:bCs/>
          <w:kern w:val="0"/>
          <w:sz w:val="24"/>
        </w:rPr>
      </w:pPr>
      <w:r>
        <w:rPr>
          <w:rFonts w:hint="eastAsia" w:ascii="宋体" w:hAnsi="宋体" w:cs="宋体"/>
          <w:b/>
          <w:bCs/>
          <w:sz w:val="24"/>
        </w:rPr>
        <w:t>四、</w:t>
      </w:r>
      <w:r>
        <w:rPr>
          <w:rFonts w:hint="eastAsia" w:ascii="宋体" w:hAnsi="宋体" w:cs="宋体"/>
          <w:b/>
          <w:bCs/>
          <w:sz w:val="24"/>
          <w:lang w:eastAsia="zh-CN"/>
        </w:rPr>
        <w:t>承诺书</w:t>
      </w:r>
      <w:r>
        <w:rPr>
          <w:rFonts w:hint="eastAsia" w:ascii="宋体" w:hAnsi="宋体" w:cs="宋体"/>
          <w:b/>
          <w:bCs/>
          <w:sz w:val="24"/>
        </w:rPr>
        <w:t>；</w:t>
      </w:r>
    </w:p>
    <w:p>
      <w:pPr>
        <w:pStyle w:val="29"/>
        <w:spacing w:line="360" w:lineRule="auto"/>
        <w:ind w:firstLine="480" w:firstLineChars="200"/>
        <w:rPr>
          <w:rFonts w:hAnsi="宋体" w:cs="宋体"/>
          <w:sz w:val="24"/>
        </w:rPr>
      </w:pPr>
    </w:p>
    <w:p>
      <w:pPr>
        <w:pStyle w:val="29"/>
        <w:spacing w:line="360" w:lineRule="auto"/>
        <w:rPr>
          <w:rFonts w:hAnsi="宋体" w:cs="宋体"/>
          <w:sz w:val="24"/>
        </w:rPr>
      </w:pPr>
    </w:p>
    <w:p>
      <w:pPr>
        <w:pStyle w:val="29"/>
        <w:spacing w:line="360" w:lineRule="auto"/>
        <w:rPr>
          <w:rFonts w:hAnsi="宋体" w:cs="宋体"/>
          <w:sz w:val="24"/>
        </w:rPr>
      </w:pPr>
    </w:p>
    <w:p>
      <w:pPr>
        <w:pStyle w:val="29"/>
        <w:spacing w:line="360" w:lineRule="auto"/>
        <w:rPr>
          <w:rFonts w:hAnsi="宋体" w:cs="宋体"/>
          <w:sz w:val="24"/>
        </w:rPr>
      </w:pPr>
    </w:p>
    <w:p>
      <w:pPr>
        <w:pStyle w:val="29"/>
        <w:spacing w:line="360" w:lineRule="auto"/>
        <w:rPr>
          <w:rFonts w:hAnsi="宋体" w:cs="宋体"/>
          <w:sz w:val="24"/>
        </w:rPr>
      </w:pPr>
    </w:p>
    <w:p>
      <w:pPr>
        <w:pStyle w:val="29"/>
        <w:spacing w:line="360" w:lineRule="auto"/>
        <w:rPr>
          <w:rFonts w:hAnsi="宋体" w:cs="宋体"/>
          <w:sz w:val="24"/>
        </w:rPr>
      </w:pPr>
    </w:p>
    <w:p>
      <w:pPr>
        <w:widowControl/>
        <w:jc w:val="center"/>
        <w:rPr>
          <w:rFonts w:ascii="宋体" w:hAnsi="宋体" w:cs="宋体"/>
        </w:rPr>
      </w:pPr>
      <w:r>
        <w:rPr>
          <w:rFonts w:hint="eastAsia" w:hAnsi="宋体" w:cs="宋体"/>
          <w:b/>
          <w:bCs/>
          <w:sz w:val="24"/>
        </w:rPr>
        <w:t>五、</w:t>
      </w:r>
      <w:r>
        <w:rPr>
          <w:rFonts w:hint="eastAsia" w:ascii="宋体" w:hAnsi="宋体" w:cs="宋体"/>
          <w:b/>
          <w:kern w:val="0"/>
          <w:sz w:val="24"/>
        </w:rPr>
        <w:t>信用承诺书</w:t>
      </w:r>
    </w:p>
    <w:p>
      <w:pPr>
        <w:tabs>
          <w:tab w:val="left" w:pos="1650"/>
        </w:tabs>
        <w:spacing w:line="560" w:lineRule="exact"/>
        <w:ind w:firstLine="480"/>
        <w:rPr>
          <w:rFonts w:ascii="宋体" w:hAnsi="宋体" w:cs="宋体"/>
        </w:rPr>
      </w:pPr>
    </w:p>
    <w:p>
      <w:pPr>
        <w:tabs>
          <w:tab w:val="left" w:pos="1650"/>
        </w:tabs>
        <w:spacing w:line="360" w:lineRule="auto"/>
        <w:ind w:firstLine="1200" w:firstLineChars="500"/>
        <w:jc w:val="left"/>
        <w:rPr>
          <w:rFonts w:ascii="宋体" w:hAnsi="宋体" w:cs="宋体"/>
          <w:sz w:val="24"/>
        </w:rPr>
      </w:pPr>
      <w:r>
        <w:rPr>
          <w:rFonts w:hint="eastAsia" w:ascii="宋体" w:hAnsi="宋体" w:cs="宋体"/>
          <w:sz w:val="24"/>
        </w:rPr>
        <w:t>（投标单位）现参加（采购项目）政府采购活动，郑重承诺如下：</w:t>
      </w:r>
    </w:p>
    <w:p>
      <w:pPr>
        <w:tabs>
          <w:tab w:val="left" w:pos="1650"/>
        </w:tabs>
        <w:spacing w:line="560" w:lineRule="exact"/>
        <w:ind w:firstLine="480"/>
        <w:rPr>
          <w:rFonts w:ascii="宋体" w:hAnsi="宋体" w:cs="宋体"/>
          <w:sz w:val="24"/>
        </w:rPr>
      </w:pPr>
      <w:r>
        <w:rPr>
          <w:rFonts w:hint="eastAsia" w:ascii="宋体" w:hAnsi="宋体" w:cs="宋体"/>
          <w:sz w:val="24"/>
        </w:rPr>
        <w:t>对所提供的资料合法性、真实性、准确性和有效性负责；</w:t>
      </w:r>
    </w:p>
    <w:p>
      <w:pPr>
        <w:tabs>
          <w:tab w:val="left" w:pos="1650"/>
        </w:tabs>
        <w:spacing w:line="560" w:lineRule="exact"/>
        <w:ind w:firstLine="480"/>
        <w:rPr>
          <w:rFonts w:ascii="宋体" w:hAnsi="宋体" w:cs="宋体"/>
          <w:sz w:val="24"/>
        </w:rPr>
      </w:pPr>
      <w:r>
        <w:rPr>
          <w:rFonts w:hint="eastAsia" w:ascii="宋体" w:hAnsi="宋体" w:cs="宋体"/>
          <w:sz w:val="24"/>
        </w:rPr>
        <w:t>严格按照国家法律、法规和规章，依法开展相关经济活动，全面履行应尽的责任和义务；</w:t>
      </w:r>
    </w:p>
    <w:p>
      <w:pPr>
        <w:tabs>
          <w:tab w:val="left" w:pos="1650"/>
        </w:tabs>
        <w:spacing w:line="560" w:lineRule="exact"/>
        <w:ind w:firstLine="480"/>
        <w:rPr>
          <w:rFonts w:ascii="宋体" w:hAnsi="宋体" w:cs="宋体"/>
          <w:sz w:val="24"/>
        </w:rPr>
      </w:pPr>
      <w:r>
        <w:rPr>
          <w:rFonts w:hint="eastAsia" w:ascii="宋体" w:hAnsi="宋体" w:cs="宋体"/>
          <w:sz w:val="24"/>
        </w:rPr>
        <w:t>加强自我约束、自我规范、自我管理，不制假售假、不虚假宣传、不违约毁约、不恶意逃债、不偷税漏税，诚信依法经营；</w:t>
      </w:r>
    </w:p>
    <w:p>
      <w:pPr>
        <w:tabs>
          <w:tab w:val="left" w:pos="1650"/>
        </w:tabs>
        <w:spacing w:line="560" w:lineRule="exact"/>
        <w:ind w:firstLine="480"/>
        <w:rPr>
          <w:rFonts w:ascii="宋体" w:hAnsi="宋体" w:cs="宋体"/>
          <w:sz w:val="24"/>
        </w:rPr>
      </w:pPr>
      <w:r>
        <w:rPr>
          <w:rFonts w:hint="eastAsia" w:ascii="宋体" w:hAnsi="宋体" w:cs="宋体"/>
          <w:sz w:val="24"/>
        </w:rPr>
        <w:t>自愿接受行政主管部门的依法检查、违背承诺约定将自愿承担违约责任，并接受法律法规和相关部门规章制度的惩戒和约束；</w:t>
      </w:r>
    </w:p>
    <w:p>
      <w:pPr>
        <w:tabs>
          <w:tab w:val="left" w:pos="1650"/>
        </w:tabs>
        <w:spacing w:line="560" w:lineRule="exact"/>
        <w:ind w:firstLine="480"/>
        <w:rPr>
          <w:rFonts w:ascii="宋体" w:hAnsi="宋体" w:cs="宋体"/>
          <w:sz w:val="24"/>
        </w:rPr>
      </w:pPr>
      <w:r>
        <w:rPr>
          <w:rFonts w:hint="eastAsia" w:ascii="宋体" w:hAnsi="宋体" w:cs="宋体"/>
          <w:kern w:val="0"/>
          <w:sz w:val="24"/>
        </w:rPr>
        <w:t>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560" w:lineRule="exact"/>
        <w:ind w:firstLine="480"/>
        <w:rPr>
          <w:rFonts w:ascii="宋体" w:hAnsi="宋体" w:cs="宋体"/>
          <w:sz w:val="24"/>
          <w:u w:val="single"/>
        </w:rPr>
      </w:pPr>
    </w:p>
    <w:p>
      <w:pPr>
        <w:tabs>
          <w:tab w:val="left" w:pos="1650"/>
        </w:tabs>
        <w:spacing w:line="560" w:lineRule="exact"/>
        <w:ind w:firstLine="480"/>
        <w:rPr>
          <w:rFonts w:ascii="宋体" w:hAnsi="宋体" w:cs="宋体"/>
          <w:sz w:val="24"/>
          <w:u w:val="single"/>
        </w:rPr>
      </w:pPr>
    </w:p>
    <w:p>
      <w:pPr>
        <w:pStyle w:val="132"/>
        <w:spacing w:before="0" w:beforeAutospacing="0" w:after="0" w:afterAutospacing="0" w:line="560" w:lineRule="exact"/>
        <w:ind w:firstLine="600" w:firstLineChars="250"/>
        <w:rPr>
          <w:spacing w:val="-7"/>
        </w:rPr>
      </w:pPr>
      <w:r>
        <w:rPr>
          <w:rFonts w:hint="eastAsia"/>
          <w:kern w:val="2"/>
        </w:rPr>
        <w:t>统一社会信用代码：</w:t>
      </w:r>
    </w:p>
    <w:p>
      <w:pPr>
        <w:pStyle w:val="132"/>
        <w:spacing w:before="0" w:beforeAutospacing="0" w:after="0" w:afterAutospacing="0" w:line="560" w:lineRule="exact"/>
        <w:ind w:firstLine="480"/>
        <w:jc w:val="right"/>
      </w:pPr>
    </w:p>
    <w:p>
      <w:pPr>
        <w:pStyle w:val="132"/>
        <w:spacing w:before="0" w:beforeAutospacing="0" w:after="0" w:afterAutospacing="0" w:line="560" w:lineRule="exact"/>
        <w:ind w:firstLine="3240" w:firstLineChars="1350"/>
        <w:jc w:val="right"/>
        <w:rPr>
          <w:kern w:val="2"/>
        </w:rPr>
      </w:pPr>
      <w:r>
        <w:rPr>
          <w:rFonts w:hint="eastAsia"/>
          <w:kern w:val="2"/>
        </w:rPr>
        <w:t>承诺单位/个人（盖章/签名）</w:t>
      </w:r>
    </w:p>
    <w:p>
      <w:pPr>
        <w:spacing w:line="560" w:lineRule="exact"/>
        <w:ind w:firstLine="480"/>
        <w:jc w:val="right"/>
        <w:rPr>
          <w:rFonts w:ascii="宋体" w:hAnsi="宋体" w:cs="宋体"/>
          <w:sz w:val="24"/>
        </w:rPr>
      </w:pPr>
      <w:r>
        <w:rPr>
          <w:rFonts w:hint="eastAsia" w:ascii="宋体" w:hAnsi="宋体" w:cs="宋体"/>
          <w:sz w:val="24"/>
        </w:rPr>
        <w:t xml:space="preserve">                         时间：年月日</w:t>
      </w:r>
    </w:p>
    <w:p>
      <w:pPr>
        <w:pStyle w:val="21"/>
        <w:ind w:firstLine="240"/>
        <w:rPr>
          <w:rFonts w:ascii="宋体" w:hAnsi="宋体" w:cs="宋体"/>
          <w:sz w:val="24"/>
        </w:rPr>
      </w:pPr>
    </w:p>
    <w:p>
      <w:pPr>
        <w:pStyle w:val="21"/>
        <w:ind w:firstLine="0" w:firstLineChars="0"/>
        <w:rPr>
          <w:rFonts w:ascii="宋体" w:hAnsi="宋体" w:cs="宋体"/>
          <w:sz w:val="24"/>
        </w:rPr>
      </w:pPr>
    </w:p>
    <w:p>
      <w:pPr>
        <w:pStyle w:val="21"/>
        <w:ind w:firstLine="0" w:firstLineChars="0"/>
        <w:rPr>
          <w:rFonts w:ascii="宋体" w:hAnsi="宋体" w:cs="宋体"/>
          <w:b/>
          <w:bCs/>
          <w:sz w:val="24"/>
        </w:rPr>
      </w:pPr>
    </w:p>
    <w:p>
      <w:pPr>
        <w:snapToGrid w:val="0"/>
        <w:spacing w:line="360" w:lineRule="auto"/>
        <w:jc w:val="left"/>
        <w:rPr>
          <w:rFonts w:ascii="宋体" w:hAnsi="宋体" w:cs="宋体"/>
          <w:b/>
          <w:bCs/>
          <w:sz w:val="24"/>
        </w:rPr>
      </w:pPr>
    </w:p>
    <w:p>
      <w:pPr>
        <w:snapToGrid w:val="0"/>
        <w:spacing w:line="360" w:lineRule="auto"/>
        <w:jc w:val="left"/>
        <w:rPr>
          <w:rFonts w:ascii="宋体" w:hAnsi="宋体" w:cs="宋体"/>
          <w:b/>
          <w:bCs/>
          <w:sz w:val="24"/>
        </w:rPr>
      </w:pPr>
    </w:p>
    <w:p>
      <w:pPr>
        <w:snapToGrid w:val="0"/>
        <w:spacing w:line="360" w:lineRule="auto"/>
        <w:jc w:val="left"/>
        <w:rPr>
          <w:rFonts w:ascii="宋体" w:hAnsi="宋体" w:cs="宋体"/>
          <w:b/>
          <w:bCs/>
          <w:sz w:val="24"/>
        </w:rPr>
      </w:pPr>
    </w:p>
    <w:p>
      <w:pPr>
        <w:snapToGrid w:val="0"/>
        <w:spacing w:line="360" w:lineRule="auto"/>
        <w:jc w:val="left"/>
        <w:rPr>
          <w:rFonts w:ascii="宋体" w:hAnsi="宋体" w:cs="宋体"/>
          <w:b/>
          <w:bCs/>
          <w:sz w:val="24"/>
        </w:rPr>
      </w:pPr>
    </w:p>
    <w:p>
      <w:pPr>
        <w:snapToGrid w:val="0"/>
        <w:spacing w:line="360" w:lineRule="auto"/>
        <w:ind w:firstLine="482" w:firstLineChars="200"/>
        <w:jc w:val="left"/>
        <w:rPr>
          <w:rFonts w:ascii="宋体" w:hAnsi="宋体" w:cs="宋体"/>
          <w:sz w:val="30"/>
          <w:szCs w:val="30"/>
        </w:rPr>
      </w:pPr>
      <w:r>
        <w:rPr>
          <w:rFonts w:hint="eastAsia" w:ascii="宋体" w:hAnsi="宋体" w:cs="宋体"/>
          <w:b/>
          <w:bCs/>
          <w:sz w:val="24"/>
        </w:rPr>
        <w:t>技术文件目录：</w:t>
      </w:r>
    </w:p>
    <w:p>
      <w:pPr>
        <w:pStyle w:val="20"/>
        <w:spacing w:line="360" w:lineRule="auto"/>
        <w:ind w:firstLine="480" w:firstLineChars="200"/>
        <w:rPr>
          <w:rFonts w:ascii="宋体" w:hAnsi="宋体" w:cs="宋体"/>
          <w:sz w:val="24"/>
        </w:rPr>
      </w:pPr>
      <w:r>
        <w:rPr>
          <w:rFonts w:hint="eastAsia" w:ascii="宋体" w:hAnsi="宋体" w:cs="宋体"/>
          <w:sz w:val="24"/>
        </w:rPr>
        <w:t>（1）评分索引表（格式见附件，主要用于评审委员会对应评分内容，包括商务部分、技术部分）；</w:t>
      </w:r>
    </w:p>
    <w:p>
      <w:pPr>
        <w:pStyle w:val="20"/>
        <w:spacing w:line="360" w:lineRule="auto"/>
        <w:ind w:firstLine="480" w:firstLineChars="200"/>
        <w:rPr>
          <w:rFonts w:ascii="宋体" w:hAnsi="宋体" w:cs="宋体"/>
          <w:sz w:val="24"/>
        </w:rPr>
      </w:pPr>
      <w:r>
        <w:rPr>
          <w:rFonts w:hint="eastAsia" w:ascii="宋体" w:hAnsi="宋体" w:cs="宋体"/>
          <w:sz w:val="24"/>
        </w:rPr>
        <w:t>（2）投标声明书；（格式见附件）</w:t>
      </w:r>
    </w:p>
    <w:p>
      <w:pPr>
        <w:pStyle w:val="20"/>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kern w:val="0"/>
          <w:sz w:val="24"/>
          <w:szCs w:val="24"/>
        </w:rPr>
        <w:t>服务方案</w:t>
      </w:r>
      <w:r>
        <w:rPr>
          <w:rFonts w:hint="eastAsia" w:ascii="宋体" w:hAnsi="宋体" w:cs="宋体"/>
          <w:sz w:val="24"/>
        </w:rPr>
        <w:t>；</w:t>
      </w:r>
    </w:p>
    <w:p>
      <w:pPr>
        <w:pStyle w:val="20"/>
        <w:spacing w:line="360" w:lineRule="auto"/>
        <w:ind w:firstLine="480" w:firstLineChars="200"/>
        <w:rPr>
          <w:rFonts w:ascii="宋体" w:hAnsi="宋体" w:cs="宋体"/>
          <w:sz w:val="24"/>
        </w:rPr>
      </w:pPr>
      <w:r>
        <w:rPr>
          <w:rFonts w:hint="eastAsia" w:ascii="宋体" w:hAnsi="宋体" w:cs="宋体"/>
          <w:sz w:val="24"/>
        </w:rPr>
        <w:t>（4）</w:t>
      </w:r>
      <w:r>
        <w:rPr>
          <w:rFonts w:hint="eastAsia" w:ascii="宋体" w:hAnsi="宋体" w:cs="宋体"/>
          <w:kern w:val="0"/>
          <w:sz w:val="24"/>
          <w:szCs w:val="24"/>
          <w:lang w:eastAsia="zh-CN"/>
        </w:rPr>
        <w:t>人员配备</w:t>
      </w:r>
      <w:r>
        <w:rPr>
          <w:rFonts w:hint="eastAsia" w:ascii="宋体" w:hAnsi="宋体" w:cs="宋体"/>
          <w:sz w:val="24"/>
        </w:rPr>
        <w:t>；</w:t>
      </w:r>
    </w:p>
    <w:p>
      <w:pPr>
        <w:pStyle w:val="20"/>
        <w:spacing w:line="360" w:lineRule="auto"/>
        <w:ind w:left="476" w:leftChars="170"/>
        <w:rPr>
          <w:rFonts w:ascii="宋体" w:hAnsi="宋体" w:cs="宋体"/>
          <w:sz w:val="24"/>
        </w:rPr>
      </w:pPr>
      <w:r>
        <w:rPr>
          <w:rFonts w:hint="eastAsia" w:ascii="宋体" w:hAnsi="宋体" w:cs="宋体"/>
          <w:sz w:val="24"/>
        </w:rPr>
        <w:t>（5）</w:t>
      </w:r>
      <w:r>
        <w:rPr>
          <w:rFonts w:hint="eastAsia" w:ascii="宋体" w:hAnsi="宋体" w:cs="宋体"/>
          <w:kern w:val="0"/>
          <w:sz w:val="24"/>
          <w:szCs w:val="24"/>
          <w:lang w:val="en-US" w:eastAsia="zh-CN"/>
        </w:rPr>
        <w:t>合理化建议</w:t>
      </w:r>
      <w:r>
        <w:rPr>
          <w:rFonts w:hint="eastAsia" w:ascii="宋体" w:hAnsi="宋体" w:cs="宋体"/>
          <w:sz w:val="24"/>
        </w:rPr>
        <w:t>；</w:t>
      </w:r>
    </w:p>
    <w:p>
      <w:pPr>
        <w:pStyle w:val="20"/>
        <w:spacing w:line="360" w:lineRule="auto"/>
        <w:ind w:left="476" w:leftChars="170"/>
        <w:rPr>
          <w:rFonts w:ascii="宋体" w:hAnsi="宋体" w:cs="宋体"/>
          <w:sz w:val="24"/>
        </w:rPr>
      </w:pPr>
      <w:r>
        <w:rPr>
          <w:rFonts w:hint="eastAsia" w:ascii="宋体" w:hAnsi="宋体" w:cs="宋体"/>
          <w:sz w:val="24"/>
        </w:rPr>
        <w:t>（6）</w:t>
      </w:r>
      <w:r>
        <w:rPr>
          <w:rFonts w:hint="eastAsia" w:ascii="宋体" w:hAnsi="宋体" w:cs="宋体"/>
          <w:sz w:val="24"/>
          <w:szCs w:val="24"/>
          <w:lang w:val="en-US" w:eastAsia="zh-CN"/>
        </w:rPr>
        <w:t>售后服务承诺</w:t>
      </w:r>
      <w:r>
        <w:rPr>
          <w:rFonts w:hint="eastAsia" w:ascii="宋体" w:hAnsi="宋体" w:cs="宋体"/>
          <w:sz w:val="24"/>
        </w:rPr>
        <w:t>；</w:t>
      </w:r>
    </w:p>
    <w:p>
      <w:pPr>
        <w:spacing w:line="360" w:lineRule="auto"/>
        <w:ind w:firstLine="470" w:firstLineChars="196"/>
        <w:jc w:val="left"/>
        <w:rPr>
          <w:rFonts w:ascii="宋体" w:hAnsi="宋体"/>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w:t>
      </w:r>
      <w:r>
        <w:rPr>
          <w:rFonts w:hint="eastAsia" w:ascii="宋体" w:hAnsi="宋体"/>
          <w:sz w:val="24"/>
          <w:lang w:val="en-US" w:eastAsia="zh-CN"/>
        </w:rPr>
        <w:t>响应时间</w:t>
      </w:r>
      <w:r>
        <w:rPr>
          <w:rFonts w:hint="eastAsia" w:ascii="宋体" w:hAnsi="宋体"/>
          <w:sz w:val="24"/>
        </w:rPr>
        <w:t>；</w:t>
      </w:r>
    </w:p>
    <w:p>
      <w:pPr>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w:t>
      </w:r>
      <w:r>
        <w:rPr>
          <w:rFonts w:hint="eastAsia" w:ascii="宋体" w:hAnsi="宋体" w:cs="宋体"/>
          <w:sz w:val="24"/>
          <w:lang w:eastAsia="zh-CN"/>
        </w:rPr>
        <w:t>企业业绩</w:t>
      </w:r>
      <w:r>
        <w:rPr>
          <w:rFonts w:hint="eastAsia" w:ascii="宋体" w:hAnsi="宋体" w:cs="宋体"/>
          <w:sz w:val="24"/>
        </w:rPr>
        <w:t>；</w:t>
      </w:r>
    </w:p>
    <w:p>
      <w:pPr>
        <w:spacing w:line="360" w:lineRule="auto"/>
        <w:ind w:firstLine="480" w:firstLineChars="200"/>
        <w:rPr>
          <w:rFonts w:ascii="宋体"/>
          <w:sz w:val="24"/>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w:t>
      </w:r>
      <w:r>
        <w:rPr>
          <w:rFonts w:hint="eastAsia" w:ascii="宋体" w:hAnsi="宋体" w:cs="宋体"/>
          <w:sz w:val="24"/>
          <w:lang w:eastAsia="zh-CN"/>
        </w:rPr>
        <w:t>权威认证</w:t>
      </w:r>
      <w:r>
        <w:rPr>
          <w:rFonts w:hint="eastAsia" w:ascii="宋体" w:hAnsi="宋体" w:cs="宋体"/>
          <w:sz w:val="24"/>
        </w:rPr>
        <w:t>；</w:t>
      </w:r>
    </w:p>
    <w:p>
      <w:pPr>
        <w:spacing w:line="360" w:lineRule="auto"/>
        <w:ind w:firstLine="480" w:firstLineChars="200"/>
        <w:rPr>
          <w:rFonts w:ascii="宋体"/>
          <w:sz w:val="24"/>
        </w:rPr>
      </w:pPr>
      <w:r>
        <w:rPr>
          <w:rFonts w:hint="eastAsia" w:ascii="宋体" w:hAnsi="宋体" w:cs="宋体"/>
          <w:sz w:val="24"/>
        </w:rPr>
        <w:t>（</w:t>
      </w:r>
      <w:r>
        <w:rPr>
          <w:rFonts w:hint="eastAsia" w:ascii="宋体" w:hAnsi="宋体" w:cs="宋体"/>
          <w:sz w:val="24"/>
          <w:lang w:val="en-US" w:eastAsia="zh-CN"/>
        </w:rPr>
        <w:t>10</w:t>
      </w:r>
      <w:r>
        <w:rPr>
          <w:rFonts w:hint="eastAsia" w:ascii="宋体" w:hAnsi="宋体" w:cs="宋体"/>
          <w:sz w:val="24"/>
        </w:rPr>
        <w:t>）企业荣誉；</w:t>
      </w:r>
    </w:p>
    <w:p>
      <w:pPr>
        <w:spacing w:line="360" w:lineRule="auto"/>
        <w:ind w:firstLine="470" w:firstLineChars="196"/>
        <w:jc w:val="left"/>
        <w:rPr>
          <w:rFonts w:ascii="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）商务响应表（格式见附件）；</w:t>
      </w:r>
    </w:p>
    <w:p>
      <w:pPr>
        <w:pStyle w:val="20"/>
        <w:spacing w:line="360" w:lineRule="auto"/>
        <w:ind w:firstLine="482" w:firstLineChars="200"/>
        <w:rPr>
          <w:rFonts w:ascii="宋体" w:hAnsi="宋体" w:cs="宋体"/>
          <w:sz w:val="24"/>
        </w:rPr>
      </w:pPr>
      <w:r>
        <w:rPr>
          <w:rFonts w:hint="eastAsia" w:ascii="宋体" w:hAnsi="宋体" w:cs="宋体"/>
          <w:b/>
          <w:bCs/>
          <w:sz w:val="24"/>
        </w:rPr>
        <w:t>（1</w:t>
      </w:r>
      <w:r>
        <w:rPr>
          <w:rFonts w:hint="eastAsia" w:ascii="宋体" w:hAnsi="宋体" w:cs="宋体"/>
          <w:b/>
          <w:bCs/>
          <w:sz w:val="24"/>
          <w:lang w:val="en-US" w:eastAsia="zh-CN"/>
        </w:rPr>
        <w:t>2</w:t>
      </w:r>
      <w:r>
        <w:rPr>
          <w:rFonts w:hint="eastAsia" w:ascii="宋体" w:hAnsi="宋体" w:cs="宋体"/>
          <w:b/>
          <w:bCs/>
          <w:sz w:val="24"/>
        </w:rPr>
        <w:t>）其他投标供应商认为有必要提供的资料。</w:t>
      </w:r>
      <w:r>
        <w:rPr>
          <w:rFonts w:hint="eastAsia" w:ascii="宋体" w:hAnsi="宋体" w:cs="宋体"/>
          <w:sz w:val="24"/>
        </w:rPr>
        <w:tab/>
      </w:r>
    </w:p>
    <w:p>
      <w:pPr>
        <w:spacing w:line="360" w:lineRule="auto"/>
        <w:ind w:firstLine="470" w:firstLineChars="196"/>
        <w:jc w:val="left"/>
        <w:rPr>
          <w:rFonts w:ascii="宋体" w:hAnsi="宋体" w:cs="宋体"/>
          <w:sz w:val="24"/>
        </w:rPr>
      </w:pPr>
      <w:r>
        <w:rPr>
          <w:rFonts w:hint="eastAsia" w:ascii="宋体" w:hAnsi="宋体" w:cs="宋体"/>
          <w:sz w:val="24"/>
        </w:rPr>
        <w:tab/>
      </w:r>
    </w:p>
    <w:p>
      <w:pPr>
        <w:spacing w:line="360" w:lineRule="auto"/>
        <w:ind w:firstLine="480" w:firstLineChars="200"/>
        <w:rPr>
          <w:rFonts w:ascii="宋体" w:hAnsi="宋体" w:cs="宋体"/>
          <w:sz w:val="24"/>
        </w:rPr>
      </w:pPr>
    </w:p>
    <w:p>
      <w:pPr>
        <w:pStyle w:val="15"/>
        <w:snapToGrid w:val="0"/>
        <w:jc w:val="center"/>
        <w:rPr>
          <w:rFonts w:ascii="宋体" w:hAnsi="宋体" w:eastAsia="宋体" w:cs="宋体"/>
          <w:b/>
          <w:sz w:val="24"/>
        </w:rPr>
      </w:pPr>
    </w:p>
    <w:p>
      <w:pPr>
        <w:pStyle w:val="15"/>
        <w:snapToGrid w:val="0"/>
        <w:jc w:val="center"/>
        <w:rPr>
          <w:rFonts w:ascii="宋体" w:hAnsi="宋体" w:eastAsia="宋体" w:cs="宋体"/>
          <w:b/>
          <w:sz w:val="24"/>
        </w:rPr>
      </w:pPr>
    </w:p>
    <w:p>
      <w:pPr>
        <w:rPr>
          <w:rFonts w:ascii="宋体" w:hAnsi="宋体" w:cs="宋体"/>
          <w:b/>
          <w:sz w:val="24"/>
        </w:rPr>
      </w:pPr>
    </w:p>
    <w:p>
      <w:pPr>
        <w:pStyle w:val="7"/>
        <w:rPr>
          <w:rFonts w:ascii="宋体" w:hAnsi="宋体" w:cs="宋体"/>
          <w:b/>
          <w:sz w:val="24"/>
        </w:rPr>
      </w:pPr>
    </w:p>
    <w:p>
      <w:pPr>
        <w:pStyle w:val="7"/>
        <w:rPr>
          <w:rFonts w:ascii="宋体" w:hAnsi="宋体" w:cs="宋体"/>
          <w:b/>
          <w:sz w:val="24"/>
        </w:rPr>
      </w:pPr>
    </w:p>
    <w:p>
      <w:pPr>
        <w:pStyle w:val="7"/>
        <w:rPr>
          <w:rFonts w:ascii="宋体" w:hAnsi="宋体" w:cs="宋体"/>
          <w:b/>
          <w:sz w:val="24"/>
        </w:rPr>
      </w:pPr>
    </w:p>
    <w:p>
      <w:pPr>
        <w:pStyle w:val="7"/>
        <w:rPr>
          <w:rFonts w:ascii="宋体" w:hAnsi="宋体" w:cs="宋体"/>
          <w:b/>
          <w:sz w:val="24"/>
        </w:rPr>
      </w:pPr>
    </w:p>
    <w:p>
      <w:pPr>
        <w:rPr>
          <w:rFonts w:ascii="宋体" w:hAnsi="宋体" w:cs="宋体"/>
          <w:b/>
          <w:sz w:val="24"/>
        </w:rPr>
      </w:pPr>
    </w:p>
    <w:p>
      <w:pPr>
        <w:pStyle w:val="21"/>
        <w:ind w:firstLine="280"/>
        <w:rPr>
          <w:rFonts w:ascii="宋体" w:hAnsi="宋体" w:cs="宋体"/>
        </w:rPr>
      </w:pPr>
    </w:p>
    <w:p>
      <w:pPr>
        <w:widowControl/>
        <w:jc w:val="left"/>
        <w:rPr>
          <w:rFonts w:ascii="宋体" w:hAnsi="宋体" w:cs="宋体"/>
          <w:b/>
          <w:sz w:val="24"/>
          <w:szCs w:val="20"/>
        </w:rPr>
      </w:pPr>
      <w:r>
        <w:rPr>
          <w:rFonts w:ascii="宋体" w:hAnsi="宋体" w:cs="宋体"/>
          <w:b/>
          <w:sz w:val="24"/>
        </w:rPr>
        <w:br w:type="page"/>
      </w:r>
    </w:p>
    <w:p>
      <w:pPr>
        <w:pStyle w:val="15"/>
        <w:snapToGrid w:val="0"/>
        <w:jc w:val="center"/>
        <w:rPr>
          <w:rFonts w:ascii="宋体" w:hAnsi="宋体" w:eastAsia="宋体" w:cs="宋体"/>
          <w:b/>
          <w:sz w:val="24"/>
        </w:rPr>
      </w:pPr>
      <w:r>
        <w:rPr>
          <w:rFonts w:hint="eastAsia" w:ascii="宋体" w:hAnsi="宋体" w:eastAsia="宋体" w:cs="宋体"/>
          <w:b/>
          <w:sz w:val="24"/>
        </w:rPr>
        <w:t>一、评分索引表</w:t>
      </w:r>
    </w:p>
    <w:p>
      <w:pPr>
        <w:pStyle w:val="15"/>
        <w:snapToGrid w:val="0"/>
        <w:rPr>
          <w:rFonts w:ascii="宋体" w:hAnsi="宋体" w:eastAsia="宋体" w:cs="宋体"/>
          <w:sz w:val="24"/>
          <w:szCs w:val="24"/>
        </w:rPr>
      </w:pPr>
      <w:r>
        <w:rPr>
          <w:rFonts w:hint="eastAsia" w:ascii="宋体" w:hAnsi="宋体" w:eastAsia="宋体" w:cs="宋体"/>
          <w:sz w:val="24"/>
          <w:szCs w:val="24"/>
        </w:rPr>
        <w:t xml:space="preserve"> 投标供应商全称（公章）：              </w:t>
      </w:r>
    </w:p>
    <w:tbl>
      <w:tblPr>
        <w:tblStyle w:val="44"/>
        <w:tblW w:w="4998"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593"/>
        <w:gridCol w:w="3315"/>
        <w:gridCol w:w="1418"/>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843" w:type="pct"/>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 w:val="24"/>
              </w:rPr>
            </w:pPr>
            <w:r>
              <w:rPr>
                <w:rFonts w:hint="eastAsia" w:ascii="宋体" w:hAnsi="宋体" w:cs="宋体"/>
                <w:sz w:val="24"/>
              </w:rPr>
              <w:t>评分项目</w:t>
            </w:r>
          </w:p>
        </w:tc>
        <w:tc>
          <w:tcPr>
            <w:tcW w:w="1700" w:type="pct"/>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 w:val="24"/>
              </w:rPr>
            </w:pPr>
            <w:r>
              <w:rPr>
                <w:rFonts w:hint="eastAsia" w:ascii="宋体" w:hAnsi="宋体" w:cs="宋体"/>
                <w:sz w:val="24"/>
              </w:rPr>
              <w:t>投标文件对应资料</w:t>
            </w: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jc w:val="center"/>
              <w:rPr>
                <w:rFonts w:ascii="宋体" w:hAnsi="宋体" w:cs="宋体"/>
                <w:sz w:val="24"/>
              </w:rPr>
            </w:pPr>
            <w:r>
              <w:rPr>
                <w:rFonts w:hint="eastAsia" w:ascii="宋体" w:hAnsi="宋体" w:cs="宋体"/>
                <w:sz w:val="24"/>
              </w:rPr>
              <w:t>自评分</w:t>
            </w:r>
          </w:p>
        </w:tc>
        <w:tc>
          <w:tcPr>
            <w:tcW w:w="727" w:type="pct"/>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 w:val="24"/>
              </w:rPr>
            </w:pPr>
            <w:r>
              <w:rPr>
                <w:rFonts w:hint="eastAsia" w:ascii="宋体" w:hAnsi="宋体" w:cs="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r>
              <w:rPr>
                <w:rFonts w:hint="eastAsia" w:ascii="宋体" w:hAnsi="宋体" w:cs="宋体"/>
                <w:sz w:val="24"/>
              </w:rPr>
              <w:t>对应第四章评分办法及评分标准（报价除外）</w:t>
            </w:r>
          </w:p>
        </w:tc>
        <w:tc>
          <w:tcPr>
            <w:tcW w:w="1700"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r>
              <w:rPr>
                <w:rFonts w:hint="eastAsia" w:ascii="宋体" w:hAnsi="宋体" w:cs="宋体"/>
                <w:sz w:val="24"/>
              </w:rPr>
              <w:t>……</w:t>
            </w:r>
          </w:p>
        </w:tc>
        <w:tc>
          <w:tcPr>
            <w:tcW w:w="1700"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843" w:type="pct"/>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p>
        </w:tc>
        <w:tc>
          <w:tcPr>
            <w:tcW w:w="1700"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c>
          <w:tcPr>
            <w:tcW w:w="727" w:type="pct"/>
            <w:tcBorders>
              <w:top w:val="single" w:color="auto" w:sz="4" w:space="0"/>
              <w:left w:val="single" w:color="auto" w:sz="4" w:space="0"/>
              <w:bottom w:val="single" w:color="auto" w:sz="4" w:space="0"/>
              <w:right w:val="single" w:color="auto" w:sz="4" w:space="0"/>
            </w:tcBorders>
          </w:tcPr>
          <w:p>
            <w:pPr>
              <w:snapToGrid w:val="0"/>
              <w:spacing w:before="120" w:beforeLines="50"/>
              <w:rPr>
                <w:rFonts w:ascii="宋体" w:hAnsi="宋体" w:cs="宋体"/>
                <w:sz w:val="24"/>
              </w:rPr>
            </w:pPr>
          </w:p>
        </w:tc>
      </w:tr>
    </w:tbl>
    <w:p>
      <w:pPr>
        <w:snapToGrid w:val="0"/>
        <w:spacing w:before="120" w:beforeLines="50"/>
        <w:rPr>
          <w:rFonts w:ascii="宋体" w:hAnsi="宋体" w:cs="宋体"/>
          <w:sz w:val="24"/>
        </w:rPr>
      </w:pPr>
      <w:r>
        <w:rPr>
          <w:rFonts w:hint="eastAsia" w:ascii="宋体" w:hAnsi="宋体" w:cs="宋体"/>
          <w:sz w:val="24"/>
        </w:rPr>
        <w:t xml:space="preserve">               日期：</w:t>
      </w:r>
    </w:p>
    <w:p>
      <w:pPr>
        <w:spacing w:line="360" w:lineRule="auto"/>
        <w:ind w:firstLine="482" w:firstLineChars="200"/>
        <w:jc w:val="center"/>
        <w:rPr>
          <w:rFonts w:ascii="宋体" w:hAnsi="宋体" w:cs="宋体"/>
          <w:b/>
          <w:sz w:val="24"/>
        </w:rPr>
      </w:pPr>
    </w:p>
    <w:p>
      <w:pPr>
        <w:pStyle w:val="21"/>
        <w:ind w:firstLine="240"/>
        <w:rPr>
          <w:rFonts w:ascii="宋体" w:hAnsi="宋体" w:cs="宋体"/>
          <w:sz w:val="24"/>
        </w:rPr>
      </w:pPr>
    </w:p>
    <w:p>
      <w:pPr>
        <w:pStyle w:val="21"/>
        <w:ind w:firstLine="240"/>
        <w:rPr>
          <w:rFonts w:ascii="宋体" w:hAnsi="宋体" w:cs="宋体"/>
          <w:sz w:val="24"/>
        </w:rPr>
      </w:pPr>
    </w:p>
    <w:p>
      <w:pPr>
        <w:pStyle w:val="21"/>
        <w:ind w:firstLine="240"/>
        <w:rPr>
          <w:rFonts w:ascii="宋体" w:hAnsi="宋体" w:cs="宋体"/>
          <w:sz w:val="24"/>
        </w:rPr>
      </w:pPr>
    </w:p>
    <w:p>
      <w:pPr>
        <w:spacing w:line="360" w:lineRule="auto"/>
        <w:ind w:left="2" w:firstLine="480" w:firstLineChars="200"/>
        <w:rPr>
          <w:rFonts w:ascii="宋体" w:hAnsi="宋体" w:cs="宋体"/>
          <w:sz w:val="24"/>
        </w:rPr>
      </w:pPr>
    </w:p>
    <w:p>
      <w:pPr>
        <w:spacing w:line="360" w:lineRule="auto"/>
        <w:ind w:left="2" w:firstLine="480" w:firstLineChars="200"/>
        <w:rPr>
          <w:rFonts w:ascii="宋体" w:hAnsi="宋体" w:cs="宋体"/>
          <w:sz w:val="24"/>
        </w:rPr>
      </w:pPr>
    </w:p>
    <w:p>
      <w:pPr>
        <w:spacing w:line="360" w:lineRule="auto"/>
        <w:ind w:left="2" w:firstLine="480" w:firstLineChars="200"/>
        <w:rPr>
          <w:rFonts w:ascii="宋体" w:hAnsi="宋体" w:cs="宋体"/>
          <w:sz w:val="24"/>
        </w:rPr>
      </w:pPr>
    </w:p>
    <w:p>
      <w:pPr>
        <w:spacing w:line="360" w:lineRule="auto"/>
        <w:ind w:left="2" w:firstLine="480" w:firstLineChars="200"/>
        <w:rPr>
          <w:rFonts w:ascii="宋体" w:hAnsi="宋体" w:cs="宋体"/>
          <w:sz w:val="24"/>
        </w:rPr>
      </w:pPr>
    </w:p>
    <w:p>
      <w:pPr>
        <w:spacing w:line="360" w:lineRule="auto"/>
        <w:ind w:left="2" w:firstLine="480" w:firstLineChars="200"/>
        <w:rPr>
          <w:rFonts w:ascii="宋体" w:hAnsi="宋体" w:cs="宋体"/>
          <w:sz w:val="24"/>
        </w:rPr>
      </w:pPr>
    </w:p>
    <w:p>
      <w:pPr>
        <w:spacing w:line="360" w:lineRule="auto"/>
        <w:ind w:left="2" w:firstLine="480" w:firstLineChars="200"/>
        <w:rPr>
          <w:rFonts w:ascii="宋体"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snapToGrid w:val="0"/>
        <w:spacing w:before="120" w:beforeLines="50" w:after="50"/>
        <w:jc w:val="center"/>
        <w:rPr>
          <w:rFonts w:ascii="宋体" w:hAnsi="宋体" w:cs="宋体"/>
          <w:b/>
          <w:sz w:val="24"/>
        </w:rPr>
      </w:pPr>
      <w:r>
        <w:rPr>
          <w:rFonts w:hint="eastAsia" w:ascii="宋体" w:hAnsi="宋体" w:cs="宋体"/>
          <w:b/>
          <w:sz w:val="24"/>
        </w:rPr>
        <w:t>二、投标声明书</w:t>
      </w:r>
    </w:p>
    <w:p>
      <w:pPr>
        <w:snapToGrid w:val="0"/>
        <w:spacing w:line="360" w:lineRule="auto"/>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致：（招标采购单位名称）：</w:t>
      </w:r>
    </w:p>
    <w:p>
      <w:pPr>
        <w:snapToGrid w:val="0"/>
        <w:spacing w:line="360" w:lineRule="auto"/>
        <w:ind w:firstLine="480" w:firstLineChars="200"/>
        <w:jc w:val="left"/>
        <w:rPr>
          <w:rFonts w:ascii="宋体" w:hAnsi="宋体" w:cs="宋体"/>
          <w:sz w:val="24"/>
        </w:rPr>
      </w:pPr>
      <w:r>
        <w:rPr>
          <w:rFonts w:hint="eastAsia" w:ascii="宋体" w:hAnsi="宋体" w:cs="宋体"/>
          <w:sz w:val="24"/>
        </w:rPr>
        <w:t>（投标人名称）系中华人民共和国合法企业，经营地址。</w:t>
      </w:r>
    </w:p>
    <w:p>
      <w:pPr>
        <w:snapToGrid w:val="0"/>
        <w:spacing w:line="360" w:lineRule="auto"/>
        <w:ind w:firstLine="480" w:firstLineChars="200"/>
        <w:jc w:val="left"/>
        <w:rPr>
          <w:rFonts w:ascii="宋体" w:hAnsi="宋体" w:cs="宋体"/>
          <w:sz w:val="24"/>
        </w:rPr>
      </w:pPr>
      <w:r>
        <w:rPr>
          <w:rFonts w:hint="eastAsia" w:ascii="宋体" w:hAnsi="宋体" w:cs="宋体"/>
          <w:sz w:val="24"/>
        </w:rPr>
        <w:t>我（姓名）系（投标人名称）的法定代表人，我方愿意参加贵方组织的项目的投标，为便于贵方公正、择优地确定中标人及其服务，我方就本次投标有关事项郑重声明如下：</w:t>
      </w:r>
    </w:p>
    <w:p>
      <w:pPr>
        <w:snapToGrid w:val="0"/>
        <w:spacing w:line="360" w:lineRule="auto"/>
        <w:ind w:firstLine="480" w:firstLineChars="200"/>
        <w:jc w:val="left"/>
        <w:rPr>
          <w:rFonts w:ascii="宋体" w:hAnsi="宋体" w:cs="宋体"/>
          <w:sz w:val="24"/>
        </w:rPr>
      </w:pPr>
      <w:r>
        <w:rPr>
          <w:rFonts w:hint="eastAsia" w:ascii="宋体" w:hAnsi="宋体" w:cs="宋体"/>
          <w:sz w:val="24"/>
        </w:rPr>
        <w:t>1.我方向贵方提交的所有投标文件、资料都是准确的和真实的。</w:t>
      </w:r>
    </w:p>
    <w:p>
      <w:pPr>
        <w:snapToGrid w:val="0"/>
        <w:spacing w:line="360" w:lineRule="auto"/>
        <w:ind w:firstLine="480" w:firstLineChars="200"/>
        <w:jc w:val="left"/>
        <w:rPr>
          <w:rFonts w:ascii="宋体" w:hAnsi="宋体" w:cs="宋体"/>
          <w:sz w:val="24"/>
        </w:rPr>
      </w:pPr>
      <w:r>
        <w:rPr>
          <w:rFonts w:hint="eastAsia" w:ascii="宋体" w:hAnsi="宋体" w:cs="宋体"/>
          <w:sz w:val="24"/>
        </w:rPr>
        <w:t>2.我方不是采购人的附属机构；在获知本项目采购信息后，与采购人聘请的为此项目提供咨询服务的公司及其附属机构没有任何联系。</w:t>
      </w:r>
    </w:p>
    <w:p>
      <w:pPr>
        <w:snapToGrid w:val="0"/>
        <w:spacing w:line="360" w:lineRule="auto"/>
        <w:ind w:firstLine="480" w:firstLineChars="200"/>
        <w:jc w:val="left"/>
        <w:rPr>
          <w:rFonts w:ascii="宋体" w:hAnsi="宋体" w:cs="宋体"/>
          <w:sz w:val="24"/>
        </w:rPr>
      </w:pPr>
      <w:r>
        <w:rPr>
          <w:rFonts w:hint="eastAsia" w:ascii="宋体" w:hAnsi="宋体" w:cs="宋体"/>
          <w:sz w:val="24"/>
        </w:rPr>
        <w:t>3. 我们已详细审核采购文件全部内容，包括修改文件、参考资料及有关附件，我们完全知道必须放弃提出含糊不清或误解的权利。</w:t>
      </w:r>
    </w:p>
    <w:p>
      <w:pPr>
        <w:snapToGrid w:val="0"/>
        <w:spacing w:line="360" w:lineRule="auto"/>
        <w:ind w:firstLine="480" w:firstLineChars="200"/>
        <w:jc w:val="left"/>
        <w:rPr>
          <w:rFonts w:ascii="宋体" w:hAnsi="宋体" w:cs="宋体"/>
          <w:sz w:val="24"/>
        </w:rPr>
      </w:pPr>
      <w:r>
        <w:rPr>
          <w:rFonts w:hint="eastAsia" w:ascii="宋体" w:hAnsi="宋体" w:cs="宋体"/>
          <w:sz w:val="24"/>
        </w:rPr>
        <w:t>4.我方及由本人担任法定代表人的其他机构最近三年内被通报或者被处罚的违法行为有：</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u w:val="single"/>
        </w:rPr>
        <w:t>　　　　　　　　　　　　　　　　　　　　　　　　　　　</w:t>
      </w:r>
    </w:p>
    <w:p>
      <w:pPr>
        <w:snapToGrid w:val="0"/>
        <w:spacing w:line="360" w:lineRule="auto"/>
        <w:ind w:firstLine="480" w:firstLineChars="200"/>
        <w:jc w:val="left"/>
        <w:rPr>
          <w:rFonts w:ascii="宋体" w:hAnsi="宋体" w:cs="宋体"/>
          <w:sz w:val="24"/>
          <w:u w:val="single"/>
        </w:rPr>
      </w:pPr>
      <w:r>
        <w:rPr>
          <w:rFonts w:hint="eastAsia" w:ascii="宋体" w:hAnsi="宋体" w:cs="宋体"/>
          <w:sz w:val="24"/>
          <w:u w:val="single"/>
        </w:rPr>
        <w:t>　　　　　　　　　　　　　　　　　　　　　　　　　　　</w:t>
      </w:r>
    </w:p>
    <w:p>
      <w:pPr>
        <w:snapToGrid w:val="0"/>
        <w:spacing w:line="360" w:lineRule="auto"/>
        <w:ind w:firstLine="480" w:firstLineChars="200"/>
        <w:jc w:val="left"/>
        <w:rPr>
          <w:rFonts w:ascii="宋体" w:hAnsi="宋体" w:cs="宋体"/>
          <w:sz w:val="24"/>
        </w:rPr>
      </w:pPr>
      <w:r>
        <w:rPr>
          <w:rFonts w:hint="eastAsia" w:ascii="宋体" w:hAnsi="宋体" w:cs="宋体"/>
          <w:sz w:val="24"/>
        </w:rPr>
        <w:t>5.以上事项如有虚假或隐瞒，我方愿意承担一切后果，并不再寻求任何旨在减轻或免除法律责任的辩解。</w:t>
      </w:r>
    </w:p>
    <w:p>
      <w:pPr>
        <w:pStyle w:val="26"/>
        <w:tabs>
          <w:tab w:val="left" w:pos="939"/>
        </w:tabs>
        <w:snapToGrid w:val="0"/>
        <w:spacing w:line="360" w:lineRule="auto"/>
        <w:ind w:leftChars="0" w:firstLine="0" w:firstLineChars="0"/>
        <w:rPr>
          <w:rFonts w:ascii="宋体" w:hAnsi="宋体" w:cs="宋体"/>
          <w:sz w:val="24"/>
        </w:rPr>
      </w:pPr>
    </w:p>
    <w:p>
      <w:pPr>
        <w:pStyle w:val="129"/>
        <w:snapToGrid w:val="0"/>
        <w:spacing w:line="360" w:lineRule="auto"/>
        <w:rPr>
          <w:rFonts w:ascii="宋体" w:hAnsi="宋体" w:cs="宋体"/>
          <w:szCs w:val="24"/>
        </w:rPr>
      </w:pPr>
    </w:p>
    <w:p>
      <w:pPr>
        <w:snapToGrid w:val="0"/>
        <w:spacing w:line="360" w:lineRule="auto"/>
        <w:rPr>
          <w:rFonts w:ascii="宋体" w:hAnsi="宋体" w:cs="宋体"/>
          <w:sz w:val="24"/>
          <w:u w:val="single"/>
        </w:rPr>
      </w:pPr>
      <w:r>
        <w:rPr>
          <w:rFonts w:hint="eastAsia" w:ascii="宋体" w:hAnsi="宋体" w:cs="宋体"/>
          <w:sz w:val="24"/>
        </w:rPr>
        <w:t>法定代表人签字：</w:t>
      </w:r>
    </w:p>
    <w:p>
      <w:pPr>
        <w:snapToGrid w:val="0"/>
        <w:spacing w:before="120" w:beforeLines="50" w:after="50"/>
        <w:jc w:val="left"/>
        <w:rPr>
          <w:rFonts w:ascii="宋体" w:hAnsi="宋体" w:cs="宋体"/>
          <w:sz w:val="24"/>
          <w:szCs w:val="20"/>
        </w:rPr>
      </w:pPr>
      <w:r>
        <w:rPr>
          <w:rFonts w:hint="eastAsia" w:ascii="宋体" w:hAnsi="宋体" w:cs="宋体"/>
          <w:sz w:val="24"/>
        </w:rPr>
        <w:t>供应商公章：                      年    月    日</w:t>
      </w:r>
    </w:p>
    <w:p>
      <w:pPr>
        <w:pStyle w:val="29"/>
        <w:spacing w:before="120" w:after="120"/>
        <w:rPr>
          <w:rFonts w:hAnsi="宋体" w:cs="宋体"/>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rPr>
          <w:rFonts w:ascii="宋体" w:hAnsi="宋体" w:cs="宋体"/>
          <w:b/>
          <w:bCs/>
          <w:sz w:val="24"/>
        </w:rPr>
      </w:pPr>
    </w:p>
    <w:p>
      <w:pPr>
        <w:spacing w:line="360" w:lineRule="auto"/>
        <w:jc w:val="center"/>
        <w:rPr>
          <w:rFonts w:ascii="宋体" w:hAnsi="宋体" w:cs="宋体"/>
          <w:b/>
          <w:bCs/>
          <w:sz w:val="24"/>
        </w:rPr>
      </w:pPr>
    </w:p>
    <w:p>
      <w:pPr>
        <w:pStyle w:val="20"/>
        <w:spacing w:line="360" w:lineRule="auto"/>
        <w:ind w:firstLine="482" w:firstLineChars="200"/>
        <w:jc w:val="center"/>
        <w:rPr>
          <w:rFonts w:ascii="宋体" w:hAnsi="宋体" w:cs="宋体"/>
          <w:b/>
          <w:bCs/>
          <w:sz w:val="24"/>
        </w:rPr>
      </w:pPr>
    </w:p>
    <w:p>
      <w:pPr>
        <w:pStyle w:val="20"/>
        <w:spacing w:line="360" w:lineRule="auto"/>
        <w:ind w:firstLine="482" w:firstLineChars="200"/>
        <w:jc w:val="center"/>
        <w:rPr>
          <w:rFonts w:ascii="宋体" w:hAnsi="宋体" w:cs="宋体"/>
          <w:b/>
          <w:bCs/>
          <w:sz w:val="24"/>
        </w:rPr>
      </w:pPr>
      <w:r>
        <w:rPr>
          <w:rFonts w:hint="eastAsia" w:ascii="宋体" w:hAnsi="宋体" w:cs="宋体"/>
          <w:b/>
          <w:bCs/>
          <w:sz w:val="24"/>
        </w:rPr>
        <w:t>三、服务方案；</w:t>
      </w:r>
    </w:p>
    <w:p>
      <w:pPr>
        <w:pStyle w:val="20"/>
        <w:spacing w:line="360" w:lineRule="auto"/>
        <w:ind w:firstLine="482" w:firstLineChars="200"/>
        <w:jc w:val="center"/>
        <w:rPr>
          <w:rFonts w:ascii="宋体" w:hAnsi="宋体" w:cs="宋体"/>
          <w:b/>
          <w:bCs/>
          <w:sz w:val="24"/>
        </w:rPr>
      </w:pPr>
    </w:p>
    <w:p>
      <w:pPr>
        <w:pStyle w:val="20"/>
        <w:spacing w:line="360" w:lineRule="auto"/>
        <w:ind w:firstLine="482" w:firstLineChars="200"/>
        <w:jc w:val="center"/>
        <w:rPr>
          <w:rFonts w:ascii="宋体" w:hAnsi="宋体" w:cs="宋体"/>
          <w:b/>
          <w:bCs/>
          <w:sz w:val="24"/>
        </w:rPr>
      </w:pPr>
      <w:r>
        <w:rPr>
          <w:rFonts w:hint="eastAsia" w:ascii="宋体" w:hAnsi="宋体" w:cs="宋体"/>
          <w:b/>
          <w:bCs/>
          <w:sz w:val="24"/>
        </w:rPr>
        <w:t>四、</w:t>
      </w:r>
      <w:r>
        <w:rPr>
          <w:rFonts w:hint="eastAsia" w:ascii="宋体" w:hAnsi="宋体" w:cs="宋体"/>
          <w:b/>
          <w:bCs/>
          <w:sz w:val="24"/>
          <w:lang w:eastAsia="zh-CN"/>
        </w:rPr>
        <w:t>人员配备</w:t>
      </w:r>
      <w:r>
        <w:rPr>
          <w:rFonts w:hint="eastAsia" w:ascii="宋体" w:hAnsi="宋体" w:cs="宋体"/>
          <w:b/>
          <w:bCs/>
          <w:sz w:val="24"/>
        </w:rPr>
        <w:t>；</w:t>
      </w:r>
    </w:p>
    <w:p>
      <w:pPr>
        <w:pStyle w:val="20"/>
        <w:spacing w:line="360" w:lineRule="auto"/>
        <w:ind w:firstLine="482" w:firstLineChars="200"/>
        <w:jc w:val="center"/>
        <w:rPr>
          <w:rFonts w:ascii="宋体" w:hAnsi="宋体" w:cs="宋体"/>
          <w:b/>
          <w:bCs/>
          <w:sz w:val="24"/>
        </w:rPr>
      </w:pPr>
    </w:p>
    <w:p>
      <w:pPr>
        <w:pStyle w:val="20"/>
        <w:spacing w:line="360" w:lineRule="auto"/>
        <w:ind w:firstLine="482" w:firstLineChars="200"/>
        <w:jc w:val="center"/>
        <w:rPr>
          <w:rFonts w:ascii="宋体" w:hAnsi="宋体" w:cs="宋体"/>
          <w:b/>
          <w:bCs/>
          <w:sz w:val="24"/>
        </w:rPr>
      </w:pPr>
      <w:r>
        <w:rPr>
          <w:rFonts w:hint="eastAsia" w:ascii="宋体" w:hAnsi="宋体" w:cs="宋体"/>
          <w:b/>
          <w:bCs/>
          <w:sz w:val="24"/>
        </w:rPr>
        <w:t>五、</w:t>
      </w:r>
      <w:r>
        <w:rPr>
          <w:rFonts w:hint="eastAsia" w:ascii="宋体" w:hAnsi="宋体" w:cs="宋体"/>
          <w:b/>
          <w:bCs/>
          <w:sz w:val="24"/>
          <w:lang w:val="en-US" w:eastAsia="zh-CN"/>
        </w:rPr>
        <w:t>合理化建议</w:t>
      </w:r>
      <w:r>
        <w:rPr>
          <w:rFonts w:hint="eastAsia" w:ascii="宋体" w:hAnsi="宋体" w:cs="宋体"/>
          <w:b/>
          <w:bCs/>
          <w:sz w:val="24"/>
        </w:rPr>
        <w:t>；</w:t>
      </w:r>
    </w:p>
    <w:p>
      <w:pPr>
        <w:pStyle w:val="20"/>
        <w:spacing w:line="360" w:lineRule="auto"/>
        <w:ind w:firstLine="482" w:firstLineChars="200"/>
        <w:jc w:val="center"/>
        <w:rPr>
          <w:rFonts w:ascii="宋体" w:hAnsi="宋体" w:cs="宋体"/>
          <w:b/>
          <w:bCs/>
          <w:sz w:val="24"/>
        </w:rPr>
      </w:pPr>
    </w:p>
    <w:p>
      <w:pPr>
        <w:pStyle w:val="20"/>
        <w:spacing w:line="360" w:lineRule="auto"/>
        <w:ind w:firstLine="482" w:firstLineChars="200"/>
        <w:jc w:val="center"/>
        <w:rPr>
          <w:rFonts w:ascii="宋体" w:hAnsi="宋体" w:cs="宋体"/>
          <w:b/>
          <w:bCs/>
          <w:sz w:val="24"/>
        </w:rPr>
      </w:pPr>
      <w:r>
        <w:rPr>
          <w:rFonts w:hint="eastAsia" w:ascii="宋体" w:hAnsi="宋体" w:cs="宋体"/>
          <w:b/>
          <w:bCs/>
          <w:sz w:val="24"/>
        </w:rPr>
        <w:t>六、</w:t>
      </w:r>
      <w:r>
        <w:rPr>
          <w:rFonts w:hint="eastAsia" w:ascii="宋体" w:hAnsi="宋体" w:cs="宋体"/>
          <w:b/>
          <w:bCs/>
          <w:sz w:val="24"/>
          <w:lang w:val="en-US" w:eastAsia="zh-CN"/>
        </w:rPr>
        <w:t>售后服务承诺</w:t>
      </w:r>
      <w:r>
        <w:rPr>
          <w:rFonts w:hint="eastAsia" w:ascii="宋体" w:hAnsi="宋体" w:cs="宋体"/>
          <w:b/>
          <w:bCs/>
          <w:sz w:val="24"/>
        </w:rPr>
        <w:t>；</w:t>
      </w:r>
    </w:p>
    <w:p>
      <w:pPr>
        <w:pStyle w:val="20"/>
        <w:spacing w:line="360" w:lineRule="auto"/>
        <w:ind w:firstLine="482" w:firstLineChars="200"/>
        <w:jc w:val="center"/>
        <w:rPr>
          <w:rFonts w:ascii="宋体" w:hAnsi="宋体" w:cs="宋体"/>
          <w:b/>
          <w:bCs/>
          <w:sz w:val="24"/>
        </w:rPr>
      </w:pPr>
    </w:p>
    <w:p>
      <w:pPr>
        <w:ind w:firstLine="3855" w:firstLineChars="1600"/>
        <w:rPr>
          <w:rFonts w:ascii="宋体" w:hAnsi="宋体" w:cs="宋体"/>
          <w:b/>
          <w:bCs/>
          <w:sz w:val="24"/>
        </w:rPr>
      </w:pPr>
      <w:r>
        <w:rPr>
          <w:rFonts w:hint="eastAsia" w:ascii="宋体" w:hAnsi="宋体" w:cs="宋体"/>
          <w:b/>
          <w:bCs/>
          <w:sz w:val="24"/>
          <w:lang w:eastAsia="zh-CN"/>
        </w:rPr>
        <w:t>七</w:t>
      </w:r>
      <w:r>
        <w:rPr>
          <w:rFonts w:hint="eastAsia" w:ascii="宋体" w:hAnsi="宋体" w:cs="宋体"/>
          <w:b/>
          <w:bCs/>
          <w:sz w:val="24"/>
        </w:rPr>
        <w:t>、</w:t>
      </w:r>
      <w:r>
        <w:rPr>
          <w:rFonts w:hint="eastAsia" w:ascii="宋体" w:hAnsi="宋体" w:cs="宋体"/>
          <w:b/>
          <w:bCs/>
          <w:sz w:val="24"/>
          <w:lang w:val="en-US" w:eastAsia="zh-CN"/>
        </w:rPr>
        <w:t>响应时间</w:t>
      </w:r>
      <w:r>
        <w:rPr>
          <w:rFonts w:hint="eastAsia" w:ascii="宋体" w:hAnsi="宋体" w:cs="宋体"/>
          <w:b/>
          <w:bCs/>
          <w:sz w:val="24"/>
        </w:rPr>
        <w:br w:type="page"/>
      </w:r>
    </w:p>
    <w:p>
      <w:pPr>
        <w:pStyle w:val="20"/>
        <w:spacing w:line="360" w:lineRule="auto"/>
        <w:ind w:firstLine="482" w:firstLineChars="200"/>
        <w:jc w:val="center"/>
        <w:rPr>
          <w:rFonts w:ascii="宋体" w:hAnsi="宋体" w:cs="宋体"/>
          <w:b/>
          <w:bCs/>
          <w:sz w:val="24"/>
        </w:rPr>
      </w:pPr>
    </w:p>
    <w:p>
      <w:pPr>
        <w:pStyle w:val="20"/>
        <w:spacing w:line="360" w:lineRule="auto"/>
        <w:ind w:firstLine="482" w:firstLineChars="200"/>
        <w:jc w:val="center"/>
        <w:rPr>
          <w:rFonts w:ascii="宋体" w:hAnsi="宋体" w:cs="宋体"/>
          <w:sz w:val="24"/>
        </w:rPr>
      </w:pPr>
      <w:r>
        <w:rPr>
          <w:rFonts w:hint="eastAsia" w:ascii="宋体" w:hAnsi="宋体" w:cs="宋体"/>
          <w:b/>
          <w:bCs/>
          <w:sz w:val="24"/>
          <w:lang w:val="en-US" w:eastAsia="zh-CN"/>
        </w:rPr>
        <w:t>八</w:t>
      </w:r>
      <w:r>
        <w:rPr>
          <w:rFonts w:hint="eastAsia" w:ascii="宋体" w:hAnsi="宋体" w:cs="宋体"/>
          <w:b/>
          <w:bCs/>
          <w:sz w:val="24"/>
        </w:rPr>
        <w:t>、企业业绩</w:t>
      </w:r>
    </w:p>
    <w:p>
      <w:pPr>
        <w:spacing w:line="360" w:lineRule="auto"/>
        <w:jc w:val="center"/>
        <w:rPr>
          <w:rFonts w:ascii="宋体" w:hAnsi="宋体" w:cs="宋体"/>
          <w:b/>
          <w:bCs/>
          <w:sz w:val="24"/>
        </w:rPr>
      </w:pPr>
    </w:p>
    <w:p>
      <w:pPr>
        <w:spacing w:line="600" w:lineRule="exact"/>
        <w:rPr>
          <w:rFonts w:ascii="宋体" w:hAnsi="宋体" w:cs="宋体"/>
          <w:sz w:val="24"/>
        </w:rPr>
      </w:pPr>
      <w:r>
        <w:rPr>
          <w:rFonts w:hint="eastAsia" w:ascii="宋体" w:hAnsi="宋体" w:cs="宋体"/>
          <w:sz w:val="24"/>
        </w:rPr>
        <w:t>供应商全称（加盖公章）：             采购文件编号：</w:t>
      </w:r>
    </w:p>
    <w:tbl>
      <w:tblPr>
        <w:tblStyle w:val="44"/>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1795"/>
        <w:gridCol w:w="1474"/>
        <w:gridCol w:w="1474"/>
        <w:gridCol w:w="1902"/>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jc w:val="center"/>
              <w:rPr>
                <w:rFonts w:ascii="宋体" w:hAnsi="宋体" w:cs="宋体"/>
                <w:bCs/>
                <w:sz w:val="24"/>
              </w:rPr>
            </w:pPr>
            <w:r>
              <w:rPr>
                <w:rFonts w:hint="eastAsia" w:ascii="宋体" w:hAnsi="宋体" w:cs="宋体"/>
                <w:bCs/>
                <w:sz w:val="24"/>
              </w:rPr>
              <w:t>序号</w:t>
            </w:r>
          </w:p>
        </w:tc>
        <w:tc>
          <w:tcPr>
            <w:tcW w:w="921" w:type="pct"/>
          </w:tcPr>
          <w:p>
            <w:pPr>
              <w:spacing w:line="600" w:lineRule="exact"/>
              <w:jc w:val="center"/>
              <w:rPr>
                <w:rFonts w:ascii="宋体" w:hAnsi="宋体" w:cs="宋体"/>
                <w:bCs/>
                <w:sz w:val="24"/>
              </w:rPr>
            </w:pPr>
            <w:r>
              <w:rPr>
                <w:rFonts w:hint="eastAsia" w:ascii="宋体" w:hAnsi="宋体" w:cs="宋体"/>
                <w:bCs/>
                <w:sz w:val="24"/>
              </w:rPr>
              <w:t>项目名称</w:t>
            </w:r>
          </w:p>
        </w:tc>
        <w:tc>
          <w:tcPr>
            <w:tcW w:w="756" w:type="pct"/>
          </w:tcPr>
          <w:p>
            <w:pPr>
              <w:spacing w:line="600" w:lineRule="exact"/>
              <w:jc w:val="center"/>
              <w:rPr>
                <w:rFonts w:ascii="宋体" w:hAnsi="宋体" w:cs="宋体"/>
                <w:bCs/>
                <w:sz w:val="24"/>
              </w:rPr>
            </w:pPr>
            <w:r>
              <w:rPr>
                <w:rFonts w:hint="eastAsia" w:ascii="宋体" w:hAnsi="宋体" w:cs="宋体"/>
                <w:bCs/>
                <w:sz w:val="24"/>
              </w:rPr>
              <w:t>合同金额</w:t>
            </w:r>
          </w:p>
        </w:tc>
        <w:tc>
          <w:tcPr>
            <w:tcW w:w="756" w:type="pct"/>
          </w:tcPr>
          <w:p>
            <w:pPr>
              <w:spacing w:line="600" w:lineRule="exact"/>
              <w:jc w:val="center"/>
              <w:rPr>
                <w:rFonts w:ascii="宋体" w:hAnsi="宋体" w:cs="宋体"/>
                <w:bCs/>
                <w:sz w:val="24"/>
              </w:rPr>
            </w:pPr>
            <w:r>
              <w:rPr>
                <w:rFonts w:hint="eastAsia" w:ascii="宋体" w:hAnsi="宋体" w:cs="宋体"/>
                <w:bCs/>
                <w:sz w:val="24"/>
              </w:rPr>
              <w:t>签订时间</w:t>
            </w:r>
          </w:p>
        </w:tc>
        <w:tc>
          <w:tcPr>
            <w:tcW w:w="976" w:type="pct"/>
          </w:tcPr>
          <w:p>
            <w:pPr>
              <w:spacing w:line="600" w:lineRule="exact"/>
              <w:jc w:val="center"/>
              <w:rPr>
                <w:rFonts w:ascii="宋体" w:hAnsi="宋体" w:cs="宋体"/>
                <w:bCs/>
                <w:sz w:val="24"/>
              </w:rPr>
            </w:pPr>
            <w:r>
              <w:rPr>
                <w:rFonts w:hint="eastAsia" w:ascii="宋体" w:hAnsi="宋体" w:cs="宋体"/>
                <w:bCs/>
                <w:sz w:val="24"/>
              </w:rPr>
              <w:t>采购人及联系人</w:t>
            </w:r>
          </w:p>
        </w:tc>
        <w:tc>
          <w:tcPr>
            <w:tcW w:w="1132" w:type="pct"/>
          </w:tcPr>
          <w:p>
            <w:pPr>
              <w:spacing w:line="600" w:lineRule="exact"/>
              <w:jc w:val="center"/>
              <w:rPr>
                <w:rFonts w:ascii="宋体" w:hAnsi="宋体" w:cs="宋体"/>
                <w:bCs/>
                <w:sz w:val="24"/>
              </w:rPr>
            </w:pPr>
            <w:r>
              <w:rPr>
                <w:rFonts w:hint="eastAsia" w:ascii="宋体" w:hAnsi="宋体" w:cs="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cs="宋体"/>
                <w:bCs/>
                <w:sz w:val="24"/>
              </w:rPr>
            </w:pPr>
          </w:p>
        </w:tc>
        <w:tc>
          <w:tcPr>
            <w:tcW w:w="921"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976" w:type="pct"/>
          </w:tcPr>
          <w:p>
            <w:pPr>
              <w:spacing w:line="600" w:lineRule="exact"/>
              <w:rPr>
                <w:rFonts w:ascii="宋体" w:hAnsi="宋体" w:cs="宋体"/>
                <w:bCs/>
                <w:sz w:val="24"/>
              </w:rPr>
            </w:pPr>
          </w:p>
        </w:tc>
        <w:tc>
          <w:tcPr>
            <w:tcW w:w="1132" w:type="pct"/>
          </w:tcPr>
          <w:p>
            <w:pPr>
              <w:spacing w:line="6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cs="宋体"/>
                <w:bCs/>
                <w:sz w:val="24"/>
              </w:rPr>
            </w:pPr>
          </w:p>
        </w:tc>
        <w:tc>
          <w:tcPr>
            <w:tcW w:w="921"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976" w:type="pct"/>
          </w:tcPr>
          <w:p>
            <w:pPr>
              <w:spacing w:line="600" w:lineRule="exact"/>
              <w:rPr>
                <w:rFonts w:ascii="宋体" w:hAnsi="宋体" w:cs="宋体"/>
                <w:bCs/>
                <w:sz w:val="24"/>
              </w:rPr>
            </w:pPr>
          </w:p>
        </w:tc>
        <w:tc>
          <w:tcPr>
            <w:tcW w:w="1132" w:type="pct"/>
          </w:tcPr>
          <w:p>
            <w:pPr>
              <w:spacing w:line="6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cs="宋体"/>
                <w:bCs/>
                <w:sz w:val="24"/>
              </w:rPr>
            </w:pPr>
          </w:p>
        </w:tc>
        <w:tc>
          <w:tcPr>
            <w:tcW w:w="921"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976" w:type="pct"/>
          </w:tcPr>
          <w:p>
            <w:pPr>
              <w:spacing w:line="600" w:lineRule="exact"/>
              <w:rPr>
                <w:rFonts w:ascii="宋体" w:hAnsi="宋体" w:cs="宋体"/>
                <w:bCs/>
                <w:sz w:val="24"/>
              </w:rPr>
            </w:pPr>
          </w:p>
        </w:tc>
        <w:tc>
          <w:tcPr>
            <w:tcW w:w="1132" w:type="pct"/>
          </w:tcPr>
          <w:p>
            <w:pPr>
              <w:spacing w:line="6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cs="宋体"/>
                <w:bCs/>
                <w:sz w:val="24"/>
              </w:rPr>
            </w:pPr>
          </w:p>
        </w:tc>
        <w:tc>
          <w:tcPr>
            <w:tcW w:w="921"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976" w:type="pct"/>
          </w:tcPr>
          <w:p>
            <w:pPr>
              <w:spacing w:line="600" w:lineRule="exact"/>
              <w:rPr>
                <w:rFonts w:ascii="宋体" w:hAnsi="宋体" w:cs="宋体"/>
                <w:bCs/>
                <w:sz w:val="24"/>
              </w:rPr>
            </w:pPr>
          </w:p>
        </w:tc>
        <w:tc>
          <w:tcPr>
            <w:tcW w:w="1132" w:type="pct"/>
          </w:tcPr>
          <w:p>
            <w:pPr>
              <w:spacing w:line="6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cs="宋体"/>
                <w:bCs/>
                <w:sz w:val="24"/>
              </w:rPr>
            </w:pPr>
          </w:p>
        </w:tc>
        <w:tc>
          <w:tcPr>
            <w:tcW w:w="921"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976" w:type="pct"/>
          </w:tcPr>
          <w:p>
            <w:pPr>
              <w:spacing w:line="600" w:lineRule="exact"/>
              <w:rPr>
                <w:rFonts w:ascii="宋体" w:hAnsi="宋体" w:cs="宋体"/>
                <w:bCs/>
                <w:sz w:val="24"/>
              </w:rPr>
            </w:pPr>
          </w:p>
        </w:tc>
        <w:tc>
          <w:tcPr>
            <w:tcW w:w="1132" w:type="pct"/>
          </w:tcPr>
          <w:p>
            <w:pPr>
              <w:spacing w:line="6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cs="宋体"/>
                <w:bCs/>
                <w:sz w:val="24"/>
              </w:rPr>
            </w:pPr>
          </w:p>
        </w:tc>
        <w:tc>
          <w:tcPr>
            <w:tcW w:w="921"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976" w:type="pct"/>
          </w:tcPr>
          <w:p>
            <w:pPr>
              <w:spacing w:line="600" w:lineRule="exact"/>
              <w:rPr>
                <w:rFonts w:ascii="宋体" w:hAnsi="宋体" w:cs="宋体"/>
                <w:bCs/>
                <w:sz w:val="24"/>
              </w:rPr>
            </w:pPr>
          </w:p>
        </w:tc>
        <w:tc>
          <w:tcPr>
            <w:tcW w:w="1132" w:type="pct"/>
          </w:tcPr>
          <w:p>
            <w:pPr>
              <w:spacing w:line="60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pct"/>
          </w:tcPr>
          <w:p>
            <w:pPr>
              <w:spacing w:line="600" w:lineRule="exact"/>
              <w:rPr>
                <w:rFonts w:ascii="宋体" w:hAnsi="宋体" w:cs="宋体"/>
                <w:bCs/>
                <w:sz w:val="24"/>
              </w:rPr>
            </w:pPr>
          </w:p>
        </w:tc>
        <w:tc>
          <w:tcPr>
            <w:tcW w:w="921"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756" w:type="pct"/>
          </w:tcPr>
          <w:p>
            <w:pPr>
              <w:spacing w:line="600" w:lineRule="exact"/>
              <w:rPr>
                <w:rFonts w:ascii="宋体" w:hAnsi="宋体" w:cs="宋体"/>
                <w:bCs/>
                <w:sz w:val="24"/>
              </w:rPr>
            </w:pPr>
          </w:p>
        </w:tc>
        <w:tc>
          <w:tcPr>
            <w:tcW w:w="976" w:type="pct"/>
          </w:tcPr>
          <w:p>
            <w:pPr>
              <w:spacing w:line="600" w:lineRule="exact"/>
              <w:rPr>
                <w:rFonts w:ascii="宋体" w:hAnsi="宋体" w:cs="宋体"/>
                <w:bCs/>
                <w:sz w:val="24"/>
              </w:rPr>
            </w:pPr>
          </w:p>
        </w:tc>
        <w:tc>
          <w:tcPr>
            <w:tcW w:w="1132" w:type="pct"/>
          </w:tcPr>
          <w:p>
            <w:pPr>
              <w:spacing w:line="600" w:lineRule="exact"/>
              <w:rPr>
                <w:rFonts w:ascii="宋体" w:hAnsi="宋体" w:cs="宋体"/>
                <w:bCs/>
                <w:sz w:val="24"/>
              </w:rPr>
            </w:pPr>
          </w:p>
        </w:tc>
      </w:tr>
    </w:tbl>
    <w:p>
      <w:pPr>
        <w:spacing w:line="600" w:lineRule="exact"/>
        <w:rPr>
          <w:rFonts w:ascii="宋体" w:hAnsi="宋体" w:cs="宋体"/>
          <w:sz w:val="24"/>
        </w:rPr>
      </w:pPr>
      <w:r>
        <w:rPr>
          <w:rFonts w:hint="eastAsia" w:ascii="宋体" w:hAnsi="宋体" w:cs="宋体"/>
          <w:sz w:val="24"/>
        </w:rPr>
        <w:t>法定代表人或其授权代理人（盖章）：</w:t>
      </w:r>
    </w:p>
    <w:p>
      <w:pPr>
        <w:spacing w:line="600" w:lineRule="exact"/>
        <w:rPr>
          <w:rFonts w:ascii="宋体" w:hAnsi="宋体" w:cs="宋体"/>
          <w:sz w:val="24"/>
        </w:rPr>
      </w:pPr>
      <w:r>
        <w:rPr>
          <w:rFonts w:hint="eastAsia" w:ascii="宋体" w:hAnsi="宋体" w:cs="宋体"/>
          <w:sz w:val="24"/>
        </w:rPr>
        <w:t>日期：    年   月  日</w:t>
      </w:r>
    </w:p>
    <w:p>
      <w:pPr>
        <w:spacing w:line="600" w:lineRule="exact"/>
        <w:ind w:firstLine="480" w:firstLineChars="200"/>
        <w:rPr>
          <w:rFonts w:ascii="宋体" w:hAnsi="宋体" w:cs="宋体"/>
          <w:bCs/>
          <w:sz w:val="24"/>
        </w:rPr>
      </w:pPr>
      <w:r>
        <w:rPr>
          <w:rFonts w:hint="eastAsia" w:ascii="宋体" w:hAnsi="宋体" w:cs="宋体"/>
          <w:sz w:val="24"/>
        </w:rPr>
        <w:t>注：1、</w:t>
      </w:r>
      <w:r>
        <w:rPr>
          <w:rFonts w:hint="eastAsia" w:ascii="宋体" w:hAnsi="宋体" w:cs="宋体"/>
          <w:bCs/>
          <w:sz w:val="24"/>
        </w:rPr>
        <w:t>企业业绩是指供应商201</w:t>
      </w:r>
      <w:r>
        <w:rPr>
          <w:rFonts w:ascii="宋体" w:hAnsi="宋体" w:cs="宋体"/>
          <w:bCs/>
          <w:sz w:val="24"/>
        </w:rPr>
        <w:t>9</w:t>
      </w:r>
      <w:r>
        <w:rPr>
          <w:rFonts w:hint="eastAsia" w:ascii="宋体" w:hAnsi="宋体" w:cs="宋体"/>
          <w:bCs/>
          <w:sz w:val="24"/>
        </w:rPr>
        <w:t>年1月1日至今，同类项目已签署的合同（提供合同复印件并加盖供应商公章）。</w:t>
      </w:r>
    </w:p>
    <w:p>
      <w:pPr>
        <w:spacing w:line="600" w:lineRule="exact"/>
        <w:ind w:firstLine="360" w:firstLineChars="150"/>
        <w:rPr>
          <w:rFonts w:ascii="宋体" w:hAnsi="宋体" w:cs="宋体"/>
          <w:sz w:val="24"/>
        </w:rPr>
      </w:pPr>
      <w:r>
        <w:rPr>
          <w:rFonts w:hint="eastAsia" w:ascii="宋体" w:hAnsi="宋体" w:cs="宋体"/>
          <w:sz w:val="24"/>
        </w:rPr>
        <w:t>2、此表仅提供了表格形式，供应商应根据需要准备足够数量的表格来填写。</w:t>
      </w:r>
    </w:p>
    <w:p>
      <w:pPr>
        <w:snapToGrid w:val="0"/>
        <w:spacing w:before="120" w:beforeLines="50" w:after="50"/>
        <w:ind w:firstLine="240" w:firstLineChars="100"/>
        <w:rPr>
          <w:rFonts w:ascii="宋体" w:hAnsi="宋体" w:cs="宋体"/>
          <w:sz w:val="24"/>
        </w:rPr>
      </w:pPr>
      <w:r>
        <w:rPr>
          <w:rFonts w:hint="eastAsia" w:ascii="宋体" w:hAnsi="宋体" w:cs="宋体"/>
          <w:sz w:val="24"/>
        </w:rPr>
        <w:t xml:space="preserve">年    月    </w:t>
      </w:r>
    </w:p>
    <w:p>
      <w:pPr>
        <w:pStyle w:val="7"/>
        <w:rPr>
          <w:rFonts w:ascii="宋体" w:hAnsi="宋体" w:cs="宋体"/>
          <w:sz w:val="24"/>
        </w:rPr>
      </w:pPr>
    </w:p>
    <w:p>
      <w:pPr>
        <w:spacing w:line="360" w:lineRule="auto"/>
        <w:rPr>
          <w:rFonts w:ascii="宋体" w:hAnsi="宋体" w:cs="宋体"/>
          <w:b/>
          <w:bCs/>
          <w:sz w:val="24"/>
        </w:rPr>
      </w:pPr>
    </w:p>
    <w:p>
      <w:pPr>
        <w:spacing w:line="360" w:lineRule="auto"/>
        <w:rPr>
          <w:rFonts w:ascii="宋体" w:hAnsi="宋体" w:cs="宋体"/>
          <w:b/>
          <w:bCs/>
          <w:sz w:val="24"/>
        </w:rPr>
      </w:pPr>
    </w:p>
    <w:p>
      <w:pPr>
        <w:pStyle w:val="21"/>
        <w:ind w:firstLine="280"/>
        <w:rPr>
          <w:rFonts w:ascii="宋体" w:hAnsi="宋体" w:cs="宋体"/>
        </w:rPr>
      </w:pPr>
    </w:p>
    <w:p>
      <w:pPr>
        <w:rPr>
          <w:rFonts w:ascii="宋体" w:hAnsi="宋体" w:cs="宋体"/>
          <w:b/>
          <w:bCs/>
          <w:sz w:val="24"/>
        </w:rPr>
      </w:pPr>
      <w:r>
        <w:rPr>
          <w:rFonts w:hint="eastAsia" w:ascii="宋体" w:hAnsi="宋体" w:cs="宋体"/>
          <w:b/>
          <w:bCs/>
          <w:sz w:val="24"/>
        </w:rPr>
        <w:br w:type="page"/>
      </w:r>
    </w:p>
    <w:p>
      <w:pPr>
        <w:pStyle w:val="20"/>
        <w:spacing w:line="360" w:lineRule="auto"/>
        <w:ind w:firstLine="482" w:firstLineChars="200"/>
        <w:jc w:val="center"/>
        <w:rPr>
          <w:rFonts w:ascii="宋体" w:hAnsi="宋体" w:cs="宋体"/>
          <w:b/>
          <w:bCs/>
          <w:sz w:val="24"/>
        </w:rPr>
      </w:pPr>
      <w:r>
        <w:rPr>
          <w:rFonts w:hint="eastAsia" w:ascii="宋体" w:hAnsi="宋体" w:cs="宋体"/>
          <w:b/>
          <w:bCs/>
          <w:sz w:val="24"/>
          <w:lang w:val="en-US" w:eastAsia="zh-CN"/>
        </w:rPr>
        <w:t>九</w:t>
      </w:r>
      <w:r>
        <w:rPr>
          <w:rFonts w:hint="eastAsia" w:ascii="宋体" w:hAnsi="宋体" w:cs="宋体"/>
          <w:b/>
          <w:bCs/>
          <w:sz w:val="24"/>
        </w:rPr>
        <w:t>、权威认证证书；</w:t>
      </w:r>
    </w:p>
    <w:p>
      <w:pPr>
        <w:pStyle w:val="20"/>
        <w:spacing w:line="360" w:lineRule="auto"/>
        <w:ind w:firstLine="482" w:firstLineChars="200"/>
        <w:jc w:val="center"/>
        <w:rPr>
          <w:rFonts w:ascii="宋体" w:hAnsi="宋体" w:cs="宋体"/>
          <w:b/>
          <w:bCs/>
          <w:sz w:val="24"/>
        </w:rPr>
      </w:pPr>
    </w:p>
    <w:p>
      <w:pPr>
        <w:pStyle w:val="20"/>
        <w:spacing w:line="360" w:lineRule="auto"/>
        <w:ind w:firstLine="482" w:firstLineChars="200"/>
        <w:jc w:val="center"/>
        <w:rPr>
          <w:rFonts w:ascii="宋体" w:hAnsi="宋体" w:cs="宋体"/>
          <w:b/>
          <w:bCs/>
          <w:sz w:val="24"/>
        </w:rPr>
      </w:pPr>
      <w:r>
        <w:rPr>
          <w:rFonts w:hint="eastAsia" w:ascii="宋体" w:hAnsi="宋体" w:cs="宋体"/>
          <w:b/>
          <w:bCs/>
          <w:sz w:val="24"/>
        </w:rPr>
        <w:t>十、企业荣誉；</w:t>
      </w:r>
    </w:p>
    <w:p>
      <w:pPr>
        <w:pStyle w:val="20"/>
        <w:spacing w:line="360" w:lineRule="auto"/>
        <w:ind w:firstLine="482" w:firstLineChars="200"/>
        <w:jc w:val="center"/>
        <w:rPr>
          <w:rFonts w:ascii="宋体" w:hAnsi="宋体" w:cs="宋体"/>
          <w:b/>
          <w:bCs/>
          <w:sz w:val="24"/>
        </w:rPr>
      </w:pPr>
    </w:p>
    <w:p>
      <w:pPr>
        <w:pStyle w:val="20"/>
        <w:spacing w:line="360" w:lineRule="auto"/>
        <w:ind w:firstLine="482" w:firstLineChars="200"/>
        <w:jc w:val="center"/>
        <w:rPr>
          <w:rFonts w:ascii="宋体" w:hAnsi="宋体" w:cs="宋体"/>
          <w:sz w:val="24"/>
        </w:rPr>
      </w:pPr>
      <w:r>
        <w:rPr>
          <w:rFonts w:hint="eastAsia" w:ascii="宋体" w:hAnsi="宋体" w:cs="宋体"/>
          <w:b/>
          <w:bCs/>
          <w:sz w:val="24"/>
        </w:rPr>
        <w:t>十</w:t>
      </w:r>
      <w:r>
        <w:rPr>
          <w:rFonts w:hint="eastAsia" w:ascii="宋体" w:hAnsi="宋体" w:cs="宋体"/>
          <w:b/>
          <w:bCs/>
          <w:sz w:val="24"/>
          <w:lang w:val="en-US" w:eastAsia="zh-CN"/>
        </w:rPr>
        <w:t>一</w:t>
      </w:r>
      <w:r>
        <w:rPr>
          <w:rFonts w:hint="eastAsia" w:ascii="宋体" w:hAnsi="宋体" w:cs="宋体"/>
          <w:b/>
          <w:bCs/>
          <w:sz w:val="24"/>
        </w:rPr>
        <w:t>、商务响应表；</w:t>
      </w:r>
    </w:p>
    <w:p>
      <w:pPr>
        <w:spacing w:line="360" w:lineRule="auto"/>
        <w:jc w:val="center"/>
        <w:rPr>
          <w:rFonts w:ascii="宋体" w:hAnsi="宋体" w:cs="宋体"/>
          <w:b/>
          <w:bCs/>
          <w:sz w:val="24"/>
        </w:rPr>
      </w:pPr>
    </w:p>
    <w:p>
      <w:pPr>
        <w:snapToGrid w:val="0"/>
        <w:spacing w:before="50" w:line="360" w:lineRule="auto"/>
        <w:jc w:val="left"/>
        <w:rPr>
          <w:rFonts w:ascii="宋体" w:hAnsi="宋体" w:cs="宋体"/>
          <w:sz w:val="24"/>
          <w:u w:val="single"/>
        </w:rPr>
      </w:pPr>
      <w:r>
        <w:rPr>
          <w:rFonts w:hint="eastAsia" w:ascii="宋体" w:hAnsi="宋体" w:cs="宋体"/>
          <w:sz w:val="24"/>
        </w:rPr>
        <w:t>项目名称：项目编号：</w:t>
      </w:r>
    </w:p>
    <w:p>
      <w:pPr>
        <w:pStyle w:val="7"/>
        <w:spacing w:line="360" w:lineRule="auto"/>
        <w:rPr>
          <w:rFonts w:ascii="宋体" w:hAnsi="宋体" w:cs="宋体"/>
        </w:rPr>
      </w:pP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97"/>
        <w:gridCol w:w="4884"/>
        <w:gridCol w:w="1217"/>
        <w:gridCol w:w="16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cs="宋体"/>
                <w:sz w:val="24"/>
                <w:szCs w:val="20"/>
              </w:rPr>
            </w:pPr>
            <w:r>
              <w:rPr>
                <w:rFonts w:hint="eastAsia" w:ascii="宋体" w:hAnsi="宋体" w:cs="宋体"/>
                <w:sz w:val="24"/>
              </w:rPr>
              <w:t>项目</w:t>
            </w:r>
          </w:p>
        </w:tc>
        <w:tc>
          <w:tcPr>
            <w:tcW w:w="48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cs="宋体"/>
                <w:sz w:val="24"/>
                <w:szCs w:val="20"/>
              </w:rPr>
            </w:pPr>
            <w:r>
              <w:rPr>
                <w:rFonts w:hint="eastAsia" w:ascii="宋体" w:hAnsi="宋体" w:cs="宋体"/>
                <w:sz w:val="24"/>
              </w:rPr>
              <w:t>采购文件要求</w:t>
            </w:r>
          </w:p>
        </w:tc>
        <w:tc>
          <w:tcPr>
            <w:tcW w:w="121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sz w:val="24"/>
                <w:szCs w:val="20"/>
              </w:rPr>
            </w:pPr>
            <w:r>
              <w:rPr>
                <w:rFonts w:hint="eastAsia" w:ascii="宋体" w:hAnsi="宋体" w:cs="宋体"/>
                <w:sz w:val="24"/>
              </w:rPr>
              <w:t>是否响应</w:t>
            </w:r>
          </w:p>
        </w:tc>
        <w:tc>
          <w:tcPr>
            <w:tcW w:w="1699"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jc w:val="center"/>
              <w:rPr>
                <w:rFonts w:ascii="宋体" w:hAnsi="宋体" w:cs="宋体"/>
                <w:sz w:val="24"/>
                <w:szCs w:val="20"/>
              </w:rPr>
            </w:pPr>
            <w:r>
              <w:rPr>
                <w:rFonts w:hint="eastAsia" w:ascii="宋体" w:hAnsi="宋体" w:cs="宋体"/>
                <w:sz w:val="24"/>
              </w:rPr>
              <w:t>投标供应商的承诺或说明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cs="宋体"/>
                <w:sz w:val="24"/>
              </w:rPr>
            </w:pPr>
            <w:r>
              <w:rPr>
                <w:rFonts w:hint="eastAsia" w:ascii="宋体" w:hAnsi="宋体" w:cs="宋体"/>
                <w:sz w:val="24"/>
              </w:rPr>
              <w:t>服务期</w:t>
            </w:r>
          </w:p>
        </w:tc>
        <w:tc>
          <w:tcPr>
            <w:tcW w:w="48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s="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jc w:val="center"/>
        </w:trPr>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cs="宋体"/>
                <w:sz w:val="24"/>
                <w:szCs w:val="20"/>
              </w:rPr>
            </w:pPr>
            <w:r>
              <w:rPr>
                <w:rFonts w:hint="eastAsia" w:ascii="宋体" w:hAnsi="宋体" w:cs="宋体"/>
                <w:sz w:val="24"/>
              </w:rPr>
              <w:t>付款条件</w:t>
            </w:r>
          </w:p>
        </w:tc>
        <w:tc>
          <w:tcPr>
            <w:tcW w:w="4884"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宋体" w:hAnsi="宋体" w:cs="宋体"/>
                <w:sz w:val="24"/>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s="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s="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9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jc w:val="center"/>
              <w:rPr>
                <w:rFonts w:ascii="宋体" w:hAnsi="宋体" w:cs="宋体"/>
                <w:sz w:val="24"/>
                <w:szCs w:val="20"/>
              </w:rPr>
            </w:pPr>
            <w:r>
              <w:rPr>
                <w:rFonts w:hint="eastAsia" w:ascii="宋体" w:hAnsi="宋体" w:cs="宋体"/>
                <w:sz w:val="24"/>
              </w:rPr>
              <w:t>…</w:t>
            </w:r>
          </w:p>
        </w:tc>
        <w:tc>
          <w:tcPr>
            <w:tcW w:w="4884"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s="宋体"/>
                <w:sz w:val="24"/>
                <w:szCs w:val="20"/>
              </w:rPr>
            </w:pPr>
          </w:p>
        </w:tc>
        <w:tc>
          <w:tcPr>
            <w:tcW w:w="1217"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s="宋体"/>
                <w:sz w:val="24"/>
                <w:szCs w:val="20"/>
              </w:rPr>
            </w:pPr>
          </w:p>
        </w:tc>
        <w:tc>
          <w:tcPr>
            <w:tcW w:w="1699" w:type="dxa"/>
            <w:tcBorders>
              <w:top w:val="single" w:color="auto" w:sz="4" w:space="0"/>
              <w:left w:val="single" w:color="auto" w:sz="4" w:space="0"/>
              <w:bottom w:val="single" w:color="auto" w:sz="4" w:space="0"/>
              <w:right w:val="single" w:color="auto" w:sz="4" w:space="0"/>
            </w:tcBorders>
          </w:tcPr>
          <w:p>
            <w:pPr>
              <w:snapToGrid w:val="0"/>
              <w:spacing w:before="120" w:beforeLines="50" w:line="360" w:lineRule="auto"/>
              <w:rPr>
                <w:rFonts w:ascii="宋体" w:hAnsi="宋体" w:cs="宋体"/>
                <w:sz w:val="24"/>
                <w:szCs w:val="20"/>
              </w:rPr>
            </w:pPr>
          </w:p>
        </w:tc>
      </w:tr>
    </w:tbl>
    <w:p>
      <w:pPr>
        <w:pStyle w:val="7"/>
        <w:spacing w:line="360" w:lineRule="auto"/>
        <w:ind w:firstLine="0"/>
        <w:rPr>
          <w:rFonts w:ascii="宋体" w:hAnsi="宋体" w:cs="宋体"/>
          <w:spacing w:val="20"/>
          <w:sz w:val="24"/>
        </w:rPr>
      </w:pPr>
    </w:p>
    <w:p>
      <w:pPr>
        <w:pStyle w:val="7"/>
        <w:spacing w:line="360" w:lineRule="auto"/>
        <w:ind w:firstLine="0"/>
        <w:rPr>
          <w:rFonts w:ascii="宋体" w:hAnsi="宋体" w:cs="宋体"/>
          <w:sz w:val="24"/>
          <w:szCs w:val="24"/>
        </w:rPr>
      </w:pPr>
      <w:r>
        <w:rPr>
          <w:rFonts w:hint="eastAsia" w:ascii="宋体" w:hAnsi="宋体" w:cs="宋体"/>
          <w:spacing w:val="20"/>
          <w:sz w:val="24"/>
        </w:rPr>
        <w:t>投标供应商（盖章）：</w:t>
      </w:r>
    </w:p>
    <w:p>
      <w:pPr>
        <w:pStyle w:val="7"/>
        <w:spacing w:line="360" w:lineRule="auto"/>
        <w:ind w:firstLine="0"/>
        <w:rPr>
          <w:rFonts w:ascii="宋体" w:hAnsi="宋体" w:cs="宋体"/>
          <w:spacing w:val="20"/>
          <w:sz w:val="24"/>
          <w:u w:val="single"/>
        </w:rPr>
      </w:pPr>
      <w:r>
        <w:rPr>
          <w:rFonts w:hint="eastAsia" w:ascii="宋体" w:hAnsi="宋体" w:cs="宋体"/>
          <w:sz w:val="24"/>
          <w:szCs w:val="24"/>
        </w:rPr>
        <w:t>法定代表人或其授权代表（盖章）</w:t>
      </w:r>
      <w:r>
        <w:rPr>
          <w:rFonts w:hint="eastAsia" w:ascii="宋体" w:hAnsi="宋体" w:cs="宋体"/>
          <w:spacing w:val="20"/>
          <w:sz w:val="24"/>
        </w:rPr>
        <w:t>：</w:t>
      </w:r>
    </w:p>
    <w:p>
      <w:pPr>
        <w:spacing w:line="360" w:lineRule="auto"/>
        <w:rPr>
          <w:rFonts w:ascii="宋体" w:hAnsi="宋体" w:cs="宋体"/>
          <w:spacing w:val="20"/>
          <w:sz w:val="24"/>
        </w:rPr>
      </w:pPr>
    </w:p>
    <w:p>
      <w:pPr>
        <w:spacing w:line="360" w:lineRule="auto"/>
        <w:ind w:firstLine="5740" w:firstLineChars="2050"/>
        <w:rPr>
          <w:rFonts w:ascii="宋体" w:hAnsi="宋体" w:cs="宋体"/>
          <w:spacing w:val="20"/>
          <w:sz w:val="24"/>
        </w:rPr>
      </w:pPr>
      <w:r>
        <w:rPr>
          <w:rFonts w:hint="eastAsia" w:ascii="宋体" w:hAnsi="宋体" w:cs="宋体"/>
          <w:spacing w:val="20"/>
          <w:sz w:val="24"/>
        </w:rPr>
        <w:t xml:space="preserve">  年  月  日</w:t>
      </w:r>
    </w:p>
    <w:p>
      <w:pPr>
        <w:rPr>
          <w:rFonts w:ascii="宋体" w:hAnsi="宋体" w:cs="宋体"/>
          <w:spacing w:val="20"/>
          <w:sz w:val="24"/>
        </w:rPr>
      </w:pPr>
      <w:r>
        <w:rPr>
          <w:rFonts w:hint="eastAsia" w:ascii="宋体" w:hAnsi="宋体" w:cs="宋体"/>
          <w:spacing w:val="20"/>
          <w:sz w:val="24"/>
        </w:rPr>
        <w:br w:type="page"/>
      </w:r>
    </w:p>
    <w:p>
      <w:pPr>
        <w:pStyle w:val="20"/>
        <w:spacing w:line="360" w:lineRule="auto"/>
        <w:ind w:firstLine="482" w:firstLineChars="200"/>
        <w:jc w:val="center"/>
        <w:rPr>
          <w:rFonts w:ascii="宋体" w:hAnsi="宋体" w:cs="宋体"/>
          <w:sz w:val="24"/>
        </w:rPr>
      </w:pPr>
      <w:r>
        <w:rPr>
          <w:rFonts w:hint="eastAsia" w:ascii="宋体" w:hAnsi="宋体" w:cs="宋体"/>
          <w:b/>
          <w:bCs/>
          <w:sz w:val="24"/>
        </w:rPr>
        <w:t>十</w:t>
      </w:r>
      <w:r>
        <w:rPr>
          <w:rFonts w:hint="eastAsia" w:ascii="宋体" w:hAnsi="宋体" w:cs="宋体"/>
          <w:b/>
          <w:bCs/>
          <w:sz w:val="24"/>
          <w:lang w:val="en-US" w:eastAsia="zh-CN"/>
        </w:rPr>
        <w:t>二</w:t>
      </w:r>
      <w:r>
        <w:rPr>
          <w:rFonts w:hint="eastAsia" w:ascii="宋体" w:hAnsi="宋体" w:cs="宋体"/>
          <w:b/>
          <w:bCs/>
          <w:sz w:val="24"/>
          <w:lang w:eastAsia="zh-CN"/>
        </w:rPr>
        <w:t>、</w:t>
      </w:r>
      <w:r>
        <w:rPr>
          <w:rFonts w:hint="eastAsia" w:ascii="宋体" w:hAnsi="宋体" w:cs="宋体"/>
          <w:b/>
          <w:bCs/>
          <w:sz w:val="24"/>
        </w:rPr>
        <w:t>其他投标供应商认为有必要提供的资料。</w:t>
      </w: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spacing w:line="360" w:lineRule="auto"/>
        <w:jc w:val="center"/>
        <w:rPr>
          <w:rFonts w:ascii="宋体" w:hAnsi="宋体" w:cs="宋体"/>
          <w:b/>
          <w:bCs/>
          <w:sz w:val="24"/>
        </w:rPr>
      </w:pPr>
    </w:p>
    <w:p>
      <w:pPr>
        <w:pStyle w:val="21"/>
        <w:ind w:firstLine="0" w:firstLineChars="0"/>
        <w:rPr>
          <w:rFonts w:ascii="宋体" w:hAnsi="宋体" w:cs="宋体"/>
        </w:rPr>
      </w:pPr>
    </w:p>
    <w:p>
      <w:pPr>
        <w:pStyle w:val="21"/>
        <w:ind w:firstLine="241"/>
        <w:jc w:val="center"/>
        <w:rPr>
          <w:rFonts w:ascii="宋体" w:hAnsi="宋体" w:cs="宋体"/>
          <w:b/>
          <w:bCs/>
          <w:sz w:val="24"/>
        </w:rPr>
      </w:pPr>
    </w:p>
    <w:p>
      <w:pPr>
        <w:pStyle w:val="7"/>
        <w:rPr>
          <w:rFonts w:ascii="宋体" w:hAnsi="宋体" w:cs="宋体"/>
          <w:sz w:val="24"/>
        </w:rPr>
      </w:pPr>
    </w:p>
    <w:p>
      <w:pPr>
        <w:rPr>
          <w:rFonts w:ascii="宋体" w:hAnsi="宋体" w:cs="宋体"/>
        </w:rPr>
      </w:pPr>
    </w:p>
    <w:p>
      <w:pPr>
        <w:rPr>
          <w:rFonts w:ascii="宋体" w:hAnsi="宋体" w:cs="宋体"/>
        </w:rPr>
      </w:pPr>
    </w:p>
    <w:p>
      <w:pPr>
        <w:rPr>
          <w:rFonts w:ascii="宋体" w:hAnsi="宋体" w:cs="宋体"/>
          <w:b/>
          <w:sz w:val="24"/>
        </w:rPr>
      </w:pPr>
      <w:r>
        <w:rPr>
          <w:rFonts w:hint="eastAsia" w:ascii="宋体" w:hAnsi="宋体" w:cs="宋体"/>
          <w:b/>
          <w:sz w:val="24"/>
        </w:rPr>
        <w:br w:type="page"/>
      </w:r>
    </w:p>
    <w:p>
      <w:pPr>
        <w:numPr>
          <w:ilvl w:val="0"/>
          <w:numId w:val="8"/>
        </w:numPr>
        <w:spacing w:line="760" w:lineRule="exact"/>
        <w:rPr>
          <w:rFonts w:ascii="宋体" w:hAnsi="宋体" w:cs="宋体"/>
          <w:b/>
          <w:sz w:val="24"/>
        </w:rPr>
      </w:pPr>
      <w:r>
        <w:rPr>
          <w:rFonts w:hint="eastAsia" w:ascii="宋体" w:hAnsi="宋体" w:cs="宋体"/>
          <w:b/>
          <w:sz w:val="24"/>
        </w:rPr>
        <w:t>报价文件格式：</w:t>
      </w:r>
    </w:p>
    <w:p>
      <w:pPr>
        <w:pStyle w:val="23"/>
        <w:ind w:firstLine="0"/>
        <w:rPr>
          <w:rFonts w:hAnsi="宋体" w:cs="宋体"/>
        </w:rPr>
      </w:pPr>
    </w:p>
    <w:p>
      <w:pPr>
        <w:pStyle w:val="23"/>
        <w:ind w:firstLine="0"/>
        <w:rPr>
          <w:rFonts w:hAnsi="宋体" w:cs="宋体"/>
        </w:rPr>
      </w:pPr>
    </w:p>
    <w:p>
      <w:pPr>
        <w:snapToGrid w:val="0"/>
        <w:spacing w:before="120" w:beforeLines="50" w:after="50"/>
        <w:jc w:val="right"/>
        <w:rPr>
          <w:rFonts w:ascii="宋体" w:hAnsi="宋体" w:cs="宋体"/>
          <w:bCs/>
          <w:sz w:val="24"/>
          <w:szCs w:val="20"/>
        </w:rPr>
      </w:pPr>
      <w:r>
        <w:rPr>
          <w:rFonts w:hint="eastAsia" w:ascii="宋体" w:hAnsi="宋体" w:cs="宋体"/>
          <w:b/>
          <w:sz w:val="24"/>
          <w:szCs w:val="20"/>
        </w:rPr>
        <w:t>正本/或副本</w:t>
      </w:r>
    </w:p>
    <w:p>
      <w:pPr>
        <w:snapToGrid w:val="0"/>
        <w:spacing w:before="120" w:beforeLines="50" w:after="50"/>
        <w:jc w:val="center"/>
        <w:rPr>
          <w:rFonts w:ascii="宋体" w:hAnsi="宋体" w:cs="宋体"/>
          <w:bCs/>
          <w:sz w:val="24"/>
        </w:rPr>
      </w:pPr>
    </w:p>
    <w:p>
      <w:pPr>
        <w:snapToGrid w:val="0"/>
        <w:spacing w:before="120" w:beforeLines="50" w:after="50"/>
        <w:jc w:val="center"/>
        <w:rPr>
          <w:rFonts w:ascii="宋体" w:hAnsi="宋体" w:cs="宋体"/>
          <w:bCs/>
          <w:sz w:val="24"/>
        </w:rPr>
      </w:pPr>
    </w:p>
    <w:p>
      <w:pPr>
        <w:snapToGrid w:val="0"/>
        <w:spacing w:before="120" w:beforeLines="50" w:after="50"/>
        <w:jc w:val="center"/>
        <w:rPr>
          <w:rFonts w:ascii="宋体" w:hAnsi="宋体" w:cs="宋体"/>
          <w:bCs/>
          <w:sz w:val="24"/>
        </w:rPr>
      </w:pPr>
    </w:p>
    <w:p>
      <w:pPr>
        <w:snapToGrid w:val="0"/>
        <w:spacing w:before="120" w:beforeLines="50" w:after="50"/>
        <w:jc w:val="center"/>
        <w:rPr>
          <w:rFonts w:ascii="宋体" w:hAnsi="宋体" w:cs="宋体"/>
          <w:bCs/>
          <w:sz w:val="24"/>
          <w:szCs w:val="20"/>
        </w:rPr>
      </w:pPr>
      <w:r>
        <w:rPr>
          <w:rFonts w:hint="eastAsia" w:ascii="宋体" w:hAnsi="宋体" w:cs="宋体"/>
          <w:bCs/>
          <w:sz w:val="24"/>
        </w:rPr>
        <w:t>报价文件</w:t>
      </w:r>
    </w:p>
    <w:p>
      <w:pPr>
        <w:snapToGrid w:val="0"/>
        <w:spacing w:before="120" w:beforeLines="50" w:after="50"/>
        <w:rPr>
          <w:rFonts w:ascii="宋体" w:hAnsi="宋体" w:cs="宋体"/>
          <w:bCs/>
          <w:sz w:val="24"/>
          <w:szCs w:val="20"/>
        </w:rPr>
      </w:pPr>
    </w:p>
    <w:p>
      <w:pPr>
        <w:snapToGrid w:val="0"/>
        <w:spacing w:before="120" w:beforeLines="50" w:after="50"/>
        <w:ind w:firstLine="1068" w:firstLineChars="445"/>
        <w:rPr>
          <w:rFonts w:ascii="宋体" w:hAnsi="宋体" w:cs="宋体"/>
          <w:bCs/>
          <w:sz w:val="24"/>
        </w:rPr>
      </w:pPr>
      <w:r>
        <w:rPr>
          <w:rFonts w:hint="eastAsia" w:ascii="宋体" w:hAnsi="宋体" w:cs="宋体"/>
          <w:bCs/>
          <w:sz w:val="24"/>
        </w:rPr>
        <w:t>项目名称：</w:t>
      </w:r>
    </w:p>
    <w:p>
      <w:pPr>
        <w:snapToGrid w:val="0"/>
        <w:spacing w:before="120" w:beforeLines="50" w:after="50"/>
        <w:ind w:firstLine="1068" w:firstLineChars="445"/>
        <w:rPr>
          <w:rFonts w:ascii="宋体" w:hAnsi="宋体" w:cs="宋体"/>
          <w:bCs/>
          <w:sz w:val="24"/>
        </w:rPr>
      </w:pPr>
      <w:r>
        <w:rPr>
          <w:rFonts w:hint="eastAsia" w:ascii="宋体" w:hAnsi="宋体" w:cs="宋体"/>
          <w:bCs/>
          <w:sz w:val="24"/>
        </w:rPr>
        <w:t>项目编号：</w:t>
      </w:r>
    </w:p>
    <w:p>
      <w:pPr>
        <w:snapToGrid w:val="0"/>
        <w:spacing w:before="120" w:beforeLines="50" w:after="50"/>
        <w:ind w:firstLine="1068" w:firstLineChars="445"/>
        <w:rPr>
          <w:rFonts w:ascii="宋体" w:hAnsi="宋体" w:cs="宋体"/>
          <w:bCs/>
          <w:sz w:val="24"/>
        </w:rPr>
      </w:pPr>
      <w:r>
        <w:rPr>
          <w:rFonts w:hint="eastAsia" w:ascii="宋体" w:hAnsi="宋体" w:cs="宋体"/>
          <w:bCs/>
          <w:sz w:val="24"/>
        </w:rPr>
        <w:t>投标人名称：</w:t>
      </w:r>
    </w:p>
    <w:p>
      <w:pPr>
        <w:snapToGrid w:val="0"/>
        <w:spacing w:before="120" w:beforeLines="50" w:after="50"/>
        <w:ind w:firstLine="1068" w:firstLineChars="445"/>
        <w:rPr>
          <w:rFonts w:ascii="宋体" w:hAnsi="宋体" w:cs="宋体"/>
          <w:bCs/>
          <w:sz w:val="24"/>
        </w:rPr>
      </w:pPr>
      <w:r>
        <w:rPr>
          <w:rFonts w:hint="eastAsia" w:ascii="宋体" w:hAnsi="宋体" w:cs="宋体"/>
          <w:bCs/>
          <w:sz w:val="24"/>
        </w:rPr>
        <w:t>投标人地址：</w:t>
      </w:r>
    </w:p>
    <w:p>
      <w:pPr>
        <w:snapToGrid w:val="0"/>
        <w:spacing w:before="120" w:beforeLines="50" w:after="50"/>
        <w:ind w:firstLine="1068" w:firstLineChars="445"/>
        <w:rPr>
          <w:rFonts w:ascii="宋体" w:hAnsi="宋体" w:cs="宋体"/>
          <w:bCs/>
          <w:sz w:val="24"/>
        </w:rPr>
      </w:pPr>
      <w:r>
        <w:rPr>
          <w:rFonts w:hint="eastAsia" w:ascii="宋体" w:hAnsi="宋体" w:cs="宋体"/>
          <w:bCs/>
          <w:sz w:val="24"/>
        </w:rPr>
        <w:t>在  年  月  日  时  分之前不得启封</w:t>
      </w:r>
    </w:p>
    <w:p>
      <w:pPr>
        <w:snapToGrid w:val="0"/>
        <w:spacing w:before="120" w:beforeLines="50" w:after="50"/>
        <w:ind w:firstLine="4080" w:firstLineChars="1700"/>
        <w:rPr>
          <w:rFonts w:ascii="宋体" w:hAnsi="宋体" w:cs="宋体"/>
          <w:bCs/>
          <w:sz w:val="24"/>
          <w:szCs w:val="20"/>
        </w:rPr>
      </w:pPr>
    </w:p>
    <w:p>
      <w:pPr>
        <w:snapToGrid w:val="0"/>
        <w:spacing w:before="120" w:beforeLines="50" w:after="50"/>
        <w:ind w:firstLine="645"/>
        <w:jc w:val="right"/>
        <w:rPr>
          <w:rFonts w:ascii="宋体" w:hAnsi="宋体" w:cs="宋体"/>
          <w:bCs/>
          <w:sz w:val="24"/>
          <w:szCs w:val="20"/>
        </w:rPr>
      </w:pPr>
      <w:r>
        <w:rPr>
          <w:rFonts w:hint="eastAsia" w:ascii="宋体" w:hAnsi="宋体" w:cs="宋体"/>
          <w:bCs/>
          <w:sz w:val="24"/>
        </w:rPr>
        <w:t>年  月  日</w:t>
      </w:r>
    </w:p>
    <w:p>
      <w:pPr>
        <w:snapToGrid w:val="0"/>
        <w:spacing w:before="50" w:after="120" w:afterLines="5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pStyle w:val="7"/>
        <w:ind w:firstLine="0"/>
        <w:rPr>
          <w:rFonts w:ascii="宋体" w:hAnsi="宋体" w:cs="宋体"/>
          <w:b/>
          <w:sz w:val="24"/>
        </w:rPr>
      </w:pPr>
    </w:p>
    <w:p>
      <w:pPr>
        <w:snapToGrid w:val="0"/>
        <w:spacing w:line="360" w:lineRule="auto"/>
        <w:jc w:val="left"/>
        <w:rPr>
          <w:rFonts w:ascii="宋体" w:hAnsi="宋体" w:cs="宋体"/>
          <w:sz w:val="24"/>
        </w:rPr>
      </w:pPr>
      <w:r>
        <w:rPr>
          <w:rFonts w:hint="eastAsia" w:ascii="宋体" w:hAnsi="宋体" w:cs="宋体"/>
          <w:b/>
          <w:sz w:val="24"/>
        </w:rPr>
        <w:t>报价文件目录</w:t>
      </w:r>
    </w:p>
    <w:p>
      <w:pPr>
        <w:tabs>
          <w:tab w:val="left" w:pos="720"/>
        </w:tabs>
        <w:spacing w:line="360" w:lineRule="auto"/>
        <w:ind w:firstLine="480" w:firstLineChars="200"/>
        <w:rPr>
          <w:rFonts w:ascii="宋体" w:hAnsi="宋体" w:cs="宋体"/>
          <w:sz w:val="24"/>
        </w:rPr>
      </w:pPr>
      <w:r>
        <w:rPr>
          <w:rFonts w:hint="eastAsia" w:ascii="宋体" w:hAnsi="宋体" w:cs="宋体"/>
          <w:sz w:val="24"/>
        </w:rPr>
        <w:t>（1) 投标函；</w:t>
      </w:r>
    </w:p>
    <w:p>
      <w:pPr>
        <w:tabs>
          <w:tab w:val="left" w:pos="720"/>
        </w:tabs>
        <w:spacing w:line="360" w:lineRule="auto"/>
        <w:ind w:firstLine="480" w:firstLineChars="200"/>
        <w:rPr>
          <w:rFonts w:ascii="宋体" w:hAnsi="宋体" w:cs="宋体"/>
          <w:sz w:val="24"/>
        </w:rPr>
      </w:pPr>
      <w:r>
        <w:rPr>
          <w:rFonts w:hint="eastAsia" w:ascii="宋体" w:hAnsi="宋体" w:cs="宋体"/>
          <w:sz w:val="24"/>
        </w:rPr>
        <w:t>（2) 开标一览表；</w:t>
      </w:r>
    </w:p>
    <w:p>
      <w:pPr>
        <w:pStyle w:val="61"/>
        <w:rPr>
          <w:rFonts w:ascii="宋体" w:hAnsi="宋体" w:cs="宋体"/>
        </w:rPr>
      </w:pPr>
      <w:r>
        <w:rPr>
          <w:rFonts w:hint="eastAsia" w:ascii="宋体" w:hAnsi="宋体" w:cs="宋体"/>
          <w:sz w:val="24"/>
        </w:rPr>
        <w:t>（3）中小企业声明函；</w:t>
      </w:r>
    </w:p>
    <w:p>
      <w:pPr>
        <w:snapToGrid w:val="0"/>
        <w:spacing w:line="360" w:lineRule="auto"/>
        <w:ind w:firstLine="480" w:firstLineChars="200"/>
        <w:jc w:val="left"/>
        <w:rPr>
          <w:rFonts w:ascii="宋体" w:hAnsi="宋体" w:cs="宋体"/>
        </w:rPr>
      </w:pPr>
      <w:r>
        <w:rPr>
          <w:rFonts w:hint="eastAsia" w:ascii="宋体" w:hAnsi="宋体" w:cs="宋体"/>
          <w:sz w:val="24"/>
        </w:rPr>
        <w:t>（4）招标代理服务费承诺函；</w:t>
      </w:r>
    </w:p>
    <w:p>
      <w:pPr>
        <w:pStyle w:val="41"/>
        <w:spacing w:after="120" w:line="360" w:lineRule="auto"/>
        <w:ind w:firstLine="480" w:firstLineChars="200"/>
        <w:rPr>
          <w:rFonts w:cs="宋体"/>
          <w:color w:val="auto"/>
        </w:rPr>
      </w:pPr>
      <w:r>
        <w:rPr>
          <w:rFonts w:hint="eastAsia" w:cs="宋体"/>
          <w:color w:val="auto"/>
        </w:rPr>
        <w:t>（5）其他投标供应商认为有必要提供的资料。</w:t>
      </w:r>
      <w:r>
        <w:rPr>
          <w:rFonts w:hint="eastAsia" w:cs="宋体"/>
          <w:color w:val="auto"/>
        </w:rPr>
        <w:tab/>
      </w:r>
    </w:p>
    <w:p>
      <w:pPr>
        <w:snapToGrid w:val="0"/>
        <w:spacing w:line="360" w:lineRule="auto"/>
        <w:rPr>
          <w:rFonts w:ascii="宋体" w:hAnsi="宋体" w:cs="宋体"/>
          <w:b/>
          <w:sz w:val="24"/>
        </w:rPr>
      </w:pPr>
    </w:p>
    <w:p>
      <w:pPr>
        <w:pStyle w:val="21"/>
        <w:ind w:firstLine="240"/>
        <w:rPr>
          <w:rFonts w:ascii="宋体" w:hAnsi="宋体" w:cs="宋体"/>
          <w:sz w:val="24"/>
        </w:rPr>
      </w:pPr>
    </w:p>
    <w:p>
      <w:pPr>
        <w:rPr>
          <w:rFonts w:ascii="宋体"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3"/>
        <w:rPr>
          <w:rFonts w:hAnsi="宋体" w:cs="宋体"/>
          <w:sz w:val="24"/>
        </w:rPr>
      </w:pPr>
    </w:p>
    <w:p>
      <w:pPr>
        <w:pStyle w:val="21"/>
        <w:ind w:firstLine="0" w:firstLineChars="0"/>
        <w:rPr>
          <w:rFonts w:ascii="宋体" w:hAnsi="宋体" w:cs="宋体"/>
          <w:sz w:val="24"/>
        </w:rPr>
      </w:pPr>
    </w:p>
    <w:p>
      <w:pPr>
        <w:rPr>
          <w:rFonts w:ascii="宋体" w:hAnsi="宋体" w:cs="宋体"/>
        </w:rPr>
      </w:pPr>
    </w:p>
    <w:p>
      <w:pPr>
        <w:pStyle w:val="61"/>
        <w:ind w:firstLine="560"/>
        <w:rPr>
          <w:rFonts w:ascii="宋体" w:hAnsi="宋体" w:cs="宋体"/>
        </w:rPr>
      </w:pPr>
    </w:p>
    <w:p>
      <w:pPr>
        <w:pStyle w:val="61"/>
        <w:ind w:firstLine="560"/>
        <w:rPr>
          <w:rFonts w:ascii="宋体" w:hAnsi="宋体" w:cs="宋体"/>
        </w:rPr>
      </w:pPr>
    </w:p>
    <w:p>
      <w:pPr>
        <w:pStyle w:val="61"/>
        <w:ind w:firstLine="560"/>
        <w:rPr>
          <w:rFonts w:ascii="宋体" w:hAnsi="宋体" w:cs="宋体"/>
        </w:rPr>
      </w:pPr>
    </w:p>
    <w:p>
      <w:pPr>
        <w:pStyle w:val="61"/>
        <w:ind w:firstLine="560"/>
        <w:rPr>
          <w:rFonts w:ascii="宋体" w:hAnsi="宋体" w:cs="宋体"/>
        </w:rPr>
      </w:pPr>
    </w:p>
    <w:p>
      <w:pPr>
        <w:snapToGrid w:val="0"/>
        <w:spacing w:line="460" w:lineRule="exact"/>
        <w:jc w:val="center"/>
        <w:rPr>
          <w:rFonts w:ascii="宋体" w:hAnsi="宋体" w:cs="宋体"/>
          <w:b/>
          <w:sz w:val="24"/>
        </w:rPr>
      </w:pPr>
      <w:r>
        <w:rPr>
          <w:rFonts w:hint="eastAsia" w:ascii="宋体" w:hAnsi="宋体" w:cs="宋体"/>
          <w:b/>
          <w:sz w:val="24"/>
        </w:rPr>
        <w:t>一、投标函</w:t>
      </w:r>
    </w:p>
    <w:p>
      <w:pPr>
        <w:snapToGrid w:val="0"/>
        <w:spacing w:line="460" w:lineRule="exact"/>
        <w:rPr>
          <w:rFonts w:ascii="宋体" w:hAnsi="宋体" w:cs="宋体"/>
          <w:sz w:val="24"/>
          <w:szCs w:val="20"/>
        </w:rPr>
      </w:pPr>
      <w:r>
        <w:rPr>
          <w:rFonts w:hint="eastAsia" w:ascii="宋体" w:hAnsi="宋体" w:cs="宋体"/>
          <w:sz w:val="24"/>
        </w:rPr>
        <w:t>致：（采购人名称）：</w:t>
      </w:r>
    </w:p>
    <w:p>
      <w:pPr>
        <w:snapToGrid w:val="0"/>
        <w:spacing w:line="460" w:lineRule="exact"/>
        <w:ind w:firstLine="600" w:firstLineChars="250"/>
        <w:rPr>
          <w:rFonts w:ascii="宋体" w:hAnsi="宋体" w:cs="宋体"/>
          <w:sz w:val="24"/>
          <w:szCs w:val="20"/>
        </w:rPr>
      </w:pPr>
      <w:r>
        <w:rPr>
          <w:rFonts w:hint="eastAsia" w:ascii="宋体" w:hAnsi="宋体" w:cs="宋体"/>
          <w:sz w:val="24"/>
        </w:rPr>
        <w:t>根据贵方为项目的招标公告（项目编号：），签字代表（全名）经正式授权并代表供应商（供应商名称）提交资格文件、报价文件、技术文件、商务文件、资信及其他文件电子标书一份。</w:t>
      </w:r>
    </w:p>
    <w:p>
      <w:pPr>
        <w:snapToGrid w:val="0"/>
        <w:spacing w:line="460" w:lineRule="exact"/>
        <w:ind w:firstLine="480" w:firstLineChars="200"/>
        <w:rPr>
          <w:rFonts w:ascii="宋体" w:hAnsi="宋体" w:cs="宋体"/>
          <w:sz w:val="24"/>
          <w:szCs w:val="20"/>
        </w:rPr>
      </w:pPr>
      <w:r>
        <w:rPr>
          <w:rFonts w:hint="eastAsia" w:ascii="宋体" w:hAnsi="宋体" w:cs="宋体"/>
          <w:sz w:val="24"/>
        </w:rPr>
        <w:t>据此函，签字代表宣布同意如下：</w:t>
      </w:r>
    </w:p>
    <w:p>
      <w:pPr>
        <w:snapToGrid w:val="0"/>
        <w:spacing w:line="460" w:lineRule="exact"/>
        <w:ind w:firstLine="480" w:firstLineChars="200"/>
        <w:rPr>
          <w:rFonts w:ascii="宋体" w:hAnsi="宋体" w:cs="宋体"/>
          <w:sz w:val="24"/>
          <w:szCs w:val="20"/>
        </w:rPr>
      </w:pPr>
      <w:r>
        <w:rPr>
          <w:rFonts w:hint="eastAsia" w:ascii="宋体" w:hAnsi="宋体" w:cs="宋体"/>
          <w:sz w:val="24"/>
        </w:rPr>
        <w:t>1.供应商已详细审查全部“采购文件”，包括修改文件（如有的话）以及全部参考资料和有关附件，已经了解我方对于采购文件、采购过程、采购结果有依法进行询问、质疑、投诉的权利及相关渠道和要求。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460" w:lineRule="exact"/>
        <w:ind w:firstLine="480" w:firstLineChars="200"/>
        <w:rPr>
          <w:rFonts w:ascii="宋体" w:hAnsi="宋体" w:cs="宋体"/>
          <w:sz w:val="24"/>
          <w:szCs w:val="20"/>
        </w:rPr>
      </w:pPr>
      <w:r>
        <w:rPr>
          <w:rFonts w:hint="eastAsia" w:ascii="宋体" w:hAnsi="宋体" w:cs="宋体"/>
          <w:sz w:val="24"/>
        </w:rPr>
        <w:t>2.供应商在竞标之前已经与贵方进行了充分的沟通，完全理解并接受采购文件的各项规定和要求，对采购文件的合理性、合法性不再有异议。</w:t>
      </w:r>
    </w:p>
    <w:p>
      <w:pPr>
        <w:snapToGrid w:val="0"/>
        <w:spacing w:line="460" w:lineRule="exact"/>
        <w:ind w:firstLine="480" w:firstLineChars="200"/>
        <w:rPr>
          <w:rFonts w:ascii="宋体" w:hAnsi="宋体" w:cs="宋体"/>
          <w:sz w:val="24"/>
          <w:szCs w:val="20"/>
        </w:rPr>
      </w:pPr>
      <w:r>
        <w:rPr>
          <w:rFonts w:hint="eastAsia" w:ascii="宋体" w:hAnsi="宋体" w:cs="宋体"/>
          <w:sz w:val="24"/>
        </w:rPr>
        <w:t>3.本投标有效期自投标日起</w:t>
      </w:r>
      <w:r>
        <w:rPr>
          <w:rFonts w:hint="eastAsia" w:ascii="宋体" w:hAnsi="宋体" w:cs="宋体"/>
          <w:sz w:val="24"/>
          <w:u w:val="single"/>
        </w:rPr>
        <w:t>60</w:t>
      </w:r>
      <w:r>
        <w:rPr>
          <w:rFonts w:hint="eastAsia" w:ascii="宋体" w:hAnsi="宋体" w:cs="宋体"/>
          <w:sz w:val="24"/>
        </w:rPr>
        <w:t>个日历天。</w:t>
      </w:r>
    </w:p>
    <w:p>
      <w:pPr>
        <w:snapToGrid w:val="0"/>
        <w:spacing w:line="460" w:lineRule="exact"/>
        <w:ind w:firstLine="480" w:firstLineChars="200"/>
        <w:rPr>
          <w:rFonts w:ascii="宋体" w:hAnsi="宋体" w:cs="宋体"/>
          <w:sz w:val="24"/>
          <w:szCs w:val="20"/>
        </w:rPr>
      </w:pPr>
      <w:r>
        <w:rPr>
          <w:rFonts w:hint="eastAsia" w:ascii="宋体" w:hAnsi="宋体" w:cs="宋体"/>
          <w:sz w:val="24"/>
        </w:rPr>
        <w:t>4.如成交，本投标文件至本项目合同履行完毕止均保持有效，本供应商将按“采购文件”及政府采购法律、法规的规定履行合同责任和义务。</w:t>
      </w:r>
    </w:p>
    <w:p>
      <w:pPr>
        <w:snapToGrid w:val="0"/>
        <w:spacing w:line="460" w:lineRule="exact"/>
        <w:ind w:firstLine="480" w:firstLineChars="200"/>
        <w:rPr>
          <w:rFonts w:ascii="宋体" w:hAnsi="宋体" w:cs="宋体"/>
          <w:sz w:val="24"/>
          <w:szCs w:val="20"/>
        </w:rPr>
      </w:pPr>
      <w:r>
        <w:rPr>
          <w:rFonts w:hint="eastAsia" w:ascii="宋体" w:hAnsi="宋体" w:cs="宋体"/>
          <w:sz w:val="24"/>
        </w:rPr>
        <w:t>5.供应商同意按照贵方要求提供与竞标有关的一切数据或资料。</w:t>
      </w:r>
    </w:p>
    <w:p>
      <w:pPr>
        <w:snapToGrid w:val="0"/>
        <w:spacing w:line="460" w:lineRule="exact"/>
        <w:ind w:firstLine="480" w:firstLineChars="200"/>
        <w:rPr>
          <w:rFonts w:ascii="宋体" w:hAnsi="宋体" w:cs="宋体"/>
          <w:sz w:val="24"/>
          <w:szCs w:val="20"/>
        </w:rPr>
      </w:pPr>
      <w:r>
        <w:rPr>
          <w:rFonts w:hint="eastAsia" w:ascii="宋体" w:hAnsi="宋体" w:cs="宋体"/>
          <w:sz w:val="24"/>
        </w:rPr>
        <w:t>6.与本竞标有关的一切正式往来信函请寄：</w:t>
      </w:r>
    </w:p>
    <w:p>
      <w:pPr>
        <w:snapToGrid w:val="0"/>
        <w:spacing w:line="560" w:lineRule="exact"/>
        <w:rPr>
          <w:rFonts w:ascii="宋体" w:hAnsi="宋体" w:cs="宋体"/>
          <w:sz w:val="24"/>
          <w:szCs w:val="20"/>
        </w:rPr>
      </w:pPr>
      <w:r>
        <w:rPr>
          <w:rFonts w:hint="eastAsia" w:ascii="宋体" w:hAnsi="宋体" w:cs="宋体"/>
          <w:sz w:val="24"/>
        </w:rPr>
        <w:t>地址：邮编：电话：</w:t>
      </w:r>
    </w:p>
    <w:p>
      <w:pPr>
        <w:snapToGrid w:val="0"/>
        <w:spacing w:line="560" w:lineRule="exact"/>
        <w:rPr>
          <w:rFonts w:ascii="宋体" w:hAnsi="宋体" w:cs="宋体"/>
          <w:sz w:val="24"/>
          <w:szCs w:val="20"/>
        </w:rPr>
      </w:pPr>
      <w:r>
        <w:rPr>
          <w:rFonts w:hint="eastAsia" w:ascii="宋体" w:hAnsi="宋体" w:cs="宋体"/>
          <w:sz w:val="24"/>
        </w:rPr>
        <w:t>传真：供应商代表姓名： 职务：</w:t>
      </w:r>
    </w:p>
    <w:p>
      <w:pPr>
        <w:snapToGrid w:val="0"/>
        <w:spacing w:line="560" w:lineRule="exact"/>
        <w:rPr>
          <w:rFonts w:ascii="宋体" w:hAnsi="宋体" w:cs="宋体"/>
          <w:sz w:val="24"/>
          <w:u w:val="single"/>
        </w:rPr>
      </w:pPr>
      <w:r>
        <w:rPr>
          <w:rFonts w:hint="eastAsia" w:ascii="宋体" w:hAnsi="宋体" w:cs="宋体"/>
          <w:sz w:val="24"/>
        </w:rPr>
        <w:t>投标供应商(公章):</w:t>
      </w:r>
    </w:p>
    <w:p>
      <w:pPr>
        <w:snapToGrid w:val="0"/>
        <w:spacing w:line="560" w:lineRule="exact"/>
        <w:rPr>
          <w:rFonts w:ascii="宋体" w:hAnsi="宋体" w:cs="宋体"/>
          <w:sz w:val="24"/>
          <w:szCs w:val="20"/>
        </w:rPr>
      </w:pPr>
      <w:r>
        <w:rPr>
          <w:rFonts w:hint="eastAsia" w:ascii="宋体" w:hAnsi="宋体" w:cs="宋体"/>
          <w:sz w:val="24"/>
        </w:rPr>
        <w:t>开户银行：   银行帐号：</w:t>
      </w:r>
    </w:p>
    <w:p>
      <w:pPr>
        <w:snapToGrid w:val="0"/>
        <w:spacing w:line="560" w:lineRule="exact"/>
        <w:rPr>
          <w:rFonts w:ascii="宋体" w:hAnsi="宋体" w:cs="宋体"/>
          <w:sz w:val="30"/>
          <w:szCs w:val="20"/>
        </w:rPr>
      </w:pPr>
      <w:r>
        <w:rPr>
          <w:rFonts w:hint="eastAsia" w:ascii="宋体" w:hAnsi="宋体" w:cs="宋体"/>
          <w:sz w:val="24"/>
        </w:rPr>
        <w:t xml:space="preserve"> 日期:年月日</w:t>
      </w:r>
    </w:p>
    <w:p>
      <w:pPr>
        <w:pStyle w:val="7"/>
        <w:spacing w:line="600" w:lineRule="exact"/>
        <w:ind w:firstLine="0"/>
        <w:rPr>
          <w:rFonts w:ascii="宋体" w:hAnsi="宋体" w:cs="宋体"/>
          <w:b/>
          <w:bCs/>
          <w:spacing w:val="24"/>
          <w:sz w:val="30"/>
        </w:rPr>
      </w:pPr>
    </w:p>
    <w:p>
      <w:pPr>
        <w:pStyle w:val="7"/>
        <w:spacing w:line="600" w:lineRule="exact"/>
        <w:ind w:firstLine="0"/>
        <w:rPr>
          <w:rFonts w:ascii="宋体" w:hAnsi="宋体" w:cs="宋体"/>
          <w:b/>
          <w:bCs/>
          <w:spacing w:val="24"/>
          <w:sz w:val="30"/>
        </w:rPr>
      </w:pPr>
    </w:p>
    <w:p>
      <w:pPr>
        <w:pStyle w:val="7"/>
        <w:spacing w:line="600" w:lineRule="exact"/>
        <w:ind w:firstLine="0"/>
        <w:rPr>
          <w:rFonts w:ascii="宋体" w:hAnsi="宋体" w:cs="宋体"/>
          <w:b/>
          <w:bCs/>
          <w:spacing w:val="24"/>
          <w:sz w:val="30"/>
        </w:rPr>
      </w:pPr>
    </w:p>
    <w:p>
      <w:pPr>
        <w:pStyle w:val="7"/>
        <w:spacing w:line="600" w:lineRule="exact"/>
        <w:ind w:firstLine="0"/>
        <w:rPr>
          <w:rFonts w:ascii="宋体" w:hAnsi="宋体" w:cs="宋体"/>
          <w:b/>
          <w:bCs/>
          <w:spacing w:val="24"/>
          <w:sz w:val="30"/>
        </w:rPr>
      </w:pPr>
    </w:p>
    <w:p>
      <w:pPr>
        <w:spacing w:line="360" w:lineRule="auto"/>
        <w:rPr>
          <w:rFonts w:ascii="宋体" w:hAnsi="宋体" w:cs="宋体"/>
          <w:b/>
          <w:bCs/>
          <w:sz w:val="24"/>
        </w:rPr>
      </w:pPr>
    </w:p>
    <w:p>
      <w:pPr>
        <w:pStyle w:val="23"/>
        <w:rPr>
          <w:rFonts w:hAnsi="宋体" w:cs="宋体"/>
        </w:rPr>
      </w:pPr>
    </w:p>
    <w:p>
      <w:pPr>
        <w:pStyle w:val="7"/>
        <w:rPr>
          <w:rFonts w:ascii="宋体" w:hAnsi="宋体" w:cs="宋体"/>
        </w:rPr>
      </w:pPr>
    </w:p>
    <w:p>
      <w:pPr>
        <w:pStyle w:val="29"/>
        <w:spacing w:before="295" w:after="295"/>
        <w:jc w:val="center"/>
        <w:rPr>
          <w:rFonts w:hint="eastAsia" w:hAnsi="宋体" w:eastAsia="宋体" w:cs="宋体"/>
          <w:b/>
          <w:sz w:val="24"/>
          <w:szCs w:val="24"/>
          <w:lang w:eastAsia="zh-CN"/>
        </w:rPr>
      </w:pPr>
      <w:r>
        <w:rPr>
          <w:rFonts w:hint="eastAsia" w:hAnsi="宋体" w:cs="宋体"/>
          <w:b/>
          <w:sz w:val="24"/>
          <w:szCs w:val="24"/>
        </w:rPr>
        <w:t>二、开标一览表</w:t>
      </w:r>
      <w:r>
        <w:rPr>
          <w:rFonts w:hint="eastAsia" w:hAnsi="宋体" w:cs="宋体"/>
          <w:b/>
          <w:sz w:val="24"/>
          <w:szCs w:val="24"/>
          <w:lang w:eastAsia="zh-CN"/>
        </w:rPr>
        <w:t>（</w:t>
      </w:r>
      <w:r>
        <w:rPr>
          <w:rFonts w:hint="eastAsia" w:hAnsi="宋体" w:cs="宋体"/>
          <w:b/>
          <w:sz w:val="24"/>
          <w:szCs w:val="24"/>
          <w:lang w:val="en-US" w:eastAsia="zh-CN"/>
        </w:rPr>
        <w:t xml:space="preserve">标项   </w:t>
      </w:r>
      <w:r>
        <w:rPr>
          <w:rFonts w:hint="eastAsia" w:hAnsi="宋体" w:cs="宋体"/>
          <w:b/>
          <w:sz w:val="24"/>
          <w:szCs w:val="24"/>
          <w:lang w:eastAsia="zh-CN"/>
        </w:rPr>
        <w:t>）</w:t>
      </w:r>
    </w:p>
    <w:p>
      <w:pPr>
        <w:adjustRightInd w:val="0"/>
        <w:snapToGrid w:val="0"/>
        <w:spacing w:line="440" w:lineRule="exact"/>
        <w:ind w:firstLine="480" w:firstLineChars="200"/>
        <w:rPr>
          <w:rFonts w:ascii="宋体" w:hAnsi="宋体" w:cs="宋体"/>
          <w:sz w:val="24"/>
          <w:u w:val="single"/>
        </w:rPr>
      </w:pPr>
      <w:r>
        <w:rPr>
          <w:rFonts w:hint="eastAsia" w:ascii="宋体" w:hAnsi="宋体" w:cs="宋体"/>
          <w:sz w:val="24"/>
        </w:rPr>
        <w:t xml:space="preserve">项目名称：                                   </w:t>
      </w:r>
    </w:p>
    <w:p>
      <w:pPr>
        <w:spacing w:line="500" w:lineRule="exact"/>
        <w:ind w:right="465" w:rightChars="166" w:firstLine="480" w:firstLineChars="200"/>
        <w:rPr>
          <w:rFonts w:hint="default" w:ascii="宋体" w:hAnsi="宋体" w:eastAsia="宋体" w:cs="宋体"/>
          <w:sz w:val="24"/>
          <w:lang w:val="en-US" w:eastAsia="zh-CN"/>
        </w:rPr>
      </w:pPr>
      <w:r>
        <w:rPr>
          <w:rFonts w:hint="eastAsia" w:ascii="宋体" w:hAnsi="宋体" w:cs="宋体"/>
          <w:sz w:val="24"/>
          <w:lang w:val="en-US" w:eastAsia="zh-CN"/>
        </w:rPr>
        <w:t>标项名称：</w:t>
      </w:r>
    </w:p>
    <w:p>
      <w:pPr>
        <w:spacing w:line="500" w:lineRule="exact"/>
        <w:ind w:right="465" w:rightChars="166" w:firstLine="480" w:firstLineChars="200"/>
        <w:rPr>
          <w:rFonts w:ascii="宋体" w:hAnsi="宋体" w:cs="宋体"/>
          <w:sz w:val="24"/>
        </w:rPr>
      </w:pPr>
    </w:p>
    <w:tbl>
      <w:tblPr>
        <w:tblStyle w:val="44"/>
        <w:tblW w:w="10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5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503" w:type="dxa"/>
            <w:vAlign w:val="center"/>
          </w:tcPr>
          <w:p>
            <w:pPr>
              <w:adjustRightInd w:val="0"/>
              <w:snapToGrid w:val="0"/>
              <w:spacing w:line="440" w:lineRule="exact"/>
              <w:jc w:val="center"/>
              <w:rPr>
                <w:rFonts w:ascii="宋体" w:hAnsi="宋体" w:cs="宋体"/>
                <w:kern w:val="0"/>
                <w:sz w:val="24"/>
              </w:rPr>
            </w:pPr>
            <w:r>
              <w:rPr>
                <w:rFonts w:hint="eastAsia" w:ascii="宋体" w:hAnsi="宋体" w:cs="宋体"/>
                <w:sz w:val="24"/>
                <w:lang w:val="en-US" w:eastAsia="zh-CN"/>
              </w:rPr>
              <w:t>标项名称：</w:t>
            </w:r>
          </w:p>
        </w:tc>
        <w:tc>
          <w:tcPr>
            <w:tcW w:w="5512" w:type="dxa"/>
            <w:vAlign w:val="center"/>
          </w:tcPr>
          <w:p>
            <w:pPr>
              <w:adjustRightInd w:val="0"/>
              <w:snapToGrid w:val="0"/>
              <w:spacing w:line="440" w:lineRule="exact"/>
              <w:jc w:val="center"/>
              <w:rPr>
                <w:rFonts w:ascii="宋体" w:hAnsi="宋体" w:cs="宋体"/>
                <w:sz w:val="24"/>
              </w:rPr>
            </w:pPr>
            <w:r>
              <w:rPr>
                <w:rFonts w:hint="eastAsia" w:ascii="宋体" w:hAnsi="宋体" w:cs="宋体"/>
                <w:sz w:val="24"/>
              </w:rPr>
              <w:t>投标</w:t>
            </w:r>
            <w:r>
              <w:rPr>
                <w:rFonts w:hint="eastAsia" w:ascii="宋体" w:hAnsi="宋体" w:cs="宋体"/>
                <w:kern w:val="0"/>
                <w:sz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4503" w:type="dxa"/>
            <w:vAlign w:val="center"/>
          </w:tcPr>
          <w:p>
            <w:pPr>
              <w:adjustRightInd w:val="0"/>
              <w:snapToGrid w:val="0"/>
              <w:spacing w:line="440" w:lineRule="exact"/>
              <w:jc w:val="center"/>
              <w:rPr>
                <w:rFonts w:hint="eastAsia" w:ascii="宋体" w:hAnsi="宋体" w:eastAsia="宋体" w:cs="宋体"/>
                <w:kern w:val="0"/>
                <w:sz w:val="24"/>
                <w:lang w:eastAsia="zh-CN"/>
              </w:rPr>
            </w:pPr>
          </w:p>
        </w:tc>
        <w:tc>
          <w:tcPr>
            <w:tcW w:w="5512" w:type="dxa"/>
            <w:vAlign w:val="center"/>
          </w:tcPr>
          <w:p>
            <w:pPr>
              <w:adjustRightInd w:val="0"/>
              <w:snapToGrid w:val="0"/>
              <w:spacing w:before="120" w:beforeLines="50" w:line="360" w:lineRule="auto"/>
              <w:jc w:val="left"/>
              <w:rPr>
                <w:rFonts w:ascii="宋体" w:hAnsi="宋体" w:cs="宋体"/>
                <w:kern w:val="0"/>
                <w:sz w:val="24"/>
              </w:rPr>
            </w:pPr>
            <w:r>
              <w:rPr>
                <w:rFonts w:hint="eastAsia" w:ascii="宋体" w:hAnsi="宋体" w:cs="宋体"/>
                <w:kern w:val="0"/>
                <w:sz w:val="24"/>
              </w:rPr>
              <w:t>大写：人民币</w:t>
            </w:r>
          </w:p>
          <w:p>
            <w:pPr>
              <w:pStyle w:val="8"/>
              <w:spacing w:beforeLines="50" w:after="0"/>
              <w:jc w:val="left"/>
              <w:rPr>
                <w:rFonts w:ascii="宋体" w:hAnsi="宋体" w:eastAsia="宋体" w:cs="宋体"/>
                <w:b/>
                <w:bCs/>
                <w:sz w:val="24"/>
                <w:szCs w:val="24"/>
              </w:rPr>
            </w:pPr>
            <w:r>
              <w:rPr>
                <w:rFonts w:hint="eastAsia" w:ascii="宋体" w:hAnsi="宋体" w:eastAsia="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4503" w:type="dxa"/>
            <w:vAlign w:val="center"/>
          </w:tcPr>
          <w:p>
            <w:pPr>
              <w:adjustRightInd w:val="0"/>
              <w:snapToGrid w:val="0"/>
              <w:spacing w:line="440" w:lineRule="exact"/>
              <w:jc w:val="center"/>
              <w:rPr>
                <w:rFonts w:ascii="宋体" w:hAnsi="宋体" w:cs="宋体"/>
                <w:b/>
                <w:bCs/>
                <w:kern w:val="0"/>
                <w:sz w:val="24"/>
              </w:rPr>
            </w:pPr>
            <w:r>
              <w:rPr>
                <w:rFonts w:hint="eastAsia" w:ascii="宋体" w:hAnsi="宋体" w:cs="宋体"/>
                <w:b/>
                <w:sz w:val="24"/>
              </w:rPr>
              <w:t>是否符合小微企业价格扣除政策的情形</w:t>
            </w:r>
          </w:p>
        </w:tc>
        <w:tc>
          <w:tcPr>
            <w:tcW w:w="5512" w:type="dxa"/>
          </w:tcPr>
          <w:p>
            <w:pPr>
              <w:spacing w:line="480" w:lineRule="exact"/>
              <w:jc w:val="center"/>
              <w:rPr>
                <w:rFonts w:ascii="宋体" w:hAnsi="宋体" w:cs="宋体"/>
                <w:sz w:val="24"/>
              </w:rPr>
            </w:pPr>
            <w:r>
              <w:rPr>
                <w:rFonts w:hint="eastAsia" w:ascii="宋体" w:hAnsi="宋体" w:cs="宋体"/>
                <w:sz w:val="24"/>
              </w:rPr>
              <w:t>是   □</w:t>
            </w:r>
          </w:p>
          <w:p>
            <w:pPr>
              <w:adjustRightInd w:val="0"/>
              <w:snapToGrid w:val="0"/>
              <w:spacing w:line="440" w:lineRule="exact"/>
              <w:jc w:val="center"/>
              <w:rPr>
                <w:rFonts w:ascii="宋体" w:hAnsi="宋体" w:cs="宋体"/>
                <w:kern w:val="0"/>
                <w:sz w:val="24"/>
              </w:rPr>
            </w:pPr>
            <w:r>
              <w:rPr>
                <w:rFonts w:hint="eastAsia" w:ascii="宋体" w:hAnsi="宋体" w:cs="宋体"/>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4503" w:type="dxa"/>
            <w:vAlign w:val="center"/>
          </w:tcPr>
          <w:p>
            <w:pPr>
              <w:adjustRightInd w:val="0"/>
              <w:snapToGrid w:val="0"/>
              <w:spacing w:line="440" w:lineRule="exact"/>
              <w:jc w:val="center"/>
              <w:rPr>
                <w:rFonts w:ascii="宋体" w:hAnsi="宋体" w:cs="宋体"/>
                <w:b/>
                <w:sz w:val="24"/>
              </w:rPr>
            </w:pPr>
            <w:r>
              <w:rPr>
                <w:rFonts w:hint="eastAsia" w:ascii="宋体" w:hAnsi="宋体" w:cs="宋体"/>
                <w:b/>
                <w:sz w:val="24"/>
              </w:rPr>
              <w:t>扣除后价格</w:t>
            </w:r>
          </w:p>
        </w:tc>
        <w:tc>
          <w:tcPr>
            <w:tcW w:w="5512" w:type="dxa"/>
          </w:tcPr>
          <w:p>
            <w:pPr>
              <w:adjustRightInd w:val="0"/>
              <w:snapToGrid w:val="0"/>
              <w:spacing w:before="120" w:beforeLines="50" w:line="360" w:lineRule="auto"/>
              <w:jc w:val="left"/>
              <w:rPr>
                <w:rFonts w:ascii="宋体" w:hAnsi="宋体" w:cs="宋体"/>
                <w:kern w:val="0"/>
                <w:sz w:val="24"/>
              </w:rPr>
            </w:pPr>
            <w:r>
              <w:rPr>
                <w:rFonts w:hint="eastAsia" w:ascii="宋体" w:hAnsi="宋体" w:cs="宋体"/>
                <w:kern w:val="0"/>
                <w:sz w:val="24"/>
              </w:rPr>
              <w:t>大写：人民币</w:t>
            </w:r>
          </w:p>
          <w:p>
            <w:pPr>
              <w:spacing w:line="480" w:lineRule="exact"/>
              <w:jc w:val="left"/>
              <w:rPr>
                <w:rFonts w:ascii="宋体" w:hAnsi="宋体" w:cs="宋体"/>
                <w:sz w:val="24"/>
              </w:rPr>
            </w:pPr>
            <w:r>
              <w:rPr>
                <w:rFonts w:hint="eastAsia" w:ascii="宋体" w:hAnsi="宋体" w:cs="宋体"/>
                <w:sz w:val="24"/>
              </w:rPr>
              <w:t>小写：￥：</w:t>
            </w:r>
          </w:p>
        </w:tc>
      </w:tr>
    </w:tbl>
    <w:p>
      <w:pPr>
        <w:spacing w:line="500" w:lineRule="exact"/>
        <w:ind w:left="663" w:leftChars="105" w:hanging="369" w:hangingChars="154"/>
        <w:rPr>
          <w:rFonts w:ascii="宋体" w:hAnsi="宋体" w:cs="宋体"/>
          <w:sz w:val="24"/>
        </w:rPr>
      </w:pPr>
      <w:r>
        <w:rPr>
          <w:rFonts w:hint="eastAsia" w:ascii="宋体" w:hAnsi="宋体" w:cs="宋体"/>
          <w:sz w:val="24"/>
        </w:rPr>
        <w:t>说明：</w:t>
      </w:r>
    </w:p>
    <w:p>
      <w:pPr>
        <w:spacing w:line="500" w:lineRule="exact"/>
        <w:ind w:left="546" w:leftChars="106" w:hanging="249" w:hangingChars="104"/>
        <w:rPr>
          <w:rFonts w:ascii="宋体" w:hAnsi="宋体" w:cs="宋体"/>
          <w:sz w:val="24"/>
        </w:rPr>
      </w:pPr>
      <w:r>
        <w:rPr>
          <w:rFonts w:hint="eastAsia" w:ascii="宋体" w:hAnsi="宋体" w:cs="宋体"/>
          <w:sz w:val="24"/>
        </w:rPr>
        <w:t>1.开标一览表中的报价为完成本项目的所有费用。</w:t>
      </w:r>
    </w:p>
    <w:p>
      <w:pPr>
        <w:spacing w:line="500" w:lineRule="exact"/>
        <w:ind w:left="546" w:leftChars="106" w:hanging="249" w:hangingChars="104"/>
        <w:rPr>
          <w:rFonts w:ascii="宋体" w:hAnsi="宋体" w:cs="宋体"/>
          <w:sz w:val="24"/>
        </w:rPr>
      </w:pPr>
      <w:r>
        <w:rPr>
          <w:rFonts w:hint="eastAsia" w:ascii="宋体" w:hAnsi="宋体" w:cs="宋体"/>
          <w:sz w:val="24"/>
        </w:rPr>
        <w:t>2.报价一经涂改，应在涂改处加盖单位公章或者由法定代表人或授权委托人签字或盖章，否则其投标作无效标处理。</w:t>
      </w:r>
    </w:p>
    <w:p>
      <w:pPr>
        <w:jc w:val="left"/>
        <w:rPr>
          <w:rFonts w:ascii="宋体" w:hAnsi="宋体" w:cs="宋体"/>
          <w:b/>
          <w:sz w:val="24"/>
          <w:u w:val="single"/>
        </w:rPr>
      </w:pPr>
    </w:p>
    <w:p>
      <w:pPr>
        <w:jc w:val="left"/>
        <w:rPr>
          <w:rFonts w:ascii="宋体" w:hAnsi="宋体" w:cs="宋体"/>
          <w:b/>
          <w:sz w:val="24"/>
          <w:u w:val="single"/>
        </w:rPr>
      </w:pPr>
    </w:p>
    <w:p>
      <w:pPr>
        <w:jc w:val="left"/>
        <w:rPr>
          <w:rFonts w:ascii="宋体" w:hAnsi="宋体" w:cs="宋体"/>
          <w:b/>
          <w:sz w:val="24"/>
        </w:rPr>
      </w:pPr>
    </w:p>
    <w:p>
      <w:pPr>
        <w:spacing w:line="360" w:lineRule="auto"/>
        <w:jc w:val="left"/>
        <w:rPr>
          <w:rFonts w:ascii="宋体" w:hAnsi="宋体" w:cs="宋体"/>
          <w:sz w:val="24"/>
        </w:rPr>
      </w:pPr>
      <w:r>
        <w:rPr>
          <w:rFonts w:hint="eastAsia" w:ascii="宋体" w:hAnsi="宋体" w:cs="宋体"/>
          <w:sz w:val="24"/>
        </w:rPr>
        <w:t>投标供应商全称（加盖公章）：</w:t>
      </w:r>
    </w:p>
    <w:p>
      <w:pPr>
        <w:spacing w:line="360" w:lineRule="auto"/>
        <w:jc w:val="left"/>
        <w:rPr>
          <w:rFonts w:ascii="宋体" w:hAnsi="宋体" w:cs="宋体"/>
          <w:sz w:val="24"/>
        </w:rPr>
      </w:pPr>
      <w:r>
        <w:rPr>
          <w:rFonts w:hint="eastAsia" w:ascii="宋体" w:hAnsi="宋体" w:cs="宋体"/>
          <w:sz w:val="24"/>
        </w:rPr>
        <w:t>法定代表人或其授权代理人（盖章）：</w:t>
      </w:r>
    </w:p>
    <w:p>
      <w:pPr>
        <w:spacing w:line="360" w:lineRule="auto"/>
        <w:jc w:val="left"/>
        <w:rPr>
          <w:rFonts w:ascii="宋体" w:hAnsi="宋体" w:cs="宋体"/>
          <w:sz w:val="24"/>
        </w:rPr>
      </w:pPr>
    </w:p>
    <w:p>
      <w:pPr>
        <w:spacing w:line="360" w:lineRule="auto"/>
        <w:jc w:val="left"/>
        <w:rPr>
          <w:rFonts w:ascii="宋体" w:hAnsi="宋体" w:cs="宋体"/>
          <w:sz w:val="24"/>
        </w:rPr>
      </w:pPr>
    </w:p>
    <w:p>
      <w:pPr>
        <w:spacing w:line="360" w:lineRule="auto"/>
        <w:jc w:val="left"/>
        <w:rPr>
          <w:rFonts w:ascii="宋体" w:hAnsi="宋体" w:cs="宋体"/>
          <w:sz w:val="24"/>
        </w:rPr>
      </w:pPr>
      <w:r>
        <w:rPr>
          <w:rFonts w:hint="eastAsia" w:ascii="宋体" w:hAnsi="宋体" w:cs="宋体"/>
          <w:sz w:val="24"/>
        </w:rPr>
        <w:t xml:space="preserve">                                                日期：   年   月  日 </w:t>
      </w:r>
    </w:p>
    <w:p>
      <w:pPr>
        <w:spacing w:line="360" w:lineRule="auto"/>
        <w:rPr>
          <w:rFonts w:ascii="宋体" w:hAnsi="宋体" w:cs="宋体"/>
          <w:b/>
          <w:szCs w:val="28"/>
        </w:rPr>
      </w:pPr>
    </w:p>
    <w:p>
      <w:pPr>
        <w:pStyle w:val="21"/>
        <w:ind w:firstLine="240"/>
        <w:rPr>
          <w:rFonts w:ascii="宋体" w:hAnsi="宋体" w:cs="宋体"/>
          <w:sz w:val="24"/>
        </w:rPr>
      </w:pPr>
    </w:p>
    <w:p>
      <w:pPr>
        <w:pStyle w:val="21"/>
        <w:ind w:firstLine="240"/>
        <w:rPr>
          <w:rFonts w:ascii="宋体" w:hAnsi="宋体" w:cs="宋体"/>
          <w:sz w:val="24"/>
        </w:rPr>
      </w:pPr>
    </w:p>
    <w:p>
      <w:pPr>
        <w:pStyle w:val="24"/>
        <w:ind w:left="0" w:leftChars="0" w:firstLine="0" w:firstLineChars="0"/>
        <w:rPr>
          <w:rFonts w:ascii="宋体" w:hAnsi="宋体" w:cs="宋体"/>
        </w:rPr>
      </w:pPr>
    </w:p>
    <w:p>
      <w:pPr>
        <w:snapToGrid w:val="0"/>
        <w:spacing w:before="50" w:after="50" w:line="540" w:lineRule="exact"/>
        <w:rPr>
          <w:rFonts w:ascii="宋体" w:hAnsi="宋体" w:cs="宋体"/>
          <w:b/>
          <w:sz w:val="24"/>
        </w:rPr>
      </w:pPr>
    </w:p>
    <w:p>
      <w:pPr>
        <w:widowControl/>
        <w:jc w:val="left"/>
        <w:rPr>
          <w:rFonts w:ascii="宋体" w:hAnsi="宋体" w:cs="宋体"/>
          <w:b/>
          <w:bCs/>
          <w:sz w:val="24"/>
        </w:rPr>
      </w:pPr>
      <w:r>
        <w:rPr>
          <w:rFonts w:ascii="宋体" w:hAnsi="宋体" w:cs="宋体"/>
          <w:b/>
          <w:bCs/>
          <w:sz w:val="24"/>
        </w:rPr>
        <w:br w:type="page"/>
      </w:r>
    </w:p>
    <w:p>
      <w:pPr>
        <w:pStyle w:val="29"/>
        <w:spacing w:before="295" w:after="295"/>
        <w:jc w:val="center"/>
        <w:rPr>
          <w:rFonts w:hint="eastAsia" w:hAnsi="宋体" w:eastAsia="宋体" w:cs="宋体"/>
          <w:b/>
          <w:sz w:val="24"/>
          <w:szCs w:val="24"/>
          <w:lang w:eastAsia="zh-CN"/>
        </w:rPr>
      </w:pPr>
      <w:r>
        <w:rPr>
          <w:rFonts w:hint="eastAsia" w:hAnsi="宋体" w:cs="宋体"/>
          <w:b/>
          <w:sz w:val="24"/>
          <w:szCs w:val="24"/>
        </w:rPr>
        <w:t>开标一览表</w:t>
      </w:r>
      <w:r>
        <w:rPr>
          <w:rFonts w:hint="eastAsia" w:hAnsi="宋体" w:cs="宋体"/>
          <w:b/>
          <w:sz w:val="24"/>
          <w:szCs w:val="24"/>
          <w:lang w:eastAsia="zh-CN"/>
        </w:rPr>
        <w:t>（</w:t>
      </w:r>
      <w:r>
        <w:rPr>
          <w:rFonts w:hint="eastAsia" w:hAnsi="宋体" w:cs="宋体"/>
          <w:b/>
          <w:sz w:val="24"/>
          <w:szCs w:val="24"/>
          <w:lang w:val="en-US" w:eastAsia="zh-CN"/>
        </w:rPr>
        <w:t xml:space="preserve">标项   </w:t>
      </w:r>
      <w:r>
        <w:rPr>
          <w:rFonts w:hint="eastAsia" w:hAnsi="宋体" w:cs="宋体"/>
          <w:b/>
          <w:sz w:val="24"/>
          <w:szCs w:val="24"/>
          <w:lang w:eastAsia="zh-CN"/>
        </w:rPr>
        <w:t>）</w:t>
      </w:r>
    </w:p>
    <w:p>
      <w:pPr>
        <w:adjustRightInd w:val="0"/>
        <w:snapToGrid w:val="0"/>
        <w:spacing w:line="440" w:lineRule="exact"/>
        <w:ind w:firstLine="480" w:firstLineChars="200"/>
        <w:rPr>
          <w:rFonts w:ascii="宋体" w:hAnsi="宋体" w:cs="宋体"/>
          <w:sz w:val="24"/>
          <w:u w:val="single"/>
        </w:rPr>
      </w:pPr>
      <w:r>
        <w:rPr>
          <w:rFonts w:hint="eastAsia" w:ascii="宋体" w:hAnsi="宋体" w:cs="宋体"/>
          <w:sz w:val="24"/>
        </w:rPr>
        <w:t xml:space="preserve">项目名称：                                   </w:t>
      </w:r>
    </w:p>
    <w:p>
      <w:pPr>
        <w:spacing w:line="500" w:lineRule="exact"/>
        <w:ind w:right="465" w:rightChars="166" w:firstLine="480" w:firstLineChars="200"/>
        <w:rPr>
          <w:rFonts w:hint="default" w:ascii="宋体" w:hAnsi="宋体" w:eastAsia="宋体" w:cs="宋体"/>
          <w:sz w:val="24"/>
          <w:lang w:val="en-US" w:eastAsia="zh-CN"/>
        </w:rPr>
      </w:pPr>
      <w:r>
        <w:rPr>
          <w:rFonts w:hint="eastAsia" w:ascii="宋体" w:hAnsi="宋体" w:cs="宋体"/>
          <w:sz w:val="24"/>
          <w:lang w:val="en-US" w:eastAsia="zh-CN"/>
        </w:rPr>
        <w:t>标项名称：</w:t>
      </w:r>
    </w:p>
    <w:p>
      <w:pPr>
        <w:spacing w:line="500" w:lineRule="exact"/>
        <w:ind w:right="465" w:rightChars="166" w:firstLine="480" w:firstLineChars="200"/>
        <w:rPr>
          <w:rFonts w:ascii="宋体" w:hAnsi="宋体" w:cs="宋体"/>
          <w:sz w:val="24"/>
        </w:rPr>
      </w:pPr>
    </w:p>
    <w:tbl>
      <w:tblPr>
        <w:tblStyle w:val="44"/>
        <w:tblW w:w="10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3"/>
        <w:gridCol w:w="5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503" w:type="dxa"/>
            <w:vAlign w:val="center"/>
          </w:tcPr>
          <w:p>
            <w:pPr>
              <w:adjustRightInd w:val="0"/>
              <w:snapToGrid w:val="0"/>
              <w:spacing w:line="440" w:lineRule="exact"/>
              <w:jc w:val="center"/>
              <w:rPr>
                <w:rFonts w:ascii="宋体" w:hAnsi="宋体" w:cs="宋体"/>
                <w:kern w:val="0"/>
                <w:sz w:val="24"/>
              </w:rPr>
            </w:pPr>
            <w:r>
              <w:rPr>
                <w:rFonts w:hint="eastAsia" w:ascii="宋体" w:hAnsi="宋体" w:cs="宋体"/>
                <w:sz w:val="24"/>
                <w:lang w:val="en-US" w:eastAsia="zh-CN"/>
              </w:rPr>
              <w:t>标项名称：</w:t>
            </w:r>
          </w:p>
        </w:tc>
        <w:tc>
          <w:tcPr>
            <w:tcW w:w="5512" w:type="dxa"/>
            <w:vAlign w:val="center"/>
          </w:tcPr>
          <w:p>
            <w:pPr>
              <w:adjustRightInd w:val="0"/>
              <w:snapToGrid w:val="0"/>
              <w:spacing w:line="440" w:lineRule="exact"/>
              <w:jc w:val="center"/>
              <w:rPr>
                <w:rFonts w:ascii="宋体" w:hAnsi="宋体" w:cs="宋体"/>
                <w:sz w:val="24"/>
              </w:rPr>
            </w:pPr>
            <w:r>
              <w:rPr>
                <w:rFonts w:hint="eastAsia" w:ascii="宋体" w:hAnsi="宋体" w:cs="宋体"/>
                <w:sz w:val="24"/>
              </w:rPr>
              <w:t>投标</w:t>
            </w:r>
            <w:r>
              <w:rPr>
                <w:rFonts w:hint="eastAsia" w:ascii="宋体" w:hAnsi="宋体" w:cs="宋体"/>
                <w:kern w:val="0"/>
                <w:sz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4503" w:type="dxa"/>
            <w:vAlign w:val="center"/>
          </w:tcPr>
          <w:p>
            <w:pPr>
              <w:adjustRightInd w:val="0"/>
              <w:snapToGrid w:val="0"/>
              <w:spacing w:line="440" w:lineRule="exact"/>
              <w:jc w:val="center"/>
              <w:rPr>
                <w:rFonts w:hint="eastAsia" w:ascii="宋体" w:hAnsi="宋体" w:eastAsia="宋体" w:cs="宋体"/>
                <w:kern w:val="0"/>
                <w:sz w:val="24"/>
                <w:lang w:eastAsia="zh-CN"/>
              </w:rPr>
            </w:pPr>
          </w:p>
        </w:tc>
        <w:tc>
          <w:tcPr>
            <w:tcW w:w="5512" w:type="dxa"/>
            <w:vAlign w:val="center"/>
          </w:tcPr>
          <w:p>
            <w:pPr>
              <w:adjustRightInd w:val="0"/>
              <w:snapToGrid w:val="0"/>
              <w:spacing w:before="120" w:beforeLines="50" w:line="360" w:lineRule="auto"/>
              <w:jc w:val="left"/>
              <w:rPr>
                <w:rFonts w:ascii="宋体" w:hAnsi="宋体" w:cs="宋体"/>
                <w:kern w:val="0"/>
                <w:sz w:val="24"/>
              </w:rPr>
            </w:pPr>
            <w:r>
              <w:rPr>
                <w:rFonts w:hint="eastAsia" w:ascii="宋体" w:hAnsi="宋体" w:cs="宋体"/>
                <w:kern w:val="0"/>
                <w:sz w:val="24"/>
              </w:rPr>
              <w:t>大写：人民币</w:t>
            </w:r>
          </w:p>
          <w:p>
            <w:pPr>
              <w:pStyle w:val="8"/>
              <w:spacing w:beforeLines="50" w:after="0"/>
              <w:jc w:val="left"/>
              <w:rPr>
                <w:rFonts w:ascii="宋体" w:hAnsi="宋体" w:eastAsia="宋体" w:cs="宋体"/>
                <w:b/>
                <w:bCs/>
                <w:sz w:val="24"/>
                <w:szCs w:val="24"/>
              </w:rPr>
            </w:pPr>
            <w:r>
              <w:rPr>
                <w:rFonts w:hint="eastAsia" w:ascii="宋体" w:hAnsi="宋体" w:eastAsia="宋体" w:cs="宋体"/>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4503" w:type="dxa"/>
            <w:vAlign w:val="center"/>
          </w:tcPr>
          <w:p>
            <w:pPr>
              <w:adjustRightInd w:val="0"/>
              <w:snapToGrid w:val="0"/>
              <w:spacing w:line="440" w:lineRule="exact"/>
              <w:jc w:val="center"/>
              <w:rPr>
                <w:rFonts w:ascii="宋体" w:hAnsi="宋体" w:cs="宋体"/>
                <w:b/>
                <w:bCs/>
                <w:kern w:val="0"/>
                <w:sz w:val="24"/>
              </w:rPr>
            </w:pPr>
            <w:r>
              <w:rPr>
                <w:rFonts w:hint="eastAsia" w:ascii="宋体" w:hAnsi="宋体" w:cs="宋体"/>
                <w:b/>
                <w:sz w:val="24"/>
              </w:rPr>
              <w:t>是否符合小微企业价格扣除政策的情形</w:t>
            </w:r>
          </w:p>
        </w:tc>
        <w:tc>
          <w:tcPr>
            <w:tcW w:w="5512" w:type="dxa"/>
          </w:tcPr>
          <w:p>
            <w:pPr>
              <w:spacing w:line="480" w:lineRule="exact"/>
              <w:jc w:val="center"/>
              <w:rPr>
                <w:rFonts w:ascii="宋体" w:hAnsi="宋体" w:cs="宋体"/>
                <w:sz w:val="24"/>
              </w:rPr>
            </w:pPr>
            <w:r>
              <w:rPr>
                <w:rFonts w:hint="eastAsia" w:ascii="宋体" w:hAnsi="宋体" w:cs="宋体"/>
                <w:sz w:val="24"/>
              </w:rPr>
              <w:t>是   □</w:t>
            </w:r>
          </w:p>
          <w:p>
            <w:pPr>
              <w:adjustRightInd w:val="0"/>
              <w:snapToGrid w:val="0"/>
              <w:spacing w:line="440" w:lineRule="exact"/>
              <w:jc w:val="center"/>
              <w:rPr>
                <w:rFonts w:ascii="宋体" w:hAnsi="宋体" w:cs="宋体"/>
                <w:kern w:val="0"/>
                <w:sz w:val="24"/>
              </w:rPr>
            </w:pPr>
            <w:r>
              <w:rPr>
                <w:rFonts w:hint="eastAsia" w:ascii="宋体" w:hAnsi="宋体" w:cs="宋体"/>
                <w:sz w:val="24"/>
              </w:rPr>
              <w:t>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4503" w:type="dxa"/>
            <w:vAlign w:val="center"/>
          </w:tcPr>
          <w:p>
            <w:pPr>
              <w:adjustRightInd w:val="0"/>
              <w:snapToGrid w:val="0"/>
              <w:spacing w:line="440" w:lineRule="exact"/>
              <w:jc w:val="center"/>
              <w:rPr>
                <w:rFonts w:ascii="宋体" w:hAnsi="宋体" w:cs="宋体"/>
                <w:b/>
                <w:sz w:val="24"/>
              </w:rPr>
            </w:pPr>
            <w:r>
              <w:rPr>
                <w:rFonts w:hint="eastAsia" w:ascii="宋体" w:hAnsi="宋体" w:cs="宋体"/>
                <w:b/>
                <w:sz w:val="24"/>
              </w:rPr>
              <w:t>扣除后价格</w:t>
            </w:r>
          </w:p>
        </w:tc>
        <w:tc>
          <w:tcPr>
            <w:tcW w:w="5512" w:type="dxa"/>
          </w:tcPr>
          <w:p>
            <w:pPr>
              <w:adjustRightInd w:val="0"/>
              <w:snapToGrid w:val="0"/>
              <w:spacing w:before="120" w:beforeLines="50" w:line="360" w:lineRule="auto"/>
              <w:jc w:val="left"/>
              <w:rPr>
                <w:rFonts w:ascii="宋体" w:hAnsi="宋体" w:cs="宋体"/>
                <w:kern w:val="0"/>
                <w:sz w:val="24"/>
              </w:rPr>
            </w:pPr>
            <w:r>
              <w:rPr>
                <w:rFonts w:hint="eastAsia" w:ascii="宋体" w:hAnsi="宋体" w:cs="宋体"/>
                <w:kern w:val="0"/>
                <w:sz w:val="24"/>
              </w:rPr>
              <w:t>大写：人民币</w:t>
            </w:r>
          </w:p>
          <w:p>
            <w:pPr>
              <w:spacing w:line="480" w:lineRule="exact"/>
              <w:jc w:val="left"/>
              <w:rPr>
                <w:rFonts w:ascii="宋体" w:hAnsi="宋体" w:cs="宋体"/>
                <w:sz w:val="24"/>
              </w:rPr>
            </w:pPr>
            <w:r>
              <w:rPr>
                <w:rFonts w:hint="eastAsia" w:ascii="宋体" w:hAnsi="宋体" w:cs="宋体"/>
                <w:sz w:val="24"/>
              </w:rPr>
              <w:t>小写：￥：</w:t>
            </w:r>
          </w:p>
        </w:tc>
      </w:tr>
    </w:tbl>
    <w:p>
      <w:pPr>
        <w:spacing w:line="500" w:lineRule="exact"/>
        <w:ind w:left="663" w:leftChars="105" w:hanging="369" w:hangingChars="154"/>
        <w:rPr>
          <w:rFonts w:ascii="宋体" w:hAnsi="宋体" w:cs="宋体"/>
          <w:sz w:val="24"/>
        </w:rPr>
      </w:pPr>
      <w:r>
        <w:rPr>
          <w:rFonts w:hint="eastAsia" w:ascii="宋体" w:hAnsi="宋体" w:cs="宋体"/>
          <w:sz w:val="24"/>
        </w:rPr>
        <w:t>说明：</w:t>
      </w:r>
    </w:p>
    <w:p>
      <w:pPr>
        <w:spacing w:line="500" w:lineRule="exact"/>
        <w:ind w:left="546" w:leftChars="106" w:hanging="249" w:hangingChars="104"/>
        <w:rPr>
          <w:rFonts w:ascii="宋体" w:hAnsi="宋体" w:cs="宋体"/>
          <w:sz w:val="24"/>
        </w:rPr>
      </w:pPr>
      <w:r>
        <w:rPr>
          <w:rFonts w:hint="eastAsia" w:ascii="宋体" w:hAnsi="宋体" w:cs="宋体"/>
          <w:sz w:val="24"/>
        </w:rPr>
        <w:t>1.开标一览表中的报价为完成本项目的所有费用。</w:t>
      </w:r>
    </w:p>
    <w:p>
      <w:pPr>
        <w:spacing w:line="500" w:lineRule="exact"/>
        <w:ind w:left="546" w:leftChars="106" w:hanging="249" w:hangingChars="104"/>
        <w:rPr>
          <w:rFonts w:ascii="宋体" w:hAnsi="宋体" w:cs="宋体"/>
          <w:sz w:val="24"/>
        </w:rPr>
      </w:pPr>
      <w:r>
        <w:rPr>
          <w:rFonts w:hint="eastAsia" w:ascii="宋体" w:hAnsi="宋体" w:cs="宋体"/>
          <w:sz w:val="24"/>
        </w:rPr>
        <w:t>2.报价一经涂改，应在涂改处加盖单位公章或者由法定代表人或授权委托人签字或盖章，否则其投标作无效标处理。</w:t>
      </w:r>
    </w:p>
    <w:p>
      <w:pPr>
        <w:jc w:val="left"/>
        <w:rPr>
          <w:rFonts w:ascii="宋体" w:hAnsi="宋体" w:cs="宋体"/>
          <w:b/>
          <w:sz w:val="24"/>
          <w:u w:val="single"/>
        </w:rPr>
      </w:pPr>
    </w:p>
    <w:p>
      <w:pPr>
        <w:jc w:val="left"/>
        <w:rPr>
          <w:rFonts w:ascii="宋体" w:hAnsi="宋体" w:cs="宋体"/>
          <w:b/>
          <w:sz w:val="24"/>
          <w:u w:val="single"/>
        </w:rPr>
      </w:pPr>
    </w:p>
    <w:p>
      <w:pPr>
        <w:jc w:val="left"/>
        <w:rPr>
          <w:rFonts w:ascii="宋体" w:hAnsi="宋体" w:cs="宋体"/>
          <w:b/>
          <w:sz w:val="24"/>
        </w:rPr>
      </w:pPr>
    </w:p>
    <w:p>
      <w:pPr>
        <w:spacing w:line="360" w:lineRule="auto"/>
        <w:jc w:val="left"/>
        <w:rPr>
          <w:rFonts w:ascii="宋体" w:hAnsi="宋体" w:cs="宋体"/>
          <w:sz w:val="24"/>
        </w:rPr>
      </w:pPr>
      <w:r>
        <w:rPr>
          <w:rFonts w:hint="eastAsia" w:ascii="宋体" w:hAnsi="宋体" w:cs="宋体"/>
          <w:sz w:val="24"/>
        </w:rPr>
        <w:t>投标供应商全称（加盖公章）：</w:t>
      </w:r>
    </w:p>
    <w:p>
      <w:pPr>
        <w:spacing w:line="360" w:lineRule="auto"/>
        <w:jc w:val="left"/>
        <w:rPr>
          <w:rFonts w:ascii="宋体" w:hAnsi="宋体" w:cs="宋体"/>
          <w:sz w:val="24"/>
        </w:rPr>
      </w:pPr>
      <w:r>
        <w:rPr>
          <w:rFonts w:hint="eastAsia" w:ascii="宋体" w:hAnsi="宋体" w:cs="宋体"/>
          <w:sz w:val="24"/>
        </w:rPr>
        <w:t>法定代表人或其授权代理人（盖章）：</w:t>
      </w:r>
    </w:p>
    <w:p>
      <w:pPr>
        <w:spacing w:line="360" w:lineRule="auto"/>
        <w:jc w:val="left"/>
        <w:rPr>
          <w:rFonts w:ascii="宋体" w:hAnsi="宋体" w:cs="宋体"/>
          <w:sz w:val="24"/>
        </w:rPr>
      </w:pPr>
    </w:p>
    <w:p>
      <w:pPr>
        <w:spacing w:line="360" w:lineRule="auto"/>
        <w:jc w:val="left"/>
        <w:rPr>
          <w:rFonts w:ascii="宋体" w:hAnsi="宋体" w:cs="宋体"/>
          <w:sz w:val="24"/>
        </w:rPr>
      </w:pPr>
    </w:p>
    <w:p>
      <w:pPr>
        <w:rPr>
          <w:rFonts w:hint="eastAsia" w:ascii="宋体" w:hAnsi="宋体" w:cs="宋体"/>
          <w:b/>
          <w:bCs/>
          <w:sz w:val="24"/>
        </w:rPr>
      </w:pPr>
      <w:r>
        <w:rPr>
          <w:rFonts w:hint="eastAsia" w:ascii="宋体" w:hAnsi="宋体" w:cs="宋体"/>
          <w:sz w:val="24"/>
        </w:rPr>
        <w:t xml:space="preserve">                                                日期：   年   月  日</w:t>
      </w:r>
      <w:r>
        <w:rPr>
          <w:rFonts w:hint="eastAsia" w:ascii="宋体" w:hAnsi="宋体" w:cs="宋体"/>
          <w:b/>
          <w:bCs/>
          <w:sz w:val="24"/>
        </w:rPr>
        <w:br w:type="page"/>
      </w:r>
    </w:p>
    <w:p>
      <w:pPr>
        <w:snapToGrid w:val="0"/>
        <w:spacing w:line="360" w:lineRule="auto"/>
        <w:jc w:val="center"/>
        <w:rPr>
          <w:rFonts w:ascii="宋体" w:hAnsi="宋体" w:cs="宋体"/>
          <w:b/>
          <w:bCs/>
          <w:sz w:val="24"/>
        </w:rPr>
      </w:pPr>
      <w:r>
        <w:rPr>
          <w:rFonts w:hint="eastAsia" w:ascii="宋体" w:hAnsi="宋体" w:cs="宋体"/>
          <w:b/>
          <w:bCs/>
          <w:sz w:val="24"/>
        </w:rPr>
        <w:t>三、中小企业声明函</w:t>
      </w:r>
    </w:p>
    <w:p>
      <w:pPr>
        <w:snapToGrid w:val="0"/>
        <w:spacing w:line="360" w:lineRule="auto"/>
        <w:jc w:val="center"/>
        <w:rPr>
          <w:rFonts w:ascii="宋体" w:hAnsi="宋体" w:cs="宋体"/>
          <w:b/>
          <w:bCs/>
          <w:sz w:val="24"/>
        </w:rPr>
      </w:pPr>
      <w:r>
        <w:rPr>
          <w:rFonts w:hint="eastAsia" w:ascii="宋体" w:hAnsi="宋体" w:cs="宋体"/>
          <w:b/>
          <w:bCs/>
          <w:sz w:val="24"/>
        </w:rPr>
        <w:t>中小企业声明函（货物）</w:t>
      </w:r>
    </w:p>
    <w:p>
      <w:pPr>
        <w:snapToGrid w:val="0"/>
        <w:spacing w:line="360" w:lineRule="auto"/>
        <w:jc w:val="center"/>
        <w:rPr>
          <w:rFonts w:ascii="宋体" w:hAnsi="宋体" w:cs="宋体"/>
        </w:rPr>
      </w:pPr>
      <w:r>
        <w:rPr>
          <w:rFonts w:hint="eastAsia" w:ascii="宋体" w:hAnsi="宋体" w:cs="宋体"/>
          <w:kern w:val="0"/>
          <w:sz w:val="24"/>
        </w:rPr>
        <w:t>【非中小微企业不用提供】</w:t>
      </w:r>
    </w:p>
    <w:p>
      <w:pPr>
        <w:rPr>
          <w:rFonts w:ascii="宋体" w:hAnsi="宋体" w:cs="宋体"/>
          <w:sz w:val="24"/>
        </w:rPr>
      </w:pP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 号）的规定，本公司（联合体）参加</w:t>
      </w:r>
      <w:r>
        <w:rPr>
          <w:rFonts w:hint="eastAsia" w:ascii="宋体" w:hAnsi="宋体" w:cs="宋体"/>
          <w:sz w:val="24"/>
          <w:u w:val="single"/>
        </w:rPr>
        <w:t>（单位名称）</w:t>
      </w:r>
      <w:r>
        <w:rPr>
          <w:rFonts w:hint="eastAsia" w:ascii="宋体" w:hAnsi="宋体" w:cs="宋体"/>
          <w:sz w:val="24"/>
        </w:rPr>
        <w:t>的</w:t>
      </w:r>
      <w:r>
        <w:rPr>
          <w:rFonts w:hint="eastAsia" w:ascii="宋体" w:hAnsi="宋体" w:cs="宋体"/>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 的具体情况如下：</w:t>
      </w:r>
    </w:p>
    <w:p>
      <w:pPr>
        <w:spacing w:line="360" w:lineRule="auto"/>
        <w:ind w:firstLine="480" w:firstLineChars="200"/>
        <w:rPr>
          <w:rFonts w:ascii="宋体" w:hAnsi="宋体" w:cs="仿宋"/>
          <w:kern w:val="0"/>
          <w:sz w:val="24"/>
        </w:rPr>
      </w:pPr>
      <w:r>
        <w:rPr>
          <w:rFonts w:hint="eastAsia" w:ascii="宋体" w:hAnsi="宋体" w:cs="仿宋"/>
          <w:kern w:val="0"/>
          <w:sz w:val="24"/>
        </w:rPr>
        <w:t xml:space="preserve">1. </w:t>
      </w:r>
      <w:r>
        <w:rPr>
          <w:rFonts w:hint="eastAsia" w:ascii="宋体" w:hAnsi="宋体" w:cs="仿宋"/>
          <w:kern w:val="0"/>
          <w:sz w:val="24"/>
          <w:u w:val="single"/>
        </w:rPr>
        <w:t xml:space="preserve">（标的名称） </w:t>
      </w:r>
      <w:r>
        <w:rPr>
          <w:rFonts w:hint="eastAsia" w:ascii="宋体" w:hAnsi="宋体" w:cs="仿宋"/>
          <w:kern w:val="0"/>
          <w:sz w:val="24"/>
        </w:rPr>
        <w:t>，属于</w:t>
      </w:r>
      <w:r>
        <w:rPr>
          <w:rFonts w:hint="eastAsia" w:ascii="宋体" w:hAnsi="宋体" w:cs="仿宋"/>
          <w:kern w:val="0"/>
          <w:sz w:val="24"/>
          <w:u w:val="single"/>
        </w:rPr>
        <w:t>（采购文件中明确的所属行业）</w:t>
      </w:r>
      <w:r>
        <w:rPr>
          <w:rFonts w:hint="eastAsia" w:ascii="宋体" w:hAnsi="宋体" w:cs="仿宋"/>
          <w:kern w:val="0"/>
          <w:sz w:val="24"/>
        </w:rPr>
        <w:t>；承建（承接）企业为</w:t>
      </w:r>
      <w:r>
        <w:rPr>
          <w:rFonts w:hint="eastAsia" w:ascii="宋体" w:hAnsi="宋体" w:cs="仿宋"/>
          <w:kern w:val="0"/>
          <w:sz w:val="24"/>
          <w:u w:val="single"/>
        </w:rPr>
        <w:t>（企业名称）</w:t>
      </w:r>
      <w:r>
        <w:rPr>
          <w:rFonts w:hint="eastAsia" w:ascii="宋体" w:hAnsi="宋体" w:cs="仿宋"/>
          <w:kern w:val="0"/>
          <w:sz w:val="24"/>
        </w:rPr>
        <w:t>，从业人员___人，营业收入为___万元，资产总额为___万元①，属于</w:t>
      </w:r>
      <w:r>
        <w:rPr>
          <w:rFonts w:hint="eastAsia" w:ascii="宋体" w:hAnsi="宋体" w:cs="仿宋"/>
          <w:kern w:val="0"/>
          <w:sz w:val="24"/>
          <w:u w:val="single"/>
        </w:rPr>
        <w:t>（中型企业、小型企业、微型企业）</w:t>
      </w:r>
      <w:r>
        <w:rPr>
          <w:rFonts w:hint="eastAsia" w:ascii="宋体" w:hAnsi="宋体" w:cs="仿宋"/>
          <w:kern w:val="0"/>
          <w:sz w:val="24"/>
        </w:rPr>
        <w:t>；</w:t>
      </w:r>
    </w:p>
    <w:p>
      <w:pPr>
        <w:spacing w:line="360" w:lineRule="auto"/>
        <w:ind w:firstLine="480" w:firstLineChars="200"/>
        <w:rPr>
          <w:rFonts w:hint="eastAsia" w:ascii="宋体" w:hAnsi="宋体" w:cs="仿宋"/>
          <w:kern w:val="0"/>
          <w:sz w:val="24"/>
        </w:rPr>
      </w:pPr>
      <w:r>
        <w:rPr>
          <w:rFonts w:hint="eastAsia" w:ascii="宋体" w:hAnsi="宋体" w:cs="仿宋"/>
          <w:kern w:val="0"/>
          <w:sz w:val="24"/>
          <w:lang w:val="en-US" w:eastAsia="zh-CN"/>
        </w:rPr>
        <w:t>2</w:t>
      </w:r>
      <w:r>
        <w:rPr>
          <w:rFonts w:hint="eastAsia" w:ascii="宋体" w:hAnsi="宋体" w:cs="仿宋"/>
          <w:kern w:val="0"/>
          <w:sz w:val="24"/>
        </w:rPr>
        <w:t xml:space="preserve">. </w:t>
      </w:r>
      <w:r>
        <w:rPr>
          <w:rFonts w:hint="eastAsia" w:ascii="宋体" w:hAnsi="宋体" w:cs="仿宋"/>
          <w:kern w:val="0"/>
          <w:sz w:val="24"/>
          <w:u w:val="single"/>
        </w:rPr>
        <w:t xml:space="preserve">（标的名称） </w:t>
      </w:r>
      <w:r>
        <w:rPr>
          <w:rFonts w:hint="eastAsia" w:ascii="宋体" w:hAnsi="宋体" w:cs="仿宋"/>
          <w:kern w:val="0"/>
          <w:sz w:val="24"/>
        </w:rPr>
        <w:t>，属于</w:t>
      </w:r>
      <w:r>
        <w:rPr>
          <w:rFonts w:hint="eastAsia" w:ascii="宋体" w:hAnsi="宋体" w:cs="仿宋"/>
          <w:kern w:val="0"/>
          <w:sz w:val="24"/>
          <w:u w:val="single"/>
        </w:rPr>
        <w:t>（采购文件中明确的所属行业）</w:t>
      </w:r>
      <w:r>
        <w:rPr>
          <w:rFonts w:hint="eastAsia" w:ascii="宋体" w:hAnsi="宋体" w:cs="仿宋"/>
          <w:kern w:val="0"/>
          <w:sz w:val="24"/>
        </w:rPr>
        <w:t>；承建（承接）企业为</w:t>
      </w:r>
      <w:r>
        <w:rPr>
          <w:rFonts w:hint="eastAsia" w:ascii="宋体" w:hAnsi="宋体" w:cs="仿宋"/>
          <w:kern w:val="0"/>
          <w:sz w:val="24"/>
          <w:u w:val="single"/>
        </w:rPr>
        <w:t>（企业名称）</w:t>
      </w:r>
      <w:r>
        <w:rPr>
          <w:rFonts w:hint="eastAsia" w:ascii="宋体" w:hAnsi="宋体" w:cs="仿宋"/>
          <w:kern w:val="0"/>
          <w:sz w:val="24"/>
        </w:rPr>
        <w:t>，从业人员___人，营业收入为___万元，资产总额为___万元①，属于</w:t>
      </w:r>
      <w:r>
        <w:rPr>
          <w:rFonts w:hint="eastAsia" w:ascii="宋体" w:hAnsi="宋体" w:cs="仿宋"/>
          <w:kern w:val="0"/>
          <w:sz w:val="24"/>
          <w:u w:val="single"/>
        </w:rPr>
        <w:t>（中型企业、小型企业、微型企业）</w:t>
      </w:r>
      <w:r>
        <w:rPr>
          <w:rFonts w:hint="eastAsia" w:ascii="宋体" w:hAnsi="宋体" w:cs="仿宋"/>
          <w:kern w:val="0"/>
          <w:sz w:val="24"/>
        </w:rPr>
        <w:t>；</w:t>
      </w:r>
    </w:p>
    <w:p>
      <w:pPr>
        <w:spacing w:line="360" w:lineRule="auto"/>
        <w:ind w:firstLine="480" w:firstLineChars="200"/>
        <w:rPr>
          <w:rFonts w:ascii="宋体" w:hAnsi="宋体" w:cs="仿宋"/>
          <w:kern w:val="0"/>
          <w:sz w:val="24"/>
        </w:rPr>
      </w:pPr>
      <w:r>
        <w:rPr>
          <w:rFonts w:hint="eastAsia" w:ascii="宋体" w:hAnsi="宋体" w:cs="仿宋"/>
          <w:kern w:val="0"/>
          <w:sz w:val="24"/>
        </w:rPr>
        <w:t>……</w:t>
      </w: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rPr>
          <w:rFonts w:ascii="宋体" w:hAnsi="宋体" w:cs="宋体"/>
          <w:sz w:val="24"/>
        </w:rPr>
      </w:pPr>
    </w:p>
    <w:p>
      <w:pPr>
        <w:rPr>
          <w:rFonts w:ascii="宋体" w:hAnsi="宋体" w:cs="宋体"/>
          <w:sz w:val="24"/>
        </w:rPr>
      </w:pPr>
    </w:p>
    <w:p>
      <w:pPr>
        <w:jc w:val="right"/>
        <w:rPr>
          <w:rFonts w:ascii="宋体" w:hAnsi="宋体" w:cs="宋体"/>
          <w:sz w:val="24"/>
        </w:rPr>
      </w:pPr>
      <w:r>
        <w:rPr>
          <w:rFonts w:hint="eastAsia" w:ascii="宋体" w:hAnsi="宋体" w:cs="宋体"/>
          <w:sz w:val="24"/>
        </w:rPr>
        <w:t>企业名称（盖章）：</w:t>
      </w:r>
    </w:p>
    <w:p>
      <w:pPr>
        <w:jc w:val="right"/>
        <w:rPr>
          <w:rFonts w:ascii="宋体" w:hAnsi="宋体" w:cs="宋体"/>
          <w:sz w:val="24"/>
        </w:rPr>
      </w:pPr>
    </w:p>
    <w:p>
      <w:pPr>
        <w:spacing w:line="240" w:lineRule="exact"/>
        <w:jc w:val="center"/>
        <w:rPr>
          <w:rFonts w:ascii="宋体" w:hAnsi="宋体" w:cs="宋体"/>
          <w:sz w:val="24"/>
        </w:rPr>
      </w:pPr>
      <w:r>
        <w:rPr>
          <w:rFonts w:hint="eastAsia" w:ascii="宋体" w:hAnsi="宋体" w:cs="宋体"/>
          <w:sz w:val="24"/>
        </w:rPr>
        <w:t xml:space="preserve">                                               日期</w:t>
      </w:r>
    </w:p>
    <w:p>
      <w:pPr>
        <w:pStyle w:val="7"/>
        <w:spacing w:line="240" w:lineRule="exact"/>
        <w:ind w:firstLine="0"/>
        <w:rPr>
          <w:rFonts w:ascii="宋体" w:hAnsi="宋体" w:cs="宋体"/>
        </w:rPr>
      </w:pPr>
    </w:p>
    <w:p>
      <w:pPr>
        <w:pStyle w:val="7"/>
        <w:spacing w:line="240" w:lineRule="exact"/>
        <w:ind w:firstLine="0"/>
        <w:rPr>
          <w:rFonts w:ascii="宋体" w:hAnsi="宋体" w:cs="宋体"/>
        </w:rPr>
      </w:pPr>
    </w:p>
    <w:p>
      <w:pPr>
        <w:pStyle w:val="7"/>
        <w:spacing w:line="240" w:lineRule="exact"/>
        <w:ind w:firstLine="0"/>
        <w:rPr>
          <w:rFonts w:ascii="宋体" w:hAnsi="宋体" w:cs="宋体"/>
        </w:rPr>
      </w:pPr>
    </w:p>
    <w:p>
      <w:pPr>
        <w:pStyle w:val="7"/>
        <w:spacing w:line="240" w:lineRule="exact"/>
        <w:ind w:firstLine="0"/>
        <w:rPr>
          <w:rFonts w:ascii="宋体" w:hAnsi="宋体" w:cs="宋体"/>
        </w:rPr>
      </w:pPr>
    </w:p>
    <w:p>
      <w:pPr>
        <w:pStyle w:val="7"/>
        <w:spacing w:line="240" w:lineRule="exact"/>
        <w:ind w:firstLine="0"/>
        <w:rPr>
          <w:rFonts w:ascii="宋体" w:hAnsi="宋体" w:cs="宋体"/>
        </w:rPr>
      </w:pPr>
    </w:p>
    <w:p>
      <w:pPr>
        <w:pStyle w:val="7"/>
        <w:spacing w:line="240" w:lineRule="exact"/>
        <w:ind w:firstLine="0"/>
        <w:rPr>
          <w:rFonts w:ascii="宋体" w:hAnsi="宋体" w:cs="宋体"/>
        </w:rPr>
      </w:pPr>
    </w:p>
    <w:p>
      <w:pPr>
        <w:pStyle w:val="7"/>
        <w:spacing w:line="240" w:lineRule="exact"/>
        <w:ind w:firstLine="0"/>
        <w:rPr>
          <w:rFonts w:ascii="宋体" w:hAnsi="宋体" w:cs="宋体"/>
        </w:rPr>
      </w:pPr>
    </w:p>
    <w:p>
      <w:pPr>
        <w:pStyle w:val="7"/>
        <w:spacing w:line="240" w:lineRule="exact"/>
        <w:ind w:firstLine="0"/>
        <w:rPr>
          <w:rFonts w:ascii="宋体" w:hAnsi="宋体" w:cs="宋体"/>
          <w:sz w:val="22"/>
        </w:rPr>
      </w:pPr>
      <w:r>
        <w:rPr>
          <w:rFonts w:hint="eastAsia" w:ascii="宋体" w:hAnsi="宋体" w:cs="宋体"/>
        </w:rPr>
        <w:t>注：</w:t>
      </w:r>
      <w:r>
        <w:rPr>
          <w:rFonts w:hint="eastAsia" w:ascii="宋体" w:hAnsi="宋体" w:cs="宋体"/>
          <w:sz w:val="22"/>
        </w:rPr>
        <w:t>1.中小企业应当按照《政府采购促进中小企业发展管理办法》规定和《中小企业划型标准规定》（工信部联企业〔2011〕300号），如实填写并提交《中小企业声明函》。未按要求出具声明函的，投标报价不予扣减；</w:t>
      </w:r>
    </w:p>
    <w:p>
      <w:pPr>
        <w:pStyle w:val="7"/>
        <w:rPr>
          <w:rFonts w:ascii="宋体" w:hAnsi="宋体" w:cs="宋体"/>
          <w:sz w:val="22"/>
        </w:rPr>
      </w:pPr>
      <w:r>
        <w:rPr>
          <w:rFonts w:hint="eastAsia" w:ascii="宋体" w:hAnsi="宋体" w:cs="宋体"/>
          <w:sz w:val="22"/>
        </w:rPr>
        <w:t>2.如中标，将在中标公告中将此中小企业声明函予以公示，接受社会监督；</w:t>
      </w:r>
    </w:p>
    <w:p>
      <w:pPr>
        <w:pStyle w:val="7"/>
        <w:rPr>
          <w:rFonts w:ascii="宋体" w:hAnsi="宋体" w:cs="宋体"/>
          <w:sz w:val="22"/>
        </w:rPr>
      </w:pPr>
      <w:r>
        <w:rPr>
          <w:rFonts w:hint="eastAsia" w:ascii="宋体" w:hAnsi="宋体" w:cs="宋体"/>
          <w:sz w:val="22"/>
        </w:rPr>
        <w:t>3.中小企业对其声明内容的真实性负责，声明函内容不实的，属于提供虚假材料谋取中标、成交，依照《中华人民共和国政府采购法》等国家有关规定追究相应责任。</w:t>
      </w:r>
    </w:p>
    <w:p>
      <w:pPr>
        <w:pStyle w:val="7"/>
        <w:ind w:firstLine="0"/>
        <w:rPr>
          <w:rFonts w:ascii="宋体" w:hAnsi="宋体" w:cs="宋体"/>
          <w:sz w:val="22"/>
        </w:rPr>
      </w:pPr>
    </w:p>
    <w:p>
      <w:pPr>
        <w:pStyle w:val="7"/>
        <w:ind w:firstLine="0"/>
        <w:rPr>
          <w:rFonts w:ascii="宋体" w:hAnsi="宋体" w:cs="宋体"/>
          <w:sz w:val="22"/>
        </w:rPr>
      </w:pPr>
    </w:p>
    <w:p>
      <w:pPr>
        <w:pStyle w:val="7"/>
        <w:rPr>
          <w:rFonts w:ascii="宋体" w:hAnsi="宋体" w:cs="宋体"/>
          <w:sz w:val="22"/>
        </w:rPr>
      </w:pPr>
    </w:p>
    <w:p>
      <w:pPr>
        <w:rPr>
          <w:rFonts w:ascii="宋体" w:hAnsi="宋体" w:cs="宋体"/>
        </w:rPr>
      </w:pPr>
      <w:r>
        <w:rPr>
          <w:rFonts w:hint="eastAsia" w:ascii="宋体" w:hAnsi="宋体" w:cs="宋体"/>
        </w:rPr>
        <w:br w:type="page"/>
      </w:r>
    </w:p>
    <w:p>
      <w:pPr>
        <w:pStyle w:val="61"/>
        <w:ind w:firstLine="0" w:firstLineChars="0"/>
        <w:rPr>
          <w:rFonts w:ascii="宋体" w:hAnsi="宋体" w:cs="宋体"/>
        </w:rPr>
      </w:pPr>
    </w:p>
    <w:p>
      <w:pPr>
        <w:snapToGrid w:val="0"/>
        <w:spacing w:line="360" w:lineRule="auto"/>
        <w:jc w:val="center"/>
        <w:rPr>
          <w:rFonts w:ascii="宋体" w:hAnsi="宋体" w:cs="宋体"/>
          <w:b/>
          <w:sz w:val="24"/>
        </w:rPr>
      </w:pPr>
      <w:r>
        <w:rPr>
          <w:rFonts w:hint="eastAsia" w:ascii="宋体" w:hAnsi="宋体" w:cs="宋体"/>
          <w:b/>
          <w:sz w:val="24"/>
        </w:rPr>
        <w:t>残疾人福利企业声明函</w:t>
      </w:r>
    </w:p>
    <w:p>
      <w:pPr>
        <w:widowControl/>
        <w:spacing w:line="360" w:lineRule="auto"/>
        <w:jc w:val="center"/>
        <w:rPr>
          <w:rFonts w:ascii="宋体" w:hAnsi="宋体" w:cs="宋体"/>
        </w:rPr>
      </w:pPr>
      <w:r>
        <w:rPr>
          <w:rFonts w:hint="eastAsia" w:ascii="宋体" w:hAnsi="宋体" w:cs="宋体"/>
          <w:kern w:val="0"/>
          <w:sz w:val="24"/>
        </w:rPr>
        <w:t>【非残疾人福利性单位不用提供】</w:t>
      </w:r>
    </w:p>
    <w:p>
      <w:pPr>
        <w:snapToGrid w:val="0"/>
        <w:spacing w:line="360" w:lineRule="auto"/>
        <w:ind w:firstLine="602" w:firstLineChars="250"/>
        <w:jc w:val="center"/>
        <w:rPr>
          <w:rFonts w:ascii="宋体" w:hAnsi="宋体" w:cs="宋体"/>
          <w:b/>
          <w:sz w:val="24"/>
        </w:rPr>
      </w:pPr>
    </w:p>
    <w:p>
      <w:pPr>
        <w:snapToGrid w:val="0"/>
        <w:spacing w:line="360" w:lineRule="auto"/>
        <w:ind w:firstLine="480" w:firstLineChars="200"/>
        <w:rPr>
          <w:rFonts w:ascii="宋体" w:hAnsi="宋体" w:cs="宋体"/>
          <w:sz w:val="24"/>
        </w:rPr>
      </w:pPr>
      <w:r>
        <w:rPr>
          <w:rFonts w:hint="eastAsia" w:ascii="宋体" w:hAnsi="宋体" w:cs="宋体"/>
          <w:sz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napToGrid w:val="0"/>
        <w:spacing w:line="360" w:lineRule="auto"/>
        <w:ind w:firstLine="480" w:firstLineChars="200"/>
        <w:rPr>
          <w:rFonts w:ascii="宋体" w:hAnsi="宋体" w:cs="宋体"/>
          <w:sz w:val="24"/>
        </w:rPr>
      </w:pPr>
    </w:p>
    <w:p>
      <w:pPr>
        <w:spacing w:line="588" w:lineRule="exact"/>
        <w:ind w:firstLine="480" w:firstLineChars="200"/>
        <w:rPr>
          <w:rFonts w:ascii="宋体" w:hAnsi="宋体" w:cs="宋体"/>
          <w:sz w:val="24"/>
        </w:rPr>
      </w:pPr>
    </w:p>
    <w:p>
      <w:pPr>
        <w:snapToGrid w:val="0"/>
        <w:spacing w:line="360" w:lineRule="auto"/>
        <w:ind w:firstLine="480" w:firstLineChars="200"/>
        <w:jc w:val="right"/>
        <w:rPr>
          <w:rFonts w:ascii="宋体" w:hAnsi="宋体" w:cs="宋体"/>
          <w:sz w:val="24"/>
        </w:rPr>
      </w:pPr>
      <w:r>
        <w:rPr>
          <w:rFonts w:hint="eastAsia" w:ascii="宋体" w:hAnsi="宋体" w:cs="宋体"/>
          <w:sz w:val="24"/>
        </w:rPr>
        <w:t>单位名称（盖章）：</w:t>
      </w:r>
    </w:p>
    <w:p>
      <w:pPr>
        <w:snapToGrid w:val="0"/>
        <w:spacing w:line="360" w:lineRule="auto"/>
        <w:ind w:firstLine="480" w:firstLineChars="200"/>
        <w:jc w:val="right"/>
        <w:rPr>
          <w:rFonts w:ascii="宋体" w:hAnsi="宋体" w:cs="宋体"/>
          <w:sz w:val="24"/>
        </w:rPr>
      </w:pPr>
      <w:r>
        <w:rPr>
          <w:rFonts w:hint="eastAsia" w:ascii="宋体" w:hAnsi="宋体" w:cs="宋体"/>
          <w:sz w:val="24"/>
        </w:rPr>
        <w:t>日期：</w:t>
      </w:r>
    </w:p>
    <w:p>
      <w:pPr>
        <w:tabs>
          <w:tab w:val="left" w:pos="465"/>
        </w:tabs>
        <w:ind w:firstLine="2783" w:firstLineChars="990"/>
        <w:rPr>
          <w:rFonts w:ascii="宋体" w:hAnsi="宋体" w:cs="宋体"/>
          <w:b/>
          <w:bCs/>
          <w:szCs w:val="28"/>
        </w:rPr>
      </w:pPr>
    </w:p>
    <w:p>
      <w:pPr>
        <w:snapToGrid w:val="0"/>
        <w:spacing w:line="360" w:lineRule="auto"/>
        <w:rPr>
          <w:rFonts w:ascii="宋体" w:hAnsi="宋体" w:cs="宋体"/>
          <w:b/>
          <w:sz w:val="24"/>
        </w:rPr>
      </w:pPr>
    </w:p>
    <w:p>
      <w:pPr>
        <w:tabs>
          <w:tab w:val="left" w:pos="4860"/>
        </w:tabs>
        <w:spacing w:line="588" w:lineRule="exact"/>
        <w:ind w:right="1560"/>
        <w:jc w:val="left"/>
        <w:rPr>
          <w:rFonts w:ascii="宋体" w:hAnsi="宋体" w:cs="宋体"/>
          <w:sz w:val="22"/>
          <w:szCs w:val="22"/>
        </w:rPr>
      </w:pPr>
      <w:r>
        <w:rPr>
          <w:rFonts w:hint="eastAsia" w:ascii="宋体" w:hAnsi="宋体" w:cs="宋体"/>
          <w:sz w:val="22"/>
          <w:szCs w:val="22"/>
        </w:rPr>
        <w:t>备注说明：</w:t>
      </w:r>
    </w:p>
    <w:p>
      <w:pPr>
        <w:spacing w:line="588" w:lineRule="exact"/>
        <w:ind w:firstLine="464" w:firstLineChars="200"/>
        <w:rPr>
          <w:rFonts w:ascii="宋体" w:hAnsi="宋体" w:cs="宋体"/>
          <w:spacing w:val="6"/>
          <w:sz w:val="22"/>
          <w:szCs w:val="22"/>
        </w:rPr>
      </w:pPr>
      <w:r>
        <w:rPr>
          <w:rFonts w:hint="eastAsia" w:ascii="宋体" w:hAnsi="宋体" w:cs="宋体"/>
          <w:spacing w:val="6"/>
          <w:sz w:val="22"/>
          <w:szCs w:val="22"/>
        </w:rPr>
        <w:t>1.如中标，将在中标公告中将此残疾人福利性单位声明函予以公示，接受社会监督；</w:t>
      </w:r>
    </w:p>
    <w:p>
      <w:pPr>
        <w:spacing w:line="588" w:lineRule="exact"/>
        <w:ind w:firstLine="464" w:firstLineChars="200"/>
        <w:rPr>
          <w:rFonts w:ascii="宋体" w:hAnsi="宋体" w:cs="宋体"/>
          <w:spacing w:val="6"/>
          <w:sz w:val="22"/>
          <w:szCs w:val="22"/>
        </w:rPr>
      </w:pPr>
      <w:r>
        <w:rPr>
          <w:rFonts w:hint="eastAsia" w:ascii="宋体" w:hAnsi="宋体" w:cs="宋体"/>
          <w:spacing w:val="6"/>
          <w:sz w:val="22"/>
          <w:szCs w:val="22"/>
        </w:rPr>
        <w:t>2. 供应商提供的《残疾人福利性单位声明函》与事实不符的，依照《政府采购法》第七十七条第一款的规定追究法律责任。</w:t>
      </w: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pStyle w:val="7"/>
        <w:rPr>
          <w:rFonts w:ascii="宋体" w:hAnsi="宋体" w:cs="宋体"/>
          <w:sz w:val="22"/>
        </w:rPr>
      </w:pPr>
    </w:p>
    <w:p>
      <w:pPr>
        <w:snapToGrid w:val="0"/>
        <w:spacing w:line="360" w:lineRule="auto"/>
        <w:jc w:val="center"/>
        <w:rPr>
          <w:rFonts w:ascii="宋体" w:hAnsi="宋体" w:cs="宋体"/>
          <w:b/>
          <w:sz w:val="24"/>
        </w:rPr>
      </w:pPr>
      <w:r>
        <w:rPr>
          <w:rFonts w:hint="eastAsia" w:ascii="宋体" w:hAnsi="宋体" w:cs="宋体"/>
          <w:b/>
          <w:sz w:val="24"/>
        </w:rPr>
        <w:t>监狱企业声明函</w:t>
      </w:r>
    </w:p>
    <w:p>
      <w:pPr>
        <w:widowControl/>
        <w:jc w:val="center"/>
        <w:rPr>
          <w:rFonts w:ascii="宋体" w:hAnsi="宋体" w:cs="宋体"/>
        </w:rPr>
      </w:pPr>
      <w:r>
        <w:rPr>
          <w:rFonts w:hint="eastAsia" w:ascii="宋体" w:hAnsi="宋体" w:cs="宋体"/>
          <w:kern w:val="0"/>
          <w:sz w:val="24"/>
        </w:rPr>
        <w:t>【非监狱企业的不用提供】</w:t>
      </w:r>
    </w:p>
    <w:p>
      <w:pPr>
        <w:widowControl/>
        <w:spacing w:line="360" w:lineRule="auto"/>
        <w:ind w:firstLine="480" w:firstLineChars="200"/>
        <w:jc w:val="left"/>
        <w:rPr>
          <w:rFonts w:ascii="宋体" w:hAnsi="宋体" w:cs="宋体"/>
          <w:kern w:val="0"/>
          <w:sz w:val="24"/>
        </w:rPr>
      </w:pPr>
    </w:p>
    <w:p>
      <w:pPr>
        <w:widowControl/>
        <w:spacing w:line="360" w:lineRule="auto"/>
        <w:ind w:firstLine="480" w:firstLineChars="200"/>
        <w:jc w:val="left"/>
        <w:rPr>
          <w:rFonts w:ascii="宋体" w:hAnsi="宋体" w:cs="宋体"/>
          <w:sz w:val="24"/>
        </w:rPr>
      </w:pPr>
      <w:r>
        <w:rPr>
          <w:rFonts w:hint="eastAsia" w:ascii="宋体" w:hAnsi="宋体" w:cs="宋体"/>
          <w:kern w:val="0"/>
          <w:sz w:val="24"/>
        </w:rPr>
        <w:t>本企业郑重声明，根据《关于政府采购支持监狱企业发展有关</w:t>
      </w:r>
      <w:r>
        <w:rPr>
          <w:rFonts w:hint="eastAsia" w:ascii="宋体" w:hAnsi="宋体" w:cs="宋体"/>
          <w:kern w:val="0"/>
          <w:sz w:val="24"/>
          <w:lang w:val="en-US" w:eastAsia="zh-CN"/>
        </w:rPr>
        <w:t>问题</w:t>
      </w:r>
      <w:r>
        <w:rPr>
          <w:rFonts w:hint="eastAsia" w:ascii="宋体" w:hAnsi="宋体" w:cs="宋体"/>
          <w:kern w:val="0"/>
          <w:sz w:val="24"/>
        </w:rPr>
        <w:t xml:space="preserve">的通知》(财库[2014]68 号）的规定，本企业为监狱企业。 </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 xml:space="preserve">根据上述标准，我企业属于监狱企业的理由为: </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 xml:space="preserve">本企业为参加 (项目名称)(项目编号: )采购活动提供本企业的产品。 </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 xml:space="preserve">本企业对上述声明的真实性负责。如有虚假，将依法承担相应责任。 </w:t>
      </w: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jc w:val="left"/>
        <w:rPr>
          <w:rFonts w:ascii="宋体" w:hAnsi="宋体" w:cs="宋体"/>
          <w:sz w:val="24"/>
        </w:rPr>
      </w:pPr>
      <w:r>
        <w:rPr>
          <w:rFonts w:hint="eastAsia" w:ascii="宋体" w:hAnsi="宋体" w:cs="宋体"/>
          <w:kern w:val="0"/>
          <w:sz w:val="24"/>
        </w:rPr>
        <w:t xml:space="preserve">供应商名称(盖章) : </w:t>
      </w:r>
    </w:p>
    <w:p>
      <w:pPr>
        <w:widowControl/>
        <w:spacing w:line="360" w:lineRule="auto"/>
        <w:jc w:val="left"/>
        <w:rPr>
          <w:rFonts w:ascii="宋体" w:hAnsi="宋体" w:cs="宋体"/>
          <w:sz w:val="24"/>
        </w:rPr>
      </w:pPr>
      <w:r>
        <w:rPr>
          <w:rFonts w:hint="eastAsia" w:ascii="宋体" w:hAnsi="宋体" w:cs="宋体"/>
          <w:kern w:val="0"/>
          <w:sz w:val="24"/>
        </w:rPr>
        <w:t xml:space="preserve">日期: 年 月 日 </w:t>
      </w:r>
    </w:p>
    <w:p>
      <w:pPr>
        <w:widowControl/>
        <w:spacing w:line="360" w:lineRule="auto"/>
        <w:jc w:val="left"/>
        <w:rPr>
          <w:rFonts w:ascii="宋体" w:hAnsi="宋体" w:cs="宋体"/>
          <w:kern w:val="0"/>
          <w:sz w:val="24"/>
        </w:rPr>
      </w:pPr>
    </w:p>
    <w:p>
      <w:pPr>
        <w:widowControl/>
        <w:spacing w:line="360" w:lineRule="auto"/>
        <w:jc w:val="left"/>
        <w:rPr>
          <w:rFonts w:ascii="宋体" w:hAnsi="宋体" w:cs="宋体"/>
          <w:kern w:val="0"/>
          <w:sz w:val="24"/>
        </w:rPr>
      </w:pP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监狱企业参加政府采购活动时，应当提供由省级以上监狱管理局、戒毒管理局(新 疆生产建设兵团)出具的属于监狱企业的证明文件。</w:t>
      </w:r>
    </w:p>
    <w:p>
      <w:pPr>
        <w:widowControl/>
        <w:spacing w:line="360" w:lineRule="auto"/>
        <w:ind w:firstLine="480" w:firstLineChars="200"/>
        <w:jc w:val="left"/>
        <w:rPr>
          <w:rFonts w:ascii="宋体" w:hAnsi="宋体" w:cs="宋体"/>
          <w:sz w:val="24"/>
        </w:rPr>
      </w:pPr>
      <w:r>
        <w:rPr>
          <w:rFonts w:hint="eastAsia" w:ascii="宋体" w:hAnsi="宋体" w:cs="宋体"/>
          <w:kern w:val="0"/>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7"/>
        <w:spacing w:line="360" w:lineRule="auto"/>
        <w:rPr>
          <w:rFonts w:ascii="宋体" w:hAnsi="宋体" w:cs="宋体"/>
          <w:sz w:val="24"/>
          <w:szCs w:val="24"/>
        </w:rPr>
      </w:pPr>
    </w:p>
    <w:p>
      <w:pPr>
        <w:pStyle w:val="7"/>
        <w:spacing w:line="360" w:lineRule="auto"/>
        <w:rPr>
          <w:rFonts w:ascii="宋体" w:hAnsi="宋体" w:cs="宋体"/>
          <w:sz w:val="24"/>
          <w:szCs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p>
    <w:p>
      <w:pPr>
        <w:pStyle w:val="21"/>
        <w:ind w:firstLine="0" w:firstLineChars="0"/>
        <w:rPr>
          <w:rFonts w:ascii="宋体" w:hAnsi="宋体" w:cs="宋体"/>
        </w:rPr>
      </w:pPr>
    </w:p>
    <w:p>
      <w:pPr>
        <w:snapToGrid w:val="0"/>
        <w:spacing w:before="50" w:after="50" w:line="540" w:lineRule="exact"/>
        <w:jc w:val="center"/>
        <w:rPr>
          <w:rFonts w:ascii="宋体" w:hAnsi="宋体" w:cs="宋体"/>
          <w:b/>
          <w:sz w:val="24"/>
        </w:rPr>
      </w:pPr>
    </w:p>
    <w:p>
      <w:pPr>
        <w:snapToGrid w:val="0"/>
        <w:spacing w:before="50" w:after="50" w:line="540" w:lineRule="exact"/>
        <w:jc w:val="center"/>
        <w:rPr>
          <w:rFonts w:ascii="宋体" w:hAnsi="宋体" w:cs="宋体"/>
          <w:b/>
          <w:sz w:val="24"/>
        </w:rPr>
      </w:pPr>
      <w:r>
        <w:rPr>
          <w:rFonts w:hint="eastAsia" w:ascii="宋体" w:hAnsi="宋体" w:cs="宋体"/>
          <w:b/>
          <w:sz w:val="24"/>
        </w:rPr>
        <w:t>四、招标代理服务费承诺函</w:t>
      </w:r>
    </w:p>
    <w:p>
      <w:pPr>
        <w:spacing w:line="540" w:lineRule="exact"/>
        <w:jc w:val="center"/>
        <w:rPr>
          <w:rFonts w:ascii="宋体" w:hAnsi="宋体" w:cs="宋体"/>
          <w:b/>
          <w:sz w:val="24"/>
          <w:szCs w:val="20"/>
        </w:rPr>
      </w:pPr>
    </w:p>
    <w:p>
      <w:pPr>
        <w:tabs>
          <w:tab w:val="left" w:pos="2996"/>
        </w:tabs>
        <w:spacing w:line="480" w:lineRule="auto"/>
        <w:ind w:firstLine="480" w:firstLineChars="200"/>
        <w:rPr>
          <w:rFonts w:ascii="宋体" w:hAnsi="宋体" w:cs="宋体"/>
          <w:sz w:val="24"/>
        </w:rPr>
      </w:pPr>
      <w:r>
        <w:rPr>
          <w:rFonts w:hint="eastAsia" w:ascii="宋体" w:hAnsi="宋体" w:cs="宋体"/>
          <w:sz w:val="24"/>
        </w:rPr>
        <w:t>根据国家计委、物价局文件和采购文件的规定，一旦我公司中标，我公司同意按本采购文件规定向代理机构交纳招标代理费，在收到中标通知书的当日一次性向招标代理机构缴清。</w:t>
      </w:r>
    </w:p>
    <w:p>
      <w:pPr>
        <w:spacing w:line="480" w:lineRule="auto"/>
        <w:rPr>
          <w:rFonts w:ascii="宋体" w:hAnsi="宋体" w:cs="宋体"/>
          <w:sz w:val="24"/>
        </w:rPr>
      </w:pPr>
    </w:p>
    <w:p>
      <w:pPr>
        <w:pStyle w:val="29"/>
        <w:spacing w:before="120" w:after="120"/>
        <w:rPr>
          <w:rFonts w:hAnsi="宋体" w:cs="宋体"/>
        </w:rPr>
      </w:pPr>
    </w:p>
    <w:p>
      <w:pPr>
        <w:pStyle w:val="29"/>
        <w:spacing w:before="120" w:after="120"/>
        <w:rPr>
          <w:rFonts w:hAnsi="宋体" w:cs="宋体"/>
        </w:rPr>
      </w:pPr>
    </w:p>
    <w:p>
      <w:pPr>
        <w:pStyle w:val="29"/>
        <w:spacing w:before="120" w:after="120"/>
        <w:rPr>
          <w:rFonts w:hAnsi="宋体" w:cs="宋体"/>
        </w:rPr>
      </w:pPr>
    </w:p>
    <w:p>
      <w:pPr>
        <w:pStyle w:val="29"/>
        <w:spacing w:before="120" w:after="120"/>
        <w:rPr>
          <w:rFonts w:hAnsi="宋体" w:cs="宋体"/>
        </w:rPr>
      </w:pPr>
    </w:p>
    <w:p>
      <w:pPr>
        <w:snapToGrid w:val="0"/>
        <w:spacing w:before="120" w:beforeLines="50"/>
        <w:rPr>
          <w:rFonts w:ascii="宋体" w:hAnsi="宋体" w:cs="宋体"/>
          <w:sz w:val="24"/>
          <w:u w:val="single"/>
        </w:rPr>
      </w:pPr>
      <w:r>
        <w:rPr>
          <w:rFonts w:hint="eastAsia" w:ascii="宋体" w:hAnsi="宋体" w:cs="宋体"/>
          <w:sz w:val="24"/>
        </w:rPr>
        <w:t>法定代表人或授权代表签字：</w:t>
      </w:r>
    </w:p>
    <w:p>
      <w:pPr>
        <w:snapToGrid w:val="0"/>
        <w:spacing w:before="120" w:beforeLines="50" w:after="50"/>
        <w:rPr>
          <w:rFonts w:ascii="宋体" w:hAnsi="宋体" w:cs="宋体"/>
          <w:sz w:val="24"/>
        </w:rPr>
      </w:pPr>
      <w:r>
        <w:rPr>
          <w:rFonts w:hint="eastAsia" w:ascii="宋体" w:hAnsi="宋体" w:cs="宋体"/>
          <w:sz w:val="24"/>
        </w:rPr>
        <w:t>供应商公章：</w:t>
      </w:r>
    </w:p>
    <w:p>
      <w:pPr>
        <w:snapToGrid w:val="0"/>
        <w:spacing w:before="120" w:beforeLines="50" w:after="50"/>
        <w:ind w:firstLine="6240" w:firstLineChars="2600"/>
        <w:rPr>
          <w:rFonts w:ascii="宋体" w:hAnsi="宋体" w:cs="宋体"/>
          <w:sz w:val="24"/>
        </w:rPr>
      </w:pPr>
    </w:p>
    <w:p>
      <w:pPr>
        <w:snapToGrid w:val="0"/>
        <w:spacing w:before="120" w:beforeLines="50" w:after="50"/>
        <w:ind w:firstLine="6240" w:firstLineChars="2600"/>
        <w:rPr>
          <w:rFonts w:ascii="宋体" w:hAnsi="宋体" w:cs="宋体"/>
          <w:sz w:val="24"/>
        </w:rPr>
      </w:pPr>
      <w:r>
        <w:rPr>
          <w:rFonts w:hint="eastAsia" w:ascii="宋体" w:hAnsi="宋体" w:cs="宋体"/>
          <w:sz w:val="24"/>
        </w:rPr>
        <w:t>年    月    日</w:t>
      </w:r>
    </w:p>
    <w:p>
      <w:pPr>
        <w:tabs>
          <w:tab w:val="left" w:pos="3780"/>
        </w:tabs>
        <w:spacing w:after="160"/>
        <w:jc w:val="center"/>
        <w:rPr>
          <w:rFonts w:ascii="宋体" w:hAnsi="宋体" w:cs="宋体"/>
          <w:position w:val="-6"/>
        </w:rPr>
      </w:pPr>
    </w:p>
    <w:p>
      <w:pPr>
        <w:tabs>
          <w:tab w:val="left" w:pos="3780"/>
        </w:tabs>
        <w:spacing w:after="160"/>
        <w:jc w:val="center"/>
        <w:rPr>
          <w:rFonts w:ascii="宋体" w:hAnsi="宋体" w:cs="宋体"/>
          <w:position w:val="-6"/>
        </w:rPr>
      </w:pPr>
    </w:p>
    <w:p>
      <w:pPr>
        <w:ind w:firstLine="480"/>
        <w:rPr>
          <w:rFonts w:ascii="宋体" w:hAnsi="宋体" w:cs="宋体"/>
          <w:sz w:val="24"/>
          <w:u w:val="single"/>
        </w:rPr>
      </w:pPr>
    </w:p>
    <w:p>
      <w:pPr>
        <w:snapToGrid w:val="0"/>
        <w:spacing w:before="50" w:after="50" w:line="540" w:lineRule="exact"/>
        <w:rPr>
          <w:rFonts w:hint="eastAsia" w:ascii="宋体" w:hAnsi="宋体" w:eastAsia="宋体" w:cs="宋体"/>
          <w:sz w:val="24"/>
          <w:u w:val="single"/>
        </w:rPr>
      </w:pPr>
      <w:r>
        <w:rPr>
          <w:rFonts w:hint="eastAsia" w:ascii="宋体" w:hAnsi="宋体" w:eastAsia="宋体" w:cs="宋体"/>
          <w:sz w:val="24"/>
          <w:u w:val="single"/>
        </w:rPr>
        <w:t>账户名称：湖州鑫梦工程咨询有限公司</w:t>
      </w:r>
    </w:p>
    <w:p>
      <w:pPr>
        <w:snapToGrid w:val="0"/>
        <w:spacing w:before="50" w:after="50" w:line="540" w:lineRule="exact"/>
        <w:rPr>
          <w:rFonts w:hint="eastAsia" w:ascii="宋体" w:hAnsi="宋体" w:eastAsia="宋体" w:cs="宋体"/>
          <w:sz w:val="24"/>
          <w:u w:val="single"/>
        </w:rPr>
      </w:pPr>
      <w:r>
        <w:rPr>
          <w:rFonts w:hint="eastAsia" w:ascii="宋体" w:hAnsi="宋体" w:eastAsia="宋体" w:cs="宋体"/>
          <w:sz w:val="24"/>
          <w:u w:val="single"/>
        </w:rPr>
        <w:t>开户银行：中国建设银行股份有限公司湖州市民中心支行</w:t>
      </w:r>
    </w:p>
    <w:p>
      <w:pPr>
        <w:snapToGrid w:val="0"/>
        <w:spacing w:before="50" w:after="50" w:line="540" w:lineRule="exact"/>
        <w:rPr>
          <w:rFonts w:hint="eastAsia" w:ascii="宋体" w:hAnsi="宋体" w:eastAsia="宋体" w:cs="宋体"/>
          <w:b/>
          <w:sz w:val="24"/>
          <w:szCs w:val="30"/>
        </w:rPr>
      </w:pPr>
      <w:r>
        <w:rPr>
          <w:rFonts w:hint="eastAsia" w:ascii="宋体" w:hAnsi="宋体" w:eastAsia="宋体" w:cs="宋体"/>
          <w:sz w:val="24"/>
          <w:u w:val="single"/>
        </w:rPr>
        <w:t>银行帐号：33050164935500000282</w:t>
      </w:r>
    </w:p>
    <w:p>
      <w:pPr>
        <w:snapToGrid w:val="0"/>
        <w:spacing w:before="50" w:after="50" w:line="540" w:lineRule="exact"/>
        <w:rPr>
          <w:rFonts w:ascii="宋体" w:hAnsi="宋体" w:cs="宋体"/>
          <w:b/>
          <w:sz w:val="24"/>
          <w:szCs w:val="30"/>
        </w:rPr>
      </w:pPr>
    </w:p>
    <w:p>
      <w:pPr>
        <w:pStyle w:val="7"/>
        <w:spacing w:line="360" w:lineRule="auto"/>
        <w:rPr>
          <w:rFonts w:ascii="宋体" w:hAnsi="宋体" w:cs="宋体"/>
          <w:sz w:val="24"/>
          <w:szCs w:val="24"/>
        </w:rPr>
      </w:pPr>
    </w:p>
    <w:p>
      <w:pPr>
        <w:pStyle w:val="41"/>
        <w:spacing w:after="120" w:line="360" w:lineRule="auto"/>
        <w:ind w:firstLine="482" w:firstLineChars="200"/>
        <w:jc w:val="center"/>
        <w:rPr>
          <w:rFonts w:cs="宋体"/>
          <w:b/>
          <w:bCs/>
          <w:color w:val="auto"/>
        </w:rPr>
      </w:pPr>
      <w:r>
        <w:rPr>
          <w:rFonts w:hint="eastAsia" w:cs="宋体"/>
          <w:b/>
          <w:bCs/>
          <w:color w:val="auto"/>
        </w:rPr>
        <w:t>五、 其他投标供应商认为有必要提供的资料。</w:t>
      </w:r>
    </w:p>
    <w:p>
      <w:pPr>
        <w:pStyle w:val="7"/>
        <w:ind w:firstLine="0"/>
        <w:rPr>
          <w:rFonts w:ascii="宋体" w:hAnsi="宋体" w:cs="宋体"/>
          <w:sz w:val="22"/>
        </w:rPr>
      </w:pPr>
    </w:p>
    <w:sectPr>
      <w:footerReference r:id="rId9" w:type="default"/>
      <w:pgSz w:w="11907" w:h="16840"/>
      <w:pgMar w:top="1134" w:right="1247" w:bottom="1191" w:left="1128" w:header="454" w:footer="1020" w:gutter="0"/>
      <w:pgNumType w:fmt="decimal"/>
      <w:cols w:space="720" w:num="1"/>
      <w:titlePg/>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ospace">
    <w:altName w:val="Courier New"/>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楷体_GB2312">
    <w:altName w:val="楷体"/>
    <w:panose1 w:val="00000000000000000000"/>
    <w:charset w:val="86"/>
    <w:family w:val="modern"/>
    <w:pitch w:val="default"/>
    <w:sig w:usb0="00000000" w:usb1="0000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swiss"/>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9090"/>
      <w:rPr>
        <w:rFonts w:ascii="宋体" w:hAnsi="宋体" w:eastAsia="宋体" w:cs="宋体"/>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0" w:lineRule="auto"/>
      <w:ind w:left="9090"/>
      <w:rPr>
        <w:rFonts w:ascii="宋体" w:hAnsi="宋体" w:eastAsia="宋体" w:cs="宋体"/>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spacing w:line="440" w:lineRule="exact"/>
      <w:ind w:firstLine="210" w:firstLineChars="100"/>
      <w:rPr>
        <w:rFonts w:hint="eastAsia" w:ascii="宋体" w:hAnsi="宋体" w:cs="宋体"/>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24"/>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36</w:t>
                    </w:r>
                    <w:r>
                      <w:fldChar w:fldCharType="end"/>
                    </w:r>
                  </w:p>
                </w:txbxContent>
              </v:textbox>
            </v:shape>
          </w:pict>
        </mc:Fallback>
      </mc:AlternateContent>
    </w:r>
    <w:r>
      <w:rPr>
        <w:rFonts w:ascii="Times New Roman" w:hAnsi="Times New Roman" w:eastAsia="Times New Roman" w:cs="Times New Roman"/>
        <w:spacing w:val="6"/>
        <w:sz w:val="20"/>
        <w:szCs w:val="20"/>
      </w:rPr>
      <w:t>— 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1" w:lineRule="auto"/>
      <w:ind w:right="24"/>
      <w:jc w:val="right"/>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37</w:t>
                    </w:r>
                    <w:r>
                      <w:fldChar w:fldCharType="end"/>
                    </w:r>
                  </w:p>
                </w:txbxContent>
              </v:textbox>
            </v:shape>
          </w:pict>
        </mc:Fallback>
      </mc:AlternateContent>
    </w:r>
    <w:r>
      <w:rPr>
        <w:rFonts w:ascii="Times New Roman" w:hAnsi="Times New Roman" w:eastAsia="Times New Roman" w:cs="Times New Roman"/>
        <w:spacing w:val="4"/>
        <w:sz w:val="20"/>
        <w:szCs w:val="20"/>
      </w:rPr>
      <w:t>—</w:t>
    </w:r>
    <w:r>
      <w:rPr>
        <w:rFonts w:ascii="Times New Roman" w:hAnsi="Times New Roman" w:eastAsia="Times New Roman" w:cs="Times New Roman"/>
        <w:spacing w:val="15"/>
        <w:w w:val="101"/>
        <w:sz w:val="20"/>
        <w:szCs w:val="20"/>
      </w:rPr>
      <w:t xml:space="preserve"> </w:t>
    </w:r>
    <w:r>
      <w:rPr>
        <w:rFonts w:ascii="Times New Roman" w:hAnsi="Times New Roman" w:eastAsia="Times New Roman" w:cs="Times New Roman"/>
        <w:spacing w:val="4"/>
        <w:sz w:val="20"/>
        <w:szCs w:val="20"/>
      </w:rPr>
      <w:t>5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auto"/>
      <w:ind w:left="24"/>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38</w:t>
                    </w:r>
                    <w:r>
                      <w:fldChar w:fldCharType="end"/>
                    </w:r>
                  </w:p>
                </w:txbxContent>
              </v:textbox>
            </v:shape>
          </w:pict>
        </mc:Fallback>
      </mc:AlternateContent>
    </w:r>
    <w:r>
      <w:rPr>
        <w:rFonts w:ascii="Times New Roman" w:hAnsi="Times New Roman" w:eastAsia="Times New Roman" w:cs="Times New Roman"/>
        <w:spacing w:val="5"/>
        <w:sz w:val="20"/>
        <w:szCs w:val="20"/>
      </w:rPr>
      <w:t>—</w:t>
    </w:r>
    <w:r>
      <w:rPr>
        <w:rFonts w:ascii="Times New Roman" w:hAnsi="Times New Roman" w:eastAsia="Times New Roman" w:cs="Times New Roman"/>
        <w:spacing w:val="11"/>
        <w:sz w:val="20"/>
        <w:szCs w:val="20"/>
      </w:rPr>
      <w:t xml:space="preserve"> </w:t>
    </w:r>
    <w:r>
      <w:rPr>
        <w:rFonts w:ascii="Times New Roman" w:hAnsi="Times New Roman" w:eastAsia="Times New Roman" w:cs="Times New Roman"/>
        <w:spacing w:val="5"/>
        <w:sz w:val="20"/>
        <w:szCs w:val="20"/>
      </w:rPr>
      <w:t>6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both"/>
      <w:rPr>
        <w:rFonts w:hint="eastAsia" w:ascii="黑体" w:hAnsi="MS PGothic"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40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FD4D2"/>
    <w:multiLevelType w:val="singleLevel"/>
    <w:tmpl w:val="B84FD4D2"/>
    <w:lvl w:ilvl="0" w:tentative="0">
      <w:start w:val="1"/>
      <w:numFmt w:val="decimal"/>
      <w:suff w:val="nothing"/>
      <w:lvlText w:val="%1、"/>
      <w:lvlJc w:val="left"/>
    </w:lvl>
  </w:abstractNum>
  <w:abstractNum w:abstractNumId="1">
    <w:nsid w:val="BA12D2F5"/>
    <w:multiLevelType w:val="singleLevel"/>
    <w:tmpl w:val="BA12D2F5"/>
    <w:lvl w:ilvl="0" w:tentative="0">
      <w:start w:val="6"/>
      <w:numFmt w:val="chineseCounting"/>
      <w:suff w:val="space"/>
      <w:lvlText w:val="第%1章"/>
      <w:lvlJc w:val="left"/>
      <w:rPr>
        <w:rFonts w:hint="eastAsia"/>
      </w:rPr>
    </w:lvl>
  </w:abstractNum>
  <w:abstractNum w:abstractNumId="2">
    <w:nsid w:val="E327E1F2"/>
    <w:multiLevelType w:val="singleLevel"/>
    <w:tmpl w:val="E327E1F2"/>
    <w:lvl w:ilvl="0" w:tentative="0">
      <w:start w:val="1"/>
      <w:numFmt w:val="chineseCounting"/>
      <w:suff w:val="nothing"/>
      <w:lvlText w:val="%1、"/>
      <w:lvlJc w:val="left"/>
      <w:rPr>
        <w:rFonts w:hint="eastAsia"/>
      </w:rPr>
    </w:lvl>
  </w:abstractNum>
  <w:abstractNum w:abstractNumId="3">
    <w:nsid w:val="FDF116DE"/>
    <w:multiLevelType w:val="singleLevel"/>
    <w:tmpl w:val="FDF116DE"/>
    <w:lvl w:ilvl="0" w:tentative="0">
      <w:start w:val="1"/>
      <w:numFmt w:val="chineseCounting"/>
      <w:suff w:val="nothing"/>
      <w:lvlText w:val="（%1）"/>
      <w:lvlJc w:val="left"/>
      <w:rPr>
        <w:rFonts w:hint="eastAsia"/>
      </w:rPr>
    </w:lvl>
  </w:abstractNum>
  <w:abstractNum w:abstractNumId="4">
    <w:nsid w:val="FFFFFF7E"/>
    <w:multiLevelType w:val="singleLevel"/>
    <w:tmpl w:val="FFFFFF7E"/>
    <w:lvl w:ilvl="0" w:tentative="0">
      <w:start w:val="1"/>
      <w:numFmt w:val="decimal"/>
      <w:pStyle w:val="25"/>
      <w:lvlText w:val="%1."/>
      <w:lvlJc w:val="left"/>
      <w:pPr>
        <w:tabs>
          <w:tab w:val="left" w:pos="1200"/>
        </w:tabs>
        <w:ind w:left="1200" w:hanging="360"/>
      </w:pPr>
    </w:lvl>
  </w:abstractNum>
  <w:abstractNum w:abstractNumId="5">
    <w:nsid w:val="FFFFFF82"/>
    <w:multiLevelType w:val="singleLevel"/>
    <w:tmpl w:val="FFFFFF82"/>
    <w:lvl w:ilvl="0" w:tentative="0">
      <w:start w:val="1"/>
      <w:numFmt w:val="bullet"/>
      <w:pStyle w:val="19"/>
      <w:lvlText w:val=""/>
      <w:lvlJc w:val="left"/>
      <w:pPr>
        <w:tabs>
          <w:tab w:val="left" w:pos="1200"/>
        </w:tabs>
        <w:ind w:left="1200" w:hanging="360"/>
      </w:pPr>
      <w:rPr>
        <w:rFonts w:hint="default" w:ascii="Wingdings" w:hAnsi="Wingdings"/>
      </w:rPr>
    </w:lvl>
  </w:abstractNum>
  <w:abstractNum w:abstractNumId="6">
    <w:nsid w:val="139079B9"/>
    <w:multiLevelType w:val="singleLevel"/>
    <w:tmpl w:val="139079B9"/>
    <w:lvl w:ilvl="0" w:tentative="0">
      <w:start w:val="2"/>
      <w:numFmt w:val="decimal"/>
      <w:lvlText w:val="%1."/>
      <w:lvlJc w:val="left"/>
      <w:pPr>
        <w:tabs>
          <w:tab w:val="left" w:pos="312"/>
        </w:tabs>
      </w:pPr>
    </w:lvl>
  </w:abstractNum>
  <w:abstractNum w:abstractNumId="7">
    <w:nsid w:val="60AE39CC"/>
    <w:multiLevelType w:val="multilevel"/>
    <w:tmpl w:val="60AE39CC"/>
    <w:lvl w:ilvl="0" w:tentative="0">
      <w:start w:val="1"/>
      <w:numFmt w:val="none"/>
      <w:pStyle w:val="4"/>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6"/>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0"/>
      <w:lvlText w:val="           "/>
      <w:lvlJc w:val="left"/>
      <w:pPr>
        <w:tabs>
          <w:tab w:val="left" w:pos="1440"/>
        </w:tabs>
        <w:ind w:left="1152" w:hanging="1152"/>
      </w:pPr>
      <w:rPr>
        <w:rFonts w:hint="eastAsia"/>
      </w:rPr>
    </w:lvl>
    <w:lvl w:ilvl="6" w:tentative="0">
      <w:start w:val="1"/>
      <w:numFmt w:val="decimal"/>
      <w:pStyle w:val="11"/>
      <w:lvlText w:val="%1.%2.%3.%4.%5.%6.%7"/>
      <w:lvlJc w:val="left"/>
      <w:pPr>
        <w:tabs>
          <w:tab w:val="left" w:pos="2520"/>
        </w:tabs>
        <w:ind w:left="1296" w:hanging="1296"/>
      </w:pPr>
      <w:rPr>
        <w:rFonts w:hint="eastAsia"/>
      </w:rPr>
    </w:lvl>
    <w:lvl w:ilvl="7" w:tentative="0">
      <w:start w:val="1"/>
      <w:numFmt w:val="decimal"/>
      <w:pStyle w:val="12"/>
      <w:lvlText w:val="%1.%2.%3.%4.%5.%6.%7.%8"/>
      <w:lvlJc w:val="left"/>
      <w:pPr>
        <w:tabs>
          <w:tab w:val="left" w:pos="1440"/>
        </w:tabs>
        <w:ind w:left="1440" w:hanging="1440"/>
      </w:pPr>
      <w:rPr>
        <w:rFonts w:hint="eastAsia"/>
      </w:rPr>
    </w:lvl>
    <w:lvl w:ilvl="8" w:tentative="0">
      <w:start w:val="1"/>
      <w:numFmt w:val="decimal"/>
      <w:pStyle w:val="13"/>
      <w:lvlText w:val="%1.%2.%3.%4.%5.%6.%7.%8.%9"/>
      <w:lvlJc w:val="left"/>
      <w:pPr>
        <w:tabs>
          <w:tab w:val="left" w:pos="1584"/>
        </w:tabs>
        <w:ind w:left="1584" w:hanging="1584"/>
      </w:pPr>
      <w:rPr>
        <w:rFonts w:hint="eastAsia"/>
      </w:rPr>
    </w:lvl>
  </w:abstractNum>
  <w:num w:numId="1">
    <w:abstractNumId w:val="7"/>
  </w:num>
  <w:num w:numId="2">
    <w:abstractNumId w:val="5"/>
  </w:num>
  <w:num w:numId="3">
    <w:abstractNumId w:val="4"/>
  </w:num>
  <w:num w:numId="4">
    <w:abstractNumId w:val="3"/>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xYjc5ZTY1YzAyZGMyZWZmODhiZDI2YWNjNjk0ZTUifQ=="/>
  </w:docVars>
  <w:rsids>
    <w:rsidRoot w:val="00F24E48"/>
    <w:rsid w:val="000006B4"/>
    <w:rsid w:val="000007E4"/>
    <w:rsid w:val="00000FEC"/>
    <w:rsid w:val="00001C64"/>
    <w:rsid w:val="00003D00"/>
    <w:rsid w:val="00004639"/>
    <w:rsid w:val="00005C6E"/>
    <w:rsid w:val="00005D9D"/>
    <w:rsid w:val="0000609E"/>
    <w:rsid w:val="00006378"/>
    <w:rsid w:val="0000673A"/>
    <w:rsid w:val="00011A3E"/>
    <w:rsid w:val="000126C5"/>
    <w:rsid w:val="00015824"/>
    <w:rsid w:val="00015EF2"/>
    <w:rsid w:val="00016668"/>
    <w:rsid w:val="00017645"/>
    <w:rsid w:val="00020D43"/>
    <w:rsid w:val="00020EFB"/>
    <w:rsid w:val="00021451"/>
    <w:rsid w:val="00022443"/>
    <w:rsid w:val="000233E6"/>
    <w:rsid w:val="00023519"/>
    <w:rsid w:val="00024B55"/>
    <w:rsid w:val="000256CF"/>
    <w:rsid w:val="00027D87"/>
    <w:rsid w:val="00030720"/>
    <w:rsid w:val="00031679"/>
    <w:rsid w:val="00032E33"/>
    <w:rsid w:val="000341E2"/>
    <w:rsid w:val="00034488"/>
    <w:rsid w:val="0003471A"/>
    <w:rsid w:val="000349A0"/>
    <w:rsid w:val="0003574D"/>
    <w:rsid w:val="00035752"/>
    <w:rsid w:val="0003627D"/>
    <w:rsid w:val="00037665"/>
    <w:rsid w:val="00037F55"/>
    <w:rsid w:val="00041814"/>
    <w:rsid w:val="00043CCD"/>
    <w:rsid w:val="0004481C"/>
    <w:rsid w:val="00045A61"/>
    <w:rsid w:val="000516E4"/>
    <w:rsid w:val="00051EE9"/>
    <w:rsid w:val="00052DBB"/>
    <w:rsid w:val="00053BA4"/>
    <w:rsid w:val="0005559D"/>
    <w:rsid w:val="00057159"/>
    <w:rsid w:val="000571F3"/>
    <w:rsid w:val="0005747C"/>
    <w:rsid w:val="00057CB4"/>
    <w:rsid w:val="000610ED"/>
    <w:rsid w:val="000618FD"/>
    <w:rsid w:val="0006399B"/>
    <w:rsid w:val="00063ED0"/>
    <w:rsid w:val="00065560"/>
    <w:rsid w:val="00066AEF"/>
    <w:rsid w:val="00066E08"/>
    <w:rsid w:val="000737D2"/>
    <w:rsid w:val="000739C8"/>
    <w:rsid w:val="00074C4F"/>
    <w:rsid w:val="00075446"/>
    <w:rsid w:val="00075763"/>
    <w:rsid w:val="00076278"/>
    <w:rsid w:val="00076CD5"/>
    <w:rsid w:val="00076DCA"/>
    <w:rsid w:val="0007747B"/>
    <w:rsid w:val="00077713"/>
    <w:rsid w:val="00077780"/>
    <w:rsid w:val="000806E8"/>
    <w:rsid w:val="00080AA5"/>
    <w:rsid w:val="00084129"/>
    <w:rsid w:val="00084E47"/>
    <w:rsid w:val="000864BC"/>
    <w:rsid w:val="00086A51"/>
    <w:rsid w:val="00086B4D"/>
    <w:rsid w:val="00086B76"/>
    <w:rsid w:val="00087359"/>
    <w:rsid w:val="00087551"/>
    <w:rsid w:val="0009104E"/>
    <w:rsid w:val="000911F8"/>
    <w:rsid w:val="000918E9"/>
    <w:rsid w:val="00092CD3"/>
    <w:rsid w:val="00092E76"/>
    <w:rsid w:val="00095E80"/>
    <w:rsid w:val="00097B83"/>
    <w:rsid w:val="00097D35"/>
    <w:rsid w:val="000A12B2"/>
    <w:rsid w:val="000A134C"/>
    <w:rsid w:val="000A2363"/>
    <w:rsid w:val="000A2FC9"/>
    <w:rsid w:val="000A359E"/>
    <w:rsid w:val="000A4A49"/>
    <w:rsid w:val="000A5B8E"/>
    <w:rsid w:val="000A6713"/>
    <w:rsid w:val="000B021B"/>
    <w:rsid w:val="000B29AF"/>
    <w:rsid w:val="000B4D21"/>
    <w:rsid w:val="000B66FB"/>
    <w:rsid w:val="000B7CB9"/>
    <w:rsid w:val="000C1898"/>
    <w:rsid w:val="000C3124"/>
    <w:rsid w:val="000C5CAB"/>
    <w:rsid w:val="000C5CD6"/>
    <w:rsid w:val="000C67B9"/>
    <w:rsid w:val="000C7A22"/>
    <w:rsid w:val="000D07D7"/>
    <w:rsid w:val="000D0F71"/>
    <w:rsid w:val="000D14D9"/>
    <w:rsid w:val="000D1D42"/>
    <w:rsid w:val="000D2DBE"/>
    <w:rsid w:val="000D3A1B"/>
    <w:rsid w:val="000D4174"/>
    <w:rsid w:val="000D5789"/>
    <w:rsid w:val="000D672B"/>
    <w:rsid w:val="000D73D5"/>
    <w:rsid w:val="000D7CCE"/>
    <w:rsid w:val="000D7F5F"/>
    <w:rsid w:val="000E29F4"/>
    <w:rsid w:val="000E3FAC"/>
    <w:rsid w:val="000E40AF"/>
    <w:rsid w:val="000E4ED4"/>
    <w:rsid w:val="000E526D"/>
    <w:rsid w:val="000E5BEB"/>
    <w:rsid w:val="000F38F3"/>
    <w:rsid w:val="000F48A6"/>
    <w:rsid w:val="000F4A8A"/>
    <w:rsid w:val="000F63C9"/>
    <w:rsid w:val="000F6D52"/>
    <w:rsid w:val="000F70F9"/>
    <w:rsid w:val="001019A4"/>
    <w:rsid w:val="00101E7C"/>
    <w:rsid w:val="00102F8E"/>
    <w:rsid w:val="00104914"/>
    <w:rsid w:val="001055CE"/>
    <w:rsid w:val="00107E28"/>
    <w:rsid w:val="001102D6"/>
    <w:rsid w:val="001106CF"/>
    <w:rsid w:val="00111D8B"/>
    <w:rsid w:val="0011234E"/>
    <w:rsid w:val="00113D3D"/>
    <w:rsid w:val="00114C0A"/>
    <w:rsid w:val="0012174E"/>
    <w:rsid w:val="00125885"/>
    <w:rsid w:val="00125C58"/>
    <w:rsid w:val="001261EA"/>
    <w:rsid w:val="00126655"/>
    <w:rsid w:val="00127FEA"/>
    <w:rsid w:val="001326CC"/>
    <w:rsid w:val="001329E5"/>
    <w:rsid w:val="00132C2A"/>
    <w:rsid w:val="00132F9E"/>
    <w:rsid w:val="001341A0"/>
    <w:rsid w:val="001345A3"/>
    <w:rsid w:val="0013520D"/>
    <w:rsid w:val="00137655"/>
    <w:rsid w:val="001425AE"/>
    <w:rsid w:val="001455CA"/>
    <w:rsid w:val="00145AFD"/>
    <w:rsid w:val="00145B6A"/>
    <w:rsid w:val="0014678D"/>
    <w:rsid w:val="0014727E"/>
    <w:rsid w:val="00147644"/>
    <w:rsid w:val="0015062B"/>
    <w:rsid w:val="001509EA"/>
    <w:rsid w:val="00151340"/>
    <w:rsid w:val="001522D2"/>
    <w:rsid w:val="00152353"/>
    <w:rsid w:val="00152840"/>
    <w:rsid w:val="00152DB7"/>
    <w:rsid w:val="0015363E"/>
    <w:rsid w:val="001543C1"/>
    <w:rsid w:val="001554C4"/>
    <w:rsid w:val="00155704"/>
    <w:rsid w:val="00155899"/>
    <w:rsid w:val="00156609"/>
    <w:rsid w:val="001625E5"/>
    <w:rsid w:val="00163E62"/>
    <w:rsid w:val="00164FC6"/>
    <w:rsid w:val="00165614"/>
    <w:rsid w:val="00165CE2"/>
    <w:rsid w:val="001662D4"/>
    <w:rsid w:val="00167820"/>
    <w:rsid w:val="00167D75"/>
    <w:rsid w:val="00173549"/>
    <w:rsid w:val="00173D9B"/>
    <w:rsid w:val="00175C06"/>
    <w:rsid w:val="00176078"/>
    <w:rsid w:val="00176E63"/>
    <w:rsid w:val="00177185"/>
    <w:rsid w:val="0018050D"/>
    <w:rsid w:val="00180954"/>
    <w:rsid w:val="00180AE6"/>
    <w:rsid w:val="00183168"/>
    <w:rsid w:val="00185247"/>
    <w:rsid w:val="00186C85"/>
    <w:rsid w:val="00190B98"/>
    <w:rsid w:val="001912E7"/>
    <w:rsid w:val="00191FF8"/>
    <w:rsid w:val="00192534"/>
    <w:rsid w:val="001929B8"/>
    <w:rsid w:val="00192C15"/>
    <w:rsid w:val="00195551"/>
    <w:rsid w:val="00197193"/>
    <w:rsid w:val="00197FAF"/>
    <w:rsid w:val="001A1613"/>
    <w:rsid w:val="001A6B3B"/>
    <w:rsid w:val="001B0C1E"/>
    <w:rsid w:val="001B178D"/>
    <w:rsid w:val="001B2A4A"/>
    <w:rsid w:val="001B5168"/>
    <w:rsid w:val="001B68B9"/>
    <w:rsid w:val="001B79EE"/>
    <w:rsid w:val="001B7DAC"/>
    <w:rsid w:val="001C141E"/>
    <w:rsid w:val="001C1E56"/>
    <w:rsid w:val="001C2BC7"/>
    <w:rsid w:val="001C3C26"/>
    <w:rsid w:val="001C45E0"/>
    <w:rsid w:val="001C4C9A"/>
    <w:rsid w:val="001D1C6F"/>
    <w:rsid w:val="001D21C5"/>
    <w:rsid w:val="001D34FA"/>
    <w:rsid w:val="001D3EA7"/>
    <w:rsid w:val="001D56D0"/>
    <w:rsid w:val="001D58FB"/>
    <w:rsid w:val="001E2638"/>
    <w:rsid w:val="001E4395"/>
    <w:rsid w:val="001E799F"/>
    <w:rsid w:val="001F0282"/>
    <w:rsid w:val="001F364A"/>
    <w:rsid w:val="001F3937"/>
    <w:rsid w:val="001F5A39"/>
    <w:rsid w:val="001F5A6F"/>
    <w:rsid w:val="001F6363"/>
    <w:rsid w:val="001F7865"/>
    <w:rsid w:val="001F7A0E"/>
    <w:rsid w:val="001F7A82"/>
    <w:rsid w:val="002005B9"/>
    <w:rsid w:val="00201914"/>
    <w:rsid w:val="0020224E"/>
    <w:rsid w:val="00202472"/>
    <w:rsid w:val="00202CD5"/>
    <w:rsid w:val="00202E28"/>
    <w:rsid w:val="002039C8"/>
    <w:rsid w:val="002049C5"/>
    <w:rsid w:val="00204B83"/>
    <w:rsid w:val="002074C4"/>
    <w:rsid w:val="00207A59"/>
    <w:rsid w:val="00210540"/>
    <w:rsid w:val="00210B1E"/>
    <w:rsid w:val="0021276F"/>
    <w:rsid w:val="00213AF4"/>
    <w:rsid w:val="0021557D"/>
    <w:rsid w:val="00216820"/>
    <w:rsid w:val="00217987"/>
    <w:rsid w:val="0022077B"/>
    <w:rsid w:val="00224F11"/>
    <w:rsid w:val="002257A2"/>
    <w:rsid w:val="00225B92"/>
    <w:rsid w:val="002304CE"/>
    <w:rsid w:val="002306EF"/>
    <w:rsid w:val="00230DE5"/>
    <w:rsid w:val="00232C9A"/>
    <w:rsid w:val="002356F5"/>
    <w:rsid w:val="00236C01"/>
    <w:rsid w:val="00237FA1"/>
    <w:rsid w:val="00245542"/>
    <w:rsid w:val="00245FE7"/>
    <w:rsid w:val="0024603D"/>
    <w:rsid w:val="00246630"/>
    <w:rsid w:val="00247808"/>
    <w:rsid w:val="00251F52"/>
    <w:rsid w:val="00252946"/>
    <w:rsid w:val="002541E7"/>
    <w:rsid w:val="00254D64"/>
    <w:rsid w:val="002615CC"/>
    <w:rsid w:val="00261ECB"/>
    <w:rsid w:val="00262D59"/>
    <w:rsid w:val="00263392"/>
    <w:rsid w:val="0026374F"/>
    <w:rsid w:val="00265BE2"/>
    <w:rsid w:val="00271A26"/>
    <w:rsid w:val="002731B6"/>
    <w:rsid w:val="00273B90"/>
    <w:rsid w:val="00273EE7"/>
    <w:rsid w:val="00274006"/>
    <w:rsid w:val="00275310"/>
    <w:rsid w:val="002772DE"/>
    <w:rsid w:val="002819D4"/>
    <w:rsid w:val="00282DFE"/>
    <w:rsid w:val="0028313A"/>
    <w:rsid w:val="002841EF"/>
    <w:rsid w:val="00286021"/>
    <w:rsid w:val="00286952"/>
    <w:rsid w:val="00286B1F"/>
    <w:rsid w:val="002901C6"/>
    <w:rsid w:val="002911DB"/>
    <w:rsid w:val="002913EA"/>
    <w:rsid w:val="002942F5"/>
    <w:rsid w:val="002944B8"/>
    <w:rsid w:val="002947BB"/>
    <w:rsid w:val="002947ED"/>
    <w:rsid w:val="00295270"/>
    <w:rsid w:val="00296F1F"/>
    <w:rsid w:val="002A0074"/>
    <w:rsid w:val="002A1033"/>
    <w:rsid w:val="002A2D66"/>
    <w:rsid w:val="002A5548"/>
    <w:rsid w:val="002A5E87"/>
    <w:rsid w:val="002A7472"/>
    <w:rsid w:val="002A7BCC"/>
    <w:rsid w:val="002B0042"/>
    <w:rsid w:val="002B07AF"/>
    <w:rsid w:val="002B206F"/>
    <w:rsid w:val="002B231B"/>
    <w:rsid w:val="002B235A"/>
    <w:rsid w:val="002B2B68"/>
    <w:rsid w:val="002B44BC"/>
    <w:rsid w:val="002B48F6"/>
    <w:rsid w:val="002C01E9"/>
    <w:rsid w:val="002C07B2"/>
    <w:rsid w:val="002C0BE4"/>
    <w:rsid w:val="002C1549"/>
    <w:rsid w:val="002C16AD"/>
    <w:rsid w:val="002C20E0"/>
    <w:rsid w:val="002C271F"/>
    <w:rsid w:val="002C3028"/>
    <w:rsid w:val="002C3EFC"/>
    <w:rsid w:val="002C7F25"/>
    <w:rsid w:val="002C7F88"/>
    <w:rsid w:val="002D0336"/>
    <w:rsid w:val="002D09A5"/>
    <w:rsid w:val="002D2353"/>
    <w:rsid w:val="002D346A"/>
    <w:rsid w:val="002D3A82"/>
    <w:rsid w:val="002D3B8D"/>
    <w:rsid w:val="002D47CD"/>
    <w:rsid w:val="002E0938"/>
    <w:rsid w:val="002E21CF"/>
    <w:rsid w:val="002E254E"/>
    <w:rsid w:val="002E275C"/>
    <w:rsid w:val="002E4525"/>
    <w:rsid w:val="002F55E7"/>
    <w:rsid w:val="002F58DA"/>
    <w:rsid w:val="002F695A"/>
    <w:rsid w:val="003009DA"/>
    <w:rsid w:val="0030212D"/>
    <w:rsid w:val="00302B85"/>
    <w:rsid w:val="0030653F"/>
    <w:rsid w:val="00307264"/>
    <w:rsid w:val="00307BF4"/>
    <w:rsid w:val="00310A92"/>
    <w:rsid w:val="00310AD2"/>
    <w:rsid w:val="0031126E"/>
    <w:rsid w:val="003115D3"/>
    <w:rsid w:val="0031292C"/>
    <w:rsid w:val="00314101"/>
    <w:rsid w:val="003210A5"/>
    <w:rsid w:val="00321BB2"/>
    <w:rsid w:val="00322AB0"/>
    <w:rsid w:val="00326BFD"/>
    <w:rsid w:val="00326C1D"/>
    <w:rsid w:val="00330FEB"/>
    <w:rsid w:val="00332F23"/>
    <w:rsid w:val="00333A85"/>
    <w:rsid w:val="00334802"/>
    <w:rsid w:val="00335161"/>
    <w:rsid w:val="00337E90"/>
    <w:rsid w:val="0034071A"/>
    <w:rsid w:val="0034071D"/>
    <w:rsid w:val="00342A1D"/>
    <w:rsid w:val="00342D91"/>
    <w:rsid w:val="003433A5"/>
    <w:rsid w:val="003451B3"/>
    <w:rsid w:val="00346493"/>
    <w:rsid w:val="00346F76"/>
    <w:rsid w:val="00347A74"/>
    <w:rsid w:val="00350C64"/>
    <w:rsid w:val="00353DBB"/>
    <w:rsid w:val="00354088"/>
    <w:rsid w:val="0035553F"/>
    <w:rsid w:val="003555A8"/>
    <w:rsid w:val="00356713"/>
    <w:rsid w:val="003575FF"/>
    <w:rsid w:val="003629E7"/>
    <w:rsid w:val="003633E9"/>
    <w:rsid w:val="00364C98"/>
    <w:rsid w:val="0036513A"/>
    <w:rsid w:val="00366B31"/>
    <w:rsid w:val="00371683"/>
    <w:rsid w:val="003722FA"/>
    <w:rsid w:val="00380D67"/>
    <w:rsid w:val="00381344"/>
    <w:rsid w:val="0038432D"/>
    <w:rsid w:val="003857A5"/>
    <w:rsid w:val="00386345"/>
    <w:rsid w:val="00386515"/>
    <w:rsid w:val="00386769"/>
    <w:rsid w:val="003872E8"/>
    <w:rsid w:val="00390AEF"/>
    <w:rsid w:val="00392196"/>
    <w:rsid w:val="003924F1"/>
    <w:rsid w:val="00392DE0"/>
    <w:rsid w:val="00393D08"/>
    <w:rsid w:val="00394394"/>
    <w:rsid w:val="003956E2"/>
    <w:rsid w:val="00395D21"/>
    <w:rsid w:val="0039638E"/>
    <w:rsid w:val="003968A6"/>
    <w:rsid w:val="00397269"/>
    <w:rsid w:val="00397368"/>
    <w:rsid w:val="003A060C"/>
    <w:rsid w:val="003A069E"/>
    <w:rsid w:val="003A0F0E"/>
    <w:rsid w:val="003A1410"/>
    <w:rsid w:val="003A18CD"/>
    <w:rsid w:val="003A572A"/>
    <w:rsid w:val="003A7F5D"/>
    <w:rsid w:val="003B2618"/>
    <w:rsid w:val="003B273D"/>
    <w:rsid w:val="003B51B2"/>
    <w:rsid w:val="003B521C"/>
    <w:rsid w:val="003B524C"/>
    <w:rsid w:val="003B5F91"/>
    <w:rsid w:val="003B6F83"/>
    <w:rsid w:val="003C09E3"/>
    <w:rsid w:val="003C10C2"/>
    <w:rsid w:val="003C16ED"/>
    <w:rsid w:val="003C299A"/>
    <w:rsid w:val="003C3790"/>
    <w:rsid w:val="003C3DB0"/>
    <w:rsid w:val="003C5596"/>
    <w:rsid w:val="003C599C"/>
    <w:rsid w:val="003C6092"/>
    <w:rsid w:val="003D3FD1"/>
    <w:rsid w:val="003D465C"/>
    <w:rsid w:val="003D4A0C"/>
    <w:rsid w:val="003D542D"/>
    <w:rsid w:val="003E0228"/>
    <w:rsid w:val="003E2C04"/>
    <w:rsid w:val="003E2D6A"/>
    <w:rsid w:val="003E3451"/>
    <w:rsid w:val="003E5215"/>
    <w:rsid w:val="003E54DF"/>
    <w:rsid w:val="003E5D2C"/>
    <w:rsid w:val="003E6BB4"/>
    <w:rsid w:val="003E6FC9"/>
    <w:rsid w:val="003F3352"/>
    <w:rsid w:val="003F371D"/>
    <w:rsid w:val="003F3AD6"/>
    <w:rsid w:val="003F59B0"/>
    <w:rsid w:val="003F6354"/>
    <w:rsid w:val="00405C14"/>
    <w:rsid w:val="004061D7"/>
    <w:rsid w:val="00407728"/>
    <w:rsid w:val="00414A33"/>
    <w:rsid w:val="0041641E"/>
    <w:rsid w:val="004165B7"/>
    <w:rsid w:val="0041683F"/>
    <w:rsid w:val="004177D7"/>
    <w:rsid w:val="004205D1"/>
    <w:rsid w:val="004211E6"/>
    <w:rsid w:val="00421BA6"/>
    <w:rsid w:val="004223D1"/>
    <w:rsid w:val="00422AED"/>
    <w:rsid w:val="004244C9"/>
    <w:rsid w:val="00427C34"/>
    <w:rsid w:val="00431A63"/>
    <w:rsid w:val="00432153"/>
    <w:rsid w:val="004321D5"/>
    <w:rsid w:val="00434157"/>
    <w:rsid w:val="00437751"/>
    <w:rsid w:val="00441A5B"/>
    <w:rsid w:val="004421F7"/>
    <w:rsid w:val="00442665"/>
    <w:rsid w:val="004437D1"/>
    <w:rsid w:val="0044392E"/>
    <w:rsid w:val="0044463D"/>
    <w:rsid w:val="00447F34"/>
    <w:rsid w:val="00452299"/>
    <w:rsid w:val="00453421"/>
    <w:rsid w:val="004572A3"/>
    <w:rsid w:val="00457C22"/>
    <w:rsid w:val="0046048A"/>
    <w:rsid w:val="004638DB"/>
    <w:rsid w:val="00465FEF"/>
    <w:rsid w:val="0046650E"/>
    <w:rsid w:val="00466682"/>
    <w:rsid w:val="004712CA"/>
    <w:rsid w:val="00472215"/>
    <w:rsid w:val="004730B7"/>
    <w:rsid w:val="0047403F"/>
    <w:rsid w:val="00475BB4"/>
    <w:rsid w:val="00476512"/>
    <w:rsid w:val="004766B2"/>
    <w:rsid w:val="00476BCA"/>
    <w:rsid w:val="00476D84"/>
    <w:rsid w:val="00477022"/>
    <w:rsid w:val="004770BB"/>
    <w:rsid w:val="0047778E"/>
    <w:rsid w:val="00477F1F"/>
    <w:rsid w:val="00482117"/>
    <w:rsid w:val="00482248"/>
    <w:rsid w:val="0048285A"/>
    <w:rsid w:val="00482E7B"/>
    <w:rsid w:val="004844AE"/>
    <w:rsid w:val="00485123"/>
    <w:rsid w:val="0048572B"/>
    <w:rsid w:val="004865F5"/>
    <w:rsid w:val="0048689E"/>
    <w:rsid w:val="00491047"/>
    <w:rsid w:val="00492105"/>
    <w:rsid w:val="00493649"/>
    <w:rsid w:val="00494735"/>
    <w:rsid w:val="00495D51"/>
    <w:rsid w:val="004972E5"/>
    <w:rsid w:val="0049758E"/>
    <w:rsid w:val="00497BA7"/>
    <w:rsid w:val="004A00E9"/>
    <w:rsid w:val="004A0DAE"/>
    <w:rsid w:val="004A213D"/>
    <w:rsid w:val="004A4114"/>
    <w:rsid w:val="004A7CB9"/>
    <w:rsid w:val="004B0B76"/>
    <w:rsid w:val="004B1A47"/>
    <w:rsid w:val="004B1D36"/>
    <w:rsid w:val="004B21EC"/>
    <w:rsid w:val="004B2808"/>
    <w:rsid w:val="004B34DE"/>
    <w:rsid w:val="004B6332"/>
    <w:rsid w:val="004B6822"/>
    <w:rsid w:val="004B68D8"/>
    <w:rsid w:val="004B77A9"/>
    <w:rsid w:val="004C1C68"/>
    <w:rsid w:val="004C2E7A"/>
    <w:rsid w:val="004C4030"/>
    <w:rsid w:val="004C537C"/>
    <w:rsid w:val="004C6EE7"/>
    <w:rsid w:val="004C7CD7"/>
    <w:rsid w:val="004D0365"/>
    <w:rsid w:val="004D049E"/>
    <w:rsid w:val="004D1D81"/>
    <w:rsid w:val="004D283D"/>
    <w:rsid w:val="004D2B5A"/>
    <w:rsid w:val="004D57FB"/>
    <w:rsid w:val="004D5FA5"/>
    <w:rsid w:val="004D6F47"/>
    <w:rsid w:val="004E0974"/>
    <w:rsid w:val="004E0A93"/>
    <w:rsid w:val="004E1F3C"/>
    <w:rsid w:val="004E22CB"/>
    <w:rsid w:val="004E2DF8"/>
    <w:rsid w:val="004E4D24"/>
    <w:rsid w:val="004E55B5"/>
    <w:rsid w:val="004E62B0"/>
    <w:rsid w:val="004F058F"/>
    <w:rsid w:val="004F0A2E"/>
    <w:rsid w:val="004F15EA"/>
    <w:rsid w:val="004F2777"/>
    <w:rsid w:val="004F3740"/>
    <w:rsid w:val="004F4390"/>
    <w:rsid w:val="004F6992"/>
    <w:rsid w:val="004F69F6"/>
    <w:rsid w:val="004F7659"/>
    <w:rsid w:val="005009B9"/>
    <w:rsid w:val="00502268"/>
    <w:rsid w:val="00502388"/>
    <w:rsid w:val="00504781"/>
    <w:rsid w:val="005070F9"/>
    <w:rsid w:val="005104FF"/>
    <w:rsid w:val="00510704"/>
    <w:rsid w:val="00513D85"/>
    <w:rsid w:val="00513E2A"/>
    <w:rsid w:val="00515858"/>
    <w:rsid w:val="005168A6"/>
    <w:rsid w:val="00516BA8"/>
    <w:rsid w:val="00517DD2"/>
    <w:rsid w:val="00520259"/>
    <w:rsid w:val="00522A52"/>
    <w:rsid w:val="005250C9"/>
    <w:rsid w:val="00525430"/>
    <w:rsid w:val="0052606B"/>
    <w:rsid w:val="00531EA1"/>
    <w:rsid w:val="00533FCB"/>
    <w:rsid w:val="005344A7"/>
    <w:rsid w:val="00535912"/>
    <w:rsid w:val="0053653C"/>
    <w:rsid w:val="00541CDE"/>
    <w:rsid w:val="005421AD"/>
    <w:rsid w:val="00543010"/>
    <w:rsid w:val="0054323E"/>
    <w:rsid w:val="005441A7"/>
    <w:rsid w:val="00544204"/>
    <w:rsid w:val="00545728"/>
    <w:rsid w:val="00545BAC"/>
    <w:rsid w:val="00545DD3"/>
    <w:rsid w:val="005502B3"/>
    <w:rsid w:val="00550D5F"/>
    <w:rsid w:val="00550E89"/>
    <w:rsid w:val="005510F5"/>
    <w:rsid w:val="0055135C"/>
    <w:rsid w:val="0055158C"/>
    <w:rsid w:val="00551670"/>
    <w:rsid w:val="00551E26"/>
    <w:rsid w:val="00551F07"/>
    <w:rsid w:val="0055461E"/>
    <w:rsid w:val="005564AA"/>
    <w:rsid w:val="005566C8"/>
    <w:rsid w:val="00560274"/>
    <w:rsid w:val="00560D5C"/>
    <w:rsid w:val="00564BCE"/>
    <w:rsid w:val="005666EF"/>
    <w:rsid w:val="0057064A"/>
    <w:rsid w:val="00570DB5"/>
    <w:rsid w:val="00570F53"/>
    <w:rsid w:val="00570FE6"/>
    <w:rsid w:val="00572038"/>
    <w:rsid w:val="00572D78"/>
    <w:rsid w:val="0057326D"/>
    <w:rsid w:val="005768CC"/>
    <w:rsid w:val="00576A6F"/>
    <w:rsid w:val="005776ED"/>
    <w:rsid w:val="00580607"/>
    <w:rsid w:val="005807FB"/>
    <w:rsid w:val="00580BF9"/>
    <w:rsid w:val="00581715"/>
    <w:rsid w:val="00582849"/>
    <w:rsid w:val="0058339C"/>
    <w:rsid w:val="00583C08"/>
    <w:rsid w:val="0058495D"/>
    <w:rsid w:val="00586158"/>
    <w:rsid w:val="005903E4"/>
    <w:rsid w:val="005909E6"/>
    <w:rsid w:val="0059518D"/>
    <w:rsid w:val="005955E9"/>
    <w:rsid w:val="00595DB8"/>
    <w:rsid w:val="005A0353"/>
    <w:rsid w:val="005A1180"/>
    <w:rsid w:val="005A4448"/>
    <w:rsid w:val="005A5AC7"/>
    <w:rsid w:val="005A5CA0"/>
    <w:rsid w:val="005A6568"/>
    <w:rsid w:val="005B04EC"/>
    <w:rsid w:val="005B5846"/>
    <w:rsid w:val="005B7195"/>
    <w:rsid w:val="005B71A8"/>
    <w:rsid w:val="005C159E"/>
    <w:rsid w:val="005C1623"/>
    <w:rsid w:val="005C1FA1"/>
    <w:rsid w:val="005C32C9"/>
    <w:rsid w:val="005C3C57"/>
    <w:rsid w:val="005C4042"/>
    <w:rsid w:val="005C4DA7"/>
    <w:rsid w:val="005C54BD"/>
    <w:rsid w:val="005C6772"/>
    <w:rsid w:val="005C6FAB"/>
    <w:rsid w:val="005D1173"/>
    <w:rsid w:val="005D2652"/>
    <w:rsid w:val="005D30CA"/>
    <w:rsid w:val="005D3B29"/>
    <w:rsid w:val="005D3F86"/>
    <w:rsid w:val="005D417E"/>
    <w:rsid w:val="005D486B"/>
    <w:rsid w:val="005D770A"/>
    <w:rsid w:val="005E01AB"/>
    <w:rsid w:val="005E43BD"/>
    <w:rsid w:val="005E6C25"/>
    <w:rsid w:val="005E754E"/>
    <w:rsid w:val="005E7E3F"/>
    <w:rsid w:val="005F37C5"/>
    <w:rsid w:val="005F3940"/>
    <w:rsid w:val="005F43D5"/>
    <w:rsid w:val="005F4BAF"/>
    <w:rsid w:val="005F5772"/>
    <w:rsid w:val="005F79D5"/>
    <w:rsid w:val="00601356"/>
    <w:rsid w:val="00601ADE"/>
    <w:rsid w:val="00602E24"/>
    <w:rsid w:val="006053A9"/>
    <w:rsid w:val="00607DBE"/>
    <w:rsid w:val="00610210"/>
    <w:rsid w:val="00611DC4"/>
    <w:rsid w:val="006124D2"/>
    <w:rsid w:val="006135A8"/>
    <w:rsid w:val="00614BDD"/>
    <w:rsid w:val="0061501B"/>
    <w:rsid w:val="00615231"/>
    <w:rsid w:val="00620507"/>
    <w:rsid w:val="006221D9"/>
    <w:rsid w:val="00623712"/>
    <w:rsid w:val="006261AC"/>
    <w:rsid w:val="0063501C"/>
    <w:rsid w:val="0063527A"/>
    <w:rsid w:val="0064035E"/>
    <w:rsid w:val="00641B56"/>
    <w:rsid w:val="00643D7A"/>
    <w:rsid w:val="006442B7"/>
    <w:rsid w:val="00644532"/>
    <w:rsid w:val="00644C71"/>
    <w:rsid w:val="00644D42"/>
    <w:rsid w:val="00644F37"/>
    <w:rsid w:val="0064644B"/>
    <w:rsid w:val="00646E5F"/>
    <w:rsid w:val="00651366"/>
    <w:rsid w:val="006517B8"/>
    <w:rsid w:val="0065192D"/>
    <w:rsid w:val="0065313E"/>
    <w:rsid w:val="0065378C"/>
    <w:rsid w:val="0065380F"/>
    <w:rsid w:val="00653CF4"/>
    <w:rsid w:val="00654EE0"/>
    <w:rsid w:val="00655272"/>
    <w:rsid w:val="006573B9"/>
    <w:rsid w:val="006602F1"/>
    <w:rsid w:val="0066060F"/>
    <w:rsid w:val="00661E30"/>
    <w:rsid w:val="006641C8"/>
    <w:rsid w:val="00664249"/>
    <w:rsid w:val="00664350"/>
    <w:rsid w:val="006659E4"/>
    <w:rsid w:val="00665E10"/>
    <w:rsid w:val="00666F98"/>
    <w:rsid w:val="00667337"/>
    <w:rsid w:val="00671091"/>
    <w:rsid w:val="00672397"/>
    <w:rsid w:val="006723C6"/>
    <w:rsid w:val="0067582B"/>
    <w:rsid w:val="00675EA6"/>
    <w:rsid w:val="006772F7"/>
    <w:rsid w:val="00680CF9"/>
    <w:rsid w:val="0068139A"/>
    <w:rsid w:val="00681D53"/>
    <w:rsid w:val="006843D9"/>
    <w:rsid w:val="00684E86"/>
    <w:rsid w:val="0068689E"/>
    <w:rsid w:val="006868C8"/>
    <w:rsid w:val="006914F4"/>
    <w:rsid w:val="006941A7"/>
    <w:rsid w:val="00694E4E"/>
    <w:rsid w:val="006953CA"/>
    <w:rsid w:val="00695FA0"/>
    <w:rsid w:val="0069691B"/>
    <w:rsid w:val="006A0031"/>
    <w:rsid w:val="006A01F7"/>
    <w:rsid w:val="006A4AFB"/>
    <w:rsid w:val="006A5D7C"/>
    <w:rsid w:val="006A60F3"/>
    <w:rsid w:val="006A690F"/>
    <w:rsid w:val="006B03D5"/>
    <w:rsid w:val="006B05A0"/>
    <w:rsid w:val="006B0ED8"/>
    <w:rsid w:val="006B1939"/>
    <w:rsid w:val="006B19E6"/>
    <w:rsid w:val="006B33A6"/>
    <w:rsid w:val="006B366C"/>
    <w:rsid w:val="006B6EBF"/>
    <w:rsid w:val="006B7E4A"/>
    <w:rsid w:val="006C285C"/>
    <w:rsid w:val="006C2B15"/>
    <w:rsid w:val="006C315E"/>
    <w:rsid w:val="006C45BF"/>
    <w:rsid w:val="006C653C"/>
    <w:rsid w:val="006C6FAE"/>
    <w:rsid w:val="006D0583"/>
    <w:rsid w:val="006D0938"/>
    <w:rsid w:val="006D25BE"/>
    <w:rsid w:val="006D40E1"/>
    <w:rsid w:val="006D5796"/>
    <w:rsid w:val="006D6882"/>
    <w:rsid w:val="006D739B"/>
    <w:rsid w:val="006D7B28"/>
    <w:rsid w:val="006E0515"/>
    <w:rsid w:val="006E1F5E"/>
    <w:rsid w:val="006E2FD2"/>
    <w:rsid w:val="006E47BD"/>
    <w:rsid w:val="006E4B68"/>
    <w:rsid w:val="006E676E"/>
    <w:rsid w:val="006E69C1"/>
    <w:rsid w:val="006E7559"/>
    <w:rsid w:val="006F02CD"/>
    <w:rsid w:val="006F2B42"/>
    <w:rsid w:val="006F3D22"/>
    <w:rsid w:val="006F6098"/>
    <w:rsid w:val="006F6DEF"/>
    <w:rsid w:val="007019C1"/>
    <w:rsid w:val="0070321E"/>
    <w:rsid w:val="007143A1"/>
    <w:rsid w:val="007221B1"/>
    <w:rsid w:val="00722B4E"/>
    <w:rsid w:val="00722E43"/>
    <w:rsid w:val="0072408B"/>
    <w:rsid w:val="007241EF"/>
    <w:rsid w:val="00724BF7"/>
    <w:rsid w:val="007272FF"/>
    <w:rsid w:val="00727A33"/>
    <w:rsid w:val="00727E7E"/>
    <w:rsid w:val="00730680"/>
    <w:rsid w:val="00730E32"/>
    <w:rsid w:val="00732652"/>
    <w:rsid w:val="00732F2C"/>
    <w:rsid w:val="00733057"/>
    <w:rsid w:val="00733811"/>
    <w:rsid w:val="00734125"/>
    <w:rsid w:val="0073417A"/>
    <w:rsid w:val="00734223"/>
    <w:rsid w:val="0073580F"/>
    <w:rsid w:val="00735D3B"/>
    <w:rsid w:val="00736C4E"/>
    <w:rsid w:val="007376DD"/>
    <w:rsid w:val="00740501"/>
    <w:rsid w:val="00743E85"/>
    <w:rsid w:val="00746748"/>
    <w:rsid w:val="007476E4"/>
    <w:rsid w:val="00747980"/>
    <w:rsid w:val="007500F3"/>
    <w:rsid w:val="00750362"/>
    <w:rsid w:val="007517E5"/>
    <w:rsid w:val="0075285E"/>
    <w:rsid w:val="007531AF"/>
    <w:rsid w:val="00753F42"/>
    <w:rsid w:val="00754E2F"/>
    <w:rsid w:val="007578D4"/>
    <w:rsid w:val="00760AE6"/>
    <w:rsid w:val="007626D7"/>
    <w:rsid w:val="007629B0"/>
    <w:rsid w:val="00762AE6"/>
    <w:rsid w:val="00762FB6"/>
    <w:rsid w:val="00763A5A"/>
    <w:rsid w:val="00763EF6"/>
    <w:rsid w:val="00766F69"/>
    <w:rsid w:val="00767223"/>
    <w:rsid w:val="00767FFD"/>
    <w:rsid w:val="007712A4"/>
    <w:rsid w:val="0077251E"/>
    <w:rsid w:val="00772FBD"/>
    <w:rsid w:val="0077327B"/>
    <w:rsid w:val="00775B89"/>
    <w:rsid w:val="00776580"/>
    <w:rsid w:val="00776EF3"/>
    <w:rsid w:val="0077773D"/>
    <w:rsid w:val="00781997"/>
    <w:rsid w:val="00782F1A"/>
    <w:rsid w:val="0078454A"/>
    <w:rsid w:val="007856C5"/>
    <w:rsid w:val="0078585D"/>
    <w:rsid w:val="00790EC3"/>
    <w:rsid w:val="00791418"/>
    <w:rsid w:val="00792DA2"/>
    <w:rsid w:val="00793268"/>
    <w:rsid w:val="00794F3B"/>
    <w:rsid w:val="00795A5E"/>
    <w:rsid w:val="00795AB0"/>
    <w:rsid w:val="007966FC"/>
    <w:rsid w:val="00796C33"/>
    <w:rsid w:val="007A20F9"/>
    <w:rsid w:val="007A3469"/>
    <w:rsid w:val="007A3AF2"/>
    <w:rsid w:val="007B0315"/>
    <w:rsid w:val="007B206B"/>
    <w:rsid w:val="007B56B6"/>
    <w:rsid w:val="007B5895"/>
    <w:rsid w:val="007B71CA"/>
    <w:rsid w:val="007C0EA8"/>
    <w:rsid w:val="007C2762"/>
    <w:rsid w:val="007C5492"/>
    <w:rsid w:val="007C6B1D"/>
    <w:rsid w:val="007D0E21"/>
    <w:rsid w:val="007D10D8"/>
    <w:rsid w:val="007D286F"/>
    <w:rsid w:val="007D287D"/>
    <w:rsid w:val="007D2965"/>
    <w:rsid w:val="007D2F05"/>
    <w:rsid w:val="007D51EC"/>
    <w:rsid w:val="007D6504"/>
    <w:rsid w:val="007D79B3"/>
    <w:rsid w:val="007E031B"/>
    <w:rsid w:val="007E0B66"/>
    <w:rsid w:val="007E0C15"/>
    <w:rsid w:val="007E0F7D"/>
    <w:rsid w:val="007E18E8"/>
    <w:rsid w:val="007E197D"/>
    <w:rsid w:val="007E1E3B"/>
    <w:rsid w:val="007E7EEA"/>
    <w:rsid w:val="007F0FE7"/>
    <w:rsid w:val="007F1932"/>
    <w:rsid w:val="007F1A80"/>
    <w:rsid w:val="007F5FC0"/>
    <w:rsid w:val="007F683F"/>
    <w:rsid w:val="008007C8"/>
    <w:rsid w:val="00800E9E"/>
    <w:rsid w:val="00806342"/>
    <w:rsid w:val="00806E32"/>
    <w:rsid w:val="00807F39"/>
    <w:rsid w:val="0081104F"/>
    <w:rsid w:val="0081349C"/>
    <w:rsid w:val="008140B5"/>
    <w:rsid w:val="00814EE8"/>
    <w:rsid w:val="00815510"/>
    <w:rsid w:val="008169F6"/>
    <w:rsid w:val="00816CC9"/>
    <w:rsid w:val="00816EBB"/>
    <w:rsid w:val="0082047E"/>
    <w:rsid w:val="008209A9"/>
    <w:rsid w:val="00821600"/>
    <w:rsid w:val="00822A6A"/>
    <w:rsid w:val="00822FC9"/>
    <w:rsid w:val="00823339"/>
    <w:rsid w:val="00825106"/>
    <w:rsid w:val="0082662F"/>
    <w:rsid w:val="008305C0"/>
    <w:rsid w:val="008341E0"/>
    <w:rsid w:val="008348E6"/>
    <w:rsid w:val="00835BB9"/>
    <w:rsid w:val="008369A2"/>
    <w:rsid w:val="00837235"/>
    <w:rsid w:val="00837565"/>
    <w:rsid w:val="00840648"/>
    <w:rsid w:val="00840DCC"/>
    <w:rsid w:val="00840FFE"/>
    <w:rsid w:val="008455B9"/>
    <w:rsid w:val="0084637D"/>
    <w:rsid w:val="0084712F"/>
    <w:rsid w:val="0084786B"/>
    <w:rsid w:val="00847C38"/>
    <w:rsid w:val="00850DA9"/>
    <w:rsid w:val="0085148E"/>
    <w:rsid w:val="00851ECE"/>
    <w:rsid w:val="00854534"/>
    <w:rsid w:val="008546F0"/>
    <w:rsid w:val="00855503"/>
    <w:rsid w:val="008578C4"/>
    <w:rsid w:val="00860C28"/>
    <w:rsid w:val="00862FFD"/>
    <w:rsid w:val="00863155"/>
    <w:rsid w:val="008631DB"/>
    <w:rsid w:val="00864E19"/>
    <w:rsid w:val="008700BC"/>
    <w:rsid w:val="008701AC"/>
    <w:rsid w:val="00871860"/>
    <w:rsid w:val="00872306"/>
    <w:rsid w:val="00872F9B"/>
    <w:rsid w:val="008733C9"/>
    <w:rsid w:val="00873BD7"/>
    <w:rsid w:val="00875249"/>
    <w:rsid w:val="00875ECD"/>
    <w:rsid w:val="00876599"/>
    <w:rsid w:val="00876EF9"/>
    <w:rsid w:val="00880BC2"/>
    <w:rsid w:val="00882066"/>
    <w:rsid w:val="008845E1"/>
    <w:rsid w:val="00885CAE"/>
    <w:rsid w:val="0088641C"/>
    <w:rsid w:val="0088673E"/>
    <w:rsid w:val="008870EE"/>
    <w:rsid w:val="0088713E"/>
    <w:rsid w:val="00887D95"/>
    <w:rsid w:val="00890AF5"/>
    <w:rsid w:val="00892F8C"/>
    <w:rsid w:val="00894073"/>
    <w:rsid w:val="0089431B"/>
    <w:rsid w:val="0089498F"/>
    <w:rsid w:val="008956AC"/>
    <w:rsid w:val="008962B8"/>
    <w:rsid w:val="00897306"/>
    <w:rsid w:val="008A0079"/>
    <w:rsid w:val="008A1D84"/>
    <w:rsid w:val="008A3867"/>
    <w:rsid w:val="008A3989"/>
    <w:rsid w:val="008A5583"/>
    <w:rsid w:val="008A6732"/>
    <w:rsid w:val="008A7204"/>
    <w:rsid w:val="008B1025"/>
    <w:rsid w:val="008B48C2"/>
    <w:rsid w:val="008B552B"/>
    <w:rsid w:val="008B5F34"/>
    <w:rsid w:val="008B62EF"/>
    <w:rsid w:val="008B67A9"/>
    <w:rsid w:val="008C0102"/>
    <w:rsid w:val="008C042D"/>
    <w:rsid w:val="008C24FF"/>
    <w:rsid w:val="008C282C"/>
    <w:rsid w:val="008C4D47"/>
    <w:rsid w:val="008C554B"/>
    <w:rsid w:val="008D0E45"/>
    <w:rsid w:val="008D18AE"/>
    <w:rsid w:val="008D3FE7"/>
    <w:rsid w:val="008D55B9"/>
    <w:rsid w:val="008D7FEA"/>
    <w:rsid w:val="008E0EFE"/>
    <w:rsid w:val="008E12B3"/>
    <w:rsid w:val="008E2F85"/>
    <w:rsid w:val="008E3414"/>
    <w:rsid w:val="008E380D"/>
    <w:rsid w:val="008E4380"/>
    <w:rsid w:val="008E4AE0"/>
    <w:rsid w:val="008E4ED3"/>
    <w:rsid w:val="008E550B"/>
    <w:rsid w:val="008E6ACB"/>
    <w:rsid w:val="008E703C"/>
    <w:rsid w:val="008E7AFB"/>
    <w:rsid w:val="008E7C2E"/>
    <w:rsid w:val="008F0C63"/>
    <w:rsid w:val="008F2D1A"/>
    <w:rsid w:val="008F4B69"/>
    <w:rsid w:val="008F6A11"/>
    <w:rsid w:val="00901B00"/>
    <w:rsid w:val="00901E39"/>
    <w:rsid w:val="0090471B"/>
    <w:rsid w:val="00904908"/>
    <w:rsid w:val="0090534A"/>
    <w:rsid w:val="009054C5"/>
    <w:rsid w:val="00906710"/>
    <w:rsid w:val="00906868"/>
    <w:rsid w:val="00906BA1"/>
    <w:rsid w:val="00906FEF"/>
    <w:rsid w:val="00907E5B"/>
    <w:rsid w:val="009129B9"/>
    <w:rsid w:val="00912E39"/>
    <w:rsid w:val="0091445F"/>
    <w:rsid w:val="00917574"/>
    <w:rsid w:val="0092031B"/>
    <w:rsid w:val="009203C7"/>
    <w:rsid w:val="00921AF7"/>
    <w:rsid w:val="00921D9E"/>
    <w:rsid w:val="0092387F"/>
    <w:rsid w:val="00926405"/>
    <w:rsid w:val="00931362"/>
    <w:rsid w:val="00931FF3"/>
    <w:rsid w:val="00935EBC"/>
    <w:rsid w:val="009374B0"/>
    <w:rsid w:val="00937973"/>
    <w:rsid w:val="0094062A"/>
    <w:rsid w:val="00940979"/>
    <w:rsid w:val="0094171F"/>
    <w:rsid w:val="0094332F"/>
    <w:rsid w:val="00943C03"/>
    <w:rsid w:val="00947307"/>
    <w:rsid w:val="00947A1F"/>
    <w:rsid w:val="00953416"/>
    <w:rsid w:val="00953FB3"/>
    <w:rsid w:val="009551B7"/>
    <w:rsid w:val="0095533A"/>
    <w:rsid w:val="0095552E"/>
    <w:rsid w:val="00957F10"/>
    <w:rsid w:val="00960954"/>
    <w:rsid w:val="00961AB7"/>
    <w:rsid w:val="00961C02"/>
    <w:rsid w:val="00962101"/>
    <w:rsid w:val="009636F6"/>
    <w:rsid w:val="0096428F"/>
    <w:rsid w:val="0096432B"/>
    <w:rsid w:val="00965974"/>
    <w:rsid w:val="009670BB"/>
    <w:rsid w:val="009672E7"/>
    <w:rsid w:val="00971576"/>
    <w:rsid w:val="009721FC"/>
    <w:rsid w:val="009732EE"/>
    <w:rsid w:val="00976D29"/>
    <w:rsid w:val="0098318A"/>
    <w:rsid w:val="00985ED4"/>
    <w:rsid w:val="00985F34"/>
    <w:rsid w:val="00985FFB"/>
    <w:rsid w:val="00987F51"/>
    <w:rsid w:val="009914DA"/>
    <w:rsid w:val="00991F3F"/>
    <w:rsid w:val="009933F1"/>
    <w:rsid w:val="00993CE9"/>
    <w:rsid w:val="00994127"/>
    <w:rsid w:val="00994757"/>
    <w:rsid w:val="00997A66"/>
    <w:rsid w:val="009A2F1A"/>
    <w:rsid w:val="009A33FC"/>
    <w:rsid w:val="009A4031"/>
    <w:rsid w:val="009A54FA"/>
    <w:rsid w:val="009A6DC7"/>
    <w:rsid w:val="009A7D18"/>
    <w:rsid w:val="009B0228"/>
    <w:rsid w:val="009B25CE"/>
    <w:rsid w:val="009B314B"/>
    <w:rsid w:val="009B3584"/>
    <w:rsid w:val="009B4820"/>
    <w:rsid w:val="009B4F4B"/>
    <w:rsid w:val="009B5EE4"/>
    <w:rsid w:val="009B6C99"/>
    <w:rsid w:val="009C14F7"/>
    <w:rsid w:val="009C1864"/>
    <w:rsid w:val="009C198E"/>
    <w:rsid w:val="009C2748"/>
    <w:rsid w:val="009C3618"/>
    <w:rsid w:val="009C47CD"/>
    <w:rsid w:val="009C4BCE"/>
    <w:rsid w:val="009C65FD"/>
    <w:rsid w:val="009C7378"/>
    <w:rsid w:val="009D0648"/>
    <w:rsid w:val="009D431C"/>
    <w:rsid w:val="009D6385"/>
    <w:rsid w:val="009D69CB"/>
    <w:rsid w:val="009E0B52"/>
    <w:rsid w:val="009E0F20"/>
    <w:rsid w:val="009E263E"/>
    <w:rsid w:val="009E3C12"/>
    <w:rsid w:val="009E4456"/>
    <w:rsid w:val="009E5EA4"/>
    <w:rsid w:val="009F0B90"/>
    <w:rsid w:val="009F102D"/>
    <w:rsid w:val="009F1269"/>
    <w:rsid w:val="009F2B2F"/>
    <w:rsid w:val="009F32FE"/>
    <w:rsid w:val="009F4619"/>
    <w:rsid w:val="00A0035D"/>
    <w:rsid w:val="00A01B8A"/>
    <w:rsid w:val="00A053CE"/>
    <w:rsid w:val="00A05854"/>
    <w:rsid w:val="00A0602C"/>
    <w:rsid w:val="00A12260"/>
    <w:rsid w:val="00A13498"/>
    <w:rsid w:val="00A13EB8"/>
    <w:rsid w:val="00A1567E"/>
    <w:rsid w:val="00A1588A"/>
    <w:rsid w:val="00A1594C"/>
    <w:rsid w:val="00A16709"/>
    <w:rsid w:val="00A16ABB"/>
    <w:rsid w:val="00A209BE"/>
    <w:rsid w:val="00A20F40"/>
    <w:rsid w:val="00A21F57"/>
    <w:rsid w:val="00A24494"/>
    <w:rsid w:val="00A2652C"/>
    <w:rsid w:val="00A310E4"/>
    <w:rsid w:val="00A3166E"/>
    <w:rsid w:val="00A318BC"/>
    <w:rsid w:val="00A32203"/>
    <w:rsid w:val="00A32FA9"/>
    <w:rsid w:val="00A353C1"/>
    <w:rsid w:val="00A36937"/>
    <w:rsid w:val="00A42506"/>
    <w:rsid w:val="00A42687"/>
    <w:rsid w:val="00A432F1"/>
    <w:rsid w:val="00A4442B"/>
    <w:rsid w:val="00A46A25"/>
    <w:rsid w:val="00A511EB"/>
    <w:rsid w:val="00A53572"/>
    <w:rsid w:val="00A53826"/>
    <w:rsid w:val="00A5487A"/>
    <w:rsid w:val="00A57C72"/>
    <w:rsid w:val="00A61B8C"/>
    <w:rsid w:val="00A6204C"/>
    <w:rsid w:val="00A6316F"/>
    <w:rsid w:val="00A64EBC"/>
    <w:rsid w:val="00A64F35"/>
    <w:rsid w:val="00A65C47"/>
    <w:rsid w:val="00A664AD"/>
    <w:rsid w:val="00A67013"/>
    <w:rsid w:val="00A70C5B"/>
    <w:rsid w:val="00A70FF3"/>
    <w:rsid w:val="00A72AAC"/>
    <w:rsid w:val="00A72E1E"/>
    <w:rsid w:val="00A7515F"/>
    <w:rsid w:val="00A75484"/>
    <w:rsid w:val="00A75FBB"/>
    <w:rsid w:val="00A7791A"/>
    <w:rsid w:val="00A779D8"/>
    <w:rsid w:val="00A802FC"/>
    <w:rsid w:val="00A84763"/>
    <w:rsid w:val="00A84A9E"/>
    <w:rsid w:val="00A85179"/>
    <w:rsid w:val="00A8642C"/>
    <w:rsid w:val="00A86BC0"/>
    <w:rsid w:val="00A87FD9"/>
    <w:rsid w:val="00A913C1"/>
    <w:rsid w:val="00A91F9E"/>
    <w:rsid w:val="00A94035"/>
    <w:rsid w:val="00A9506D"/>
    <w:rsid w:val="00A957EA"/>
    <w:rsid w:val="00A95B04"/>
    <w:rsid w:val="00A9632C"/>
    <w:rsid w:val="00A96844"/>
    <w:rsid w:val="00AA2657"/>
    <w:rsid w:val="00AA323D"/>
    <w:rsid w:val="00AA34E7"/>
    <w:rsid w:val="00AA4283"/>
    <w:rsid w:val="00AA5B48"/>
    <w:rsid w:val="00AA6144"/>
    <w:rsid w:val="00AB00C6"/>
    <w:rsid w:val="00AB0970"/>
    <w:rsid w:val="00AB189B"/>
    <w:rsid w:val="00AB2BF5"/>
    <w:rsid w:val="00AB56B9"/>
    <w:rsid w:val="00AB6861"/>
    <w:rsid w:val="00AB6B02"/>
    <w:rsid w:val="00AC0B8A"/>
    <w:rsid w:val="00AC1D15"/>
    <w:rsid w:val="00AC3FD3"/>
    <w:rsid w:val="00AC5432"/>
    <w:rsid w:val="00AC60E8"/>
    <w:rsid w:val="00AC72A2"/>
    <w:rsid w:val="00AD00EC"/>
    <w:rsid w:val="00AD0413"/>
    <w:rsid w:val="00AD0910"/>
    <w:rsid w:val="00AD0DE9"/>
    <w:rsid w:val="00AD2B8F"/>
    <w:rsid w:val="00AD2D98"/>
    <w:rsid w:val="00AD39C7"/>
    <w:rsid w:val="00AD3ECE"/>
    <w:rsid w:val="00AD453C"/>
    <w:rsid w:val="00AD4854"/>
    <w:rsid w:val="00AD4953"/>
    <w:rsid w:val="00AD5E16"/>
    <w:rsid w:val="00AD7456"/>
    <w:rsid w:val="00AE0044"/>
    <w:rsid w:val="00AE06FE"/>
    <w:rsid w:val="00AE1B16"/>
    <w:rsid w:val="00AE28A6"/>
    <w:rsid w:val="00AE3943"/>
    <w:rsid w:val="00AE48F6"/>
    <w:rsid w:val="00AE4F72"/>
    <w:rsid w:val="00AE59E5"/>
    <w:rsid w:val="00AE5FE6"/>
    <w:rsid w:val="00AE602F"/>
    <w:rsid w:val="00AE6F2A"/>
    <w:rsid w:val="00AF008B"/>
    <w:rsid w:val="00AF2671"/>
    <w:rsid w:val="00AF2F74"/>
    <w:rsid w:val="00AF3CA7"/>
    <w:rsid w:val="00AF3E04"/>
    <w:rsid w:val="00AF3F17"/>
    <w:rsid w:val="00AF4A4C"/>
    <w:rsid w:val="00AF4A9A"/>
    <w:rsid w:val="00AF788A"/>
    <w:rsid w:val="00AF7B82"/>
    <w:rsid w:val="00B03559"/>
    <w:rsid w:val="00B042A1"/>
    <w:rsid w:val="00B043F0"/>
    <w:rsid w:val="00B05B79"/>
    <w:rsid w:val="00B06998"/>
    <w:rsid w:val="00B1160B"/>
    <w:rsid w:val="00B1198C"/>
    <w:rsid w:val="00B12281"/>
    <w:rsid w:val="00B12FC8"/>
    <w:rsid w:val="00B13583"/>
    <w:rsid w:val="00B14368"/>
    <w:rsid w:val="00B14A91"/>
    <w:rsid w:val="00B156DA"/>
    <w:rsid w:val="00B1755B"/>
    <w:rsid w:val="00B203D3"/>
    <w:rsid w:val="00B209E0"/>
    <w:rsid w:val="00B22710"/>
    <w:rsid w:val="00B22746"/>
    <w:rsid w:val="00B22A5C"/>
    <w:rsid w:val="00B23371"/>
    <w:rsid w:val="00B2495E"/>
    <w:rsid w:val="00B257DC"/>
    <w:rsid w:val="00B315A0"/>
    <w:rsid w:val="00B32F52"/>
    <w:rsid w:val="00B33E45"/>
    <w:rsid w:val="00B344A7"/>
    <w:rsid w:val="00B345A1"/>
    <w:rsid w:val="00B354D3"/>
    <w:rsid w:val="00B36E51"/>
    <w:rsid w:val="00B40ED1"/>
    <w:rsid w:val="00B41770"/>
    <w:rsid w:val="00B4235D"/>
    <w:rsid w:val="00B424DE"/>
    <w:rsid w:val="00B42CF6"/>
    <w:rsid w:val="00B433D8"/>
    <w:rsid w:val="00B438F3"/>
    <w:rsid w:val="00B43974"/>
    <w:rsid w:val="00B43F4F"/>
    <w:rsid w:val="00B46412"/>
    <w:rsid w:val="00B4707D"/>
    <w:rsid w:val="00B519A3"/>
    <w:rsid w:val="00B55451"/>
    <w:rsid w:val="00B55770"/>
    <w:rsid w:val="00B55872"/>
    <w:rsid w:val="00B57048"/>
    <w:rsid w:val="00B60196"/>
    <w:rsid w:val="00B65806"/>
    <w:rsid w:val="00B664E5"/>
    <w:rsid w:val="00B66757"/>
    <w:rsid w:val="00B66B1E"/>
    <w:rsid w:val="00B67CC7"/>
    <w:rsid w:val="00B7213E"/>
    <w:rsid w:val="00B767F5"/>
    <w:rsid w:val="00B77857"/>
    <w:rsid w:val="00B83A2F"/>
    <w:rsid w:val="00B85C82"/>
    <w:rsid w:val="00B86C3E"/>
    <w:rsid w:val="00B90FF1"/>
    <w:rsid w:val="00B9121A"/>
    <w:rsid w:val="00B9148F"/>
    <w:rsid w:val="00B915AC"/>
    <w:rsid w:val="00B92DB0"/>
    <w:rsid w:val="00B93AB0"/>
    <w:rsid w:val="00B949F2"/>
    <w:rsid w:val="00B960CD"/>
    <w:rsid w:val="00B96E3C"/>
    <w:rsid w:val="00B97696"/>
    <w:rsid w:val="00BA2D9A"/>
    <w:rsid w:val="00BA2F55"/>
    <w:rsid w:val="00BA32DB"/>
    <w:rsid w:val="00BA3F4C"/>
    <w:rsid w:val="00BA60C0"/>
    <w:rsid w:val="00BA6E38"/>
    <w:rsid w:val="00BB05F3"/>
    <w:rsid w:val="00BB281B"/>
    <w:rsid w:val="00BB3161"/>
    <w:rsid w:val="00BB32E8"/>
    <w:rsid w:val="00BB3ED9"/>
    <w:rsid w:val="00BB4152"/>
    <w:rsid w:val="00BB4647"/>
    <w:rsid w:val="00BB4665"/>
    <w:rsid w:val="00BB5F24"/>
    <w:rsid w:val="00BB6B21"/>
    <w:rsid w:val="00BB6FD7"/>
    <w:rsid w:val="00BB777B"/>
    <w:rsid w:val="00BC0B06"/>
    <w:rsid w:val="00BC1935"/>
    <w:rsid w:val="00BC2AE6"/>
    <w:rsid w:val="00BC469F"/>
    <w:rsid w:val="00BD21D3"/>
    <w:rsid w:val="00BD2655"/>
    <w:rsid w:val="00BD2765"/>
    <w:rsid w:val="00BD4362"/>
    <w:rsid w:val="00BE1566"/>
    <w:rsid w:val="00BE29C8"/>
    <w:rsid w:val="00BE2DED"/>
    <w:rsid w:val="00BE401B"/>
    <w:rsid w:val="00BE55A2"/>
    <w:rsid w:val="00BE56A3"/>
    <w:rsid w:val="00BE56A9"/>
    <w:rsid w:val="00BE5E82"/>
    <w:rsid w:val="00BF0672"/>
    <w:rsid w:val="00BF1AA1"/>
    <w:rsid w:val="00BF5862"/>
    <w:rsid w:val="00BF5CCA"/>
    <w:rsid w:val="00BF606D"/>
    <w:rsid w:val="00C03704"/>
    <w:rsid w:val="00C06CD2"/>
    <w:rsid w:val="00C0751F"/>
    <w:rsid w:val="00C13A30"/>
    <w:rsid w:val="00C1436A"/>
    <w:rsid w:val="00C14F7A"/>
    <w:rsid w:val="00C16FAC"/>
    <w:rsid w:val="00C17276"/>
    <w:rsid w:val="00C22611"/>
    <w:rsid w:val="00C2264C"/>
    <w:rsid w:val="00C253F0"/>
    <w:rsid w:val="00C26372"/>
    <w:rsid w:val="00C26BF5"/>
    <w:rsid w:val="00C31E95"/>
    <w:rsid w:val="00C35AFD"/>
    <w:rsid w:val="00C35E7C"/>
    <w:rsid w:val="00C37BD2"/>
    <w:rsid w:val="00C405CA"/>
    <w:rsid w:val="00C41712"/>
    <w:rsid w:val="00C41E37"/>
    <w:rsid w:val="00C4205A"/>
    <w:rsid w:val="00C42C68"/>
    <w:rsid w:val="00C43205"/>
    <w:rsid w:val="00C4414C"/>
    <w:rsid w:val="00C44473"/>
    <w:rsid w:val="00C45969"/>
    <w:rsid w:val="00C478D2"/>
    <w:rsid w:val="00C47D47"/>
    <w:rsid w:val="00C50855"/>
    <w:rsid w:val="00C50981"/>
    <w:rsid w:val="00C52BBD"/>
    <w:rsid w:val="00C5410C"/>
    <w:rsid w:val="00C54BF8"/>
    <w:rsid w:val="00C555FD"/>
    <w:rsid w:val="00C5560B"/>
    <w:rsid w:val="00C55686"/>
    <w:rsid w:val="00C556A7"/>
    <w:rsid w:val="00C5608D"/>
    <w:rsid w:val="00C56427"/>
    <w:rsid w:val="00C56D52"/>
    <w:rsid w:val="00C60112"/>
    <w:rsid w:val="00C61C11"/>
    <w:rsid w:val="00C61F9E"/>
    <w:rsid w:val="00C64C81"/>
    <w:rsid w:val="00C6550B"/>
    <w:rsid w:val="00C70406"/>
    <w:rsid w:val="00C70F3E"/>
    <w:rsid w:val="00C71E1E"/>
    <w:rsid w:val="00C727B5"/>
    <w:rsid w:val="00C72A90"/>
    <w:rsid w:val="00C738B9"/>
    <w:rsid w:val="00C75114"/>
    <w:rsid w:val="00C77317"/>
    <w:rsid w:val="00C81DAD"/>
    <w:rsid w:val="00C822BF"/>
    <w:rsid w:val="00C8261C"/>
    <w:rsid w:val="00C82986"/>
    <w:rsid w:val="00C8655C"/>
    <w:rsid w:val="00C90655"/>
    <w:rsid w:val="00C91426"/>
    <w:rsid w:val="00C915BD"/>
    <w:rsid w:val="00C91C60"/>
    <w:rsid w:val="00C9282B"/>
    <w:rsid w:val="00C92ED0"/>
    <w:rsid w:val="00C931B6"/>
    <w:rsid w:val="00C93BE3"/>
    <w:rsid w:val="00C94D8A"/>
    <w:rsid w:val="00C95EC2"/>
    <w:rsid w:val="00C97E65"/>
    <w:rsid w:val="00CA10C1"/>
    <w:rsid w:val="00CA23BB"/>
    <w:rsid w:val="00CA2E4D"/>
    <w:rsid w:val="00CA3812"/>
    <w:rsid w:val="00CA4014"/>
    <w:rsid w:val="00CA76B8"/>
    <w:rsid w:val="00CB0871"/>
    <w:rsid w:val="00CB2722"/>
    <w:rsid w:val="00CB35FC"/>
    <w:rsid w:val="00CB3C87"/>
    <w:rsid w:val="00CB45A3"/>
    <w:rsid w:val="00CB4B4F"/>
    <w:rsid w:val="00CB4CDD"/>
    <w:rsid w:val="00CB68BB"/>
    <w:rsid w:val="00CB76C6"/>
    <w:rsid w:val="00CC2841"/>
    <w:rsid w:val="00CC4972"/>
    <w:rsid w:val="00CC6B35"/>
    <w:rsid w:val="00CC78B0"/>
    <w:rsid w:val="00CD319E"/>
    <w:rsid w:val="00CD337D"/>
    <w:rsid w:val="00CD496E"/>
    <w:rsid w:val="00CD4D80"/>
    <w:rsid w:val="00CD512B"/>
    <w:rsid w:val="00CD6290"/>
    <w:rsid w:val="00CD753D"/>
    <w:rsid w:val="00CE639D"/>
    <w:rsid w:val="00CE6AB1"/>
    <w:rsid w:val="00CE6E38"/>
    <w:rsid w:val="00CF62D1"/>
    <w:rsid w:val="00CF6607"/>
    <w:rsid w:val="00CF66E1"/>
    <w:rsid w:val="00CF67F9"/>
    <w:rsid w:val="00CF7050"/>
    <w:rsid w:val="00D006E2"/>
    <w:rsid w:val="00D00A37"/>
    <w:rsid w:val="00D01734"/>
    <w:rsid w:val="00D02BA4"/>
    <w:rsid w:val="00D058A6"/>
    <w:rsid w:val="00D073EE"/>
    <w:rsid w:val="00D07ECD"/>
    <w:rsid w:val="00D103D2"/>
    <w:rsid w:val="00D10725"/>
    <w:rsid w:val="00D1100E"/>
    <w:rsid w:val="00D125B6"/>
    <w:rsid w:val="00D13D1D"/>
    <w:rsid w:val="00D17572"/>
    <w:rsid w:val="00D17DB8"/>
    <w:rsid w:val="00D22483"/>
    <w:rsid w:val="00D24EEC"/>
    <w:rsid w:val="00D253B4"/>
    <w:rsid w:val="00D259AB"/>
    <w:rsid w:val="00D26C68"/>
    <w:rsid w:val="00D30549"/>
    <w:rsid w:val="00D330DA"/>
    <w:rsid w:val="00D332FD"/>
    <w:rsid w:val="00D3573C"/>
    <w:rsid w:val="00D35F9B"/>
    <w:rsid w:val="00D360A9"/>
    <w:rsid w:val="00D37948"/>
    <w:rsid w:val="00D41E5B"/>
    <w:rsid w:val="00D43DDF"/>
    <w:rsid w:val="00D44B2F"/>
    <w:rsid w:val="00D44D5A"/>
    <w:rsid w:val="00D450A9"/>
    <w:rsid w:val="00D46304"/>
    <w:rsid w:val="00D478DD"/>
    <w:rsid w:val="00D50D09"/>
    <w:rsid w:val="00D518D8"/>
    <w:rsid w:val="00D533CE"/>
    <w:rsid w:val="00D534E9"/>
    <w:rsid w:val="00D5514B"/>
    <w:rsid w:val="00D558EA"/>
    <w:rsid w:val="00D55BAB"/>
    <w:rsid w:val="00D5685E"/>
    <w:rsid w:val="00D60485"/>
    <w:rsid w:val="00D608CB"/>
    <w:rsid w:val="00D6171E"/>
    <w:rsid w:val="00D62936"/>
    <w:rsid w:val="00D630A5"/>
    <w:rsid w:val="00D63B7F"/>
    <w:rsid w:val="00D647F2"/>
    <w:rsid w:val="00D64CDA"/>
    <w:rsid w:val="00D65B65"/>
    <w:rsid w:val="00D665C3"/>
    <w:rsid w:val="00D674CF"/>
    <w:rsid w:val="00D72716"/>
    <w:rsid w:val="00D729B6"/>
    <w:rsid w:val="00D736E3"/>
    <w:rsid w:val="00D7385C"/>
    <w:rsid w:val="00D73B19"/>
    <w:rsid w:val="00D76D14"/>
    <w:rsid w:val="00D77112"/>
    <w:rsid w:val="00D77212"/>
    <w:rsid w:val="00D7724D"/>
    <w:rsid w:val="00D77847"/>
    <w:rsid w:val="00D80E91"/>
    <w:rsid w:val="00D82282"/>
    <w:rsid w:val="00D825F5"/>
    <w:rsid w:val="00D83DB1"/>
    <w:rsid w:val="00D84950"/>
    <w:rsid w:val="00D84BE2"/>
    <w:rsid w:val="00D84C75"/>
    <w:rsid w:val="00D84E16"/>
    <w:rsid w:val="00D87170"/>
    <w:rsid w:val="00D87492"/>
    <w:rsid w:val="00D879DE"/>
    <w:rsid w:val="00D90C4D"/>
    <w:rsid w:val="00D91B3E"/>
    <w:rsid w:val="00D9208A"/>
    <w:rsid w:val="00D92E84"/>
    <w:rsid w:val="00D93754"/>
    <w:rsid w:val="00D940BA"/>
    <w:rsid w:val="00D948B4"/>
    <w:rsid w:val="00D94C36"/>
    <w:rsid w:val="00D96ADC"/>
    <w:rsid w:val="00DA0FDB"/>
    <w:rsid w:val="00DA1896"/>
    <w:rsid w:val="00DA2A42"/>
    <w:rsid w:val="00DA57F6"/>
    <w:rsid w:val="00DA5989"/>
    <w:rsid w:val="00DA6132"/>
    <w:rsid w:val="00DB0571"/>
    <w:rsid w:val="00DB37DD"/>
    <w:rsid w:val="00DB391A"/>
    <w:rsid w:val="00DB406B"/>
    <w:rsid w:val="00DB712D"/>
    <w:rsid w:val="00DB7585"/>
    <w:rsid w:val="00DC0B24"/>
    <w:rsid w:val="00DC12B4"/>
    <w:rsid w:val="00DC3F09"/>
    <w:rsid w:val="00DC5798"/>
    <w:rsid w:val="00DC72DC"/>
    <w:rsid w:val="00DC7D28"/>
    <w:rsid w:val="00DD04C8"/>
    <w:rsid w:val="00DD18DA"/>
    <w:rsid w:val="00DD2601"/>
    <w:rsid w:val="00DD413A"/>
    <w:rsid w:val="00DD4EFD"/>
    <w:rsid w:val="00DE1020"/>
    <w:rsid w:val="00DE21D8"/>
    <w:rsid w:val="00DE27B0"/>
    <w:rsid w:val="00DE5E6F"/>
    <w:rsid w:val="00DE75E3"/>
    <w:rsid w:val="00DF1744"/>
    <w:rsid w:val="00DF1F33"/>
    <w:rsid w:val="00DF2CA4"/>
    <w:rsid w:val="00DF2F4B"/>
    <w:rsid w:val="00DF355B"/>
    <w:rsid w:val="00DF361E"/>
    <w:rsid w:val="00DF40AB"/>
    <w:rsid w:val="00DF4471"/>
    <w:rsid w:val="00DF4E7E"/>
    <w:rsid w:val="00DF5BA1"/>
    <w:rsid w:val="00DF63D3"/>
    <w:rsid w:val="00DF6759"/>
    <w:rsid w:val="00E00071"/>
    <w:rsid w:val="00E075F2"/>
    <w:rsid w:val="00E1123D"/>
    <w:rsid w:val="00E12A64"/>
    <w:rsid w:val="00E12E2A"/>
    <w:rsid w:val="00E13EDB"/>
    <w:rsid w:val="00E1405A"/>
    <w:rsid w:val="00E146A1"/>
    <w:rsid w:val="00E159A9"/>
    <w:rsid w:val="00E204EC"/>
    <w:rsid w:val="00E20B66"/>
    <w:rsid w:val="00E21A73"/>
    <w:rsid w:val="00E21F73"/>
    <w:rsid w:val="00E24988"/>
    <w:rsid w:val="00E25F48"/>
    <w:rsid w:val="00E25FD0"/>
    <w:rsid w:val="00E3099C"/>
    <w:rsid w:val="00E30DF9"/>
    <w:rsid w:val="00E3630C"/>
    <w:rsid w:val="00E36454"/>
    <w:rsid w:val="00E366BC"/>
    <w:rsid w:val="00E3682A"/>
    <w:rsid w:val="00E3712A"/>
    <w:rsid w:val="00E37F31"/>
    <w:rsid w:val="00E40FD3"/>
    <w:rsid w:val="00E41120"/>
    <w:rsid w:val="00E415B8"/>
    <w:rsid w:val="00E416D0"/>
    <w:rsid w:val="00E42CB4"/>
    <w:rsid w:val="00E44898"/>
    <w:rsid w:val="00E44913"/>
    <w:rsid w:val="00E450E7"/>
    <w:rsid w:val="00E453A3"/>
    <w:rsid w:val="00E45EB9"/>
    <w:rsid w:val="00E46136"/>
    <w:rsid w:val="00E467E1"/>
    <w:rsid w:val="00E46A44"/>
    <w:rsid w:val="00E50677"/>
    <w:rsid w:val="00E52735"/>
    <w:rsid w:val="00E54368"/>
    <w:rsid w:val="00E54F31"/>
    <w:rsid w:val="00E57227"/>
    <w:rsid w:val="00E57C7F"/>
    <w:rsid w:val="00E60085"/>
    <w:rsid w:val="00E610EB"/>
    <w:rsid w:val="00E61370"/>
    <w:rsid w:val="00E61A1E"/>
    <w:rsid w:val="00E640FF"/>
    <w:rsid w:val="00E6421A"/>
    <w:rsid w:val="00E658C7"/>
    <w:rsid w:val="00E663E6"/>
    <w:rsid w:val="00E67BAC"/>
    <w:rsid w:val="00E70617"/>
    <w:rsid w:val="00E745A4"/>
    <w:rsid w:val="00E751A0"/>
    <w:rsid w:val="00E7649D"/>
    <w:rsid w:val="00E76537"/>
    <w:rsid w:val="00E76A76"/>
    <w:rsid w:val="00E77373"/>
    <w:rsid w:val="00E82F2E"/>
    <w:rsid w:val="00E854C1"/>
    <w:rsid w:val="00E85C43"/>
    <w:rsid w:val="00E8627D"/>
    <w:rsid w:val="00E90B04"/>
    <w:rsid w:val="00E9415F"/>
    <w:rsid w:val="00E962D1"/>
    <w:rsid w:val="00E9694A"/>
    <w:rsid w:val="00E974AD"/>
    <w:rsid w:val="00EA029B"/>
    <w:rsid w:val="00EA0682"/>
    <w:rsid w:val="00EA084E"/>
    <w:rsid w:val="00EA0B48"/>
    <w:rsid w:val="00EA0CB2"/>
    <w:rsid w:val="00EA2351"/>
    <w:rsid w:val="00EA3283"/>
    <w:rsid w:val="00EA3BEF"/>
    <w:rsid w:val="00EA3CCB"/>
    <w:rsid w:val="00EA545B"/>
    <w:rsid w:val="00EA58D8"/>
    <w:rsid w:val="00EA5C4D"/>
    <w:rsid w:val="00EA5E0E"/>
    <w:rsid w:val="00EA67F3"/>
    <w:rsid w:val="00EA788B"/>
    <w:rsid w:val="00EB3326"/>
    <w:rsid w:val="00EB3A10"/>
    <w:rsid w:val="00EB59BD"/>
    <w:rsid w:val="00EB7D49"/>
    <w:rsid w:val="00EC0000"/>
    <w:rsid w:val="00EC117C"/>
    <w:rsid w:val="00EC359E"/>
    <w:rsid w:val="00EC452F"/>
    <w:rsid w:val="00EC5EA7"/>
    <w:rsid w:val="00ED08B8"/>
    <w:rsid w:val="00ED16A4"/>
    <w:rsid w:val="00ED23E9"/>
    <w:rsid w:val="00ED2E90"/>
    <w:rsid w:val="00ED445D"/>
    <w:rsid w:val="00ED4CDE"/>
    <w:rsid w:val="00EE03E2"/>
    <w:rsid w:val="00EE0493"/>
    <w:rsid w:val="00EE389F"/>
    <w:rsid w:val="00EE3DBE"/>
    <w:rsid w:val="00EE478E"/>
    <w:rsid w:val="00EE5038"/>
    <w:rsid w:val="00EE577E"/>
    <w:rsid w:val="00EE5855"/>
    <w:rsid w:val="00EE6A16"/>
    <w:rsid w:val="00EF026F"/>
    <w:rsid w:val="00EF0FAF"/>
    <w:rsid w:val="00EF152D"/>
    <w:rsid w:val="00EF2BA3"/>
    <w:rsid w:val="00EF4724"/>
    <w:rsid w:val="00EF4B1F"/>
    <w:rsid w:val="00EF4CD0"/>
    <w:rsid w:val="00EF66D0"/>
    <w:rsid w:val="00EF7E78"/>
    <w:rsid w:val="00F005C5"/>
    <w:rsid w:val="00F009BE"/>
    <w:rsid w:val="00F00D15"/>
    <w:rsid w:val="00F03583"/>
    <w:rsid w:val="00F05894"/>
    <w:rsid w:val="00F06907"/>
    <w:rsid w:val="00F07E5C"/>
    <w:rsid w:val="00F1040C"/>
    <w:rsid w:val="00F12586"/>
    <w:rsid w:val="00F14BA9"/>
    <w:rsid w:val="00F152D8"/>
    <w:rsid w:val="00F16CEC"/>
    <w:rsid w:val="00F20D61"/>
    <w:rsid w:val="00F21F57"/>
    <w:rsid w:val="00F228CB"/>
    <w:rsid w:val="00F2382D"/>
    <w:rsid w:val="00F24E48"/>
    <w:rsid w:val="00F26F4D"/>
    <w:rsid w:val="00F30453"/>
    <w:rsid w:val="00F330C7"/>
    <w:rsid w:val="00F402CE"/>
    <w:rsid w:val="00F40656"/>
    <w:rsid w:val="00F42516"/>
    <w:rsid w:val="00F42DD9"/>
    <w:rsid w:val="00F4482E"/>
    <w:rsid w:val="00F45187"/>
    <w:rsid w:val="00F459A6"/>
    <w:rsid w:val="00F47B27"/>
    <w:rsid w:val="00F5152E"/>
    <w:rsid w:val="00F53A75"/>
    <w:rsid w:val="00F55B60"/>
    <w:rsid w:val="00F56B27"/>
    <w:rsid w:val="00F57061"/>
    <w:rsid w:val="00F601D1"/>
    <w:rsid w:val="00F60B7B"/>
    <w:rsid w:val="00F616C1"/>
    <w:rsid w:val="00F619D4"/>
    <w:rsid w:val="00F643A3"/>
    <w:rsid w:val="00F64573"/>
    <w:rsid w:val="00F64898"/>
    <w:rsid w:val="00F65F08"/>
    <w:rsid w:val="00F6636D"/>
    <w:rsid w:val="00F674A5"/>
    <w:rsid w:val="00F71259"/>
    <w:rsid w:val="00F71448"/>
    <w:rsid w:val="00F72F4B"/>
    <w:rsid w:val="00F74028"/>
    <w:rsid w:val="00F748FE"/>
    <w:rsid w:val="00F759BC"/>
    <w:rsid w:val="00F80520"/>
    <w:rsid w:val="00F806B9"/>
    <w:rsid w:val="00F816BF"/>
    <w:rsid w:val="00F81C40"/>
    <w:rsid w:val="00F81FC9"/>
    <w:rsid w:val="00F85E7A"/>
    <w:rsid w:val="00F87386"/>
    <w:rsid w:val="00F90871"/>
    <w:rsid w:val="00F93130"/>
    <w:rsid w:val="00F93CC1"/>
    <w:rsid w:val="00F9410C"/>
    <w:rsid w:val="00F944A9"/>
    <w:rsid w:val="00F94B31"/>
    <w:rsid w:val="00F95CF3"/>
    <w:rsid w:val="00F970C0"/>
    <w:rsid w:val="00FA0F79"/>
    <w:rsid w:val="00FA1D04"/>
    <w:rsid w:val="00FA7F4B"/>
    <w:rsid w:val="00FB0E68"/>
    <w:rsid w:val="00FB278A"/>
    <w:rsid w:val="00FB64E9"/>
    <w:rsid w:val="00FB69C7"/>
    <w:rsid w:val="00FB71F7"/>
    <w:rsid w:val="00FB74E5"/>
    <w:rsid w:val="00FB7A8B"/>
    <w:rsid w:val="00FC0317"/>
    <w:rsid w:val="00FC0721"/>
    <w:rsid w:val="00FC0F6A"/>
    <w:rsid w:val="00FC3C61"/>
    <w:rsid w:val="00FD2271"/>
    <w:rsid w:val="00FD27BE"/>
    <w:rsid w:val="00FE0387"/>
    <w:rsid w:val="00FE12D2"/>
    <w:rsid w:val="00FE3A90"/>
    <w:rsid w:val="00FE3BD8"/>
    <w:rsid w:val="00FE5441"/>
    <w:rsid w:val="00FE5DB2"/>
    <w:rsid w:val="00FE72A5"/>
    <w:rsid w:val="00FE76F6"/>
    <w:rsid w:val="00FF1FDB"/>
    <w:rsid w:val="00FF7612"/>
    <w:rsid w:val="010728ED"/>
    <w:rsid w:val="011B2E38"/>
    <w:rsid w:val="013D183D"/>
    <w:rsid w:val="014F09D3"/>
    <w:rsid w:val="01615741"/>
    <w:rsid w:val="018B76DE"/>
    <w:rsid w:val="01B87094"/>
    <w:rsid w:val="01D136C3"/>
    <w:rsid w:val="01DA494C"/>
    <w:rsid w:val="01FA3BA1"/>
    <w:rsid w:val="01FE6AD1"/>
    <w:rsid w:val="0235346A"/>
    <w:rsid w:val="024E3D78"/>
    <w:rsid w:val="025A5526"/>
    <w:rsid w:val="02737E72"/>
    <w:rsid w:val="02865B55"/>
    <w:rsid w:val="02C92703"/>
    <w:rsid w:val="02E275F2"/>
    <w:rsid w:val="02E818DE"/>
    <w:rsid w:val="03004A39"/>
    <w:rsid w:val="03093C3C"/>
    <w:rsid w:val="031C1576"/>
    <w:rsid w:val="032644F1"/>
    <w:rsid w:val="032911FF"/>
    <w:rsid w:val="03464ABF"/>
    <w:rsid w:val="037B4CD4"/>
    <w:rsid w:val="03994022"/>
    <w:rsid w:val="03C0318C"/>
    <w:rsid w:val="03C46021"/>
    <w:rsid w:val="03C53FC0"/>
    <w:rsid w:val="03DA11B3"/>
    <w:rsid w:val="041846B5"/>
    <w:rsid w:val="041F6DEC"/>
    <w:rsid w:val="0427262A"/>
    <w:rsid w:val="04BB06B1"/>
    <w:rsid w:val="04DE1B9F"/>
    <w:rsid w:val="04EA1716"/>
    <w:rsid w:val="04FD4C0A"/>
    <w:rsid w:val="052722A7"/>
    <w:rsid w:val="055B0C43"/>
    <w:rsid w:val="05902C24"/>
    <w:rsid w:val="05951BA5"/>
    <w:rsid w:val="05967170"/>
    <w:rsid w:val="05A60F67"/>
    <w:rsid w:val="05B11E50"/>
    <w:rsid w:val="05B4539A"/>
    <w:rsid w:val="05C8339C"/>
    <w:rsid w:val="05CF04C3"/>
    <w:rsid w:val="05E74F83"/>
    <w:rsid w:val="05FF1BD0"/>
    <w:rsid w:val="061C5287"/>
    <w:rsid w:val="062A4B06"/>
    <w:rsid w:val="065B42D2"/>
    <w:rsid w:val="06952B2A"/>
    <w:rsid w:val="06AC7621"/>
    <w:rsid w:val="06B449E8"/>
    <w:rsid w:val="06E55900"/>
    <w:rsid w:val="06EF2962"/>
    <w:rsid w:val="070F74DD"/>
    <w:rsid w:val="07156B69"/>
    <w:rsid w:val="074F7401"/>
    <w:rsid w:val="075876B9"/>
    <w:rsid w:val="076560A2"/>
    <w:rsid w:val="076F78F5"/>
    <w:rsid w:val="07980D6B"/>
    <w:rsid w:val="079B6C48"/>
    <w:rsid w:val="07BA0581"/>
    <w:rsid w:val="07BA25DA"/>
    <w:rsid w:val="07C16B97"/>
    <w:rsid w:val="07D05744"/>
    <w:rsid w:val="07D872D8"/>
    <w:rsid w:val="07F0265E"/>
    <w:rsid w:val="07F137AF"/>
    <w:rsid w:val="08061125"/>
    <w:rsid w:val="08270B6E"/>
    <w:rsid w:val="084A5596"/>
    <w:rsid w:val="08817D4B"/>
    <w:rsid w:val="089E6A7F"/>
    <w:rsid w:val="08A25263"/>
    <w:rsid w:val="08D401D8"/>
    <w:rsid w:val="08FB4267"/>
    <w:rsid w:val="08FC2784"/>
    <w:rsid w:val="091F724C"/>
    <w:rsid w:val="093C27E8"/>
    <w:rsid w:val="09420B40"/>
    <w:rsid w:val="09441DC3"/>
    <w:rsid w:val="094E4984"/>
    <w:rsid w:val="094F5638"/>
    <w:rsid w:val="09677F17"/>
    <w:rsid w:val="09D524E2"/>
    <w:rsid w:val="09F45CDA"/>
    <w:rsid w:val="0A07231E"/>
    <w:rsid w:val="0A174DC5"/>
    <w:rsid w:val="0A196D7F"/>
    <w:rsid w:val="0A1E73F4"/>
    <w:rsid w:val="0A3227B1"/>
    <w:rsid w:val="0A38682C"/>
    <w:rsid w:val="0A403C01"/>
    <w:rsid w:val="0A570D43"/>
    <w:rsid w:val="0A725260"/>
    <w:rsid w:val="0AB202D9"/>
    <w:rsid w:val="0AC17816"/>
    <w:rsid w:val="0AC42304"/>
    <w:rsid w:val="0AD56081"/>
    <w:rsid w:val="0AED62B0"/>
    <w:rsid w:val="0AF44A65"/>
    <w:rsid w:val="0AF618DB"/>
    <w:rsid w:val="0B234360"/>
    <w:rsid w:val="0B235389"/>
    <w:rsid w:val="0B7E7969"/>
    <w:rsid w:val="0B9139BA"/>
    <w:rsid w:val="0BA14782"/>
    <w:rsid w:val="0BB3039C"/>
    <w:rsid w:val="0BD70BDD"/>
    <w:rsid w:val="0BD93022"/>
    <w:rsid w:val="0BE87869"/>
    <w:rsid w:val="0BEB0574"/>
    <w:rsid w:val="0BFD5CFE"/>
    <w:rsid w:val="0C372720"/>
    <w:rsid w:val="0C452842"/>
    <w:rsid w:val="0C461145"/>
    <w:rsid w:val="0C47420B"/>
    <w:rsid w:val="0C5D5313"/>
    <w:rsid w:val="0C6A6E26"/>
    <w:rsid w:val="0C701CE7"/>
    <w:rsid w:val="0C946884"/>
    <w:rsid w:val="0CDB347F"/>
    <w:rsid w:val="0CE93FC6"/>
    <w:rsid w:val="0CEC0D29"/>
    <w:rsid w:val="0D181C6E"/>
    <w:rsid w:val="0D2160AD"/>
    <w:rsid w:val="0D282AD2"/>
    <w:rsid w:val="0D4B3500"/>
    <w:rsid w:val="0D604131"/>
    <w:rsid w:val="0D6540A0"/>
    <w:rsid w:val="0D6C0CA2"/>
    <w:rsid w:val="0D7F7494"/>
    <w:rsid w:val="0D835B86"/>
    <w:rsid w:val="0DBD4238"/>
    <w:rsid w:val="0DCF28A1"/>
    <w:rsid w:val="0DE038F1"/>
    <w:rsid w:val="0DE95EC9"/>
    <w:rsid w:val="0E0B5ADC"/>
    <w:rsid w:val="0E214E89"/>
    <w:rsid w:val="0E28765A"/>
    <w:rsid w:val="0E2C316A"/>
    <w:rsid w:val="0E664566"/>
    <w:rsid w:val="0E7058D0"/>
    <w:rsid w:val="0E713C39"/>
    <w:rsid w:val="0E9B6C5B"/>
    <w:rsid w:val="0EA40AE5"/>
    <w:rsid w:val="0EA8609D"/>
    <w:rsid w:val="0EB2020F"/>
    <w:rsid w:val="0EDE4D23"/>
    <w:rsid w:val="0F065B31"/>
    <w:rsid w:val="0F121CD3"/>
    <w:rsid w:val="0F234269"/>
    <w:rsid w:val="0F432F7D"/>
    <w:rsid w:val="0F512B06"/>
    <w:rsid w:val="0F634257"/>
    <w:rsid w:val="0F78649A"/>
    <w:rsid w:val="0F9A7029"/>
    <w:rsid w:val="0FC13320"/>
    <w:rsid w:val="0FF50DDF"/>
    <w:rsid w:val="0FFA158B"/>
    <w:rsid w:val="106B3C5C"/>
    <w:rsid w:val="1073239B"/>
    <w:rsid w:val="10863276"/>
    <w:rsid w:val="10A16127"/>
    <w:rsid w:val="10BE3305"/>
    <w:rsid w:val="10CF01F9"/>
    <w:rsid w:val="10F11796"/>
    <w:rsid w:val="113C6D55"/>
    <w:rsid w:val="113D3267"/>
    <w:rsid w:val="114411CF"/>
    <w:rsid w:val="1192681D"/>
    <w:rsid w:val="119368D5"/>
    <w:rsid w:val="119C31AD"/>
    <w:rsid w:val="119E5FAB"/>
    <w:rsid w:val="11A90E79"/>
    <w:rsid w:val="11C43225"/>
    <w:rsid w:val="121F5E28"/>
    <w:rsid w:val="123A71B4"/>
    <w:rsid w:val="1241258B"/>
    <w:rsid w:val="125449EA"/>
    <w:rsid w:val="127B3EDC"/>
    <w:rsid w:val="12D85FEB"/>
    <w:rsid w:val="13005243"/>
    <w:rsid w:val="13090143"/>
    <w:rsid w:val="131D3CDF"/>
    <w:rsid w:val="132821A0"/>
    <w:rsid w:val="13881C60"/>
    <w:rsid w:val="138B6498"/>
    <w:rsid w:val="139D0C31"/>
    <w:rsid w:val="13A62A82"/>
    <w:rsid w:val="13AA6975"/>
    <w:rsid w:val="13C117BE"/>
    <w:rsid w:val="14213091"/>
    <w:rsid w:val="142E39D1"/>
    <w:rsid w:val="144A617F"/>
    <w:rsid w:val="14533E01"/>
    <w:rsid w:val="1459022B"/>
    <w:rsid w:val="146975C2"/>
    <w:rsid w:val="146B482B"/>
    <w:rsid w:val="14892109"/>
    <w:rsid w:val="14A24235"/>
    <w:rsid w:val="14B633E6"/>
    <w:rsid w:val="14CC70CA"/>
    <w:rsid w:val="14F75923"/>
    <w:rsid w:val="14FD7476"/>
    <w:rsid w:val="150B3A4D"/>
    <w:rsid w:val="150F76B4"/>
    <w:rsid w:val="157D5EC0"/>
    <w:rsid w:val="15896112"/>
    <w:rsid w:val="158F0292"/>
    <w:rsid w:val="159F3D93"/>
    <w:rsid w:val="15A36C75"/>
    <w:rsid w:val="15C262DE"/>
    <w:rsid w:val="15D41F99"/>
    <w:rsid w:val="162C162E"/>
    <w:rsid w:val="16342843"/>
    <w:rsid w:val="164B2E68"/>
    <w:rsid w:val="16AF1D9A"/>
    <w:rsid w:val="16B254B6"/>
    <w:rsid w:val="16F66983"/>
    <w:rsid w:val="16FA2CE4"/>
    <w:rsid w:val="17040310"/>
    <w:rsid w:val="17064FFA"/>
    <w:rsid w:val="172B7A6D"/>
    <w:rsid w:val="17447C31"/>
    <w:rsid w:val="174D6CD7"/>
    <w:rsid w:val="17765BC5"/>
    <w:rsid w:val="17A32A45"/>
    <w:rsid w:val="17D252BA"/>
    <w:rsid w:val="17D8205C"/>
    <w:rsid w:val="17DD680B"/>
    <w:rsid w:val="17DE5535"/>
    <w:rsid w:val="18114620"/>
    <w:rsid w:val="181573E2"/>
    <w:rsid w:val="18573657"/>
    <w:rsid w:val="18601A40"/>
    <w:rsid w:val="186834B7"/>
    <w:rsid w:val="187A4051"/>
    <w:rsid w:val="18B05777"/>
    <w:rsid w:val="18D61DE5"/>
    <w:rsid w:val="18E43D2A"/>
    <w:rsid w:val="1906188C"/>
    <w:rsid w:val="19266A46"/>
    <w:rsid w:val="19417CDC"/>
    <w:rsid w:val="196C5B08"/>
    <w:rsid w:val="197A4451"/>
    <w:rsid w:val="197F7B73"/>
    <w:rsid w:val="198E7FC2"/>
    <w:rsid w:val="199F306B"/>
    <w:rsid w:val="19DE534A"/>
    <w:rsid w:val="19FE0FFC"/>
    <w:rsid w:val="1A206E6A"/>
    <w:rsid w:val="1A240CBD"/>
    <w:rsid w:val="1A2B578D"/>
    <w:rsid w:val="1A2C6E15"/>
    <w:rsid w:val="1A43782A"/>
    <w:rsid w:val="1A474250"/>
    <w:rsid w:val="1A5672E2"/>
    <w:rsid w:val="1A67124F"/>
    <w:rsid w:val="1A725422"/>
    <w:rsid w:val="1AF76C07"/>
    <w:rsid w:val="1B0572E0"/>
    <w:rsid w:val="1B116279"/>
    <w:rsid w:val="1B336733"/>
    <w:rsid w:val="1B3A6E7C"/>
    <w:rsid w:val="1B525540"/>
    <w:rsid w:val="1B5A6C2C"/>
    <w:rsid w:val="1B690535"/>
    <w:rsid w:val="1B7366C4"/>
    <w:rsid w:val="1B7C4697"/>
    <w:rsid w:val="1B8536C2"/>
    <w:rsid w:val="1B944DE0"/>
    <w:rsid w:val="1BB031A7"/>
    <w:rsid w:val="1BC85FEC"/>
    <w:rsid w:val="1BF3616B"/>
    <w:rsid w:val="1C216DDC"/>
    <w:rsid w:val="1C8E5EB0"/>
    <w:rsid w:val="1C983618"/>
    <w:rsid w:val="1C9C0955"/>
    <w:rsid w:val="1CA13AB6"/>
    <w:rsid w:val="1CBE1806"/>
    <w:rsid w:val="1CC90D33"/>
    <w:rsid w:val="1D4A702D"/>
    <w:rsid w:val="1D4C35EE"/>
    <w:rsid w:val="1D4D21F9"/>
    <w:rsid w:val="1D5E59CA"/>
    <w:rsid w:val="1DAE6A92"/>
    <w:rsid w:val="1DBD703B"/>
    <w:rsid w:val="1E3C6B3B"/>
    <w:rsid w:val="1E6D2CC5"/>
    <w:rsid w:val="1EA772E0"/>
    <w:rsid w:val="1EB964B7"/>
    <w:rsid w:val="1F0B766F"/>
    <w:rsid w:val="1F510700"/>
    <w:rsid w:val="1F7C289F"/>
    <w:rsid w:val="201805BB"/>
    <w:rsid w:val="202B2AD1"/>
    <w:rsid w:val="20586B61"/>
    <w:rsid w:val="20D969A9"/>
    <w:rsid w:val="21074434"/>
    <w:rsid w:val="210C684B"/>
    <w:rsid w:val="21115F11"/>
    <w:rsid w:val="21137B56"/>
    <w:rsid w:val="213B29A3"/>
    <w:rsid w:val="216803B2"/>
    <w:rsid w:val="21895706"/>
    <w:rsid w:val="21F60ECC"/>
    <w:rsid w:val="22046F2A"/>
    <w:rsid w:val="223F6733"/>
    <w:rsid w:val="224E25F7"/>
    <w:rsid w:val="225079A5"/>
    <w:rsid w:val="225365CD"/>
    <w:rsid w:val="22860F7B"/>
    <w:rsid w:val="228D621F"/>
    <w:rsid w:val="22A85BB1"/>
    <w:rsid w:val="22C64F56"/>
    <w:rsid w:val="22D24B74"/>
    <w:rsid w:val="22F85231"/>
    <w:rsid w:val="230E1C13"/>
    <w:rsid w:val="23340BFF"/>
    <w:rsid w:val="235F79E5"/>
    <w:rsid w:val="236741D1"/>
    <w:rsid w:val="237A2AF0"/>
    <w:rsid w:val="239B11C1"/>
    <w:rsid w:val="23B72EC4"/>
    <w:rsid w:val="24475598"/>
    <w:rsid w:val="24641FE2"/>
    <w:rsid w:val="246B441C"/>
    <w:rsid w:val="246F5EA9"/>
    <w:rsid w:val="24864CAE"/>
    <w:rsid w:val="249364A8"/>
    <w:rsid w:val="24BD5A48"/>
    <w:rsid w:val="24D7204C"/>
    <w:rsid w:val="24DC4388"/>
    <w:rsid w:val="24DF06A9"/>
    <w:rsid w:val="24E42B5E"/>
    <w:rsid w:val="250C4699"/>
    <w:rsid w:val="252D46D4"/>
    <w:rsid w:val="25551A7D"/>
    <w:rsid w:val="257F57FC"/>
    <w:rsid w:val="259E1D9A"/>
    <w:rsid w:val="25E04DF4"/>
    <w:rsid w:val="25F64A62"/>
    <w:rsid w:val="25F65942"/>
    <w:rsid w:val="26193034"/>
    <w:rsid w:val="26350719"/>
    <w:rsid w:val="26351B89"/>
    <w:rsid w:val="26413A7C"/>
    <w:rsid w:val="26442B77"/>
    <w:rsid w:val="26633785"/>
    <w:rsid w:val="2664103E"/>
    <w:rsid w:val="26831404"/>
    <w:rsid w:val="26C124AA"/>
    <w:rsid w:val="271F4D90"/>
    <w:rsid w:val="27356745"/>
    <w:rsid w:val="277116C7"/>
    <w:rsid w:val="27775FB1"/>
    <w:rsid w:val="277C7C49"/>
    <w:rsid w:val="277D0F63"/>
    <w:rsid w:val="27964913"/>
    <w:rsid w:val="279B5197"/>
    <w:rsid w:val="27BF4197"/>
    <w:rsid w:val="27E865E2"/>
    <w:rsid w:val="27F6251A"/>
    <w:rsid w:val="280F0119"/>
    <w:rsid w:val="2819014B"/>
    <w:rsid w:val="281F70D9"/>
    <w:rsid w:val="28376316"/>
    <w:rsid w:val="284F4474"/>
    <w:rsid w:val="285F5C43"/>
    <w:rsid w:val="28A22685"/>
    <w:rsid w:val="28B353A4"/>
    <w:rsid w:val="290134AB"/>
    <w:rsid w:val="292568A6"/>
    <w:rsid w:val="292E5AF8"/>
    <w:rsid w:val="295E5748"/>
    <w:rsid w:val="29673B26"/>
    <w:rsid w:val="29844401"/>
    <w:rsid w:val="29B55665"/>
    <w:rsid w:val="2A33646A"/>
    <w:rsid w:val="2A3C48D7"/>
    <w:rsid w:val="2A595FE0"/>
    <w:rsid w:val="2A6339FD"/>
    <w:rsid w:val="2A831349"/>
    <w:rsid w:val="2A9F04BA"/>
    <w:rsid w:val="2AA31833"/>
    <w:rsid w:val="2AB501B1"/>
    <w:rsid w:val="2AC47FF9"/>
    <w:rsid w:val="2ACB689F"/>
    <w:rsid w:val="2AD72C79"/>
    <w:rsid w:val="2AEB697C"/>
    <w:rsid w:val="2B0C7CCC"/>
    <w:rsid w:val="2B271496"/>
    <w:rsid w:val="2B273182"/>
    <w:rsid w:val="2B28287E"/>
    <w:rsid w:val="2B663DCA"/>
    <w:rsid w:val="2B690E35"/>
    <w:rsid w:val="2B725E2E"/>
    <w:rsid w:val="2B824762"/>
    <w:rsid w:val="2BAE0891"/>
    <w:rsid w:val="2BAE295A"/>
    <w:rsid w:val="2BBA59A0"/>
    <w:rsid w:val="2BC53C4F"/>
    <w:rsid w:val="2BEE242F"/>
    <w:rsid w:val="2C2E4934"/>
    <w:rsid w:val="2C4F5413"/>
    <w:rsid w:val="2C5D393E"/>
    <w:rsid w:val="2C5D6988"/>
    <w:rsid w:val="2C644BA9"/>
    <w:rsid w:val="2C985978"/>
    <w:rsid w:val="2CB915BF"/>
    <w:rsid w:val="2CD01D06"/>
    <w:rsid w:val="2CD07699"/>
    <w:rsid w:val="2CDF29EC"/>
    <w:rsid w:val="2CE078D5"/>
    <w:rsid w:val="2CFC5E84"/>
    <w:rsid w:val="2D0960A0"/>
    <w:rsid w:val="2D1D3028"/>
    <w:rsid w:val="2D3765B4"/>
    <w:rsid w:val="2D522175"/>
    <w:rsid w:val="2D7132D9"/>
    <w:rsid w:val="2D801130"/>
    <w:rsid w:val="2DA51B81"/>
    <w:rsid w:val="2DAB2C4C"/>
    <w:rsid w:val="2DBD6B43"/>
    <w:rsid w:val="2DE62C07"/>
    <w:rsid w:val="2DE65545"/>
    <w:rsid w:val="2DEA10A4"/>
    <w:rsid w:val="2E065E15"/>
    <w:rsid w:val="2E5E6D7E"/>
    <w:rsid w:val="2E8061C8"/>
    <w:rsid w:val="2E880F31"/>
    <w:rsid w:val="2EBD2BDD"/>
    <w:rsid w:val="2EBD5180"/>
    <w:rsid w:val="2EC965F3"/>
    <w:rsid w:val="2EEC2EBF"/>
    <w:rsid w:val="2EED5724"/>
    <w:rsid w:val="2EF6230E"/>
    <w:rsid w:val="2F146F4C"/>
    <w:rsid w:val="2F1D24CC"/>
    <w:rsid w:val="2F2307E7"/>
    <w:rsid w:val="2F6578B4"/>
    <w:rsid w:val="2F662E71"/>
    <w:rsid w:val="2F751F40"/>
    <w:rsid w:val="2FEE1B7A"/>
    <w:rsid w:val="30015CE1"/>
    <w:rsid w:val="30054C1A"/>
    <w:rsid w:val="302B32F1"/>
    <w:rsid w:val="30341909"/>
    <w:rsid w:val="303F44B9"/>
    <w:rsid w:val="304562BB"/>
    <w:rsid w:val="30495113"/>
    <w:rsid w:val="305665A7"/>
    <w:rsid w:val="307C558A"/>
    <w:rsid w:val="30CF6095"/>
    <w:rsid w:val="31036440"/>
    <w:rsid w:val="310373D9"/>
    <w:rsid w:val="310C5EFC"/>
    <w:rsid w:val="31356DFC"/>
    <w:rsid w:val="31671CC5"/>
    <w:rsid w:val="3171028E"/>
    <w:rsid w:val="319916F6"/>
    <w:rsid w:val="31AE25E2"/>
    <w:rsid w:val="31B96ADD"/>
    <w:rsid w:val="31C2036C"/>
    <w:rsid w:val="31D82A83"/>
    <w:rsid w:val="321E69CF"/>
    <w:rsid w:val="32463868"/>
    <w:rsid w:val="325B45DF"/>
    <w:rsid w:val="32D50688"/>
    <w:rsid w:val="32F45ED0"/>
    <w:rsid w:val="333F7F27"/>
    <w:rsid w:val="335C4430"/>
    <w:rsid w:val="33615649"/>
    <w:rsid w:val="33671832"/>
    <w:rsid w:val="33742C7C"/>
    <w:rsid w:val="33776D2E"/>
    <w:rsid w:val="33950C65"/>
    <w:rsid w:val="339A08CD"/>
    <w:rsid w:val="339B60C3"/>
    <w:rsid w:val="33A52BAB"/>
    <w:rsid w:val="33A83F92"/>
    <w:rsid w:val="33BF5CCA"/>
    <w:rsid w:val="33CD093B"/>
    <w:rsid w:val="33F70AD6"/>
    <w:rsid w:val="34000267"/>
    <w:rsid w:val="3430176B"/>
    <w:rsid w:val="347A0EE3"/>
    <w:rsid w:val="34B0173D"/>
    <w:rsid w:val="34B26218"/>
    <w:rsid w:val="34C80B5E"/>
    <w:rsid w:val="34CF25C8"/>
    <w:rsid w:val="34EA2BF9"/>
    <w:rsid w:val="350077FE"/>
    <w:rsid w:val="35070581"/>
    <w:rsid w:val="350971C4"/>
    <w:rsid w:val="350C1AD9"/>
    <w:rsid w:val="353D6F6B"/>
    <w:rsid w:val="35483AA0"/>
    <w:rsid w:val="355D6BE9"/>
    <w:rsid w:val="356C74DA"/>
    <w:rsid w:val="356F0D73"/>
    <w:rsid w:val="35796698"/>
    <w:rsid w:val="358C78BE"/>
    <w:rsid w:val="35973C0F"/>
    <w:rsid w:val="35BB2549"/>
    <w:rsid w:val="35D17E72"/>
    <w:rsid w:val="36227DB5"/>
    <w:rsid w:val="36275D20"/>
    <w:rsid w:val="362B6D12"/>
    <w:rsid w:val="363D5D5B"/>
    <w:rsid w:val="365B60AC"/>
    <w:rsid w:val="36864E01"/>
    <w:rsid w:val="36907792"/>
    <w:rsid w:val="36A729CD"/>
    <w:rsid w:val="36AA1EFA"/>
    <w:rsid w:val="36BC42FC"/>
    <w:rsid w:val="36C61BC9"/>
    <w:rsid w:val="36D5068E"/>
    <w:rsid w:val="36DD78DE"/>
    <w:rsid w:val="36EE41F0"/>
    <w:rsid w:val="36F64B18"/>
    <w:rsid w:val="3758532E"/>
    <w:rsid w:val="37D578DE"/>
    <w:rsid w:val="37E10067"/>
    <w:rsid w:val="37F50B32"/>
    <w:rsid w:val="38330B9E"/>
    <w:rsid w:val="3862254C"/>
    <w:rsid w:val="387A53A6"/>
    <w:rsid w:val="391B1552"/>
    <w:rsid w:val="393C77B2"/>
    <w:rsid w:val="397B0DF2"/>
    <w:rsid w:val="39914F3D"/>
    <w:rsid w:val="39A40797"/>
    <w:rsid w:val="39C67553"/>
    <w:rsid w:val="39DF4CCC"/>
    <w:rsid w:val="3A2B2A2C"/>
    <w:rsid w:val="3A4C3C47"/>
    <w:rsid w:val="3A6F77BB"/>
    <w:rsid w:val="3A79318B"/>
    <w:rsid w:val="3A7B266A"/>
    <w:rsid w:val="3A8B2F81"/>
    <w:rsid w:val="3A966060"/>
    <w:rsid w:val="3AB541F0"/>
    <w:rsid w:val="3ABB1150"/>
    <w:rsid w:val="3B1D5897"/>
    <w:rsid w:val="3B226F49"/>
    <w:rsid w:val="3B3F7FAC"/>
    <w:rsid w:val="3B435BB7"/>
    <w:rsid w:val="3B6254C9"/>
    <w:rsid w:val="3BA0115D"/>
    <w:rsid w:val="3BC95FBF"/>
    <w:rsid w:val="3BDC142B"/>
    <w:rsid w:val="3BE11400"/>
    <w:rsid w:val="3C1B297C"/>
    <w:rsid w:val="3C2A06CF"/>
    <w:rsid w:val="3C5538B3"/>
    <w:rsid w:val="3C5C3C4C"/>
    <w:rsid w:val="3C896008"/>
    <w:rsid w:val="3CE45A6D"/>
    <w:rsid w:val="3D116A98"/>
    <w:rsid w:val="3D2804EB"/>
    <w:rsid w:val="3D646BB5"/>
    <w:rsid w:val="3D74642A"/>
    <w:rsid w:val="3D7F1700"/>
    <w:rsid w:val="3D9A7397"/>
    <w:rsid w:val="3D9B7ED4"/>
    <w:rsid w:val="3DA260D2"/>
    <w:rsid w:val="3DDE36CB"/>
    <w:rsid w:val="3DF061FB"/>
    <w:rsid w:val="3DF3229D"/>
    <w:rsid w:val="3E36138F"/>
    <w:rsid w:val="3E757720"/>
    <w:rsid w:val="3E8D5AD7"/>
    <w:rsid w:val="3EBD1708"/>
    <w:rsid w:val="3EDE2AD3"/>
    <w:rsid w:val="3EF52A44"/>
    <w:rsid w:val="3F127114"/>
    <w:rsid w:val="3F167E9E"/>
    <w:rsid w:val="3F200698"/>
    <w:rsid w:val="3F256345"/>
    <w:rsid w:val="3F273F1C"/>
    <w:rsid w:val="3F4E0FAA"/>
    <w:rsid w:val="3F626373"/>
    <w:rsid w:val="3F7264D3"/>
    <w:rsid w:val="3F7976C9"/>
    <w:rsid w:val="3F805E47"/>
    <w:rsid w:val="3F84512C"/>
    <w:rsid w:val="3FD11FEB"/>
    <w:rsid w:val="3FE644CA"/>
    <w:rsid w:val="40062DA2"/>
    <w:rsid w:val="4015433D"/>
    <w:rsid w:val="401D6359"/>
    <w:rsid w:val="40527268"/>
    <w:rsid w:val="405D5087"/>
    <w:rsid w:val="40842783"/>
    <w:rsid w:val="40890670"/>
    <w:rsid w:val="40A86AC1"/>
    <w:rsid w:val="40B756B8"/>
    <w:rsid w:val="40E73708"/>
    <w:rsid w:val="41040A34"/>
    <w:rsid w:val="4118372D"/>
    <w:rsid w:val="4125222F"/>
    <w:rsid w:val="41287EB4"/>
    <w:rsid w:val="412A2262"/>
    <w:rsid w:val="41335FC9"/>
    <w:rsid w:val="414C08A2"/>
    <w:rsid w:val="41503BF6"/>
    <w:rsid w:val="415E4253"/>
    <w:rsid w:val="416A65A4"/>
    <w:rsid w:val="418C37E1"/>
    <w:rsid w:val="41945B0A"/>
    <w:rsid w:val="41CC2635"/>
    <w:rsid w:val="41DF1199"/>
    <w:rsid w:val="41FF5609"/>
    <w:rsid w:val="420D3D52"/>
    <w:rsid w:val="420D4287"/>
    <w:rsid w:val="421A31B0"/>
    <w:rsid w:val="421E323E"/>
    <w:rsid w:val="422E5CC6"/>
    <w:rsid w:val="4230334A"/>
    <w:rsid w:val="424348A3"/>
    <w:rsid w:val="425959B4"/>
    <w:rsid w:val="42670E32"/>
    <w:rsid w:val="427B37EA"/>
    <w:rsid w:val="428910AF"/>
    <w:rsid w:val="42F669E1"/>
    <w:rsid w:val="431D3010"/>
    <w:rsid w:val="43225772"/>
    <w:rsid w:val="434863BE"/>
    <w:rsid w:val="434B5C56"/>
    <w:rsid w:val="436C18CC"/>
    <w:rsid w:val="437F3B6E"/>
    <w:rsid w:val="43C041BF"/>
    <w:rsid w:val="43DC0E27"/>
    <w:rsid w:val="4456561E"/>
    <w:rsid w:val="44797683"/>
    <w:rsid w:val="4481496D"/>
    <w:rsid w:val="44B36ACE"/>
    <w:rsid w:val="44BC77EC"/>
    <w:rsid w:val="44CB7025"/>
    <w:rsid w:val="452B3604"/>
    <w:rsid w:val="457E5466"/>
    <w:rsid w:val="45AA3B0F"/>
    <w:rsid w:val="45AF5E81"/>
    <w:rsid w:val="45C5329B"/>
    <w:rsid w:val="45EC25C2"/>
    <w:rsid w:val="45FB2A4E"/>
    <w:rsid w:val="46423036"/>
    <w:rsid w:val="465B1EF3"/>
    <w:rsid w:val="465C481B"/>
    <w:rsid w:val="46686E80"/>
    <w:rsid w:val="46850C8B"/>
    <w:rsid w:val="46856383"/>
    <w:rsid w:val="46D46F0B"/>
    <w:rsid w:val="46DA0FD0"/>
    <w:rsid w:val="47056033"/>
    <w:rsid w:val="472250C1"/>
    <w:rsid w:val="472E7904"/>
    <w:rsid w:val="47461F78"/>
    <w:rsid w:val="477A43F1"/>
    <w:rsid w:val="478E64B4"/>
    <w:rsid w:val="47936743"/>
    <w:rsid w:val="47BA2B76"/>
    <w:rsid w:val="47E364BD"/>
    <w:rsid w:val="47FB429C"/>
    <w:rsid w:val="48554A25"/>
    <w:rsid w:val="48614361"/>
    <w:rsid w:val="486B44BA"/>
    <w:rsid w:val="488B3DEF"/>
    <w:rsid w:val="48C52015"/>
    <w:rsid w:val="48D10788"/>
    <w:rsid w:val="48E5702B"/>
    <w:rsid w:val="494C6832"/>
    <w:rsid w:val="49690EDC"/>
    <w:rsid w:val="499716FD"/>
    <w:rsid w:val="49BD7782"/>
    <w:rsid w:val="49C76F18"/>
    <w:rsid w:val="49D2497F"/>
    <w:rsid w:val="4A335E29"/>
    <w:rsid w:val="4A427332"/>
    <w:rsid w:val="4A5D49A7"/>
    <w:rsid w:val="4A6E1C96"/>
    <w:rsid w:val="4A9B5279"/>
    <w:rsid w:val="4AA7140E"/>
    <w:rsid w:val="4AF414C6"/>
    <w:rsid w:val="4B086AD7"/>
    <w:rsid w:val="4B153778"/>
    <w:rsid w:val="4B44154F"/>
    <w:rsid w:val="4B5C17F2"/>
    <w:rsid w:val="4B892AAA"/>
    <w:rsid w:val="4B9D4D6D"/>
    <w:rsid w:val="4BEC1523"/>
    <w:rsid w:val="4C287515"/>
    <w:rsid w:val="4C2F21BB"/>
    <w:rsid w:val="4C2F3F3E"/>
    <w:rsid w:val="4C363F71"/>
    <w:rsid w:val="4C512114"/>
    <w:rsid w:val="4C7503E7"/>
    <w:rsid w:val="4C754BFD"/>
    <w:rsid w:val="4C891825"/>
    <w:rsid w:val="4CAF0C63"/>
    <w:rsid w:val="4CB02062"/>
    <w:rsid w:val="4CFD7051"/>
    <w:rsid w:val="4D4330E2"/>
    <w:rsid w:val="4D434F37"/>
    <w:rsid w:val="4D4F7BE1"/>
    <w:rsid w:val="4D872C2D"/>
    <w:rsid w:val="4DA42B01"/>
    <w:rsid w:val="4DD4099C"/>
    <w:rsid w:val="4DE62039"/>
    <w:rsid w:val="4E115510"/>
    <w:rsid w:val="4E1D510A"/>
    <w:rsid w:val="4E33529A"/>
    <w:rsid w:val="4E537B49"/>
    <w:rsid w:val="4E551BCF"/>
    <w:rsid w:val="4E6E5D35"/>
    <w:rsid w:val="4EAA1951"/>
    <w:rsid w:val="4EAD4631"/>
    <w:rsid w:val="4F0E1AF7"/>
    <w:rsid w:val="4F2953A8"/>
    <w:rsid w:val="4F7B62B4"/>
    <w:rsid w:val="4F9C5E78"/>
    <w:rsid w:val="4FAD6779"/>
    <w:rsid w:val="504B72C7"/>
    <w:rsid w:val="50620D6F"/>
    <w:rsid w:val="50802B94"/>
    <w:rsid w:val="509C0DEC"/>
    <w:rsid w:val="509D71CD"/>
    <w:rsid w:val="50A26286"/>
    <w:rsid w:val="50C7108A"/>
    <w:rsid w:val="50CD09DD"/>
    <w:rsid w:val="50D47596"/>
    <w:rsid w:val="51056409"/>
    <w:rsid w:val="51104756"/>
    <w:rsid w:val="51736D6C"/>
    <w:rsid w:val="51890802"/>
    <w:rsid w:val="51B0261D"/>
    <w:rsid w:val="51B55A37"/>
    <w:rsid w:val="51BD4A4A"/>
    <w:rsid w:val="521D51AA"/>
    <w:rsid w:val="527C2EB4"/>
    <w:rsid w:val="52810C43"/>
    <w:rsid w:val="528B1CFF"/>
    <w:rsid w:val="5294352D"/>
    <w:rsid w:val="52965DD2"/>
    <w:rsid w:val="529A0FBA"/>
    <w:rsid w:val="52BC5DF4"/>
    <w:rsid w:val="52F6000E"/>
    <w:rsid w:val="53221C65"/>
    <w:rsid w:val="53386499"/>
    <w:rsid w:val="535C4FE2"/>
    <w:rsid w:val="538D51C5"/>
    <w:rsid w:val="53CC3ADE"/>
    <w:rsid w:val="53EA562E"/>
    <w:rsid w:val="543449A8"/>
    <w:rsid w:val="54590915"/>
    <w:rsid w:val="545E7779"/>
    <w:rsid w:val="54871C53"/>
    <w:rsid w:val="54A06503"/>
    <w:rsid w:val="54AD4386"/>
    <w:rsid w:val="54B00CA5"/>
    <w:rsid w:val="54D02D1F"/>
    <w:rsid w:val="55006F88"/>
    <w:rsid w:val="551754FD"/>
    <w:rsid w:val="554A02FD"/>
    <w:rsid w:val="556C3DA3"/>
    <w:rsid w:val="557E5D78"/>
    <w:rsid w:val="55880E41"/>
    <w:rsid w:val="559E1ADC"/>
    <w:rsid w:val="55B066E0"/>
    <w:rsid w:val="55D1017B"/>
    <w:rsid w:val="55EF19D9"/>
    <w:rsid w:val="56024195"/>
    <w:rsid w:val="56121BBE"/>
    <w:rsid w:val="56486589"/>
    <w:rsid w:val="56501293"/>
    <w:rsid w:val="5654180F"/>
    <w:rsid w:val="56612CFF"/>
    <w:rsid w:val="56A8086F"/>
    <w:rsid w:val="56BF4848"/>
    <w:rsid w:val="56F753B6"/>
    <w:rsid w:val="5785532F"/>
    <w:rsid w:val="579C2294"/>
    <w:rsid w:val="57CA3325"/>
    <w:rsid w:val="57D572BF"/>
    <w:rsid w:val="58210772"/>
    <w:rsid w:val="582608A0"/>
    <w:rsid w:val="584C0094"/>
    <w:rsid w:val="58912831"/>
    <w:rsid w:val="58987F04"/>
    <w:rsid w:val="58A24C00"/>
    <w:rsid w:val="58B56E27"/>
    <w:rsid w:val="58D95C71"/>
    <w:rsid w:val="58DD51BC"/>
    <w:rsid w:val="58FD06B1"/>
    <w:rsid w:val="59075240"/>
    <w:rsid w:val="590E032C"/>
    <w:rsid w:val="5934156E"/>
    <w:rsid w:val="5940429F"/>
    <w:rsid w:val="59426C92"/>
    <w:rsid w:val="59672CF3"/>
    <w:rsid w:val="5991341D"/>
    <w:rsid w:val="59A27512"/>
    <w:rsid w:val="59A466C7"/>
    <w:rsid w:val="59EA1A56"/>
    <w:rsid w:val="5A010482"/>
    <w:rsid w:val="5A2C1D8F"/>
    <w:rsid w:val="5A3A37E6"/>
    <w:rsid w:val="5A9821A6"/>
    <w:rsid w:val="5A9F37FF"/>
    <w:rsid w:val="5AA23B19"/>
    <w:rsid w:val="5ABA4D51"/>
    <w:rsid w:val="5AC27CF4"/>
    <w:rsid w:val="5B091427"/>
    <w:rsid w:val="5B141F21"/>
    <w:rsid w:val="5B17509C"/>
    <w:rsid w:val="5B1C5FB6"/>
    <w:rsid w:val="5B9010D6"/>
    <w:rsid w:val="5B9A0D7B"/>
    <w:rsid w:val="5BA73880"/>
    <w:rsid w:val="5BE6502F"/>
    <w:rsid w:val="5BF43EC9"/>
    <w:rsid w:val="5C3345B7"/>
    <w:rsid w:val="5C567561"/>
    <w:rsid w:val="5C5746F8"/>
    <w:rsid w:val="5C6325B1"/>
    <w:rsid w:val="5C8F6241"/>
    <w:rsid w:val="5CD4459F"/>
    <w:rsid w:val="5CDE6D82"/>
    <w:rsid w:val="5D043EAE"/>
    <w:rsid w:val="5D1963D4"/>
    <w:rsid w:val="5D212BDD"/>
    <w:rsid w:val="5D22290C"/>
    <w:rsid w:val="5D557AD9"/>
    <w:rsid w:val="5D62442A"/>
    <w:rsid w:val="5D8E5B7D"/>
    <w:rsid w:val="5DC7260D"/>
    <w:rsid w:val="5DCF725C"/>
    <w:rsid w:val="5DD169CD"/>
    <w:rsid w:val="5DD26365"/>
    <w:rsid w:val="5E976BC8"/>
    <w:rsid w:val="5EA30BF7"/>
    <w:rsid w:val="5F4E20AD"/>
    <w:rsid w:val="5F517840"/>
    <w:rsid w:val="5F865174"/>
    <w:rsid w:val="5F964C32"/>
    <w:rsid w:val="5F9920D2"/>
    <w:rsid w:val="5FA4136B"/>
    <w:rsid w:val="5FB064A7"/>
    <w:rsid w:val="5FC13F0A"/>
    <w:rsid w:val="5FC5290C"/>
    <w:rsid w:val="5FC62184"/>
    <w:rsid w:val="5FD17A20"/>
    <w:rsid w:val="5FD51631"/>
    <w:rsid w:val="5FDE72F6"/>
    <w:rsid w:val="60203571"/>
    <w:rsid w:val="605819C7"/>
    <w:rsid w:val="607508FE"/>
    <w:rsid w:val="60C02B92"/>
    <w:rsid w:val="60ED55E7"/>
    <w:rsid w:val="60F108F5"/>
    <w:rsid w:val="6140773F"/>
    <w:rsid w:val="616420C4"/>
    <w:rsid w:val="619744A2"/>
    <w:rsid w:val="61D072D3"/>
    <w:rsid w:val="61E1537F"/>
    <w:rsid w:val="61EA19C1"/>
    <w:rsid w:val="62501BE4"/>
    <w:rsid w:val="62552A87"/>
    <w:rsid w:val="62652A9E"/>
    <w:rsid w:val="629054FC"/>
    <w:rsid w:val="6299512D"/>
    <w:rsid w:val="629A5576"/>
    <w:rsid w:val="62BE5387"/>
    <w:rsid w:val="62C56354"/>
    <w:rsid w:val="62D26DDC"/>
    <w:rsid w:val="62F01C69"/>
    <w:rsid w:val="62F91C62"/>
    <w:rsid w:val="62FE786C"/>
    <w:rsid w:val="63072BCC"/>
    <w:rsid w:val="6315696A"/>
    <w:rsid w:val="63285926"/>
    <w:rsid w:val="632E475A"/>
    <w:rsid w:val="6356073C"/>
    <w:rsid w:val="636B3418"/>
    <w:rsid w:val="6381672D"/>
    <w:rsid w:val="638650FE"/>
    <w:rsid w:val="63C170AD"/>
    <w:rsid w:val="63F15388"/>
    <w:rsid w:val="64016839"/>
    <w:rsid w:val="642072AD"/>
    <w:rsid w:val="64426FAC"/>
    <w:rsid w:val="64446AA0"/>
    <w:rsid w:val="645027B7"/>
    <w:rsid w:val="645F1DFD"/>
    <w:rsid w:val="64603DE6"/>
    <w:rsid w:val="646E127E"/>
    <w:rsid w:val="648307EC"/>
    <w:rsid w:val="64AE2B03"/>
    <w:rsid w:val="64E00199"/>
    <w:rsid w:val="64E42B53"/>
    <w:rsid w:val="64FA5ACB"/>
    <w:rsid w:val="6534525A"/>
    <w:rsid w:val="65670309"/>
    <w:rsid w:val="65BE7A05"/>
    <w:rsid w:val="65BF27B3"/>
    <w:rsid w:val="65D30E3D"/>
    <w:rsid w:val="65F26E71"/>
    <w:rsid w:val="663E63C4"/>
    <w:rsid w:val="66777958"/>
    <w:rsid w:val="668F2B06"/>
    <w:rsid w:val="66964783"/>
    <w:rsid w:val="669E6E2A"/>
    <w:rsid w:val="66A56CD1"/>
    <w:rsid w:val="66E61903"/>
    <w:rsid w:val="670A5417"/>
    <w:rsid w:val="673C6ECE"/>
    <w:rsid w:val="675E6B93"/>
    <w:rsid w:val="679F69ED"/>
    <w:rsid w:val="67AF1AC7"/>
    <w:rsid w:val="67B93013"/>
    <w:rsid w:val="67D671BD"/>
    <w:rsid w:val="67F36709"/>
    <w:rsid w:val="67F66FA0"/>
    <w:rsid w:val="681B101F"/>
    <w:rsid w:val="689C0DA3"/>
    <w:rsid w:val="68C47A04"/>
    <w:rsid w:val="68D460BA"/>
    <w:rsid w:val="69150C63"/>
    <w:rsid w:val="69627B1D"/>
    <w:rsid w:val="697E0EB5"/>
    <w:rsid w:val="697F30FA"/>
    <w:rsid w:val="698D3F53"/>
    <w:rsid w:val="69C913D3"/>
    <w:rsid w:val="69F16999"/>
    <w:rsid w:val="6A266B02"/>
    <w:rsid w:val="6A2A2600"/>
    <w:rsid w:val="6A694DFC"/>
    <w:rsid w:val="6A784F4C"/>
    <w:rsid w:val="6AA17E18"/>
    <w:rsid w:val="6ACD4CFB"/>
    <w:rsid w:val="6AFA51C9"/>
    <w:rsid w:val="6AFD504E"/>
    <w:rsid w:val="6B10783C"/>
    <w:rsid w:val="6B2A6F41"/>
    <w:rsid w:val="6B406C8C"/>
    <w:rsid w:val="6B5F0B5A"/>
    <w:rsid w:val="6B794D1E"/>
    <w:rsid w:val="6BD00E93"/>
    <w:rsid w:val="6BEF7C67"/>
    <w:rsid w:val="6BF277B0"/>
    <w:rsid w:val="6BF35B12"/>
    <w:rsid w:val="6C0D512E"/>
    <w:rsid w:val="6C3919F6"/>
    <w:rsid w:val="6C4F62CC"/>
    <w:rsid w:val="6C61224A"/>
    <w:rsid w:val="6C637664"/>
    <w:rsid w:val="6C821243"/>
    <w:rsid w:val="6CB42814"/>
    <w:rsid w:val="6D096903"/>
    <w:rsid w:val="6D121BA4"/>
    <w:rsid w:val="6D440804"/>
    <w:rsid w:val="6D5F1A40"/>
    <w:rsid w:val="6D813910"/>
    <w:rsid w:val="6D9A4DF0"/>
    <w:rsid w:val="6DA53478"/>
    <w:rsid w:val="6DAD5523"/>
    <w:rsid w:val="6E0714AB"/>
    <w:rsid w:val="6E2E074A"/>
    <w:rsid w:val="6E4F72C3"/>
    <w:rsid w:val="6E6C0E56"/>
    <w:rsid w:val="6E9C533A"/>
    <w:rsid w:val="6E9F3112"/>
    <w:rsid w:val="6EE3776F"/>
    <w:rsid w:val="6F033EC7"/>
    <w:rsid w:val="6F0853D4"/>
    <w:rsid w:val="6F1714D7"/>
    <w:rsid w:val="6F5850FE"/>
    <w:rsid w:val="6F6525EA"/>
    <w:rsid w:val="6F7B648A"/>
    <w:rsid w:val="6F9C219C"/>
    <w:rsid w:val="6FC45445"/>
    <w:rsid w:val="6FE97C35"/>
    <w:rsid w:val="6FF26397"/>
    <w:rsid w:val="70055143"/>
    <w:rsid w:val="70292EC5"/>
    <w:rsid w:val="705C0FC6"/>
    <w:rsid w:val="70A04330"/>
    <w:rsid w:val="70A13A10"/>
    <w:rsid w:val="70AF4C61"/>
    <w:rsid w:val="70CE3BAA"/>
    <w:rsid w:val="70E316BB"/>
    <w:rsid w:val="70E453A2"/>
    <w:rsid w:val="71117641"/>
    <w:rsid w:val="71156382"/>
    <w:rsid w:val="71442C09"/>
    <w:rsid w:val="714F6A99"/>
    <w:rsid w:val="715211FB"/>
    <w:rsid w:val="71576633"/>
    <w:rsid w:val="716345F2"/>
    <w:rsid w:val="716743D5"/>
    <w:rsid w:val="718D3490"/>
    <w:rsid w:val="719E6475"/>
    <w:rsid w:val="726C130A"/>
    <w:rsid w:val="72811B07"/>
    <w:rsid w:val="72A00069"/>
    <w:rsid w:val="72A31EFA"/>
    <w:rsid w:val="72A75400"/>
    <w:rsid w:val="72F16F51"/>
    <w:rsid w:val="73171221"/>
    <w:rsid w:val="734A5E0F"/>
    <w:rsid w:val="734C0143"/>
    <w:rsid w:val="734D08F1"/>
    <w:rsid w:val="73760011"/>
    <w:rsid w:val="737A756E"/>
    <w:rsid w:val="738F5BB1"/>
    <w:rsid w:val="73946C2C"/>
    <w:rsid w:val="739E1E18"/>
    <w:rsid w:val="74426AAA"/>
    <w:rsid w:val="745340BF"/>
    <w:rsid w:val="746C2E2C"/>
    <w:rsid w:val="74AE50F0"/>
    <w:rsid w:val="74B33EDB"/>
    <w:rsid w:val="74B82903"/>
    <w:rsid w:val="74CF5B6A"/>
    <w:rsid w:val="74D41BA9"/>
    <w:rsid w:val="74DA7303"/>
    <w:rsid w:val="74F34180"/>
    <w:rsid w:val="7529504D"/>
    <w:rsid w:val="753C2968"/>
    <w:rsid w:val="756B4072"/>
    <w:rsid w:val="75A57FB9"/>
    <w:rsid w:val="75B5748A"/>
    <w:rsid w:val="75DA0D53"/>
    <w:rsid w:val="75DD1A41"/>
    <w:rsid w:val="75E7449A"/>
    <w:rsid w:val="75FB6490"/>
    <w:rsid w:val="76054289"/>
    <w:rsid w:val="76065314"/>
    <w:rsid w:val="76170497"/>
    <w:rsid w:val="76764473"/>
    <w:rsid w:val="767A09C3"/>
    <w:rsid w:val="768B2D96"/>
    <w:rsid w:val="76BD4310"/>
    <w:rsid w:val="76BD7233"/>
    <w:rsid w:val="76F35364"/>
    <w:rsid w:val="76F873CC"/>
    <w:rsid w:val="77526393"/>
    <w:rsid w:val="777073A3"/>
    <w:rsid w:val="7791632E"/>
    <w:rsid w:val="77A73E65"/>
    <w:rsid w:val="77C657CC"/>
    <w:rsid w:val="77D82949"/>
    <w:rsid w:val="77E74E9A"/>
    <w:rsid w:val="77F75F89"/>
    <w:rsid w:val="787A6581"/>
    <w:rsid w:val="78F138E1"/>
    <w:rsid w:val="79456010"/>
    <w:rsid w:val="79496D12"/>
    <w:rsid w:val="797A29C0"/>
    <w:rsid w:val="797A3212"/>
    <w:rsid w:val="7991238E"/>
    <w:rsid w:val="79B460D7"/>
    <w:rsid w:val="79BC2804"/>
    <w:rsid w:val="79C83864"/>
    <w:rsid w:val="79CF00C3"/>
    <w:rsid w:val="79E50D3A"/>
    <w:rsid w:val="79FD5FD5"/>
    <w:rsid w:val="7A1A1324"/>
    <w:rsid w:val="7A291D39"/>
    <w:rsid w:val="7A2B2992"/>
    <w:rsid w:val="7A365BEC"/>
    <w:rsid w:val="7A4E273C"/>
    <w:rsid w:val="7A570C5B"/>
    <w:rsid w:val="7A6A6FEE"/>
    <w:rsid w:val="7A737C87"/>
    <w:rsid w:val="7A745A5C"/>
    <w:rsid w:val="7AA26E1C"/>
    <w:rsid w:val="7AC15B06"/>
    <w:rsid w:val="7ACE4E37"/>
    <w:rsid w:val="7ADF5739"/>
    <w:rsid w:val="7B1C4738"/>
    <w:rsid w:val="7B1F45AC"/>
    <w:rsid w:val="7B265B3C"/>
    <w:rsid w:val="7B315B0E"/>
    <w:rsid w:val="7B324AC3"/>
    <w:rsid w:val="7B387682"/>
    <w:rsid w:val="7B54266E"/>
    <w:rsid w:val="7BA42308"/>
    <w:rsid w:val="7BAB0CBD"/>
    <w:rsid w:val="7BB068AE"/>
    <w:rsid w:val="7BB45549"/>
    <w:rsid w:val="7BDD3458"/>
    <w:rsid w:val="7C017373"/>
    <w:rsid w:val="7C0977CC"/>
    <w:rsid w:val="7C2877E1"/>
    <w:rsid w:val="7C6B5760"/>
    <w:rsid w:val="7CC844A3"/>
    <w:rsid w:val="7D136B9C"/>
    <w:rsid w:val="7D4B4B43"/>
    <w:rsid w:val="7D7332D9"/>
    <w:rsid w:val="7DA96CF6"/>
    <w:rsid w:val="7DAE4304"/>
    <w:rsid w:val="7DB17046"/>
    <w:rsid w:val="7DD13B11"/>
    <w:rsid w:val="7DD476D6"/>
    <w:rsid w:val="7E025951"/>
    <w:rsid w:val="7E0C2354"/>
    <w:rsid w:val="7E4C0CAF"/>
    <w:rsid w:val="7E5D70FA"/>
    <w:rsid w:val="7E6308E9"/>
    <w:rsid w:val="7E996DD5"/>
    <w:rsid w:val="7E9C7D46"/>
    <w:rsid w:val="7EAD35DD"/>
    <w:rsid w:val="7ED20BCB"/>
    <w:rsid w:val="7F006A46"/>
    <w:rsid w:val="7F012B24"/>
    <w:rsid w:val="7F4C265F"/>
    <w:rsid w:val="7F5F1202"/>
    <w:rsid w:val="7F757411"/>
    <w:rsid w:val="7FAC736E"/>
    <w:rsid w:val="7FE031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9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4">
    <w:name w:val="heading 1"/>
    <w:basedOn w:val="1"/>
    <w:next w:val="1"/>
    <w:autoRedefine/>
    <w:qFormat/>
    <w:uiPriority w:val="0"/>
    <w:pPr>
      <w:keepNext/>
      <w:widowControl/>
      <w:numPr>
        <w:ilvl w:val="0"/>
        <w:numId w:val="1"/>
      </w:numPr>
      <w:jc w:val="center"/>
      <w:outlineLvl w:val="0"/>
    </w:pPr>
    <w:rPr>
      <w:rFonts w:ascii="黑体" w:eastAsia="黑体"/>
      <w:kern w:val="0"/>
      <w:sz w:val="52"/>
      <w:szCs w:val="20"/>
    </w:rPr>
  </w:style>
  <w:style w:type="paragraph" w:styleId="5">
    <w:name w:val="heading 2"/>
    <w:basedOn w:val="1"/>
    <w:next w:val="1"/>
    <w:link w:val="86"/>
    <w:autoRedefine/>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7"/>
    <w:link w:val="95"/>
    <w:autoRedefine/>
    <w:qFormat/>
    <w:uiPriority w:val="0"/>
    <w:pPr>
      <w:keepNext/>
      <w:keepLines/>
      <w:widowControl/>
      <w:numPr>
        <w:ilvl w:val="2"/>
        <w:numId w:val="1"/>
      </w:numPr>
      <w:spacing w:before="120" w:after="120" w:line="360" w:lineRule="auto"/>
      <w:jc w:val="center"/>
      <w:outlineLvl w:val="2"/>
    </w:pPr>
    <w:rPr>
      <w:b/>
      <w:kern w:val="0"/>
      <w:sz w:val="32"/>
      <w:szCs w:val="20"/>
    </w:rPr>
  </w:style>
  <w:style w:type="paragraph" w:styleId="8">
    <w:name w:val="heading 4"/>
    <w:basedOn w:val="1"/>
    <w:next w:val="1"/>
    <w:link w:val="169"/>
    <w:autoRedefine/>
    <w:qFormat/>
    <w:uiPriority w:val="0"/>
    <w:pPr>
      <w:keepNext/>
      <w:keepLines/>
      <w:widowControl/>
      <w:spacing w:before="120" w:after="120" w:line="360" w:lineRule="auto"/>
      <w:jc w:val="center"/>
      <w:outlineLvl w:val="3"/>
    </w:pPr>
    <w:rPr>
      <w:rFonts w:ascii="Arial" w:hAnsi="Arial" w:eastAsia="黑体"/>
      <w:kern w:val="0"/>
      <w:szCs w:val="20"/>
    </w:rPr>
  </w:style>
  <w:style w:type="paragraph" w:styleId="9">
    <w:name w:val="heading 5"/>
    <w:basedOn w:val="1"/>
    <w:next w:val="1"/>
    <w:autoRedefine/>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10">
    <w:name w:val="heading 6"/>
    <w:basedOn w:val="1"/>
    <w:next w:val="1"/>
    <w:autoRedefine/>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rPr>
  </w:style>
  <w:style w:type="paragraph" w:styleId="11">
    <w:name w:val="heading 7"/>
    <w:basedOn w:val="1"/>
    <w:next w:val="1"/>
    <w:autoRedefine/>
    <w:qFormat/>
    <w:uiPriority w:val="0"/>
    <w:pPr>
      <w:keepNext/>
      <w:keepLines/>
      <w:widowControl/>
      <w:numPr>
        <w:ilvl w:val="6"/>
        <w:numId w:val="1"/>
      </w:numPr>
      <w:spacing w:before="240" w:after="64" w:line="320" w:lineRule="auto"/>
      <w:jc w:val="left"/>
      <w:outlineLvl w:val="6"/>
    </w:pPr>
    <w:rPr>
      <w:b/>
      <w:bCs/>
      <w:kern w:val="0"/>
      <w:sz w:val="24"/>
    </w:rPr>
  </w:style>
  <w:style w:type="paragraph" w:styleId="12">
    <w:name w:val="heading 8"/>
    <w:basedOn w:val="1"/>
    <w:next w:val="1"/>
    <w:autoRedefine/>
    <w:qFormat/>
    <w:uiPriority w:val="0"/>
    <w:pPr>
      <w:keepNext/>
      <w:keepLines/>
      <w:widowControl/>
      <w:numPr>
        <w:ilvl w:val="7"/>
        <w:numId w:val="1"/>
      </w:numPr>
      <w:spacing w:before="240" w:after="64" w:line="320" w:lineRule="auto"/>
      <w:jc w:val="left"/>
      <w:outlineLvl w:val="7"/>
    </w:pPr>
    <w:rPr>
      <w:rFonts w:ascii="Arial" w:hAnsi="Arial" w:eastAsia="黑体"/>
      <w:kern w:val="0"/>
      <w:sz w:val="24"/>
    </w:rPr>
  </w:style>
  <w:style w:type="paragraph" w:styleId="13">
    <w:name w:val="heading 9"/>
    <w:basedOn w:val="1"/>
    <w:next w:val="1"/>
    <w:autoRedefine/>
    <w:qFormat/>
    <w:uiPriority w:val="0"/>
    <w:pPr>
      <w:keepNext/>
      <w:keepLines/>
      <w:widowControl/>
      <w:numPr>
        <w:ilvl w:val="8"/>
        <w:numId w:val="1"/>
      </w:numPr>
      <w:spacing w:before="240" w:after="64" w:line="320" w:lineRule="auto"/>
      <w:jc w:val="left"/>
      <w:outlineLvl w:val="8"/>
    </w:pPr>
    <w:rPr>
      <w:rFonts w:ascii="Arial" w:hAnsi="Arial" w:eastAsia="黑体"/>
      <w:kern w:val="0"/>
      <w:sz w:val="21"/>
      <w:szCs w:val="21"/>
    </w:rPr>
  </w:style>
  <w:style w:type="character" w:default="1" w:styleId="46">
    <w:name w:val="Default Paragraph Font"/>
    <w:autoRedefine/>
    <w:semiHidden/>
    <w:unhideWhenUsed/>
    <w:qFormat/>
    <w:uiPriority w:val="1"/>
  </w:style>
  <w:style w:type="table" w:default="1" w:styleId="44">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首行缩进 21"/>
    <w:basedOn w:val="3"/>
    <w:autoRedefine/>
    <w:qFormat/>
    <w:uiPriority w:val="0"/>
    <w:pPr>
      <w:ind w:firstLine="420"/>
    </w:pPr>
    <w:rPr>
      <w:rFonts w:cs="宋体"/>
    </w:rPr>
  </w:style>
  <w:style w:type="paragraph" w:customStyle="1" w:styleId="3">
    <w:name w:val="正文文本缩进1"/>
    <w:basedOn w:val="1"/>
    <w:next w:val="1"/>
    <w:autoRedefine/>
    <w:qFormat/>
    <w:uiPriority w:val="0"/>
    <w:pPr>
      <w:ind w:left="420" w:leftChars="200"/>
    </w:pPr>
    <w:rPr>
      <w:color w:val="000000"/>
      <w:sz w:val="21"/>
      <w:szCs w:val="21"/>
    </w:rPr>
  </w:style>
  <w:style w:type="paragraph" w:styleId="7">
    <w:name w:val="Normal Indent"/>
    <w:basedOn w:val="1"/>
    <w:link w:val="87"/>
    <w:autoRedefine/>
    <w:qFormat/>
    <w:uiPriority w:val="0"/>
    <w:pPr>
      <w:ind w:firstLine="420"/>
    </w:pPr>
    <w:rPr>
      <w:sz w:val="21"/>
      <w:szCs w:val="20"/>
    </w:rPr>
  </w:style>
  <w:style w:type="paragraph" w:styleId="14">
    <w:name w:val="List Number"/>
    <w:basedOn w:val="1"/>
    <w:autoRedefine/>
    <w:qFormat/>
    <w:uiPriority w:val="0"/>
    <w:pPr>
      <w:widowControl/>
      <w:tabs>
        <w:tab w:val="left" w:pos="454"/>
        <w:tab w:val="left" w:pos="720"/>
      </w:tabs>
      <w:spacing w:afterLines="50"/>
      <w:ind w:left="454" w:hanging="284"/>
      <w:jc w:val="left"/>
    </w:pPr>
    <w:rPr>
      <w:kern w:val="0"/>
      <w:sz w:val="24"/>
      <w:szCs w:val="20"/>
    </w:rPr>
  </w:style>
  <w:style w:type="paragraph" w:styleId="15">
    <w:name w:val="caption"/>
    <w:basedOn w:val="1"/>
    <w:next w:val="1"/>
    <w:autoRedefine/>
    <w:qFormat/>
    <w:uiPriority w:val="0"/>
    <w:pPr>
      <w:spacing w:before="152" w:after="160"/>
    </w:pPr>
    <w:rPr>
      <w:rFonts w:ascii="Arial" w:hAnsi="Arial" w:eastAsia="黑体" w:cs="Arial"/>
      <w:sz w:val="20"/>
      <w:szCs w:val="20"/>
    </w:rPr>
  </w:style>
  <w:style w:type="paragraph" w:styleId="16">
    <w:name w:val="Document Map"/>
    <w:basedOn w:val="1"/>
    <w:autoRedefine/>
    <w:semiHidden/>
    <w:qFormat/>
    <w:uiPriority w:val="0"/>
    <w:pPr>
      <w:shd w:val="clear" w:color="auto" w:fill="000080"/>
    </w:pPr>
  </w:style>
  <w:style w:type="paragraph" w:styleId="17">
    <w:name w:val="annotation text"/>
    <w:basedOn w:val="1"/>
    <w:autoRedefine/>
    <w:semiHidden/>
    <w:qFormat/>
    <w:uiPriority w:val="99"/>
    <w:pPr>
      <w:adjustRightInd w:val="0"/>
      <w:spacing w:line="360" w:lineRule="atLeast"/>
      <w:jc w:val="left"/>
      <w:textAlignment w:val="baseline"/>
    </w:pPr>
    <w:rPr>
      <w:kern w:val="0"/>
      <w:sz w:val="24"/>
      <w:szCs w:val="20"/>
    </w:rPr>
  </w:style>
  <w:style w:type="paragraph" w:styleId="18">
    <w:name w:val="Body Text 3"/>
    <w:basedOn w:val="1"/>
    <w:autoRedefine/>
    <w:qFormat/>
    <w:uiPriority w:val="0"/>
    <w:pPr>
      <w:snapToGrid w:val="0"/>
      <w:spacing w:before="50" w:after="50"/>
    </w:pPr>
  </w:style>
  <w:style w:type="paragraph" w:styleId="19">
    <w:name w:val="List Bullet 3"/>
    <w:basedOn w:val="1"/>
    <w:autoRedefine/>
    <w:qFormat/>
    <w:uiPriority w:val="0"/>
    <w:pPr>
      <w:numPr>
        <w:ilvl w:val="0"/>
        <w:numId w:val="2"/>
      </w:numPr>
    </w:pPr>
    <w:rPr>
      <w:sz w:val="21"/>
    </w:rPr>
  </w:style>
  <w:style w:type="paragraph" w:styleId="20">
    <w:name w:val="Body Text"/>
    <w:basedOn w:val="1"/>
    <w:next w:val="21"/>
    <w:autoRedefine/>
    <w:qFormat/>
    <w:uiPriority w:val="0"/>
    <w:pPr>
      <w:spacing w:line="0" w:lineRule="atLeast"/>
    </w:pPr>
    <w:rPr>
      <w:sz w:val="30"/>
      <w:szCs w:val="20"/>
    </w:rPr>
  </w:style>
  <w:style w:type="paragraph" w:styleId="21">
    <w:name w:val="Body Text First Indent"/>
    <w:basedOn w:val="20"/>
    <w:next w:val="22"/>
    <w:autoRedefine/>
    <w:qFormat/>
    <w:uiPriority w:val="0"/>
    <w:pPr>
      <w:spacing w:after="120" w:line="240" w:lineRule="auto"/>
      <w:ind w:firstLine="420" w:firstLineChars="100"/>
    </w:pPr>
    <w:rPr>
      <w:sz w:val="28"/>
    </w:rPr>
  </w:style>
  <w:style w:type="paragraph" w:styleId="22">
    <w:name w:val="toc 6"/>
    <w:basedOn w:val="1"/>
    <w:next w:val="1"/>
    <w:autoRedefine/>
    <w:unhideWhenUsed/>
    <w:qFormat/>
    <w:uiPriority w:val="39"/>
    <w:pPr>
      <w:widowControl/>
      <w:spacing w:line="360" w:lineRule="auto"/>
      <w:ind w:left="1400" w:firstLine="200" w:firstLineChars="200"/>
      <w:jc w:val="left"/>
    </w:pPr>
    <w:rPr>
      <w:rFonts w:ascii="Calibri" w:hAnsi="Calibri" w:cs="Calibri"/>
      <w:kern w:val="0"/>
      <w:sz w:val="18"/>
      <w:szCs w:val="18"/>
    </w:rPr>
  </w:style>
  <w:style w:type="paragraph" w:styleId="23">
    <w:name w:val="Body Text Indent"/>
    <w:basedOn w:val="1"/>
    <w:next w:val="24"/>
    <w:autoRedefine/>
    <w:qFormat/>
    <w:uiPriority w:val="0"/>
    <w:pPr>
      <w:widowControl/>
      <w:tabs>
        <w:tab w:val="left" w:pos="0"/>
        <w:tab w:val="left" w:pos="993"/>
        <w:tab w:val="left" w:pos="1134"/>
      </w:tabs>
      <w:spacing w:line="500" w:lineRule="exact"/>
      <w:ind w:firstLine="567"/>
    </w:pPr>
    <w:rPr>
      <w:rFonts w:ascii="宋体"/>
      <w:kern w:val="0"/>
      <w:szCs w:val="20"/>
    </w:rPr>
  </w:style>
  <w:style w:type="paragraph" w:styleId="24">
    <w:name w:val="Body Text First Indent 2"/>
    <w:basedOn w:val="23"/>
    <w:next w:val="21"/>
    <w:autoRedefine/>
    <w:unhideWhenUsed/>
    <w:qFormat/>
    <w:uiPriority w:val="99"/>
    <w:pPr>
      <w:spacing w:after="120" w:line="240" w:lineRule="auto"/>
      <w:ind w:left="420" w:leftChars="200" w:firstLine="420" w:firstLineChars="200"/>
    </w:pPr>
    <w:rPr>
      <w:rFonts w:ascii="Calibri" w:hAnsi="Calibri"/>
      <w:sz w:val="21"/>
      <w:szCs w:val="24"/>
    </w:rPr>
  </w:style>
  <w:style w:type="paragraph" w:styleId="25">
    <w:name w:val="List Number 3"/>
    <w:basedOn w:val="1"/>
    <w:autoRedefine/>
    <w:qFormat/>
    <w:uiPriority w:val="0"/>
    <w:pPr>
      <w:numPr>
        <w:ilvl w:val="0"/>
        <w:numId w:val="3"/>
      </w:numPr>
    </w:pPr>
    <w:rPr>
      <w:sz w:val="21"/>
    </w:rPr>
  </w:style>
  <w:style w:type="paragraph" w:styleId="26">
    <w:name w:val="List 2"/>
    <w:basedOn w:val="1"/>
    <w:autoRedefine/>
    <w:qFormat/>
    <w:uiPriority w:val="0"/>
    <w:pPr>
      <w:ind w:left="100" w:leftChars="200" w:hanging="200" w:hangingChars="200"/>
    </w:pPr>
  </w:style>
  <w:style w:type="paragraph" w:styleId="27">
    <w:name w:val="Block Text"/>
    <w:basedOn w:val="1"/>
    <w:autoRedefine/>
    <w:qFormat/>
    <w:uiPriority w:val="0"/>
    <w:pPr>
      <w:adjustRightInd w:val="0"/>
      <w:ind w:left="420" w:right="33"/>
      <w:jc w:val="left"/>
      <w:textAlignment w:val="baseline"/>
    </w:pPr>
    <w:rPr>
      <w:kern w:val="0"/>
      <w:sz w:val="24"/>
      <w:szCs w:val="20"/>
    </w:rPr>
  </w:style>
  <w:style w:type="paragraph" w:styleId="28">
    <w:name w:val="toc 3"/>
    <w:basedOn w:val="1"/>
    <w:next w:val="1"/>
    <w:autoRedefine/>
    <w:semiHidden/>
    <w:qFormat/>
    <w:uiPriority w:val="0"/>
    <w:pPr>
      <w:widowControl/>
      <w:ind w:left="400" w:right="255"/>
    </w:pPr>
    <w:rPr>
      <w:kern w:val="0"/>
      <w:sz w:val="24"/>
      <w:szCs w:val="20"/>
    </w:rPr>
  </w:style>
  <w:style w:type="paragraph" w:styleId="29">
    <w:name w:val="Plain Text"/>
    <w:basedOn w:val="1"/>
    <w:next w:val="1"/>
    <w:link w:val="79"/>
    <w:autoRedefine/>
    <w:qFormat/>
    <w:uiPriority w:val="0"/>
    <w:pPr>
      <w:adjustRightInd w:val="0"/>
      <w:snapToGrid w:val="0"/>
    </w:pPr>
    <w:rPr>
      <w:rFonts w:ascii="宋体" w:hAnsi="Courier New" w:cs="Courier New"/>
      <w:sz w:val="21"/>
      <w:szCs w:val="21"/>
    </w:rPr>
  </w:style>
  <w:style w:type="paragraph" w:styleId="30">
    <w:name w:val="toc 8"/>
    <w:basedOn w:val="1"/>
    <w:next w:val="1"/>
    <w:autoRedefine/>
    <w:qFormat/>
    <w:uiPriority w:val="0"/>
    <w:pPr>
      <w:ind w:leftChars="1400"/>
    </w:pPr>
  </w:style>
  <w:style w:type="paragraph" w:styleId="31">
    <w:name w:val="Date"/>
    <w:basedOn w:val="1"/>
    <w:next w:val="1"/>
    <w:autoRedefine/>
    <w:qFormat/>
    <w:uiPriority w:val="0"/>
    <w:rPr>
      <w:szCs w:val="20"/>
    </w:rPr>
  </w:style>
  <w:style w:type="paragraph" w:styleId="32">
    <w:name w:val="Body Text Indent 2"/>
    <w:basedOn w:val="1"/>
    <w:autoRedefine/>
    <w:qFormat/>
    <w:uiPriority w:val="0"/>
    <w:pPr>
      <w:ind w:firstLine="560" w:firstLineChars="200"/>
    </w:pPr>
    <w:rPr>
      <w:rFonts w:ascii="宋体" w:hAnsi="宋体"/>
      <w:szCs w:val="20"/>
    </w:rPr>
  </w:style>
  <w:style w:type="paragraph" w:styleId="33">
    <w:name w:val="Balloon Text"/>
    <w:basedOn w:val="1"/>
    <w:autoRedefine/>
    <w:semiHidden/>
    <w:qFormat/>
    <w:uiPriority w:val="0"/>
    <w:rPr>
      <w:sz w:val="18"/>
      <w:szCs w:val="18"/>
    </w:rPr>
  </w:style>
  <w:style w:type="paragraph" w:styleId="34">
    <w:name w:val="footer"/>
    <w:basedOn w:val="1"/>
    <w:link w:val="84"/>
    <w:autoRedefine/>
    <w:qFormat/>
    <w:uiPriority w:val="0"/>
    <w:pPr>
      <w:tabs>
        <w:tab w:val="center" w:pos="4153"/>
        <w:tab w:val="right" w:pos="8306"/>
      </w:tabs>
      <w:snapToGrid w:val="0"/>
      <w:jc w:val="left"/>
    </w:pPr>
    <w:rPr>
      <w:sz w:val="18"/>
      <w:szCs w:val="18"/>
    </w:rPr>
  </w:style>
  <w:style w:type="paragraph" w:styleId="35">
    <w:name w:val="header"/>
    <w:basedOn w:val="1"/>
    <w:link w:val="69"/>
    <w:autoRedefine/>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autoRedefine/>
    <w:qFormat/>
    <w:uiPriority w:val="0"/>
  </w:style>
  <w:style w:type="paragraph" w:styleId="37">
    <w:name w:val="List"/>
    <w:basedOn w:val="1"/>
    <w:autoRedefine/>
    <w:qFormat/>
    <w:uiPriority w:val="0"/>
    <w:pPr>
      <w:ind w:left="200" w:hanging="200" w:hangingChars="200"/>
    </w:pPr>
  </w:style>
  <w:style w:type="paragraph" w:styleId="38">
    <w:name w:val="footnote text"/>
    <w:basedOn w:val="1"/>
    <w:autoRedefine/>
    <w:qFormat/>
    <w:uiPriority w:val="99"/>
    <w:pPr>
      <w:snapToGrid w:val="0"/>
      <w:jc w:val="left"/>
    </w:pPr>
    <w:rPr>
      <w:sz w:val="18"/>
    </w:rPr>
  </w:style>
  <w:style w:type="paragraph" w:styleId="39">
    <w:name w:val="Body Text Indent 3"/>
    <w:basedOn w:val="1"/>
    <w:autoRedefine/>
    <w:qFormat/>
    <w:uiPriority w:val="0"/>
    <w:pPr>
      <w:ind w:firstLine="419" w:firstLineChars="161"/>
    </w:pPr>
    <w:rPr>
      <w:rFonts w:ascii="宋体" w:hAnsi="宋体"/>
      <w:szCs w:val="20"/>
    </w:rPr>
  </w:style>
  <w:style w:type="paragraph" w:styleId="40">
    <w:name w:val="toc 2"/>
    <w:basedOn w:val="1"/>
    <w:next w:val="1"/>
    <w:autoRedefine/>
    <w:qFormat/>
    <w:uiPriority w:val="0"/>
    <w:pPr>
      <w:ind w:left="420" w:leftChars="200"/>
    </w:pPr>
  </w:style>
  <w:style w:type="paragraph" w:styleId="41">
    <w:name w:val="Body Text 2"/>
    <w:basedOn w:val="1"/>
    <w:autoRedefine/>
    <w:qFormat/>
    <w:uiPriority w:val="0"/>
    <w:pPr>
      <w:widowControl/>
      <w:snapToGrid w:val="0"/>
      <w:spacing w:before="50" w:afterLines="50" w:line="400" w:lineRule="exact"/>
      <w:jc w:val="left"/>
    </w:pPr>
    <w:rPr>
      <w:rFonts w:ascii="宋体" w:hAnsi="宋体"/>
      <w:color w:val="000000"/>
      <w:sz w:val="24"/>
    </w:rPr>
  </w:style>
  <w:style w:type="paragraph" w:styleId="42">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43">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table" w:styleId="45">
    <w:name w:val="Table Grid"/>
    <w:basedOn w:val="4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autoRedefine/>
    <w:qFormat/>
    <w:uiPriority w:val="0"/>
    <w:rPr>
      <w:b/>
      <w:bCs/>
    </w:rPr>
  </w:style>
  <w:style w:type="character" w:styleId="48">
    <w:name w:val="page number"/>
    <w:basedOn w:val="46"/>
    <w:autoRedefine/>
    <w:qFormat/>
    <w:uiPriority w:val="0"/>
  </w:style>
  <w:style w:type="character" w:styleId="49">
    <w:name w:val="FollowedHyperlink"/>
    <w:autoRedefine/>
    <w:qFormat/>
    <w:uiPriority w:val="99"/>
    <w:rPr>
      <w:color w:val="333333"/>
      <w:u w:val="none"/>
    </w:rPr>
  </w:style>
  <w:style w:type="character" w:styleId="50">
    <w:name w:val="Emphasis"/>
    <w:autoRedefine/>
    <w:qFormat/>
    <w:uiPriority w:val="0"/>
    <w:rPr>
      <w:color w:val="CC0033"/>
    </w:rPr>
  </w:style>
  <w:style w:type="character" w:styleId="51">
    <w:name w:val="HTML Definition"/>
    <w:autoRedefine/>
    <w:qFormat/>
    <w:uiPriority w:val="0"/>
  </w:style>
  <w:style w:type="character" w:styleId="52">
    <w:name w:val="HTML Typewriter"/>
    <w:autoRedefine/>
    <w:qFormat/>
    <w:uiPriority w:val="0"/>
    <w:rPr>
      <w:rFonts w:hint="default" w:ascii="monospace" w:hAnsi="monospace" w:eastAsia="monospace" w:cs="monospace"/>
      <w:sz w:val="20"/>
    </w:rPr>
  </w:style>
  <w:style w:type="character" w:styleId="53">
    <w:name w:val="HTML Acronym"/>
    <w:basedOn w:val="46"/>
    <w:autoRedefine/>
    <w:qFormat/>
    <w:uiPriority w:val="0"/>
  </w:style>
  <w:style w:type="character" w:styleId="54">
    <w:name w:val="HTML Variable"/>
    <w:autoRedefine/>
    <w:qFormat/>
    <w:uiPriority w:val="0"/>
  </w:style>
  <w:style w:type="character" w:styleId="55">
    <w:name w:val="Hyperlink"/>
    <w:autoRedefine/>
    <w:qFormat/>
    <w:uiPriority w:val="99"/>
    <w:rPr>
      <w:color w:val="333333"/>
      <w:u w:val="none"/>
    </w:rPr>
  </w:style>
  <w:style w:type="character" w:styleId="56">
    <w:name w:val="HTML Code"/>
    <w:autoRedefine/>
    <w:qFormat/>
    <w:uiPriority w:val="0"/>
    <w:rPr>
      <w:rFonts w:ascii="monospace" w:hAnsi="monospace" w:eastAsia="monospace" w:cs="monospace"/>
      <w:sz w:val="20"/>
    </w:rPr>
  </w:style>
  <w:style w:type="character" w:styleId="57">
    <w:name w:val="annotation reference"/>
    <w:autoRedefine/>
    <w:qFormat/>
    <w:uiPriority w:val="0"/>
    <w:rPr>
      <w:rFonts w:ascii="Tahoma" w:hAnsi="Tahoma"/>
      <w:sz w:val="21"/>
      <w:szCs w:val="21"/>
    </w:rPr>
  </w:style>
  <w:style w:type="character" w:styleId="58">
    <w:name w:val="HTML Cite"/>
    <w:autoRedefine/>
    <w:qFormat/>
    <w:uiPriority w:val="0"/>
  </w:style>
  <w:style w:type="character" w:styleId="59">
    <w:name w:val="HTML Keyboard"/>
    <w:autoRedefine/>
    <w:qFormat/>
    <w:uiPriority w:val="0"/>
    <w:rPr>
      <w:rFonts w:hint="default" w:ascii="monospace" w:hAnsi="monospace" w:eastAsia="monospace" w:cs="monospace"/>
      <w:sz w:val="20"/>
    </w:rPr>
  </w:style>
  <w:style w:type="character" w:styleId="60">
    <w:name w:val="HTML Sample"/>
    <w:autoRedefine/>
    <w:qFormat/>
    <w:uiPriority w:val="0"/>
    <w:rPr>
      <w:rFonts w:hint="default" w:ascii="monospace" w:hAnsi="monospace" w:eastAsia="monospace" w:cs="monospace"/>
    </w:rPr>
  </w:style>
  <w:style w:type="paragraph" w:customStyle="1" w:styleId="61">
    <w:name w:val="DAS正文"/>
    <w:basedOn w:val="1"/>
    <w:autoRedefine/>
    <w:qFormat/>
    <w:uiPriority w:val="0"/>
    <w:pPr>
      <w:spacing w:line="360" w:lineRule="auto"/>
      <w:ind w:right="181" w:firstLine="480" w:firstLineChars="200"/>
    </w:pPr>
    <w:rPr>
      <w:rFonts w:ascii="Verdana" w:hAnsi="Verdana"/>
    </w:rPr>
  </w:style>
  <w:style w:type="paragraph" w:customStyle="1" w:styleId="62">
    <w:name w:val="_Style 1"/>
    <w:autoRedefine/>
    <w:qFormat/>
    <w:uiPriority w:val="0"/>
    <w:rPr>
      <w:rFonts w:ascii="Times New Roman" w:hAnsi="Times New Roman" w:eastAsia="宋体" w:cs="Times New Roman"/>
      <w:kern w:val="2"/>
      <w:sz w:val="28"/>
      <w:szCs w:val="22"/>
      <w:lang w:val="en-US" w:eastAsia="zh-CN" w:bidi="ar-SA"/>
    </w:rPr>
  </w:style>
  <w:style w:type="paragraph" w:customStyle="1" w:styleId="63">
    <w:name w:val="无间隔1"/>
    <w:autoRedefine/>
    <w:qFormat/>
    <w:uiPriority w:val="99"/>
    <w:pPr>
      <w:adjustRightInd w:val="0"/>
      <w:snapToGrid w:val="0"/>
    </w:pPr>
    <w:rPr>
      <w:rFonts w:ascii="Tahoma" w:hAnsi="Tahoma" w:eastAsia="微软雅黑" w:cs="Times New Roman"/>
      <w:sz w:val="22"/>
      <w:szCs w:val="22"/>
      <w:lang w:val="en-US" w:eastAsia="zh-CN" w:bidi="ar-SA"/>
    </w:rPr>
  </w:style>
  <w:style w:type="character" w:customStyle="1" w:styleId="64">
    <w:name w:val="font3"/>
    <w:basedOn w:val="46"/>
    <w:autoRedefine/>
    <w:qFormat/>
    <w:uiPriority w:val="0"/>
  </w:style>
  <w:style w:type="character" w:customStyle="1" w:styleId="65">
    <w:name w:val="style1"/>
    <w:basedOn w:val="46"/>
    <w:autoRedefine/>
    <w:qFormat/>
    <w:uiPriority w:val="0"/>
  </w:style>
  <w:style w:type="character" w:customStyle="1" w:styleId="66">
    <w:name w:val="节标题 1.1 Char Char"/>
    <w:autoRedefine/>
    <w:qFormat/>
    <w:uiPriority w:val="0"/>
    <w:rPr>
      <w:rFonts w:ascii="Arial" w:hAnsi="Arial" w:eastAsia="黑体"/>
      <w:b/>
      <w:bCs/>
      <w:kern w:val="2"/>
      <w:sz w:val="32"/>
      <w:szCs w:val="32"/>
      <w:lang w:val="en-US" w:eastAsia="zh-CN" w:bidi="ar-SA"/>
    </w:rPr>
  </w:style>
  <w:style w:type="character" w:customStyle="1" w:styleId="67">
    <w:name w:val="141"/>
    <w:autoRedefine/>
    <w:qFormat/>
    <w:uiPriority w:val="0"/>
    <w:rPr>
      <w:color w:val="333333"/>
      <w:sz w:val="21"/>
      <w:szCs w:val="21"/>
      <w:u w:val="none"/>
    </w:rPr>
  </w:style>
  <w:style w:type="character" w:customStyle="1" w:styleId="68">
    <w:name w:val="正文（首行缩进两字） Char Char Char Char1"/>
    <w:autoRedefine/>
    <w:qFormat/>
    <w:uiPriority w:val="0"/>
    <w:rPr>
      <w:rFonts w:eastAsia="宋体"/>
      <w:kern w:val="2"/>
      <w:sz w:val="21"/>
      <w:lang w:val="en-US" w:eastAsia="zh-CN" w:bidi="ar-SA"/>
    </w:rPr>
  </w:style>
  <w:style w:type="character" w:customStyle="1" w:styleId="69">
    <w:name w:val="页眉 字符"/>
    <w:link w:val="35"/>
    <w:autoRedefine/>
    <w:semiHidden/>
    <w:qFormat/>
    <w:uiPriority w:val="0"/>
    <w:rPr>
      <w:rFonts w:eastAsia="宋体"/>
      <w:kern w:val="2"/>
      <w:sz w:val="18"/>
      <w:szCs w:val="18"/>
      <w:lang w:val="en-US" w:eastAsia="zh-CN" w:bidi="ar-SA"/>
    </w:rPr>
  </w:style>
  <w:style w:type="character" w:customStyle="1" w:styleId="70">
    <w:name w:val="sdtype"/>
    <w:autoRedefine/>
    <w:qFormat/>
    <w:uiPriority w:val="0"/>
  </w:style>
  <w:style w:type="character" w:customStyle="1" w:styleId="71">
    <w:name w:val="ptb181"/>
    <w:autoRedefine/>
    <w:qFormat/>
    <w:uiPriority w:val="0"/>
    <w:rPr>
      <w:rFonts w:hint="default" w:ascii="Verdana" w:hAnsi="Verdana"/>
      <w:b/>
      <w:bCs/>
      <w:color w:val="000000"/>
      <w:sz w:val="26"/>
      <w:szCs w:val="26"/>
    </w:rPr>
  </w:style>
  <w:style w:type="character" w:customStyle="1" w:styleId="72">
    <w:name w:val="style5"/>
    <w:basedOn w:val="46"/>
    <w:autoRedefine/>
    <w:qFormat/>
    <w:uiPriority w:val="0"/>
  </w:style>
  <w:style w:type="character" w:customStyle="1" w:styleId="73">
    <w:name w:val="Char Char1"/>
    <w:autoRedefine/>
    <w:qFormat/>
    <w:uiPriority w:val="0"/>
    <w:rPr>
      <w:kern w:val="2"/>
      <w:sz w:val="18"/>
      <w:szCs w:val="18"/>
    </w:rPr>
  </w:style>
  <w:style w:type="character" w:customStyle="1" w:styleId="74">
    <w:name w:val="style51"/>
    <w:autoRedefine/>
    <w:qFormat/>
    <w:uiPriority w:val="0"/>
    <w:rPr>
      <w:sz w:val="18"/>
      <w:szCs w:val="18"/>
    </w:rPr>
  </w:style>
  <w:style w:type="character" w:customStyle="1" w:styleId="75">
    <w:name w:val="页脚 Char1"/>
    <w:autoRedefine/>
    <w:qFormat/>
    <w:locked/>
    <w:uiPriority w:val="99"/>
    <w:rPr>
      <w:rFonts w:ascii="Tahoma" w:hAnsi="Tahoma" w:eastAsia="黑体"/>
      <w:snapToGrid w:val="0"/>
      <w:sz w:val="18"/>
      <w:szCs w:val="18"/>
      <w:lang w:val="en-US" w:eastAsia="zh-CN" w:bidi="ar-SA"/>
    </w:rPr>
  </w:style>
  <w:style w:type="character" w:customStyle="1" w:styleId="76">
    <w:name w:val="flname7"/>
    <w:basedOn w:val="46"/>
    <w:autoRedefine/>
    <w:qFormat/>
    <w:uiPriority w:val="0"/>
  </w:style>
  <w:style w:type="character" w:customStyle="1" w:styleId="77">
    <w:name w:val="标题 1 Char Char"/>
    <w:autoRedefine/>
    <w:qFormat/>
    <w:uiPriority w:val="0"/>
    <w:rPr>
      <w:rFonts w:eastAsia="宋体"/>
      <w:b/>
      <w:spacing w:val="-2"/>
      <w:sz w:val="24"/>
      <w:lang w:val="en-US" w:eastAsia="zh-CN" w:bidi="ar-SA"/>
    </w:rPr>
  </w:style>
  <w:style w:type="character" w:customStyle="1" w:styleId="78">
    <w:name w:val="页码1"/>
    <w:basedOn w:val="46"/>
    <w:autoRedefine/>
    <w:qFormat/>
    <w:uiPriority w:val="0"/>
  </w:style>
  <w:style w:type="character" w:customStyle="1" w:styleId="79">
    <w:name w:val="纯文本 字符"/>
    <w:link w:val="29"/>
    <w:autoRedefine/>
    <w:qFormat/>
    <w:uiPriority w:val="0"/>
    <w:rPr>
      <w:rFonts w:ascii="宋体" w:hAnsi="Courier New" w:eastAsia="宋体" w:cs="Courier New"/>
      <w:kern w:val="2"/>
      <w:sz w:val="21"/>
      <w:szCs w:val="21"/>
      <w:lang w:val="en-US" w:eastAsia="zh-CN" w:bidi="ar-SA"/>
    </w:rPr>
  </w:style>
  <w:style w:type="character" w:customStyle="1" w:styleId="80">
    <w:name w:val="Char Char6"/>
    <w:autoRedefine/>
    <w:qFormat/>
    <w:uiPriority w:val="0"/>
    <w:rPr>
      <w:rFonts w:eastAsia="宋体"/>
      <w:kern w:val="2"/>
      <w:sz w:val="18"/>
      <w:szCs w:val="18"/>
      <w:lang w:val="en-US" w:eastAsia="zh-CN" w:bidi="ar-SA"/>
    </w:rPr>
  </w:style>
  <w:style w:type="character" w:customStyle="1" w:styleId="81">
    <w:name w:val="a Char"/>
    <w:link w:val="82"/>
    <w:autoRedefine/>
    <w:qFormat/>
    <w:uiPriority w:val="0"/>
    <w:rPr>
      <w:rFonts w:ascii="宋体" w:hAnsi="宋体" w:eastAsia="仿宋_GB2312"/>
      <w:sz w:val="24"/>
      <w:lang w:val="en-US" w:eastAsia="zh-CN" w:bidi="ar-SA"/>
    </w:rPr>
  </w:style>
  <w:style w:type="paragraph" w:customStyle="1" w:styleId="82">
    <w:name w:val="a"/>
    <w:basedOn w:val="1"/>
    <w:link w:val="81"/>
    <w:autoRedefine/>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83">
    <w:name w:val="纯文本 Char2"/>
    <w:autoRedefine/>
    <w:qFormat/>
    <w:uiPriority w:val="0"/>
    <w:rPr>
      <w:rFonts w:ascii="宋体" w:hAnsi="Courier New" w:eastAsia="宋体"/>
      <w:kern w:val="2"/>
      <w:sz w:val="24"/>
      <w:szCs w:val="24"/>
      <w:lang w:val="en-US" w:eastAsia="zh-CN" w:bidi="ar-SA"/>
    </w:rPr>
  </w:style>
  <w:style w:type="character" w:customStyle="1" w:styleId="84">
    <w:name w:val="页脚 字符"/>
    <w:link w:val="34"/>
    <w:autoRedefine/>
    <w:semiHidden/>
    <w:qFormat/>
    <w:uiPriority w:val="0"/>
    <w:rPr>
      <w:rFonts w:eastAsia="宋体"/>
      <w:kern w:val="2"/>
      <w:sz w:val="18"/>
      <w:szCs w:val="18"/>
      <w:lang w:val="en-US" w:eastAsia="zh-CN" w:bidi="ar-SA"/>
    </w:rPr>
  </w:style>
  <w:style w:type="character" w:customStyle="1" w:styleId="85">
    <w:name w:val="Char Char2"/>
    <w:autoRedefine/>
    <w:qFormat/>
    <w:uiPriority w:val="0"/>
    <w:rPr>
      <w:rFonts w:ascii="宋体" w:hAnsi="Courier New" w:eastAsia="宋体"/>
      <w:sz w:val="21"/>
      <w:lang w:val="en-US" w:eastAsia="zh-CN" w:bidi="ar-SA"/>
    </w:rPr>
  </w:style>
  <w:style w:type="character" w:customStyle="1" w:styleId="86">
    <w:name w:val="标题 2 字符"/>
    <w:link w:val="5"/>
    <w:autoRedefine/>
    <w:qFormat/>
    <w:uiPriority w:val="0"/>
    <w:rPr>
      <w:rFonts w:ascii="Arial" w:hAnsi="Arial" w:eastAsia="黑体"/>
      <w:b/>
      <w:bCs/>
      <w:kern w:val="2"/>
      <w:sz w:val="32"/>
      <w:szCs w:val="32"/>
      <w:lang w:val="en-US" w:eastAsia="zh-CN" w:bidi="ar-SA"/>
    </w:rPr>
  </w:style>
  <w:style w:type="character" w:customStyle="1" w:styleId="87">
    <w:name w:val="正文缩进 字符"/>
    <w:link w:val="7"/>
    <w:autoRedefine/>
    <w:qFormat/>
    <w:uiPriority w:val="0"/>
    <w:rPr>
      <w:rFonts w:eastAsia="宋体"/>
      <w:kern w:val="2"/>
      <w:sz w:val="21"/>
      <w:lang w:val="en-US" w:eastAsia="zh-CN" w:bidi="ar-SA"/>
    </w:rPr>
  </w:style>
  <w:style w:type="character" w:customStyle="1" w:styleId="88">
    <w:name w:val="title14"/>
    <w:basedOn w:val="46"/>
    <w:autoRedefine/>
    <w:qFormat/>
    <w:uiPriority w:val="0"/>
  </w:style>
  <w:style w:type="character" w:customStyle="1" w:styleId="89">
    <w:name w:val="正文缩进 Char2"/>
    <w:autoRedefine/>
    <w:qFormat/>
    <w:uiPriority w:val="0"/>
    <w:rPr>
      <w:rFonts w:ascii="Tahoma" w:hAnsi="Tahoma" w:eastAsia="宋体"/>
      <w:kern w:val="2"/>
      <w:sz w:val="21"/>
      <w:lang w:val="en-US" w:eastAsia="zh-CN" w:bidi="ar-SA"/>
    </w:rPr>
  </w:style>
  <w:style w:type="character" w:customStyle="1" w:styleId="90">
    <w:name w:val="b titlename wangputoptitle"/>
    <w:basedOn w:val="46"/>
    <w:autoRedefine/>
    <w:qFormat/>
    <w:uiPriority w:val="0"/>
  </w:style>
  <w:style w:type="character" w:customStyle="1" w:styleId="91">
    <w:name w:val="Char Char10"/>
    <w:autoRedefine/>
    <w:qFormat/>
    <w:uiPriority w:val="0"/>
    <w:rPr>
      <w:rFonts w:ascii="宋体" w:hAnsi="Courier New" w:eastAsia="宋体"/>
      <w:kern w:val="2"/>
      <w:sz w:val="24"/>
      <w:szCs w:val="24"/>
      <w:lang w:val="en-US" w:eastAsia="zh-CN" w:bidi="ar-SA"/>
    </w:rPr>
  </w:style>
  <w:style w:type="character" w:customStyle="1" w:styleId="92">
    <w:name w:val="maywed421"/>
    <w:autoRedefine/>
    <w:qFormat/>
    <w:uiPriority w:val="0"/>
    <w:rPr>
      <w:color w:val="366FB6"/>
      <w:u w:val="none"/>
    </w:rPr>
  </w:style>
  <w:style w:type="character" w:customStyle="1" w:styleId="93">
    <w:name w:val="style2"/>
    <w:basedOn w:val="46"/>
    <w:autoRedefine/>
    <w:qFormat/>
    <w:uiPriority w:val="0"/>
  </w:style>
  <w:style w:type="character" w:customStyle="1" w:styleId="94">
    <w:name w:val="para"/>
    <w:basedOn w:val="46"/>
    <w:autoRedefine/>
    <w:qFormat/>
    <w:uiPriority w:val="0"/>
  </w:style>
  <w:style w:type="character" w:customStyle="1" w:styleId="95">
    <w:name w:val="标题 3 字符"/>
    <w:link w:val="6"/>
    <w:autoRedefine/>
    <w:qFormat/>
    <w:uiPriority w:val="0"/>
    <w:rPr>
      <w:rFonts w:eastAsia="宋体"/>
      <w:b/>
      <w:sz w:val="32"/>
      <w:lang w:val="en-US" w:eastAsia="zh-CN" w:bidi="ar-SA"/>
    </w:rPr>
  </w:style>
  <w:style w:type="paragraph" w:customStyle="1" w:styleId="9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97">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8">
    <w:name w:val="+正文"/>
    <w:basedOn w:val="1"/>
    <w:autoRedefine/>
    <w:qFormat/>
    <w:uiPriority w:val="0"/>
    <w:pPr>
      <w:spacing w:line="360" w:lineRule="auto"/>
      <w:ind w:firstLine="200" w:firstLineChars="200"/>
    </w:pPr>
    <w:rPr>
      <w:sz w:val="24"/>
      <w:szCs w:val="28"/>
    </w:rPr>
  </w:style>
  <w:style w:type="paragraph" w:customStyle="1" w:styleId="99">
    <w:name w:val="Char Char24 Char Char Char Char"/>
    <w:basedOn w:val="1"/>
    <w:autoRedefine/>
    <w:qFormat/>
    <w:uiPriority w:val="0"/>
    <w:pPr>
      <w:widowControl/>
      <w:spacing w:after="160" w:line="240" w:lineRule="exact"/>
      <w:jc w:val="left"/>
    </w:pPr>
    <w:rPr>
      <w:rFonts w:ascii="仿宋_GB2312" w:eastAsia="仿宋_GB2312"/>
      <w:spacing w:val="20"/>
    </w:rPr>
  </w:style>
  <w:style w:type="paragraph" w:customStyle="1" w:styleId="100">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1">
    <w:name w:val="Table Paragraph"/>
    <w:basedOn w:val="1"/>
    <w:autoRedefine/>
    <w:qFormat/>
    <w:uiPriority w:val="1"/>
    <w:rPr>
      <w:rFonts w:ascii="宋体" w:hAnsi="宋体" w:cs="宋体"/>
      <w:lang w:val="zh-CN" w:bidi="zh-CN"/>
    </w:rPr>
  </w:style>
  <w:style w:type="paragraph" w:customStyle="1" w:styleId="102">
    <w:name w:val="_Style 3"/>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103">
    <w:name w:val="正文段"/>
    <w:basedOn w:val="1"/>
    <w:autoRedefine/>
    <w:qFormat/>
    <w:uiPriority w:val="0"/>
    <w:pPr>
      <w:widowControl/>
      <w:snapToGrid w:val="0"/>
      <w:spacing w:afterLines="50"/>
      <w:ind w:firstLine="200" w:firstLineChars="200"/>
    </w:pPr>
    <w:rPr>
      <w:kern w:val="0"/>
      <w:sz w:val="24"/>
      <w:szCs w:val="20"/>
    </w:rPr>
  </w:style>
  <w:style w:type="paragraph" w:customStyle="1" w:styleId="104">
    <w:name w:val="unnamed5"/>
    <w:basedOn w:val="1"/>
    <w:autoRedefine/>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105">
    <w:name w:val="z-窗体底端1"/>
    <w:basedOn w:val="1"/>
    <w:next w:val="1"/>
    <w:autoRedefine/>
    <w:qFormat/>
    <w:uiPriority w:val="0"/>
    <w:pPr>
      <w:widowControl/>
      <w:pBdr>
        <w:top w:val="single" w:color="auto" w:sz="6" w:space="1"/>
      </w:pBdr>
      <w:jc w:val="center"/>
    </w:pPr>
    <w:rPr>
      <w:rFonts w:ascii="Arial" w:hAnsi="Arial" w:cs="Arial"/>
      <w:vanish/>
      <w:kern w:val="0"/>
      <w:sz w:val="16"/>
      <w:szCs w:val="16"/>
    </w:rPr>
  </w:style>
  <w:style w:type="paragraph" w:customStyle="1" w:styleId="106">
    <w:name w:val="tableheading"/>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07">
    <w:name w:val="Char"/>
    <w:basedOn w:val="1"/>
    <w:autoRedefine/>
    <w:semiHidden/>
    <w:qFormat/>
    <w:uiPriority w:val="0"/>
    <w:pPr>
      <w:widowControl/>
      <w:spacing w:after="160" w:line="240" w:lineRule="exact"/>
      <w:jc w:val="left"/>
    </w:pPr>
    <w:rPr>
      <w:rFonts w:ascii="Verdana" w:hAnsi="Verdana"/>
      <w:kern w:val="0"/>
      <w:sz w:val="20"/>
      <w:szCs w:val="20"/>
      <w:lang w:eastAsia="en-US"/>
    </w:rPr>
  </w:style>
  <w:style w:type="paragraph" w:customStyle="1" w:styleId="108">
    <w:name w:val="Normal Indent1"/>
    <w:basedOn w:val="1"/>
    <w:autoRedefine/>
    <w:qFormat/>
    <w:uiPriority w:val="0"/>
    <w:pPr>
      <w:ind w:firstLine="420"/>
    </w:pPr>
    <w:rPr>
      <w:szCs w:val="20"/>
    </w:rPr>
  </w:style>
  <w:style w:type="paragraph" w:customStyle="1" w:styleId="109">
    <w:name w:val="Char Char Char"/>
    <w:basedOn w:val="16"/>
    <w:autoRedefine/>
    <w:qFormat/>
    <w:uiPriority w:val="0"/>
    <w:rPr>
      <w:rFonts w:ascii="Tahoma" w:hAnsi="Tahoma"/>
      <w:sz w:val="24"/>
    </w:rPr>
  </w:style>
  <w:style w:type="paragraph" w:customStyle="1" w:styleId="110">
    <w:name w:val="Char Char Char Char Char Char Char"/>
    <w:basedOn w:val="1"/>
    <w:autoRedefine/>
    <w:qFormat/>
    <w:uiPriority w:val="0"/>
    <w:pPr>
      <w:tabs>
        <w:tab w:val="left" w:pos="432"/>
      </w:tabs>
      <w:ind w:left="432" w:hanging="432"/>
    </w:pPr>
    <w:rPr>
      <w:rFonts w:ascii="Tahoma" w:hAnsi="Tahoma"/>
      <w:sz w:val="24"/>
      <w:szCs w:val="20"/>
    </w:rPr>
  </w:style>
  <w:style w:type="paragraph" w:customStyle="1" w:styleId="111">
    <w:name w:val="Char Char Char 字元 字元"/>
    <w:basedOn w:val="1"/>
    <w:autoRedefine/>
    <w:qFormat/>
    <w:uiPriority w:val="0"/>
    <w:pPr>
      <w:spacing w:line="360" w:lineRule="auto"/>
      <w:ind w:firstLine="200" w:firstLineChars="200"/>
    </w:pPr>
    <w:rPr>
      <w:rFonts w:ascii="宋体" w:hAnsi="宋体" w:cs="宋体"/>
      <w:sz w:val="24"/>
    </w:rPr>
  </w:style>
  <w:style w:type="paragraph" w:customStyle="1" w:styleId="112">
    <w:name w:val="table_1stline"/>
    <w:basedOn w:val="1"/>
    <w:autoRedefine/>
    <w:qFormat/>
    <w:uiPriority w:val="0"/>
    <w:pPr>
      <w:widowControl/>
      <w:spacing w:before="120"/>
      <w:jc w:val="left"/>
    </w:pPr>
    <w:rPr>
      <w:bCs/>
      <w:kern w:val="0"/>
      <w:sz w:val="20"/>
      <w:szCs w:val="20"/>
      <w:lang w:val="de-DE" w:eastAsia="de-DE"/>
    </w:rPr>
  </w:style>
  <w:style w:type="paragraph" w:customStyle="1" w:styleId="113">
    <w:name w:val="Char1 Char Char Char"/>
    <w:basedOn w:val="1"/>
    <w:autoRedefine/>
    <w:qFormat/>
    <w:uiPriority w:val="0"/>
    <w:rPr>
      <w:rFonts w:ascii="Tahoma" w:hAnsi="Tahoma"/>
      <w:sz w:val="24"/>
      <w:szCs w:val="20"/>
    </w:rPr>
  </w:style>
  <w:style w:type="paragraph" w:customStyle="1" w:styleId="114">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115">
    <w:name w:val="正文2"/>
    <w:basedOn w:val="1"/>
    <w:autoRedefine/>
    <w:qFormat/>
    <w:uiPriority w:val="0"/>
    <w:pPr>
      <w:spacing w:before="156" w:line="360" w:lineRule="auto"/>
      <w:ind w:firstLine="510" w:firstLineChars="200"/>
    </w:pPr>
    <w:rPr>
      <w:sz w:val="24"/>
      <w:szCs w:val="20"/>
    </w:rPr>
  </w:style>
  <w:style w:type="paragraph" w:styleId="116">
    <w:name w:val="Quote"/>
    <w:basedOn w:val="1"/>
    <w:next w:val="1"/>
    <w:autoRedefine/>
    <w:qFormat/>
    <w:uiPriority w:val="99"/>
    <w:pPr>
      <w:spacing w:before="200" w:after="160"/>
      <w:ind w:left="864" w:right="864"/>
      <w:jc w:val="center"/>
    </w:pPr>
    <w:rPr>
      <w:i/>
      <w:iCs/>
      <w:color w:val="404040"/>
    </w:rPr>
  </w:style>
  <w:style w:type="paragraph" w:customStyle="1" w:styleId="117">
    <w:name w:val="Char Char7 Char"/>
    <w:basedOn w:val="1"/>
    <w:autoRedefine/>
    <w:qFormat/>
    <w:uiPriority w:val="0"/>
    <w:pPr>
      <w:tabs>
        <w:tab w:val="left" w:pos="425"/>
      </w:tabs>
      <w:ind w:left="420" w:leftChars="200" w:firstLine="270" w:firstLineChars="150"/>
    </w:pPr>
    <w:rPr>
      <w:sz w:val="21"/>
    </w:rPr>
  </w:style>
  <w:style w:type="paragraph" w:customStyle="1" w:styleId="118">
    <w:name w:val="tabletext"/>
    <w:basedOn w:val="1"/>
    <w:autoRedefine/>
    <w:qFormat/>
    <w:uiPriority w:val="0"/>
    <w:pPr>
      <w:widowControl/>
      <w:spacing w:before="100" w:beforeAutospacing="1" w:after="100" w:afterAutospacing="1"/>
      <w:jc w:val="left"/>
    </w:pPr>
    <w:rPr>
      <w:rFonts w:ascii="宋体" w:hAnsi="宋体"/>
      <w:kern w:val="0"/>
      <w:sz w:val="24"/>
    </w:rPr>
  </w:style>
  <w:style w:type="paragraph" w:customStyle="1" w:styleId="119">
    <w:name w:val="paragraph1"/>
    <w:basedOn w:val="1"/>
    <w:autoRedefine/>
    <w:qFormat/>
    <w:uiPriority w:val="0"/>
    <w:pPr>
      <w:spacing w:afterLines="30" w:line="360" w:lineRule="auto"/>
      <w:ind w:firstLine="420" w:firstLineChars="200"/>
    </w:pPr>
    <w:rPr>
      <w:rFonts w:eastAsia="楷体_GB2312"/>
      <w:sz w:val="24"/>
      <w:szCs w:val="20"/>
    </w:rPr>
  </w:style>
  <w:style w:type="paragraph" w:customStyle="1" w:styleId="120">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21">
    <w:name w:val="table_lines"/>
    <w:basedOn w:val="1"/>
    <w:autoRedefine/>
    <w:qFormat/>
    <w:uiPriority w:val="0"/>
    <w:pPr>
      <w:widowControl/>
      <w:jc w:val="left"/>
    </w:pPr>
    <w:rPr>
      <w:kern w:val="0"/>
      <w:sz w:val="20"/>
      <w:szCs w:val="20"/>
      <w:lang w:val="de-DE" w:eastAsia="de-DE"/>
    </w:rPr>
  </w:style>
  <w:style w:type="paragraph" w:customStyle="1" w:styleId="122">
    <w:name w:val="Plain Text1"/>
    <w:basedOn w:val="1"/>
    <w:autoRedefine/>
    <w:qFormat/>
    <w:uiPriority w:val="0"/>
    <w:pPr>
      <w:spacing w:beforeLines="50" w:afterLines="50" w:line="400" w:lineRule="exact"/>
    </w:pPr>
    <w:rPr>
      <w:rFonts w:ascii="宋体" w:hAnsi="Courier New"/>
      <w:sz w:val="24"/>
    </w:rPr>
  </w:style>
  <w:style w:type="paragraph" w:customStyle="1" w:styleId="123">
    <w:name w:val="_Style 9"/>
    <w:basedOn w:val="1"/>
    <w:autoRedefine/>
    <w:qFormat/>
    <w:uiPriority w:val="0"/>
  </w:style>
  <w:style w:type="paragraph" w:customStyle="1" w:styleId="124">
    <w:name w:val="Char Char Char Char Char Char Char1"/>
    <w:basedOn w:val="1"/>
    <w:autoRedefine/>
    <w:qFormat/>
    <w:uiPriority w:val="0"/>
    <w:pPr>
      <w:tabs>
        <w:tab w:val="left" w:pos="432"/>
      </w:tabs>
      <w:ind w:left="432" w:hanging="432"/>
    </w:pPr>
    <w:rPr>
      <w:rFonts w:ascii="Tahoma" w:hAnsi="Tahoma"/>
      <w:sz w:val="24"/>
      <w:szCs w:val="20"/>
    </w:rPr>
  </w:style>
  <w:style w:type="paragraph" w:customStyle="1" w:styleId="125">
    <w:name w:val="列表编号 3 New"/>
    <w:basedOn w:val="1"/>
    <w:autoRedefine/>
    <w:qFormat/>
    <w:uiPriority w:val="0"/>
    <w:pPr>
      <w:widowControl/>
      <w:tabs>
        <w:tab w:val="left" w:pos="482"/>
      </w:tabs>
      <w:spacing w:afterLines="50"/>
      <w:ind w:left="432" w:hanging="432"/>
      <w:jc w:val="left"/>
    </w:pPr>
    <w:rPr>
      <w:kern w:val="0"/>
      <w:sz w:val="24"/>
      <w:szCs w:val="20"/>
    </w:rPr>
  </w:style>
  <w:style w:type="paragraph" w:styleId="126">
    <w:name w:val="List Paragraph"/>
    <w:basedOn w:val="1"/>
    <w:autoRedefine/>
    <w:qFormat/>
    <w:uiPriority w:val="0"/>
    <w:pPr>
      <w:ind w:firstLine="420" w:firstLineChars="200"/>
    </w:pPr>
    <w:rPr>
      <w:rFonts w:ascii="Calibri" w:hAnsi="Calibri"/>
      <w:sz w:val="21"/>
      <w:szCs w:val="22"/>
    </w:rPr>
  </w:style>
  <w:style w:type="paragraph" w:customStyle="1" w:styleId="127">
    <w:name w:val="样式 表格正文 + 两端对齐"/>
    <w:basedOn w:val="1"/>
    <w:autoRedefine/>
    <w:qFormat/>
    <w:uiPriority w:val="0"/>
    <w:pPr>
      <w:spacing w:line="300" w:lineRule="auto"/>
    </w:pPr>
    <w:rPr>
      <w:sz w:val="24"/>
      <w:szCs w:val="20"/>
    </w:rPr>
  </w:style>
  <w:style w:type="paragraph" w:customStyle="1" w:styleId="128">
    <w:name w:val="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29">
    <w:name w:val="默认段落字体 Para Char Char Char Char Char Char Char Char Char1 Char Char Char Char"/>
    <w:basedOn w:val="1"/>
    <w:autoRedefine/>
    <w:qFormat/>
    <w:uiPriority w:val="0"/>
    <w:rPr>
      <w:rFonts w:ascii="Tahoma" w:hAnsi="Tahoma"/>
      <w:sz w:val="24"/>
      <w:szCs w:val="20"/>
    </w:rPr>
  </w:style>
  <w:style w:type="paragraph" w:customStyle="1" w:styleId="130">
    <w:name w:val="首行缩进"/>
    <w:basedOn w:val="1"/>
    <w:autoRedefine/>
    <w:qFormat/>
    <w:uiPriority w:val="0"/>
    <w:pPr>
      <w:ind w:firstLine="480" w:firstLineChars="200"/>
    </w:pPr>
    <w:rPr>
      <w:lang w:val="zh-CN"/>
    </w:rPr>
  </w:style>
  <w:style w:type="paragraph" w:customStyle="1" w:styleId="131">
    <w:name w:val="Char1"/>
    <w:basedOn w:val="1"/>
    <w:autoRedefine/>
    <w:qFormat/>
    <w:uiPriority w:val="0"/>
    <w:rPr>
      <w:rFonts w:ascii="仿宋_GB2312" w:eastAsia="仿宋_GB2312"/>
      <w:b/>
      <w:sz w:val="32"/>
      <w:szCs w:val="32"/>
    </w:rPr>
  </w:style>
  <w:style w:type="paragraph" w:customStyle="1" w:styleId="132">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33">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134">
    <w:name w:val="文档正文"/>
    <w:basedOn w:val="1"/>
    <w:autoRedefine/>
    <w:qFormat/>
    <w:uiPriority w:val="0"/>
    <w:pPr>
      <w:adjustRightInd w:val="0"/>
      <w:spacing w:line="312" w:lineRule="atLeast"/>
      <w:ind w:firstLine="567"/>
      <w:textAlignment w:val="baseline"/>
    </w:pPr>
    <w:rPr>
      <w:rFonts w:ascii="长城仿宋" w:eastAsia="长城仿宋"/>
      <w:kern w:val="0"/>
      <w:szCs w:val="20"/>
    </w:rPr>
  </w:style>
  <w:style w:type="paragraph" w:customStyle="1" w:styleId="135">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character" w:customStyle="1" w:styleId="136">
    <w:name w:val="font41"/>
    <w:basedOn w:val="46"/>
    <w:autoRedefine/>
    <w:qFormat/>
    <w:uiPriority w:val="0"/>
    <w:rPr>
      <w:rFonts w:hint="eastAsia" w:ascii="等线" w:hAnsi="等线" w:eastAsia="等线" w:cs="等线"/>
      <w:color w:val="000000"/>
      <w:sz w:val="20"/>
      <w:szCs w:val="20"/>
      <w:u w:val="none"/>
    </w:rPr>
  </w:style>
  <w:style w:type="character" w:customStyle="1" w:styleId="137">
    <w:name w:val="font31"/>
    <w:basedOn w:val="46"/>
    <w:autoRedefine/>
    <w:qFormat/>
    <w:uiPriority w:val="0"/>
    <w:rPr>
      <w:rFonts w:hint="eastAsia" w:ascii="等线" w:hAnsi="等线" w:eastAsia="等线" w:cs="等线"/>
      <w:b/>
      <w:color w:val="000000"/>
      <w:sz w:val="20"/>
      <w:szCs w:val="20"/>
      <w:u w:val="none"/>
    </w:rPr>
  </w:style>
  <w:style w:type="character" w:customStyle="1" w:styleId="138">
    <w:name w:val="font21"/>
    <w:basedOn w:val="46"/>
    <w:autoRedefine/>
    <w:qFormat/>
    <w:uiPriority w:val="0"/>
    <w:rPr>
      <w:rFonts w:hint="eastAsia" w:ascii="等线" w:hAnsi="等线" w:eastAsia="等线" w:cs="等线"/>
      <w:color w:val="000000"/>
      <w:sz w:val="20"/>
      <w:szCs w:val="20"/>
      <w:u w:val="none"/>
    </w:rPr>
  </w:style>
  <w:style w:type="character" w:customStyle="1" w:styleId="139">
    <w:name w:val="font01"/>
    <w:basedOn w:val="46"/>
    <w:autoRedefine/>
    <w:qFormat/>
    <w:uiPriority w:val="0"/>
    <w:rPr>
      <w:rFonts w:hint="eastAsia" w:ascii="等线" w:hAnsi="等线" w:eastAsia="等线" w:cs="等线"/>
      <w:b/>
      <w:color w:val="000000"/>
      <w:sz w:val="20"/>
      <w:szCs w:val="20"/>
      <w:u w:val="none"/>
    </w:rPr>
  </w:style>
  <w:style w:type="character" w:customStyle="1" w:styleId="140">
    <w:name w:val="font11"/>
    <w:basedOn w:val="46"/>
    <w:autoRedefine/>
    <w:qFormat/>
    <w:uiPriority w:val="0"/>
    <w:rPr>
      <w:rFonts w:hint="eastAsia" w:ascii="宋体" w:hAnsi="宋体" w:eastAsia="宋体" w:cs="宋体"/>
      <w:b/>
      <w:color w:val="000000"/>
      <w:sz w:val="20"/>
      <w:szCs w:val="20"/>
      <w:u w:val="none"/>
    </w:rPr>
  </w:style>
  <w:style w:type="paragraph" w:customStyle="1" w:styleId="141">
    <w:name w:val="Title1"/>
    <w:basedOn w:val="4"/>
    <w:next w:val="142"/>
    <w:autoRedefine/>
    <w:qFormat/>
    <w:uiPriority w:val="0"/>
    <w:pPr>
      <w:spacing w:before="240" w:after="240" w:line="360" w:lineRule="auto"/>
      <w:ind w:left="629" w:hanging="629"/>
    </w:pPr>
    <w:rPr>
      <w:sz w:val="36"/>
    </w:rPr>
  </w:style>
  <w:style w:type="paragraph" w:customStyle="1" w:styleId="142">
    <w:name w:val="Title2"/>
    <w:basedOn w:val="5"/>
    <w:next w:val="29"/>
    <w:autoRedefine/>
    <w:qFormat/>
    <w:uiPriority w:val="0"/>
    <w:pPr>
      <w:spacing w:before="200" w:after="200" w:line="360" w:lineRule="auto"/>
      <w:ind w:left="629" w:hanging="629"/>
      <w:jc w:val="left"/>
    </w:pPr>
    <w:rPr>
      <w:rFonts w:ascii="Times New Roman" w:hAnsi="Times New Roman" w:eastAsia="宋体"/>
    </w:rPr>
  </w:style>
  <w:style w:type="paragraph" w:customStyle="1" w:styleId="143">
    <w:name w:val="p0"/>
    <w:basedOn w:val="1"/>
    <w:autoRedefine/>
    <w:qFormat/>
    <w:uiPriority w:val="0"/>
    <w:pPr>
      <w:widowControl/>
    </w:pPr>
    <w:rPr>
      <w:kern w:val="0"/>
      <w:szCs w:val="20"/>
    </w:rPr>
  </w:style>
  <w:style w:type="paragraph" w:customStyle="1" w:styleId="144">
    <w:name w:val="彩色列表 - 着色 12"/>
    <w:basedOn w:val="1"/>
    <w:autoRedefine/>
    <w:qFormat/>
    <w:uiPriority w:val="34"/>
    <w:pPr>
      <w:ind w:firstLine="420" w:firstLineChars="200"/>
    </w:pPr>
  </w:style>
  <w:style w:type="character" w:customStyle="1" w:styleId="145">
    <w:name w:val="map_taglist"/>
    <w:basedOn w:val="46"/>
    <w:autoRedefine/>
    <w:qFormat/>
    <w:uiPriority w:val="0"/>
    <w:rPr>
      <w:color w:val="666666"/>
    </w:rPr>
  </w:style>
  <w:style w:type="character" w:customStyle="1" w:styleId="146">
    <w:name w:val="ts_tip_2"/>
    <w:basedOn w:val="46"/>
    <w:autoRedefine/>
    <w:qFormat/>
    <w:uiPriority w:val="0"/>
    <w:rPr>
      <w:color w:val="E43023"/>
    </w:rPr>
  </w:style>
  <w:style w:type="character" w:customStyle="1" w:styleId="147">
    <w:name w:val="bus_type_tip"/>
    <w:basedOn w:val="46"/>
    <w:autoRedefine/>
    <w:qFormat/>
    <w:uiPriority w:val="0"/>
    <w:rPr>
      <w:color w:val="FFFFFF"/>
      <w:sz w:val="18"/>
      <w:szCs w:val="18"/>
    </w:rPr>
  </w:style>
  <w:style w:type="character" w:customStyle="1" w:styleId="148">
    <w:name w:val="bus_type_4"/>
    <w:basedOn w:val="46"/>
    <w:autoRedefine/>
    <w:qFormat/>
    <w:uiPriority w:val="0"/>
    <w:rPr>
      <w:shd w:val="clear" w:color="auto" w:fill="333F89"/>
    </w:rPr>
  </w:style>
  <w:style w:type="character" w:customStyle="1" w:styleId="149">
    <w:name w:val="active1"/>
    <w:basedOn w:val="46"/>
    <w:autoRedefine/>
    <w:qFormat/>
    <w:uiPriority w:val="0"/>
    <w:rPr>
      <w:shd w:val="clear" w:color="auto" w:fill="3385FF"/>
    </w:rPr>
  </w:style>
  <w:style w:type="character" w:customStyle="1" w:styleId="150">
    <w:name w:val="active2"/>
    <w:basedOn w:val="46"/>
    <w:autoRedefine/>
    <w:qFormat/>
    <w:uiPriority w:val="0"/>
    <w:rPr>
      <w:shd w:val="clear" w:color="auto" w:fill="3385FF"/>
    </w:rPr>
  </w:style>
  <w:style w:type="character" w:customStyle="1" w:styleId="151">
    <w:name w:val="linebg_on"/>
    <w:basedOn w:val="46"/>
    <w:autoRedefine/>
    <w:qFormat/>
    <w:uiPriority w:val="0"/>
  </w:style>
  <w:style w:type="character" w:customStyle="1" w:styleId="152">
    <w:name w:val="linebg_on1"/>
    <w:basedOn w:val="46"/>
    <w:autoRedefine/>
    <w:qFormat/>
    <w:uiPriority w:val="0"/>
  </w:style>
  <w:style w:type="character" w:customStyle="1" w:styleId="153">
    <w:name w:val="bs_tm"/>
    <w:basedOn w:val="46"/>
    <w:autoRedefine/>
    <w:qFormat/>
    <w:uiPriority w:val="0"/>
  </w:style>
  <w:style w:type="character" w:customStyle="1" w:styleId="154">
    <w:name w:val="bs_tm1"/>
    <w:basedOn w:val="46"/>
    <w:autoRedefine/>
    <w:qFormat/>
    <w:uiPriority w:val="0"/>
  </w:style>
  <w:style w:type="character" w:customStyle="1" w:styleId="155">
    <w:name w:val="input_span11"/>
    <w:basedOn w:val="46"/>
    <w:autoRedefine/>
    <w:qFormat/>
    <w:uiPriority w:val="0"/>
  </w:style>
  <w:style w:type="character" w:customStyle="1" w:styleId="156">
    <w:name w:val="bus_type_0"/>
    <w:basedOn w:val="46"/>
    <w:autoRedefine/>
    <w:qFormat/>
    <w:uiPriority w:val="0"/>
    <w:rPr>
      <w:shd w:val="clear" w:color="auto" w:fill="FF8853"/>
    </w:rPr>
  </w:style>
  <w:style w:type="character" w:customStyle="1" w:styleId="157">
    <w:name w:val="bs_clc"/>
    <w:basedOn w:val="46"/>
    <w:autoRedefine/>
    <w:qFormat/>
    <w:uiPriority w:val="0"/>
  </w:style>
  <w:style w:type="character" w:customStyle="1" w:styleId="158">
    <w:name w:val="bus_type_3"/>
    <w:basedOn w:val="46"/>
    <w:autoRedefine/>
    <w:qFormat/>
    <w:uiPriority w:val="0"/>
    <w:rPr>
      <w:shd w:val="clear" w:color="auto" w:fill="43CC8D"/>
    </w:rPr>
  </w:style>
  <w:style w:type="character" w:customStyle="1" w:styleId="159">
    <w:name w:val="bus_type_2"/>
    <w:basedOn w:val="46"/>
    <w:autoRedefine/>
    <w:qFormat/>
    <w:uiPriority w:val="0"/>
    <w:rPr>
      <w:shd w:val="clear" w:color="auto" w:fill="FF4141"/>
    </w:rPr>
  </w:style>
  <w:style w:type="character" w:customStyle="1" w:styleId="160">
    <w:name w:val="hover42"/>
    <w:basedOn w:val="46"/>
    <w:autoRedefine/>
    <w:qFormat/>
    <w:uiPriority w:val="0"/>
    <w:rPr>
      <w:bdr w:val="single" w:color="999999" w:sz="6" w:space="0"/>
    </w:rPr>
  </w:style>
  <w:style w:type="character" w:customStyle="1" w:styleId="161">
    <w:name w:val="linebg"/>
    <w:basedOn w:val="46"/>
    <w:autoRedefine/>
    <w:qFormat/>
    <w:uiPriority w:val="0"/>
  </w:style>
  <w:style w:type="character" w:customStyle="1" w:styleId="162">
    <w:name w:val="linebg1"/>
    <w:basedOn w:val="46"/>
    <w:autoRedefine/>
    <w:qFormat/>
    <w:uiPriority w:val="0"/>
  </w:style>
  <w:style w:type="character" w:customStyle="1" w:styleId="163">
    <w:name w:val="time_dis"/>
    <w:basedOn w:val="46"/>
    <w:autoRedefine/>
    <w:qFormat/>
    <w:uiPriority w:val="0"/>
  </w:style>
  <w:style w:type="character" w:customStyle="1" w:styleId="164">
    <w:name w:val="bs_cal"/>
    <w:basedOn w:val="46"/>
    <w:autoRedefine/>
    <w:qFormat/>
    <w:uiPriority w:val="0"/>
  </w:style>
  <w:style w:type="character" w:customStyle="1" w:styleId="165">
    <w:name w:val="ts_tip_1"/>
    <w:basedOn w:val="46"/>
    <w:autoRedefine/>
    <w:qFormat/>
    <w:uiPriority w:val="0"/>
    <w:rPr>
      <w:color w:val="468B02"/>
    </w:rPr>
  </w:style>
  <w:style w:type="paragraph" w:customStyle="1" w:styleId="166">
    <w:name w:val="样式 样式 样式 标题 2 + 两端对齐 段前: 18 磅 + 首行缩进:  2 字符 + 首行缩进:  2 字符 段后: 0..."/>
    <w:basedOn w:val="1"/>
    <w:autoRedefine/>
    <w:qFormat/>
    <w:uiPriority w:val="99"/>
    <w:pPr>
      <w:spacing w:afterLines="50" w:line="360" w:lineRule="auto"/>
    </w:pPr>
    <w:rPr>
      <w:rFonts w:cs="宋体"/>
      <w:b/>
      <w:bCs/>
      <w:sz w:val="24"/>
      <w:szCs w:val="20"/>
    </w:rPr>
  </w:style>
  <w:style w:type="paragraph" w:customStyle="1" w:styleId="167">
    <w:name w:val="表格文字"/>
    <w:basedOn w:val="1"/>
    <w:next w:val="20"/>
    <w:autoRedefine/>
    <w:qFormat/>
    <w:uiPriority w:val="0"/>
    <w:pPr>
      <w:adjustRightInd w:val="0"/>
      <w:spacing w:line="420" w:lineRule="atLeast"/>
      <w:jc w:val="left"/>
      <w:textAlignment w:val="baseline"/>
    </w:pPr>
    <w:rPr>
      <w:kern w:val="0"/>
    </w:rPr>
  </w:style>
  <w:style w:type="paragraph" w:customStyle="1" w:styleId="168">
    <w:name w:val="样式 列表编号 + 段后: 0.5 行"/>
    <w:basedOn w:val="14"/>
    <w:autoRedefine/>
    <w:qFormat/>
    <w:uiPriority w:val="0"/>
    <w:pPr>
      <w:tabs>
        <w:tab w:val="left" w:pos="360"/>
      </w:tabs>
      <w:ind w:left="360" w:hanging="360"/>
    </w:pPr>
  </w:style>
  <w:style w:type="character" w:customStyle="1" w:styleId="169">
    <w:name w:val="标题 4 字符"/>
    <w:basedOn w:val="46"/>
    <w:link w:val="8"/>
    <w:autoRedefine/>
    <w:qFormat/>
    <w:uiPriority w:val="0"/>
    <w:rPr>
      <w:rFonts w:ascii="Arial" w:hAnsi="Arial" w:eastAsia="黑体"/>
      <w:sz w:val="28"/>
    </w:rPr>
  </w:style>
  <w:style w:type="paragraph" w:customStyle="1" w:styleId="170">
    <w:name w:val="Table Text"/>
    <w:basedOn w:val="1"/>
    <w:autoRedefine/>
    <w:semiHidden/>
    <w:qFormat/>
    <w:uiPriority w:val="0"/>
    <w:rPr>
      <w:rFonts w:ascii="Arial" w:hAnsi="Arial" w:eastAsia="Arial" w:cs="Arial"/>
      <w:sz w:val="21"/>
      <w:szCs w:val="21"/>
      <w:lang w:val="en-US" w:eastAsia="en-US" w:bidi="ar-SA"/>
    </w:rPr>
  </w:style>
  <w:style w:type="table" w:customStyle="1" w:styleId="171">
    <w:name w:val="Table Normal"/>
    <w:autoRedefine/>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E603F1-D8C3-45B0-ABD0-5E9AD17CB72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81</Pages>
  <Words>36519</Words>
  <Characters>38335</Characters>
  <Lines>314</Lines>
  <Paragraphs>88</Paragraphs>
  <TotalTime>15</TotalTime>
  <ScaleCrop>false</ScaleCrop>
  <LinksUpToDate>false</LinksUpToDate>
  <CharactersWithSpaces>39293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2022-04-06T01:38:00Z</dcterms:created>
  <dc:creator>xueyong</dc:creator>
  <cp:lastModifiedBy>PC</cp:lastModifiedBy>
  <cp:lastPrinted>2020-05-12T03:21:00Z</cp:lastPrinted>
  <dcterms:modified xsi:type="dcterms:W3CDTF">2024-04-25T13:19:04Z</dcterms:modified>
  <dc:title>目         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A4FE5A07F4724342BDFA354D678CEB3C_13</vt:lpwstr>
  </property>
</Properties>
</file>