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366CA">
      <w:pPr>
        <w:tabs>
          <w:tab w:val="left" w:pos="1276"/>
        </w:tabs>
        <w:spacing w:line="1000" w:lineRule="exact"/>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rPr>
        <w:tab/>
      </w:r>
      <w:r>
        <w:rPr>
          <w:rFonts w:hint="eastAsia" w:ascii="宋体" w:hAnsi="宋体" w:cs="宋体"/>
          <w:b/>
          <w:color w:val="auto"/>
          <w:sz w:val="48"/>
          <w:szCs w:val="48"/>
          <w:highlight w:val="none"/>
          <w:lang w:eastAsia="zh-CN"/>
        </w:rPr>
        <w:t>2025年第六届浙江省户外运动大会赛事服务项目（二次）</w:t>
      </w:r>
    </w:p>
    <w:p w14:paraId="3856BA63">
      <w:pPr>
        <w:tabs>
          <w:tab w:val="left" w:pos="1276"/>
        </w:tabs>
        <w:spacing w:line="1000" w:lineRule="exact"/>
        <w:jc w:val="center"/>
        <w:rPr>
          <w:rFonts w:hint="eastAsia" w:ascii="宋体" w:hAnsi="宋体" w:cs="宋体"/>
          <w:b/>
          <w:color w:val="auto"/>
          <w:sz w:val="52"/>
          <w:szCs w:val="52"/>
          <w:highlight w:val="none"/>
        </w:rPr>
      </w:pPr>
    </w:p>
    <w:p w14:paraId="07EDCCE5">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14:paraId="11B7EF76">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14:paraId="67B01CD2">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14:paraId="00388332">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磋</w:t>
      </w:r>
    </w:p>
    <w:p w14:paraId="358B5A1E">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商</w:t>
      </w:r>
    </w:p>
    <w:p w14:paraId="213053F4">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14:paraId="1D7E852D">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件</w:t>
      </w:r>
    </w:p>
    <w:p w14:paraId="52F0A843">
      <w:pPr>
        <w:spacing w:line="360" w:lineRule="exact"/>
        <w:rPr>
          <w:rFonts w:hint="eastAsia" w:ascii="宋体" w:hAnsi="宋体" w:cs="宋体"/>
          <w:color w:val="auto"/>
          <w:szCs w:val="21"/>
          <w:highlight w:val="none"/>
        </w:rPr>
      </w:pPr>
    </w:p>
    <w:p w14:paraId="78061DB2">
      <w:pPr>
        <w:keepNext/>
        <w:keepLines/>
        <w:spacing w:line="579" w:lineRule="auto"/>
        <w:rPr>
          <w:rFonts w:hint="eastAsia" w:ascii="宋体" w:hAnsi="宋体" w:cs="宋体"/>
          <w:color w:val="auto"/>
          <w:szCs w:val="21"/>
          <w:highlight w:val="none"/>
        </w:rPr>
      </w:pPr>
    </w:p>
    <w:p w14:paraId="04D57B32">
      <w:pPr>
        <w:spacing w:line="520" w:lineRule="exact"/>
        <w:ind w:firstLine="1960" w:firstLine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AJKB-CS2025-023B</w:t>
      </w:r>
    </w:p>
    <w:p w14:paraId="11B53B87">
      <w:pPr>
        <w:spacing w:line="520" w:lineRule="exact"/>
        <w:ind w:firstLine="1960" w:firstLineChars="700"/>
        <w:rPr>
          <w:rFonts w:hint="eastAsia" w:ascii="宋体" w:hAnsi="宋体" w:eastAsia="宋体" w:cs="宋体"/>
          <w:color w:val="auto"/>
          <w:sz w:val="28"/>
          <w:szCs w:val="28"/>
          <w:highlight w:val="none"/>
          <w:lang w:eastAsia="zh-CN"/>
        </w:rPr>
      </w:pPr>
      <w:r>
        <w:rPr>
          <w:rFonts w:hint="eastAsia" w:ascii="宋体" w:hAnsi="宋体" w:cs="宋体"/>
          <w:bCs/>
          <w:color w:val="auto"/>
          <w:sz w:val="28"/>
          <w:szCs w:val="28"/>
          <w:highlight w:val="none"/>
        </w:rPr>
        <w:t>采购</w:t>
      </w:r>
      <w:r>
        <w:rPr>
          <w:rFonts w:hint="eastAsia" w:ascii="宋体" w:hAnsi="宋体" w:cs="宋体"/>
          <w:color w:val="auto"/>
          <w:sz w:val="28"/>
          <w:szCs w:val="28"/>
          <w:highlight w:val="none"/>
        </w:rPr>
        <w:t>单位：</w:t>
      </w:r>
      <w:r>
        <w:rPr>
          <w:rFonts w:hint="eastAsia" w:ascii="宋体" w:hAnsi="宋体" w:cs="宋体"/>
          <w:color w:val="auto"/>
          <w:sz w:val="28"/>
          <w:szCs w:val="28"/>
          <w:highlight w:val="none"/>
          <w:lang w:eastAsia="zh-CN"/>
        </w:rPr>
        <w:t>安吉县文化和广电旅游体育局</w:t>
      </w:r>
    </w:p>
    <w:p w14:paraId="011C6D09">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采购代理机构：安吉口碑采购代理服务有限公司</w:t>
      </w:r>
    </w:p>
    <w:p w14:paraId="61DCEEED">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日期：2025年</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月</w:t>
      </w:r>
    </w:p>
    <w:p w14:paraId="042AA6D2">
      <w:pPr>
        <w:spacing w:line="360" w:lineRule="exact"/>
        <w:rPr>
          <w:rFonts w:hint="eastAsia" w:ascii="宋体" w:hAnsi="宋体" w:cs="宋体"/>
          <w:color w:val="auto"/>
          <w:szCs w:val="21"/>
          <w:highlight w:val="none"/>
        </w:rPr>
      </w:pPr>
    </w:p>
    <w:p w14:paraId="0F08F59D">
      <w:pPr>
        <w:spacing w:line="360" w:lineRule="exact"/>
        <w:rPr>
          <w:rFonts w:hint="eastAsia" w:ascii="宋体" w:hAnsi="宋体" w:cs="宋体"/>
          <w:color w:val="auto"/>
          <w:szCs w:val="21"/>
          <w:highlight w:val="none"/>
        </w:rPr>
        <w:sectPr>
          <w:headerReference r:id="rId3" w:type="default"/>
          <w:footerReference r:id="rId4" w:type="default"/>
          <w:pgSz w:w="11906" w:h="16838"/>
          <w:pgMar w:top="1134" w:right="1134" w:bottom="1134" w:left="1134" w:header="567" w:footer="567" w:gutter="0"/>
          <w:pgNumType w:start="1"/>
          <w:cols w:space="720" w:num="1"/>
          <w:docGrid w:type="lines" w:linePitch="312" w:charSpace="0"/>
        </w:sectPr>
      </w:pPr>
    </w:p>
    <w:p w14:paraId="2B5A2AC1">
      <w:pPr>
        <w:spacing w:line="360" w:lineRule="exact"/>
        <w:rPr>
          <w:rFonts w:hint="eastAsia" w:ascii="宋体" w:hAnsi="宋体" w:cs="宋体"/>
          <w:color w:val="auto"/>
          <w:szCs w:val="21"/>
          <w:highlight w:val="none"/>
        </w:rPr>
      </w:pPr>
    </w:p>
    <w:p w14:paraId="5007B650">
      <w:pPr>
        <w:spacing w:line="360" w:lineRule="auto"/>
        <w:jc w:val="center"/>
        <w:rPr>
          <w:rFonts w:hint="eastAsia" w:ascii="宋体" w:hAnsi="宋体" w:cs="宋体"/>
          <w:b/>
          <w:color w:val="auto"/>
          <w:szCs w:val="21"/>
          <w:highlight w:val="none"/>
        </w:rPr>
      </w:pPr>
      <w:r>
        <w:rPr>
          <w:rFonts w:hint="eastAsia" w:ascii="宋体" w:hAnsi="宋体" w:cs="宋体"/>
          <w:b/>
          <w:color w:val="auto"/>
          <w:sz w:val="32"/>
          <w:szCs w:val="32"/>
          <w:highlight w:val="none"/>
        </w:rPr>
        <w:t>目   录</w:t>
      </w:r>
    </w:p>
    <w:p w14:paraId="5D885A55">
      <w:pPr>
        <w:pStyle w:val="22"/>
        <w:spacing w:line="480" w:lineRule="auto"/>
        <w:jc w:val="center"/>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TOC \o "1-3" \h \z \u </w:instrText>
      </w:r>
      <w:r>
        <w:rPr>
          <w:rFonts w:hint="eastAsia"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"_Toc34746014" </w:instrText>
      </w:r>
      <w:r>
        <w:rPr>
          <w:color w:val="auto"/>
          <w:highlight w:val="none"/>
        </w:rPr>
        <w:fldChar w:fldCharType="separate"/>
      </w:r>
      <w:r>
        <w:rPr>
          <w:rStyle w:val="37"/>
          <w:rFonts w:hint="eastAsia" w:cs="宋体"/>
          <w:color w:val="auto"/>
          <w:sz w:val="28"/>
          <w:szCs w:val="28"/>
          <w:highlight w:val="none"/>
        </w:rPr>
        <w:t>第一章  竞争性磋商公告</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_Toc34746014 \h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0A1CCF18">
      <w:pPr>
        <w:pStyle w:val="22"/>
        <w:spacing w:line="480" w:lineRule="auto"/>
        <w:jc w:val="center"/>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"_Toc34746015" </w:instrText>
      </w:r>
      <w:r>
        <w:rPr>
          <w:color w:val="auto"/>
          <w:highlight w:val="none"/>
        </w:rPr>
        <w:fldChar w:fldCharType="separate"/>
      </w:r>
      <w:r>
        <w:rPr>
          <w:rStyle w:val="37"/>
          <w:rFonts w:hint="eastAsia" w:cs="宋体"/>
          <w:color w:val="auto"/>
          <w:sz w:val="28"/>
          <w:szCs w:val="28"/>
          <w:highlight w:val="none"/>
        </w:rPr>
        <w:t>第二章  供应商须知</w:t>
      </w:r>
      <w:r>
        <w:rPr>
          <w:rFonts w:hint="eastAsia" w:cs="宋体"/>
          <w:color w:val="auto"/>
          <w:sz w:val="28"/>
          <w:szCs w:val="28"/>
          <w:highlight w:val="none"/>
        </w:rPr>
        <w:tab/>
      </w:r>
      <w:r>
        <w:rPr>
          <w:rFonts w:hint="eastAsia" w:cs="宋体"/>
          <w:color w:val="auto"/>
          <w:sz w:val="28"/>
          <w:szCs w:val="28"/>
          <w:highlight w:val="none"/>
          <w:lang w:val="en-US" w:eastAsia="zh-CN"/>
        </w:rPr>
        <w:t>4</w:t>
      </w:r>
      <w:r>
        <w:rPr>
          <w:rFonts w:hint="eastAsia" w:cs="宋体"/>
          <w:color w:val="auto"/>
          <w:sz w:val="28"/>
          <w:szCs w:val="28"/>
          <w:highlight w:val="none"/>
        </w:rPr>
        <w:fldChar w:fldCharType="end"/>
      </w:r>
    </w:p>
    <w:p w14:paraId="523133A9">
      <w:pPr>
        <w:pStyle w:val="22"/>
        <w:spacing w:line="480" w:lineRule="auto"/>
        <w:jc w:val="center"/>
        <w:rPr>
          <w:rFonts w:hint="eastAsia"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"_Toc34746016" </w:instrText>
      </w:r>
      <w:r>
        <w:rPr>
          <w:color w:val="auto"/>
          <w:highlight w:val="none"/>
        </w:rPr>
        <w:fldChar w:fldCharType="separate"/>
      </w:r>
      <w:r>
        <w:rPr>
          <w:rStyle w:val="37"/>
          <w:rFonts w:hint="eastAsia" w:cs="宋体"/>
          <w:color w:val="auto"/>
          <w:sz w:val="28"/>
          <w:szCs w:val="28"/>
          <w:highlight w:val="none"/>
        </w:rPr>
        <w:t>第三章  磋商项目服务内容及要求</w:t>
      </w:r>
      <w:r>
        <w:rPr>
          <w:rFonts w:hint="eastAsia" w:cs="宋体"/>
          <w:color w:val="auto"/>
          <w:sz w:val="28"/>
          <w:szCs w:val="28"/>
          <w:highlight w:val="none"/>
        </w:rPr>
        <w:tab/>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lang w:val="en-US" w:eastAsia="zh-CN"/>
        </w:rPr>
        <w:t>4</w:t>
      </w:r>
    </w:p>
    <w:p w14:paraId="3FA9E9F1">
      <w:pPr>
        <w:pStyle w:val="22"/>
        <w:spacing w:line="480" w:lineRule="auto"/>
        <w:jc w:val="center"/>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"_Toc34746017" </w:instrText>
      </w:r>
      <w:r>
        <w:rPr>
          <w:color w:val="auto"/>
          <w:highlight w:val="none"/>
        </w:rPr>
        <w:fldChar w:fldCharType="separate"/>
      </w:r>
      <w:r>
        <w:rPr>
          <w:rStyle w:val="37"/>
          <w:rFonts w:hint="eastAsia" w:cs="宋体"/>
          <w:color w:val="auto"/>
          <w:sz w:val="28"/>
          <w:szCs w:val="28"/>
          <w:highlight w:val="none"/>
        </w:rPr>
        <w:t>第四章  磋商原则和程序</w:t>
      </w:r>
      <w:r>
        <w:rPr>
          <w:rFonts w:hint="eastAsia" w:cs="宋体"/>
          <w:color w:val="auto"/>
          <w:sz w:val="28"/>
          <w:szCs w:val="28"/>
          <w:highlight w:val="none"/>
        </w:rPr>
        <w:tab/>
      </w:r>
      <w:r>
        <w:rPr>
          <w:rFonts w:hint="eastAsia" w:cs="宋体"/>
          <w:color w:val="auto"/>
          <w:sz w:val="28"/>
          <w:szCs w:val="28"/>
          <w:highlight w:val="none"/>
          <w:lang w:val="en-US" w:eastAsia="zh-CN"/>
        </w:rPr>
        <w:t>1</w:t>
      </w:r>
      <w:r>
        <w:rPr>
          <w:rFonts w:hint="eastAsia" w:cs="宋体"/>
          <w:color w:val="auto"/>
          <w:sz w:val="28"/>
          <w:szCs w:val="28"/>
          <w:highlight w:val="none"/>
        </w:rPr>
        <w:fldChar w:fldCharType="end"/>
      </w:r>
      <w:r>
        <w:rPr>
          <w:rFonts w:hint="eastAsia" w:cs="宋体"/>
          <w:color w:val="auto"/>
          <w:sz w:val="28"/>
          <w:szCs w:val="28"/>
          <w:highlight w:val="none"/>
          <w:lang w:val="en-US" w:eastAsia="zh-CN"/>
        </w:rPr>
        <w:t>9</w:t>
      </w:r>
    </w:p>
    <w:p w14:paraId="2CCB8441">
      <w:pPr>
        <w:pStyle w:val="22"/>
        <w:spacing w:line="480" w:lineRule="auto"/>
        <w:jc w:val="center"/>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"_Toc34746018" </w:instrText>
      </w:r>
      <w:r>
        <w:rPr>
          <w:color w:val="auto"/>
          <w:highlight w:val="none"/>
        </w:rPr>
        <w:fldChar w:fldCharType="separate"/>
      </w:r>
      <w:r>
        <w:rPr>
          <w:rStyle w:val="37"/>
          <w:rFonts w:hint="eastAsia" w:cs="宋体"/>
          <w:color w:val="auto"/>
          <w:sz w:val="28"/>
          <w:szCs w:val="28"/>
          <w:highlight w:val="none"/>
        </w:rPr>
        <w:t>第五章  合同主要条款</w:t>
      </w:r>
      <w:r>
        <w:rPr>
          <w:rFonts w:hint="eastAsia" w:cs="宋体"/>
          <w:color w:val="auto"/>
          <w:sz w:val="28"/>
          <w:szCs w:val="28"/>
          <w:highlight w:val="none"/>
        </w:rPr>
        <w:tab/>
      </w:r>
      <w:r>
        <w:rPr>
          <w:rFonts w:hint="eastAsia" w:cs="宋体"/>
          <w:color w:val="auto"/>
          <w:sz w:val="28"/>
          <w:szCs w:val="28"/>
          <w:highlight w:val="none"/>
          <w:lang w:val="en-US" w:eastAsia="zh-CN"/>
        </w:rPr>
        <w:t>2</w:t>
      </w:r>
      <w:r>
        <w:rPr>
          <w:rFonts w:hint="eastAsia" w:cs="宋体"/>
          <w:color w:val="auto"/>
          <w:sz w:val="28"/>
          <w:szCs w:val="28"/>
          <w:highlight w:val="none"/>
        </w:rPr>
        <w:fldChar w:fldCharType="end"/>
      </w:r>
      <w:r>
        <w:rPr>
          <w:rFonts w:hint="eastAsia" w:cs="宋体"/>
          <w:color w:val="auto"/>
          <w:sz w:val="28"/>
          <w:szCs w:val="28"/>
          <w:highlight w:val="none"/>
          <w:lang w:val="en-US" w:eastAsia="zh-CN"/>
        </w:rPr>
        <w:t>6</w:t>
      </w:r>
    </w:p>
    <w:p w14:paraId="15C7598B">
      <w:pPr>
        <w:pStyle w:val="22"/>
        <w:spacing w:line="480" w:lineRule="auto"/>
        <w:jc w:val="center"/>
        <w:rPr>
          <w:rFonts w:hint="eastAsia"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"_Toc34746019" </w:instrText>
      </w:r>
      <w:r>
        <w:rPr>
          <w:color w:val="auto"/>
          <w:highlight w:val="none"/>
        </w:rPr>
        <w:fldChar w:fldCharType="separate"/>
      </w:r>
      <w:r>
        <w:rPr>
          <w:rStyle w:val="37"/>
          <w:rFonts w:hint="eastAsia" w:cs="宋体"/>
          <w:color w:val="auto"/>
          <w:sz w:val="28"/>
          <w:szCs w:val="28"/>
          <w:highlight w:val="none"/>
        </w:rPr>
        <w:t>第六章  响应文件格式</w:t>
      </w:r>
      <w:r>
        <w:rPr>
          <w:rFonts w:hint="eastAsia" w:cs="宋体"/>
          <w:color w:val="auto"/>
          <w:sz w:val="28"/>
          <w:szCs w:val="28"/>
          <w:highlight w:val="none"/>
        </w:rPr>
        <w:tab/>
      </w:r>
      <w:r>
        <w:rPr>
          <w:rFonts w:hint="eastAsia" w:cs="宋体"/>
          <w:color w:val="auto"/>
          <w:sz w:val="28"/>
          <w:szCs w:val="28"/>
          <w:highlight w:val="none"/>
        </w:rPr>
        <w:t>3</w:t>
      </w:r>
      <w:r>
        <w:rPr>
          <w:rFonts w:hint="eastAsia" w:cs="宋体"/>
          <w:color w:val="auto"/>
          <w:sz w:val="28"/>
          <w:szCs w:val="28"/>
          <w:highlight w:val="none"/>
        </w:rPr>
        <w:fldChar w:fldCharType="end"/>
      </w:r>
      <w:r>
        <w:rPr>
          <w:rFonts w:hint="eastAsia" w:cs="宋体"/>
          <w:color w:val="auto"/>
          <w:sz w:val="28"/>
          <w:szCs w:val="28"/>
          <w:highlight w:val="none"/>
          <w:lang w:val="en-US" w:eastAsia="zh-CN"/>
        </w:rPr>
        <w:t>5</w:t>
      </w:r>
    </w:p>
    <w:p w14:paraId="66719F3C">
      <w:pPr>
        <w:spacing w:line="480" w:lineRule="auto"/>
        <w:ind w:firstLine="105"/>
        <w:jc w:val="center"/>
        <w:rPr>
          <w:rFonts w:hint="eastAsia" w:ascii="宋体" w:hAnsi="宋体" w:cs="宋体"/>
          <w:color w:val="auto"/>
          <w:szCs w:val="21"/>
          <w:highlight w:val="none"/>
        </w:rPr>
      </w:pPr>
      <w:r>
        <w:rPr>
          <w:rFonts w:hint="eastAsia" w:ascii="宋体" w:hAnsi="宋体" w:cs="宋体"/>
          <w:color w:val="auto"/>
          <w:sz w:val="28"/>
          <w:szCs w:val="28"/>
          <w:highlight w:val="none"/>
        </w:rPr>
        <w:fldChar w:fldCharType="end"/>
      </w:r>
    </w:p>
    <w:p w14:paraId="66372E42">
      <w:pPr>
        <w:pStyle w:val="22"/>
        <w:spacing w:line="260" w:lineRule="exact"/>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14:paraId="0725327F">
      <w:pPr>
        <w:pStyle w:val="22"/>
        <w:spacing w:line="260" w:lineRule="exact"/>
        <w:ind w:firstLine="105"/>
        <w:rPr>
          <w:rFonts w:hint="eastAsia" w:cs="宋体"/>
          <w:color w:val="auto"/>
          <w:sz w:val="21"/>
          <w:szCs w:val="21"/>
          <w:highlight w:val="none"/>
        </w:rPr>
      </w:pPr>
    </w:p>
    <w:p w14:paraId="74D6406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4D953552">
      <w:pPr>
        <w:spacing w:line="360" w:lineRule="exact"/>
        <w:rPr>
          <w:rFonts w:hint="eastAsia" w:ascii="宋体" w:hAnsi="宋体" w:cs="宋体"/>
          <w:color w:val="auto"/>
          <w:szCs w:val="21"/>
          <w:highlight w:val="none"/>
        </w:rPr>
      </w:pPr>
    </w:p>
    <w:p w14:paraId="79B81B69">
      <w:pPr>
        <w:rPr>
          <w:rFonts w:hint="eastAsia" w:ascii="宋体" w:hAnsi="宋体" w:cs="宋体"/>
          <w:color w:val="auto"/>
          <w:szCs w:val="21"/>
          <w:highlight w:val="none"/>
        </w:rPr>
      </w:pPr>
    </w:p>
    <w:p w14:paraId="7EE4B896">
      <w:pPr>
        <w:pStyle w:val="5"/>
        <w:pageBreakBefore/>
        <w:spacing w:before="156" w:after="156" w:line="360" w:lineRule="exact"/>
        <w:rPr>
          <w:rFonts w:hint="eastAsia" w:ascii="宋体" w:hAnsi="宋体" w:cs="宋体"/>
          <w:color w:val="auto"/>
          <w:sz w:val="21"/>
          <w:szCs w:val="21"/>
          <w:highlight w:val="none"/>
        </w:rPr>
        <w:sectPr>
          <w:headerReference r:id="rId5" w:type="default"/>
          <w:footerReference r:id="rId6" w:type="default"/>
          <w:pgSz w:w="11906" w:h="16838"/>
          <w:pgMar w:top="1134" w:right="1134" w:bottom="1134" w:left="1134" w:header="567" w:footer="567" w:gutter="0"/>
          <w:pgNumType w:fmt="upperRoman" w:start="1"/>
          <w:cols w:space="720" w:num="1"/>
          <w:docGrid w:type="lines" w:linePitch="312" w:charSpace="0"/>
        </w:sectPr>
      </w:pPr>
      <w:bookmarkStart w:id="0" w:name="_Toc34746014"/>
    </w:p>
    <w:p w14:paraId="794BE528">
      <w:pPr>
        <w:pStyle w:val="5"/>
        <w:spacing w:before="156" w:after="156"/>
        <w:rPr>
          <w:color w:val="auto"/>
          <w:highlight w:val="none"/>
        </w:rPr>
      </w:pPr>
      <w:bookmarkStart w:id="1" w:name="_Toc18453"/>
      <w:r>
        <w:rPr>
          <w:rFonts w:hint="eastAsia"/>
          <w:color w:val="auto"/>
          <w:highlight w:val="none"/>
        </w:rPr>
        <w:t>第一章  竞争性磋商公告</w:t>
      </w:r>
      <w:bookmarkEnd w:id="1"/>
    </w:p>
    <w:tbl>
      <w:tblPr>
        <w:tblStyle w:val="31"/>
        <w:tblpPr w:leftFromText="180" w:rightFromText="180" w:vertAnchor="text" w:tblpX="-38"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4904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640" w:type="dxa"/>
          </w:tcPr>
          <w:p w14:paraId="73AE1CE8">
            <w:pPr>
              <w:spacing w:line="360" w:lineRule="auto"/>
              <w:rPr>
                <w:rFonts w:hint="eastAsia" w:ascii="宋体" w:hAnsi="宋体" w:cs="宋体"/>
                <w:color w:val="auto"/>
                <w:szCs w:val="21"/>
                <w:highlight w:val="none"/>
              </w:rPr>
            </w:pPr>
            <w:bookmarkStart w:id="2" w:name="OLE_LINK5"/>
            <w:bookmarkStart w:id="3" w:name="OLE_LINK3"/>
            <w:r>
              <w:rPr>
                <w:rFonts w:hint="eastAsia" w:ascii="宋体" w:hAnsi="宋体" w:cs="宋体"/>
                <w:b/>
                <w:bCs/>
                <w:color w:val="auto"/>
                <w:szCs w:val="21"/>
                <w:highlight w:val="none"/>
              </w:rPr>
              <w:t>项目概况：</w:t>
            </w:r>
            <w:r>
              <w:rPr>
                <w:rFonts w:hint="eastAsia" w:ascii="宋体" w:hAnsi="宋体" w:cs="宋体"/>
                <w:color w:val="auto"/>
                <w:szCs w:val="21"/>
                <w:highlight w:val="none"/>
              </w:rPr>
              <w:t xml:space="preserve">                                                   </w:t>
            </w:r>
          </w:p>
          <w:p w14:paraId="07DA2B4C">
            <w:pPr>
              <w:spacing w:line="360" w:lineRule="auto"/>
              <w:ind w:firstLine="420" w:firstLineChars="200"/>
              <w:rPr>
                <w:rFonts w:hint="eastAsia" w:ascii="宋体" w:hAnsi="宋体" w:cs="宋体"/>
                <w:color w:val="auto"/>
                <w:szCs w:val="21"/>
                <w:highlight w:val="none"/>
              </w:rPr>
            </w:pPr>
            <w:r>
              <w:rPr>
                <w:rFonts w:hint="eastAsia"/>
                <w:color w:val="auto"/>
                <w:highlight w:val="none"/>
                <w:lang w:eastAsia="zh-CN"/>
              </w:rPr>
              <w:t>2025年第六届浙江省户外运动大会赛事服务项目（二次）</w:t>
            </w:r>
            <w:r>
              <w:rPr>
                <w:rFonts w:hint="eastAsia" w:ascii="宋体" w:hAnsi="宋体" w:cs="宋体"/>
                <w:color w:val="auto"/>
                <w:szCs w:val="21"/>
                <w:highlight w:val="none"/>
              </w:rPr>
              <w:t>的潜在投标供应商应在政府采购云平台</w:t>
            </w:r>
            <w:r>
              <w:rPr>
                <w:rFonts w:hint="eastAsia" w:ascii="宋体" w:hAnsi="宋体" w:cs="宋体"/>
                <w:color w:val="auto"/>
                <w:szCs w:val="21"/>
                <w:highlight w:val="none"/>
                <w:u w:val="single"/>
              </w:rPr>
              <w:t>http://www.zcygov.cn</w:t>
            </w:r>
            <w:r>
              <w:rPr>
                <w:rFonts w:hint="eastAsia" w:ascii="宋体" w:hAnsi="宋体" w:cs="宋体"/>
                <w:color w:val="auto"/>
                <w:szCs w:val="21"/>
                <w:highlight w:val="none"/>
              </w:rPr>
              <w:t xml:space="preserve">（以下简称“政采云平台”）；获取（下载）采购文件，并于 </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日09:00时</w:t>
            </w:r>
            <w:r>
              <w:rPr>
                <w:rFonts w:hint="eastAsia" w:ascii="宋体" w:hAnsi="宋体" w:cs="宋体"/>
                <w:color w:val="auto"/>
                <w:szCs w:val="21"/>
                <w:highlight w:val="none"/>
              </w:rPr>
              <w:t xml:space="preserve">（北京时间）前递交（上传）响应文件。 </w:t>
            </w:r>
          </w:p>
        </w:tc>
      </w:tr>
    </w:tbl>
    <w:p w14:paraId="7034CC6B">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项目基本情况</w:t>
      </w:r>
    </w:p>
    <w:p w14:paraId="4FDEC8D9">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eastAsia="zh-CN"/>
        </w:rPr>
        <w:t>AJKB-CS2025-023B</w:t>
      </w:r>
    </w:p>
    <w:p w14:paraId="14F2DE19">
      <w:pPr>
        <w:pStyle w:val="27"/>
        <w:spacing w:before="0" w:beforeAutospacing="0" w:after="0"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lang w:eastAsia="zh-CN"/>
        </w:rPr>
        <w:t>2025年第六届浙江省户外运动大会赛事服务项目（二次）</w:t>
      </w:r>
    </w:p>
    <w:p w14:paraId="3AEF74DD">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采购方式：竞争性磋商</w:t>
      </w:r>
    </w:p>
    <w:p w14:paraId="0D5ECFA6">
      <w:pPr>
        <w:spacing w:line="360" w:lineRule="exact"/>
        <w:jc w:val="left"/>
        <w:rPr>
          <w:rFonts w:hint="eastAsia"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140</w:t>
      </w:r>
      <w:r>
        <w:rPr>
          <w:rFonts w:hint="eastAsia" w:ascii="宋体" w:hAnsi="宋体" w:cs="宋体"/>
          <w:color w:val="auto"/>
          <w:highlight w:val="none"/>
        </w:rPr>
        <w:t>0000.00元</w:t>
      </w:r>
    </w:p>
    <w:p w14:paraId="7221D301">
      <w:pPr>
        <w:spacing w:line="360" w:lineRule="exact"/>
        <w:jc w:val="left"/>
        <w:rPr>
          <w:rFonts w:hint="eastAsia"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140</w:t>
      </w:r>
      <w:r>
        <w:rPr>
          <w:rFonts w:hint="eastAsia" w:ascii="宋体" w:hAnsi="宋体" w:cs="宋体"/>
          <w:color w:val="auto"/>
          <w:highlight w:val="none"/>
        </w:rPr>
        <w:t>0000.00元</w:t>
      </w:r>
    </w:p>
    <w:p w14:paraId="3629D06E">
      <w:pPr>
        <w:spacing w:line="4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采购需求：</w:t>
      </w:r>
    </w:p>
    <w:p w14:paraId="49FAE17D">
      <w:pPr>
        <w:spacing w:line="440" w:lineRule="exact"/>
        <w:rPr>
          <w:color w:val="auto"/>
          <w:highlight w:val="none"/>
        </w:rPr>
      </w:pPr>
      <w:r>
        <w:rPr>
          <w:rFonts w:ascii="宋体" w:hAnsi="宋体" w:cs="宋体"/>
          <w:color w:val="auto"/>
          <w:szCs w:val="21"/>
          <w:highlight w:val="none"/>
        </w:rPr>
        <w:t>数量:1</w:t>
      </w:r>
      <w:r>
        <w:rPr>
          <w:rFonts w:ascii="宋体" w:hAnsi="宋体" w:cs="宋体"/>
          <w:color w:val="auto"/>
          <w:szCs w:val="21"/>
          <w:highlight w:val="none"/>
        </w:rPr>
        <w:br w:type="textWrapping"/>
      </w:r>
      <w:r>
        <w:rPr>
          <w:rFonts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2025年第六届浙江省户外运动大会赛事服务</w:t>
      </w:r>
      <w:r>
        <w:rPr>
          <w:rFonts w:ascii="宋体" w:hAnsi="宋体" w:cs="宋体"/>
          <w:color w:val="auto"/>
          <w:szCs w:val="21"/>
          <w:highlight w:val="none"/>
        </w:rPr>
        <w:t>，详见招标文件第三部分。 </w:t>
      </w:r>
    </w:p>
    <w:p w14:paraId="3D19619C">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申请人的资格要求：</w:t>
      </w:r>
    </w:p>
    <w:p w14:paraId="7E5C30FA">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1.满足《中华人民共和国政府采购法》第二十二条规定；未被“信用中国”（</w:t>
      </w:r>
      <w:r>
        <w:rPr>
          <w:rFonts w:hint="eastAsia" w:ascii="宋体" w:hAnsi="宋体" w:eastAsia="宋体" w:cs="宋体"/>
          <w:color w:val="auto"/>
          <w:sz w:val="21"/>
          <w:szCs w:val="21"/>
          <w:highlight w:val="none"/>
          <w:u w:val="single"/>
          <w:shd w:val="clear" w:color="auto" w:fill="FFFFFF"/>
        </w:rPr>
        <w:t>www.creditchina.gov.cn</w:t>
      </w:r>
      <w:r>
        <w:rPr>
          <w:rFonts w:hint="eastAsia" w:ascii="宋体" w:hAnsi="宋体" w:eastAsia="宋体" w:cs="宋体"/>
          <w:color w:val="auto"/>
          <w:sz w:val="21"/>
          <w:szCs w:val="21"/>
          <w:highlight w:val="none"/>
          <w:shd w:val="clear" w:color="auto" w:fill="FFFFFF"/>
        </w:rPr>
        <w:t>)、中国政府采购网（</w:t>
      </w:r>
      <w:r>
        <w:rPr>
          <w:rFonts w:hint="eastAsia" w:ascii="宋体" w:hAnsi="宋体" w:eastAsia="宋体" w:cs="宋体"/>
          <w:color w:val="auto"/>
          <w:sz w:val="21"/>
          <w:szCs w:val="21"/>
          <w:highlight w:val="none"/>
          <w:u w:val="single"/>
          <w:shd w:val="clear" w:color="auto" w:fill="FFFFFF"/>
        </w:rPr>
        <w:t>www.ccgp.gov.cn</w:t>
      </w:r>
      <w:r>
        <w:rPr>
          <w:rFonts w:hint="eastAsia" w:ascii="宋体" w:hAnsi="宋体" w:eastAsia="宋体" w:cs="宋体"/>
          <w:color w:val="auto"/>
          <w:sz w:val="21"/>
          <w:szCs w:val="21"/>
          <w:highlight w:val="none"/>
          <w:shd w:val="clear" w:color="auto" w:fill="FFFFFF"/>
        </w:rPr>
        <w:t>）列入失信被执行人、重大税收违法案件当事人名单、政府采购严重违法失信行为记录名单。</w:t>
      </w:r>
    </w:p>
    <w:p w14:paraId="0CB125D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2.落实政府采购政策需满足的资格要求：本项目专门面向中小微企业；（中小微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14:paraId="4907E397">
      <w:pPr>
        <w:widowControl/>
        <w:spacing w:line="48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3.本项目的特定资格要求：无</w:t>
      </w:r>
    </w:p>
    <w:p w14:paraId="093A58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4.本项目</w:t>
      </w:r>
      <w:r>
        <w:rPr>
          <w:rFonts w:hint="eastAsia" w:ascii="宋体" w:hAnsi="宋体" w:cs="宋体"/>
          <w:color w:val="auto"/>
          <w:szCs w:val="21"/>
          <w:highlight w:val="none"/>
          <w:shd w:val="clear" w:color="auto" w:fill="FFFFFF"/>
        </w:rPr>
        <w:t>不接受联合体投标，禁止转包或分包。</w:t>
      </w:r>
    </w:p>
    <w:p w14:paraId="3B92241C">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获取（下载）采购文件</w:t>
      </w:r>
    </w:p>
    <w:p w14:paraId="265E9B6D">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eastAsia="zh-CN"/>
        </w:rPr>
        <w:t>2025年</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lang w:eastAsia="zh-CN"/>
        </w:rPr>
        <w:t>月</w:t>
      </w:r>
      <w:r>
        <w:rPr>
          <w:rFonts w:hint="eastAsia" w:ascii="宋体" w:hAnsi="宋体" w:eastAsia="宋体" w:cs="宋体"/>
          <w:color w:val="auto"/>
          <w:sz w:val="21"/>
          <w:szCs w:val="21"/>
          <w:highlight w:val="none"/>
          <w:shd w:val="clear" w:color="auto" w:fill="FFFFFF"/>
          <w:lang w:val="en-US" w:eastAsia="zh-CN"/>
        </w:rPr>
        <w:t>30</w:t>
      </w:r>
      <w:r>
        <w:rPr>
          <w:rFonts w:hint="eastAsia" w:ascii="宋体" w:hAnsi="宋体" w:eastAsia="宋体" w:cs="宋体"/>
          <w:color w:val="auto"/>
          <w:sz w:val="21"/>
          <w:szCs w:val="21"/>
          <w:highlight w:val="none"/>
          <w:shd w:val="clear" w:color="auto" w:fill="FFFFFF"/>
          <w:lang w:eastAsia="zh-CN"/>
        </w:rPr>
        <w:t>日</w:t>
      </w:r>
      <w:r>
        <w:rPr>
          <w:rFonts w:hint="eastAsia" w:ascii="宋体" w:hAnsi="宋体" w:eastAsia="宋体" w:cs="宋体"/>
          <w:color w:val="auto"/>
          <w:sz w:val="21"/>
          <w:szCs w:val="21"/>
          <w:highlight w:val="none"/>
          <w:shd w:val="clear" w:color="auto" w:fill="FFFFFF"/>
        </w:rPr>
        <w:t>至</w:t>
      </w:r>
      <w:r>
        <w:rPr>
          <w:rFonts w:hint="eastAsia" w:ascii="宋体" w:hAnsi="宋体" w:eastAsia="宋体" w:cs="宋体"/>
          <w:color w:val="auto"/>
          <w:sz w:val="21"/>
          <w:szCs w:val="21"/>
          <w:highlight w:val="none"/>
          <w:shd w:val="clear" w:color="auto" w:fill="FFFFFF"/>
          <w:lang w:eastAsia="zh-CN"/>
        </w:rPr>
        <w:t>2025年</w:t>
      </w: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eastAsia="zh-CN"/>
        </w:rPr>
        <w:t>月</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lang w:eastAsia="zh-CN"/>
        </w:rPr>
        <w:t>日09:00时</w:t>
      </w:r>
      <w:r>
        <w:rPr>
          <w:rFonts w:hint="eastAsia" w:ascii="宋体" w:hAnsi="宋体" w:eastAsia="宋体" w:cs="宋体"/>
          <w:color w:val="auto"/>
          <w:sz w:val="21"/>
          <w:szCs w:val="21"/>
          <w:highlight w:val="none"/>
          <w:shd w:val="clear" w:color="auto" w:fill="FFFFFF"/>
        </w:rPr>
        <w:t>，每天上午00:00至12:00，下午12:00至23:59（北京时间，线上获取法定节假日均可，线下获取文件法定节假日除外）</w:t>
      </w:r>
    </w:p>
    <w:p w14:paraId="737CB3C9">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地点（网址）：政府采购云平台</w:t>
      </w:r>
      <w:r>
        <w:rPr>
          <w:rFonts w:hint="eastAsia" w:ascii="宋体" w:hAnsi="宋体" w:eastAsia="宋体" w:cs="宋体"/>
          <w:color w:val="auto"/>
          <w:sz w:val="21"/>
          <w:szCs w:val="21"/>
          <w:highlight w:val="none"/>
          <w:u w:val="single"/>
          <w:shd w:val="clear" w:color="auto" w:fill="FFFFFF"/>
        </w:rPr>
        <w:t>http://www.zcygov.cn</w:t>
      </w:r>
      <w:r>
        <w:rPr>
          <w:rFonts w:hint="eastAsia" w:ascii="宋体" w:hAnsi="宋体" w:eastAsia="宋体" w:cs="宋体"/>
          <w:color w:val="auto"/>
          <w:sz w:val="21"/>
          <w:szCs w:val="21"/>
          <w:highlight w:val="none"/>
          <w:shd w:val="clear" w:color="auto" w:fill="FFFFFF"/>
        </w:rPr>
        <w:t>（以下简称“政采云平台”） </w:t>
      </w:r>
    </w:p>
    <w:p w14:paraId="72AC083A">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方式：实行“政采云平台”在线获取。</w:t>
      </w:r>
    </w:p>
    <w:p w14:paraId="750860EB">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售价（元）：0</w:t>
      </w:r>
    </w:p>
    <w:p w14:paraId="43E75E02">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响应文件提交（上传）</w:t>
      </w:r>
    </w:p>
    <w:p w14:paraId="066E1EB4">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截止时间： </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eastAsia="zh-CN"/>
        </w:rPr>
        <w:t>2025年</w:t>
      </w: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eastAsia="zh-CN"/>
        </w:rPr>
        <w:t>月</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lang w:eastAsia="zh-CN"/>
        </w:rPr>
        <w:t>日09:00时</w:t>
      </w:r>
      <w:r>
        <w:rPr>
          <w:rFonts w:hint="eastAsia" w:ascii="宋体" w:hAnsi="宋体" w:eastAsia="宋体" w:cs="宋体"/>
          <w:color w:val="auto"/>
          <w:sz w:val="21"/>
          <w:szCs w:val="21"/>
          <w:highlight w:val="none"/>
        </w:rPr>
        <w:t>（北京时间）</w:t>
      </w:r>
    </w:p>
    <w:p w14:paraId="3C65C41F">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）”在线递交 </w:t>
      </w:r>
    </w:p>
    <w:p w14:paraId="3A8B5E75">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响应文件开启 </w:t>
      </w:r>
    </w:p>
    <w:p w14:paraId="70E74CAB">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开启时间：  </w:t>
      </w:r>
      <w:r>
        <w:rPr>
          <w:rFonts w:hint="eastAsia" w:ascii="宋体" w:hAnsi="宋体" w:eastAsia="宋体" w:cs="宋体"/>
          <w:color w:val="auto"/>
          <w:sz w:val="21"/>
          <w:szCs w:val="21"/>
          <w:highlight w:val="none"/>
          <w:shd w:val="clear" w:color="auto" w:fill="FFFFFF"/>
          <w:lang w:eastAsia="zh-CN"/>
        </w:rPr>
        <w:t>2025年</w:t>
      </w: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eastAsia="zh-CN"/>
        </w:rPr>
        <w:t>月</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lang w:eastAsia="zh-CN"/>
        </w:rPr>
        <w:t>日09:00时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北京时间）</w:t>
      </w:r>
    </w:p>
    <w:p w14:paraId="1F60A312">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）在线参加磋商。 </w:t>
      </w:r>
    </w:p>
    <w:p w14:paraId="4955A80A">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公告期限</w:t>
      </w:r>
    </w:p>
    <w:p w14:paraId="7571E5EB">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自本公告发布之日起3个工作日。</w:t>
      </w:r>
    </w:p>
    <w:p w14:paraId="196A5621">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其他补充事宜 </w:t>
      </w:r>
    </w:p>
    <w:p w14:paraId="338F1B41">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A3B60A">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2.其他事项：</w:t>
      </w:r>
    </w:p>
    <w:p w14:paraId="038677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1）书面质疑受理地点及联系人：</w:t>
      </w:r>
      <w:r>
        <w:rPr>
          <w:rFonts w:hint="eastAsia" w:ascii="宋体" w:hAnsi="宋体" w:cs="宋体"/>
          <w:color w:val="auto"/>
          <w:szCs w:val="21"/>
          <w:highlight w:val="none"/>
        </w:rPr>
        <w:t>浙江省安吉县芜园西路169号广都嘉园8幢一单元三楼306室，安吉口碑采购代理服务有限公司，联系人：</w:t>
      </w:r>
      <w:r>
        <w:rPr>
          <w:rFonts w:hint="eastAsia" w:ascii="宋体" w:hAnsi="宋体" w:cs="宋体"/>
          <w:color w:val="auto"/>
          <w:szCs w:val="21"/>
          <w:highlight w:val="none"/>
          <w:u w:val="single"/>
        </w:rPr>
        <w:t>陈玲玲19844128797</w:t>
      </w:r>
      <w:r>
        <w:rPr>
          <w:rFonts w:hint="eastAsia" w:ascii="宋体" w:hAnsi="宋体" w:cs="宋体"/>
          <w:color w:val="auto"/>
          <w:szCs w:val="21"/>
          <w:highlight w:val="none"/>
        </w:rPr>
        <w:t xml:space="preserve"> ,同时将质疑函扫描件以电子邮件形式发送至电子邮箱</w:t>
      </w:r>
      <w:r>
        <w:rPr>
          <w:rFonts w:hint="eastAsia" w:ascii="宋体" w:hAnsi="宋体" w:cs="宋体"/>
          <w:color w:val="auto"/>
          <w:szCs w:val="21"/>
          <w:highlight w:val="none"/>
          <w:u w:val="single"/>
        </w:rPr>
        <w:t xml:space="preserve">anjikbcg@163.com </w:t>
      </w:r>
      <w:r>
        <w:rPr>
          <w:rFonts w:hint="eastAsia" w:ascii="宋体" w:hAnsi="宋体" w:cs="宋体"/>
          <w:color w:val="auto"/>
          <w:szCs w:val="21"/>
          <w:highlight w:val="none"/>
        </w:rPr>
        <w:t>。</w:t>
      </w:r>
    </w:p>
    <w:p w14:paraId="71D130C1">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551BC">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《国务院办公厅关于建立政府强制采购节能产品制度的通知》（国办发〔2007〕51号）；《财政部发展改革委 生态环境部 市场监管总局关于调整优化节能产品 环境标志产品政府采购执行机制的通知》（财库〔2019〕9 号）；财政部民政部中国残疾人联合会《关于促进残疾人就业政府采购政策的通知》（财库〔2017〕141号）。</w:t>
      </w:r>
    </w:p>
    <w:p w14:paraId="5D8E011C">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3）资格审查：本项目采用资格后审。</w:t>
      </w:r>
    </w:p>
    <w:p w14:paraId="758D010B">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4）本次采购有关信息发布媒介：浙江政府采购网 </w:t>
      </w:r>
      <w:r>
        <w:rPr>
          <w:rFonts w:hint="eastAsia" w:ascii="宋体" w:hAnsi="宋体" w:eastAsia="宋体" w:cs="宋体"/>
          <w:color w:val="auto"/>
          <w:sz w:val="21"/>
          <w:szCs w:val="21"/>
          <w:highlight w:val="none"/>
          <w:u w:val="single"/>
          <w:shd w:val="clear" w:color="auto" w:fill="FFFFFF"/>
        </w:rPr>
        <w:t>http://zfcg.czt.zj.gov.cn</w:t>
      </w:r>
      <w:r>
        <w:rPr>
          <w:rFonts w:hint="eastAsia" w:ascii="宋体" w:hAnsi="宋体" w:eastAsia="宋体" w:cs="宋体"/>
          <w:color w:val="auto"/>
          <w:sz w:val="21"/>
          <w:szCs w:val="21"/>
          <w:highlight w:val="none"/>
          <w:shd w:val="clear" w:color="auto" w:fill="FFFFFF"/>
        </w:rPr>
        <w:t xml:space="preserve"> ；安吉县公共资源交易网 </w:t>
      </w:r>
      <w:r>
        <w:rPr>
          <w:rFonts w:ascii="宋体" w:hAnsi="宋体" w:eastAsia="宋体" w:cs="宋体"/>
          <w:color w:val="auto"/>
          <w:sz w:val="21"/>
          <w:szCs w:val="21"/>
          <w:highlight w:val="none"/>
          <w:u w:val="single"/>
          <w:shd w:val="clear" w:color="auto" w:fill="FFFFFF"/>
        </w:rPr>
        <w:t>http://www.anji.gov.cn/col/col1229656840/index.html</w:t>
      </w:r>
    </w:p>
    <w:p w14:paraId="05AAF946">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5）采购代理费用由成交供应商支付。</w:t>
      </w:r>
    </w:p>
    <w:p w14:paraId="18D60C63">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6）本采购项目中标单位与采购单位签订的政府采购合同适用于浙江省政府采购贷款政策，简称“政采贷”，具体内容可参阅《安吉财政“政采贷”办理指引》。网址：</w:t>
      </w:r>
      <w:r>
        <w:rPr>
          <w:rFonts w:hint="eastAsia" w:ascii="宋体" w:hAnsi="宋体" w:eastAsia="宋体" w:cs="宋体"/>
          <w:color w:val="auto"/>
          <w:sz w:val="21"/>
          <w:szCs w:val="21"/>
          <w:highlight w:val="none"/>
          <w:u w:val="single"/>
          <w:shd w:val="clear" w:color="auto" w:fill="FFFFFF"/>
        </w:rPr>
        <w:t>http://www.anji.gov.cn/hzgov/front/s553/zwgk/gggs/20231228/i3691136.html</w:t>
      </w:r>
    </w:p>
    <w:p w14:paraId="40C56310">
      <w:pPr>
        <w:pStyle w:val="27"/>
        <w:widowControl/>
        <w:numPr>
          <w:ilvl w:val="0"/>
          <w:numId w:val="3"/>
        </w:numPr>
        <w:shd w:val="clear" w:color="auto" w:fill="FFFFFF"/>
        <w:spacing w:before="156"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凡对本次招标提出询问、质疑、投诉，请按以下方式联系</w:t>
      </w:r>
    </w:p>
    <w:tbl>
      <w:tblPr>
        <w:tblStyle w:val="31"/>
        <w:tblW w:w="0" w:type="auto"/>
        <w:tblInd w:w="474" w:type="dxa"/>
        <w:tblLayout w:type="autofit"/>
        <w:tblCellMar>
          <w:top w:w="0" w:type="dxa"/>
          <w:left w:w="108" w:type="dxa"/>
          <w:bottom w:w="0" w:type="dxa"/>
          <w:right w:w="108" w:type="dxa"/>
        </w:tblCellMar>
      </w:tblPr>
      <w:tblGrid>
        <w:gridCol w:w="9154"/>
      </w:tblGrid>
      <w:tr w14:paraId="40B5234D">
        <w:tblPrEx>
          <w:tblCellMar>
            <w:top w:w="0" w:type="dxa"/>
            <w:left w:w="108" w:type="dxa"/>
            <w:bottom w:w="0" w:type="dxa"/>
            <w:right w:w="108" w:type="dxa"/>
          </w:tblCellMar>
        </w:tblPrEx>
        <w:tc>
          <w:tcPr>
            <w:tcW w:w="9154" w:type="dxa"/>
          </w:tcPr>
          <w:p w14:paraId="31338769">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采购人:</w:t>
            </w:r>
            <w:r>
              <w:rPr>
                <w:rFonts w:hint="eastAsia" w:ascii="宋体" w:hAnsi="宋体" w:eastAsia="宋体" w:cs="宋体"/>
                <w:color w:val="auto"/>
                <w:sz w:val="21"/>
                <w:szCs w:val="21"/>
                <w:highlight w:val="none"/>
                <w:shd w:val="clear" w:color="auto" w:fill="FFFFFF"/>
                <w:lang w:eastAsia="zh-CN"/>
              </w:rPr>
              <w:t>安吉县文化和广电旅游体育局</w:t>
            </w:r>
          </w:p>
          <w:p w14:paraId="003D1BDA">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项目联系人：</w:t>
            </w:r>
            <w:r>
              <w:rPr>
                <w:rFonts w:hint="eastAsia" w:ascii="宋体" w:hAnsi="宋体" w:eastAsia="宋体" w:cs="宋体"/>
                <w:color w:val="auto"/>
                <w:sz w:val="21"/>
                <w:szCs w:val="21"/>
                <w:highlight w:val="none"/>
                <w:shd w:val="clear" w:color="auto" w:fill="FFFFFF"/>
                <w:lang w:val="en-US" w:eastAsia="zh-CN"/>
              </w:rPr>
              <w:t>余先生</w:t>
            </w:r>
          </w:p>
          <w:p w14:paraId="58D995D7">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项目联系方式：0572-</w:t>
            </w:r>
            <w:r>
              <w:rPr>
                <w:rFonts w:hint="eastAsia" w:ascii="宋体" w:hAnsi="宋体" w:eastAsia="宋体" w:cs="宋体"/>
                <w:color w:val="auto"/>
                <w:sz w:val="21"/>
                <w:szCs w:val="21"/>
                <w:highlight w:val="none"/>
                <w:shd w:val="clear" w:color="auto" w:fill="FFFFFF"/>
                <w:lang w:val="en-US" w:eastAsia="zh-CN"/>
              </w:rPr>
              <w:t>5129812</w:t>
            </w:r>
          </w:p>
          <w:p w14:paraId="25031EC7">
            <w:pPr>
              <w:spacing w:line="360" w:lineRule="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质疑联系人：</w:t>
            </w:r>
            <w:r>
              <w:rPr>
                <w:rFonts w:hint="eastAsia" w:ascii="宋体" w:hAnsi="宋体" w:cs="宋体"/>
                <w:color w:val="auto"/>
                <w:szCs w:val="21"/>
                <w:highlight w:val="none"/>
              </w:rPr>
              <w:t>王先生</w:t>
            </w:r>
          </w:p>
          <w:p w14:paraId="5CAE84B3">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质疑联系方式：0572-5129806</w:t>
            </w:r>
          </w:p>
        </w:tc>
      </w:tr>
      <w:tr w14:paraId="35DA6258">
        <w:tblPrEx>
          <w:tblCellMar>
            <w:top w:w="0" w:type="dxa"/>
            <w:left w:w="108" w:type="dxa"/>
            <w:bottom w:w="0" w:type="dxa"/>
            <w:right w:w="108" w:type="dxa"/>
          </w:tblCellMar>
        </w:tblPrEx>
        <w:tc>
          <w:tcPr>
            <w:tcW w:w="9154" w:type="dxa"/>
          </w:tcPr>
          <w:p w14:paraId="22E49D96">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2.采购代理机构信息名称：安吉口碑采购代理服务有限公司 </w:t>
            </w:r>
          </w:p>
          <w:p w14:paraId="60EB8ED6">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地址：浙江省安吉县芜园西路169号广都嘉园8幢一单元三楼306室</w:t>
            </w:r>
          </w:p>
          <w:p w14:paraId="7587DD51">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项目联系人（询问）：姚女士</w:t>
            </w:r>
          </w:p>
          <w:p w14:paraId="1FAD942A">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项目联系方式（询问）</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0572-5694808</w:t>
            </w:r>
          </w:p>
          <w:p w14:paraId="0A5BE7A6">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质疑联系人：陈玲玲</w:t>
            </w:r>
          </w:p>
          <w:p w14:paraId="2AA62E6F">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质疑联系方式：19844128797</w:t>
            </w:r>
          </w:p>
        </w:tc>
      </w:tr>
      <w:tr w14:paraId="142C1A1B">
        <w:tblPrEx>
          <w:tblCellMar>
            <w:top w:w="0" w:type="dxa"/>
            <w:left w:w="108" w:type="dxa"/>
            <w:bottom w:w="0" w:type="dxa"/>
            <w:right w:w="108" w:type="dxa"/>
          </w:tblCellMar>
        </w:tblPrEx>
        <w:tc>
          <w:tcPr>
            <w:tcW w:w="9154" w:type="dxa"/>
          </w:tcPr>
          <w:p w14:paraId="19B62851">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3.同级政府采购监督管理部门名称：安吉县财政局 </w:t>
            </w:r>
          </w:p>
          <w:p w14:paraId="469CB529">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地址：安吉县凤凰路凤凰五区188号  </w:t>
            </w:r>
          </w:p>
          <w:p w14:paraId="139A3123">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联系人 ：采监科王庭 </w:t>
            </w:r>
          </w:p>
          <w:p w14:paraId="52933971">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监督投诉电话：0572-5807951</w:t>
            </w:r>
          </w:p>
        </w:tc>
      </w:tr>
    </w:tbl>
    <w:p w14:paraId="2EFD43CA">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p>
    <w:bookmarkEnd w:id="2"/>
    <w:bookmarkEnd w:id="3"/>
    <w:p w14:paraId="0D15F0F4">
      <w:pPr>
        <w:spacing w:line="360" w:lineRule="auto"/>
        <w:rPr>
          <w:rFonts w:hint="eastAsia" w:ascii="宋体" w:hAnsi="宋体" w:cs="宋体"/>
          <w:color w:val="auto"/>
          <w:szCs w:val="21"/>
          <w:highlight w:val="none"/>
        </w:rPr>
        <w:sectPr>
          <w:headerReference r:id="rId7" w:type="default"/>
          <w:footerReference r:id="rId8" w:type="default"/>
          <w:pgSz w:w="11906" w:h="16838"/>
          <w:pgMar w:top="1247" w:right="1247" w:bottom="1247" w:left="1247" w:header="851" w:footer="992" w:gutter="0"/>
          <w:pgNumType w:start="1"/>
          <w:cols w:space="720" w:num="1"/>
          <w:docGrid w:type="lines" w:linePitch="312" w:charSpace="0"/>
        </w:sectPr>
      </w:pPr>
    </w:p>
    <w:bookmarkEnd w:id="0"/>
    <w:p w14:paraId="616ED2D6">
      <w:pPr>
        <w:pStyle w:val="5"/>
        <w:spacing w:before="156" w:after="156"/>
        <w:rPr>
          <w:color w:val="auto"/>
          <w:highlight w:val="none"/>
        </w:rPr>
      </w:pPr>
      <w:bookmarkStart w:id="4" w:name="_Toc34746015"/>
      <w:r>
        <w:rPr>
          <w:rFonts w:hint="eastAsia"/>
          <w:color w:val="auto"/>
          <w:highlight w:val="none"/>
        </w:rPr>
        <w:t>第二章  供应商须知</w:t>
      </w:r>
      <w:bookmarkEnd w:id="4"/>
    </w:p>
    <w:p w14:paraId="5683ED93">
      <w:pPr>
        <w:jc w:val="center"/>
        <w:rPr>
          <w:rFonts w:hint="eastAsia" w:ascii="宋体" w:hAnsi="宋体" w:cs="宋体"/>
          <w:b/>
          <w:bCs/>
          <w:color w:val="auto"/>
          <w:szCs w:val="21"/>
          <w:highlight w:val="none"/>
        </w:rPr>
      </w:pPr>
      <w:bookmarkStart w:id="5" w:name="_Toc32234"/>
      <w:bookmarkStart w:id="6" w:name="_Toc30213"/>
      <w:r>
        <w:rPr>
          <w:rFonts w:hint="eastAsia" w:ascii="宋体" w:hAnsi="宋体" w:cs="宋体"/>
          <w:b/>
          <w:bCs/>
          <w:color w:val="auto"/>
          <w:szCs w:val="21"/>
          <w:highlight w:val="none"/>
        </w:rPr>
        <w:t>前 附 表</w:t>
      </w:r>
      <w:bookmarkEnd w:id="5"/>
      <w:bookmarkEnd w:id="6"/>
    </w:p>
    <w:tbl>
      <w:tblPr>
        <w:tblStyle w:val="3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1598"/>
        <w:gridCol w:w="7581"/>
      </w:tblGrid>
      <w:tr w14:paraId="6104D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FBD508D">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1A61A580">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  目</w:t>
            </w:r>
          </w:p>
        </w:tc>
        <w:tc>
          <w:tcPr>
            <w:tcW w:w="7581" w:type="dxa"/>
            <w:tcBorders>
              <w:top w:val="single" w:color="auto" w:sz="4" w:space="0"/>
              <w:left w:val="single" w:color="auto" w:sz="4" w:space="0"/>
              <w:bottom w:val="single" w:color="auto" w:sz="4" w:space="0"/>
              <w:right w:val="single" w:color="auto" w:sz="4" w:space="0"/>
            </w:tcBorders>
            <w:vAlign w:val="center"/>
          </w:tcPr>
          <w:p w14:paraId="4C58785E">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内容与要求</w:t>
            </w:r>
          </w:p>
        </w:tc>
      </w:tr>
      <w:tr w14:paraId="0BDD7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7AD449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vAlign w:val="center"/>
          </w:tcPr>
          <w:p w14:paraId="1F7139D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581" w:type="dxa"/>
            <w:tcBorders>
              <w:top w:val="single" w:color="auto" w:sz="4" w:space="0"/>
              <w:left w:val="single" w:color="auto" w:sz="4" w:space="0"/>
              <w:bottom w:val="single" w:color="auto" w:sz="4" w:space="0"/>
              <w:right w:val="single" w:color="auto" w:sz="4" w:space="0"/>
            </w:tcBorders>
            <w:vAlign w:val="center"/>
          </w:tcPr>
          <w:p w14:paraId="123D5CC3">
            <w:pPr>
              <w:spacing w:line="340" w:lineRule="exact"/>
              <w:rPr>
                <w:rFonts w:hint="eastAsia" w:ascii="宋体" w:hAnsi="宋体" w:eastAsia="宋体" w:cs="宋体"/>
                <w:bCs/>
                <w:color w:val="auto"/>
                <w:spacing w:val="-4"/>
                <w:sz w:val="18"/>
                <w:szCs w:val="18"/>
                <w:highlight w:val="none"/>
                <w:lang w:eastAsia="zh-CN"/>
              </w:rPr>
            </w:pPr>
            <w:r>
              <w:rPr>
                <w:rFonts w:hint="eastAsia" w:ascii="宋体" w:hAnsi="宋体" w:cs="宋体"/>
                <w:color w:val="auto"/>
                <w:kern w:val="0"/>
                <w:sz w:val="18"/>
                <w:szCs w:val="18"/>
                <w:highlight w:val="none"/>
                <w:lang w:eastAsia="zh-CN"/>
              </w:rPr>
              <w:t>2025年第六届浙江省户外运动大会赛事服务项目（二次）</w:t>
            </w:r>
          </w:p>
        </w:tc>
      </w:tr>
      <w:tr w14:paraId="056BE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2B5BAF1">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98" w:type="dxa"/>
            <w:tcBorders>
              <w:top w:val="single" w:color="auto" w:sz="4" w:space="0"/>
              <w:left w:val="single" w:color="auto" w:sz="4" w:space="0"/>
              <w:bottom w:val="single" w:color="auto" w:sz="4" w:space="0"/>
              <w:right w:val="single" w:color="auto" w:sz="4" w:space="0"/>
            </w:tcBorders>
            <w:vAlign w:val="center"/>
          </w:tcPr>
          <w:p w14:paraId="4BC8566C">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项目编号</w:t>
            </w:r>
          </w:p>
        </w:tc>
        <w:tc>
          <w:tcPr>
            <w:tcW w:w="7581" w:type="dxa"/>
            <w:tcBorders>
              <w:top w:val="single" w:color="auto" w:sz="4" w:space="0"/>
              <w:left w:val="single" w:color="auto" w:sz="4" w:space="0"/>
              <w:bottom w:val="single" w:color="auto" w:sz="4" w:space="0"/>
              <w:right w:val="single" w:color="auto" w:sz="4" w:space="0"/>
            </w:tcBorders>
            <w:vAlign w:val="center"/>
          </w:tcPr>
          <w:p w14:paraId="142BC54A">
            <w:pPr>
              <w:spacing w:line="340" w:lineRule="exac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AJKB-CS2025-023B</w:t>
            </w:r>
          </w:p>
        </w:tc>
      </w:tr>
      <w:tr w14:paraId="65CF8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FF3324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598" w:type="dxa"/>
            <w:tcBorders>
              <w:top w:val="single" w:color="auto" w:sz="4" w:space="0"/>
              <w:left w:val="single" w:color="auto" w:sz="4" w:space="0"/>
              <w:bottom w:val="single" w:color="auto" w:sz="4" w:space="0"/>
              <w:right w:val="single" w:color="auto" w:sz="4" w:space="0"/>
            </w:tcBorders>
            <w:vAlign w:val="center"/>
          </w:tcPr>
          <w:p w14:paraId="03A45A68">
            <w:pPr>
              <w:spacing w:line="40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磋商内容</w:t>
            </w:r>
          </w:p>
        </w:tc>
        <w:tc>
          <w:tcPr>
            <w:tcW w:w="7581" w:type="dxa"/>
            <w:tcBorders>
              <w:top w:val="single" w:color="auto" w:sz="4" w:space="0"/>
              <w:left w:val="single" w:color="auto" w:sz="4" w:space="0"/>
              <w:bottom w:val="single" w:color="auto" w:sz="4" w:space="0"/>
              <w:right w:val="single" w:color="auto" w:sz="4" w:space="0"/>
            </w:tcBorders>
            <w:vAlign w:val="center"/>
          </w:tcPr>
          <w:p w14:paraId="134E1368">
            <w:pPr>
              <w:rPr>
                <w:rFonts w:hint="eastAsia" w:ascii="宋体" w:hAnsi="宋体" w:cs="宋体"/>
                <w:bCs/>
                <w:color w:val="auto"/>
                <w:spacing w:val="-4"/>
                <w:sz w:val="18"/>
                <w:szCs w:val="18"/>
                <w:highlight w:val="none"/>
              </w:rPr>
            </w:pPr>
            <w:r>
              <w:rPr>
                <w:rFonts w:hint="eastAsia" w:ascii="宋体" w:hAnsi="宋体" w:cs="宋体"/>
                <w:color w:val="auto"/>
                <w:sz w:val="18"/>
                <w:szCs w:val="18"/>
                <w:highlight w:val="none"/>
              </w:rPr>
              <w:t>详见磋商需求</w:t>
            </w:r>
          </w:p>
        </w:tc>
      </w:tr>
      <w:tr w14:paraId="197F6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5D5DF6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98" w:type="dxa"/>
            <w:tcBorders>
              <w:top w:val="single" w:color="auto" w:sz="4" w:space="0"/>
              <w:left w:val="single" w:color="auto" w:sz="4" w:space="0"/>
              <w:bottom w:val="single" w:color="auto" w:sz="4" w:space="0"/>
              <w:right w:val="single" w:color="auto" w:sz="4" w:space="0"/>
            </w:tcBorders>
            <w:vAlign w:val="center"/>
          </w:tcPr>
          <w:p w14:paraId="26B042D5">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项目地点</w:t>
            </w:r>
          </w:p>
        </w:tc>
        <w:tc>
          <w:tcPr>
            <w:tcW w:w="7581" w:type="dxa"/>
            <w:tcBorders>
              <w:top w:val="single" w:color="auto" w:sz="4" w:space="0"/>
              <w:left w:val="single" w:color="auto" w:sz="4" w:space="0"/>
              <w:bottom w:val="single" w:color="auto" w:sz="4" w:space="0"/>
              <w:right w:val="single" w:color="auto" w:sz="4" w:space="0"/>
            </w:tcBorders>
            <w:vAlign w:val="center"/>
          </w:tcPr>
          <w:p w14:paraId="12E7F652">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采购人指定地点。</w:t>
            </w:r>
          </w:p>
        </w:tc>
      </w:tr>
      <w:tr w14:paraId="3F4DF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E94C02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14:paraId="0F62E395">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磋商保证金</w:t>
            </w:r>
          </w:p>
        </w:tc>
        <w:tc>
          <w:tcPr>
            <w:tcW w:w="7581" w:type="dxa"/>
            <w:tcBorders>
              <w:top w:val="single" w:color="auto" w:sz="4" w:space="0"/>
              <w:left w:val="single" w:color="auto" w:sz="4" w:space="0"/>
              <w:bottom w:val="single" w:color="auto" w:sz="4" w:space="0"/>
              <w:right w:val="single" w:color="auto" w:sz="4" w:space="0"/>
            </w:tcBorders>
            <w:vAlign w:val="center"/>
          </w:tcPr>
          <w:p w14:paraId="5AC2B2E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53A3F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E471C8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98" w:type="dxa"/>
            <w:tcBorders>
              <w:top w:val="single" w:color="auto" w:sz="4" w:space="0"/>
              <w:left w:val="single" w:color="auto" w:sz="4" w:space="0"/>
              <w:bottom w:val="single" w:color="auto" w:sz="4" w:space="0"/>
              <w:right w:val="single" w:color="auto" w:sz="4" w:space="0"/>
            </w:tcBorders>
            <w:vAlign w:val="center"/>
          </w:tcPr>
          <w:p w14:paraId="768D1B6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磋商报价及费用</w:t>
            </w:r>
          </w:p>
          <w:p w14:paraId="6694B2DC">
            <w:pPr>
              <w:jc w:val="center"/>
              <w:rPr>
                <w:rFonts w:hint="eastAsia" w:ascii="宋体" w:hAnsi="宋体" w:cs="宋体"/>
                <w:bCs/>
                <w:color w:val="auto"/>
                <w:sz w:val="18"/>
                <w:szCs w:val="18"/>
                <w:highlight w:val="none"/>
              </w:rPr>
            </w:pPr>
            <w:r>
              <w:rPr>
                <w:rFonts w:hint="eastAsia" w:ascii="宋体" w:hAnsi="宋体" w:cs="宋体"/>
                <w:color w:val="auto"/>
                <w:sz w:val="18"/>
                <w:szCs w:val="18"/>
                <w:highlight w:val="none"/>
              </w:rPr>
              <w:t>采购代理费</w:t>
            </w:r>
          </w:p>
        </w:tc>
        <w:tc>
          <w:tcPr>
            <w:tcW w:w="7581" w:type="dxa"/>
            <w:tcBorders>
              <w:top w:val="single" w:color="auto" w:sz="4" w:space="0"/>
              <w:left w:val="single" w:color="auto" w:sz="4" w:space="0"/>
              <w:bottom w:val="single" w:color="auto" w:sz="4" w:space="0"/>
              <w:right w:val="single" w:color="auto" w:sz="4" w:space="0"/>
            </w:tcBorders>
            <w:vAlign w:val="center"/>
          </w:tcPr>
          <w:p w14:paraId="2BF6B270">
            <w:pPr>
              <w:rPr>
                <w:rFonts w:hint="eastAsia" w:ascii="宋体" w:hAnsi="宋体" w:cs="宋体"/>
                <w:color w:val="auto"/>
                <w:sz w:val="18"/>
                <w:szCs w:val="18"/>
                <w:highlight w:val="none"/>
              </w:rPr>
            </w:pPr>
            <w:r>
              <w:rPr>
                <w:rFonts w:hint="eastAsia" w:ascii="宋体" w:hAnsi="宋体" w:cs="宋体"/>
                <w:color w:val="auto"/>
                <w:sz w:val="18"/>
                <w:szCs w:val="18"/>
                <w:highlight w:val="none"/>
              </w:rPr>
              <w:t>1、本项目应以人民币报价；</w:t>
            </w:r>
          </w:p>
          <w:p w14:paraId="05CD00B8">
            <w:pPr>
              <w:rPr>
                <w:rFonts w:hint="eastAsia" w:ascii="宋体" w:hAnsi="宋体" w:cs="宋体"/>
                <w:color w:val="auto"/>
                <w:sz w:val="18"/>
                <w:szCs w:val="18"/>
                <w:highlight w:val="none"/>
              </w:rPr>
            </w:pPr>
            <w:r>
              <w:rPr>
                <w:rFonts w:hint="eastAsia" w:ascii="宋体" w:hAnsi="宋体" w:cs="宋体"/>
                <w:color w:val="auto"/>
                <w:sz w:val="18"/>
                <w:szCs w:val="18"/>
                <w:highlight w:val="none"/>
              </w:rPr>
              <w:t>2、不论磋商结果如何，供应商均应自行承担所有与磋商有关的全部费用；</w:t>
            </w:r>
          </w:p>
          <w:p w14:paraId="20E557F4">
            <w:pPr>
              <w:rPr>
                <w:rFonts w:hint="eastAsia" w:ascii="宋体" w:hAnsi="宋体" w:cs="宋体"/>
                <w:color w:val="auto"/>
                <w:sz w:val="18"/>
                <w:szCs w:val="18"/>
                <w:highlight w:val="none"/>
              </w:rPr>
            </w:pPr>
            <w:r>
              <w:rPr>
                <w:rFonts w:hint="eastAsia" w:ascii="宋体" w:hAnsi="宋体" w:cs="宋体"/>
                <w:color w:val="auto"/>
                <w:sz w:val="18"/>
                <w:szCs w:val="18"/>
                <w:highlight w:val="none"/>
              </w:rPr>
              <w:t>3、采购代理费用由成交供应商支付，收费额按照成交总价计算，100万（含）以内的按1.5%，100万-500万（含）的按0.8%，差额定律累进法计算。不足5500元按5500元计算。</w:t>
            </w:r>
          </w:p>
          <w:p w14:paraId="32A309BE">
            <w:pPr>
              <w:rPr>
                <w:rFonts w:hint="eastAsia" w:ascii="宋体" w:hAnsi="宋体" w:cs="宋体"/>
                <w:color w:val="auto"/>
                <w:sz w:val="18"/>
                <w:szCs w:val="18"/>
                <w:highlight w:val="none"/>
              </w:rPr>
            </w:pPr>
            <w:r>
              <w:rPr>
                <w:rFonts w:hint="eastAsia" w:ascii="宋体" w:hAnsi="宋体" w:cs="宋体"/>
                <w:color w:val="auto"/>
                <w:sz w:val="18"/>
                <w:szCs w:val="18"/>
                <w:highlight w:val="none"/>
              </w:rPr>
              <w:t>账户名称：安吉口碑采购代理服务有限公司</w:t>
            </w:r>
          </w:p>
          <w:p w14:paraId="4DE1C300">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开户银行：浙江安吉农村商业银行股份有限公司城西支行</w:t>
            </w:r>
          </w:p>
          <w:p w14:paraId="302F7876">
            <w:pPr>
              <w:rPr>
                <w:rFonts w:hint="eastAsia" w:ascii="宋体" w:hAnsi="宋体" w:cs="宋体"/>
                <w:bCs/>
                <w:color w:val="auto"/>
                <w:sz w:val="18"/>
                <w:szCs w:val="18"/>
                <w:highlight w:val="none"/>
              </w:rPr>
            </w:pPr>
            <w:r>
              <w:rPr>
                <w:rFonts w:hint="eastAsia" w:ascii="宋体" w:hAnsi="宋体" w:cs="宋体"/>
                <w:color w:val="auto"/>
                <w:kern w:val="0"/>
                <w:sz w:val="18"/>
                <w:szCs w:val="18"/>
                <w:highlight w:val="none"/>
              </w:rPr>
              <w:t>账户号码：2010 0035 8391 487</w:t>
            </w:r>
          </w:p>
        </w:tc>
      </w:tr>
      <w:tr w14:paraId="1E446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1E586EA">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598" w:type="dxa"/>
            <w:tcBorders>
              <w:top w:val="single" w:color="auto" w:sz="4" w:space="0"/>
              <w:left w:val="single" w:color="auto" w:sz="4" w:space="0"/>
              <w:bottom w:val="single" w:color="auto" w:sz="4" w:space="0"/>
              <w:right w:val="single" w:color="auto" w:sz="4" w:space="0"/>
            </w:tcBorders>
            <w:vAlign w:val="center"/>
          </w:tcPr>
          <w:p w14:paraId="2859F577">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质疑及投诉</w:t>
            </w:r>
          </w:p>
        </w:tc>
        <w:tc>
          <w:tcPr>
            <w:tcW w:w="7581" w:type="dxa"/>
            <w:tcBorders>
              <w:top w:val="single" w:color="auto" w:sz="4" w:space="0"/>
              <w:left w:val="single" w:color="auto" w:sz="4" w:space="0"/>
              <w:bottom w:val="single" w:color="auto" w:sz="4" w:space="0"/>
              <w:right w:val="single" w:color="auto" w:sz="4" w:space="0"/>
            </w:tcBorders>
            <w:vAlign w:val="center"/>
          </w:tcPr>
          <w:p w14:paraId="49FD4E5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5AAD13A">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2BB77FFF">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zh-CN"/>
              </w:rPr>
              <w:t>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13A2B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1894123C">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598" w:type="dxa"/>
            <w:tcBorders>
              <w:top w:val="single" w:color="auto" w:sz="4" w:space="0"/>
              <w:left w:val="single" w:color="auto" w:sz="4" w:space="0"/>
              <w:bottom w:val="single" w:color="auto" w:sz="4" w:space="0"/>
              <w:right w:val="single" w:color="auto" w:sz="4" w:space="0"/>
            </w:tcBorders>
            <w:vAlign w:val="center"/>
          </w:tcPr>
          <w:p w14:paraId="1C9BC20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响应文件的制作和组成</w:t>
            </w:r>
          </w:p>
        </w:tc>
        <w:tc>
          <w:tcPr>
            <w:tcW w:w="7581" w:type="dxa"/>
            <w:tcBorders>
              <w:top w:val="single" w:color="auto" w:sz="4" w:space="0"/>
              <w:left w:val="single" w:color="auto" w:sz="4" w:space="0"/>
              <w:bottom w:val="single" w:color="auto" w:sz="4" w:space="0"/>
              <w:right w:val="single" w:color="auto" w:sz="4" w:space="0"/>
            </w:tcBorders>
            <w:vAlign w:val="center"/>
          </w:tcPr>
          <w:p w14:paraId="1D32127D">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1)响应</w:t>
            </w:r>
            <w:r>
              <w:rPr>
                <w:rFonts w:hint="eastAsia" w:ascii="宋体" w:hAnsi="宋体" w:cs="宋体"/>
                <w:color w:val="auto"/>
                <w:kern w:val="0"/>
                <w:sz w:val="18"/>
                <w:szCs w:val="18"/>
                <w:highlight w:val="none"/>
                <w:lang w:val="zh-CN"/>
              </w:rPr>
              <w:t>文件组成：</w:t>
            </w:r>
          </w:p>
          <w:p w14:paraId="6CF48B9B">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资格证明文件、</w:t>
            </w:r>
            <w:r>
              <w:rPr>
                <w:rFonts w:hint="eastAsia" w:ascii="宋体" w:hAnsi="宋体" w:cs="宋体"/>
                <w:color w:val="auto"/>
                <w:kern w:val="0"/>
                <w:sz w:val="18"/>
                <w:szCs w:val="18"/>
                <w:highlight w:val="none"/>
                <w:lang w:val="zh-CN"/>
              </w:rPr>
              <w:t>技术商务文件、</w:t>
            </w:r>
            <w:r>
              <w:rPr>
                <w:rFonts w:hint="eastAsia" w:ascii="宋体" w:hAnsi="宋体" w:cs="宋体"/>
                <w:color w:val="auto"/>
                <w:kern w:val="0"/>
                <w:sz w:val="18"/>
                <w:szCs w:val="18"/>
                <w:highlight w:val="none"/>
              </w:rPr>
              <w:t>报价文件。</w:t>
            </w:r>
          </w:p>
          <w:p w14:paraId="68B5584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(2)响应文件编制：</w:t>
            </w:r>
          </w:p>
          <w:p w14:paraId="2AEB27DC">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供应商应先安装“政采云电子交易客户端”，并按照本采购文件和“政采云平台”的要求，通过“政采云电子交易客户端”编制并加密响应文件。</w:t>
            </w:r>
          </w:p>
          <w:p w14:paraId="0D2F53DF">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(3)响应文件的形式：</w:t>
            </w:r>
          </w:p>
          <w:p w14:paraId="254C2040">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☑电子响应文件（包括“电子加密响应文件”和“备份响应文件”，在响应文件编制完成后同时生成）。</w:t>
            </w:r>
          </w:p>
          <w:p w14:paraId="0380E543">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147C5F0A">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(4)响应文件份数：</w:t>
            </w:r>
          </w:p>
          <w:p w14:paraId="2CE7B83D">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“电子加密响应文件”(必须提交）：在线上传递交一份。</w:t>
            </w:r>
          </w:p>
        </w:tc>
      </w:tr>
      <w:tr w14:paraId="077CE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636633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598" w:type="dxa"/>
            <w:tcBorders>
              <w:top w:val="single" w:color="auto" w:sz="4" w:space="0"/>
              <w:left w:val="single" w:color="auto" w:sz="4" w:space="0"/>
              <w:bottom w:val="single" w:color="auto" w:sz="4" w:space="0"/>
              <w:right w:val="single" w:color="auto" w:sz="4" w:space="0"/>
            </w:tcBorders>
            <w:vAlign w:val="center"/>
          </w:tcPr>
          <w:p w14:paraId="6663FBFC">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响应文件的上传和递交</w:t>
            </w:r>
          </w:p>
        </w:tc>
        <w:tc>
          <w:tcPr>
            <w:tcW w:w="7581" w:type="dxa"/>
            <w:tcBorders>
              <w:top w:val="single" w:color="auto" w:sz="4" w:space="0"/>
              <w:left w:val="single" w:color="auto" w:sz="4" w:space="0"/>
              <w:bottom w:val="single" w:color="auto" w:sz="4" w:space="0"/>
              <w:right w:val="single" w:color="auto" w:sz="4" w:space="0"/>
            </w:tcBorders>
            <w:vAlign w:val="center"/>
          </w:tcPr>
          <w:p w14:paraId="245E3EA3">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（1）“电子加密响应文件”的上传、递交：</w:t>
            </w:r>
          </w:p>
          <w:p w14:paraId="1BEEC10B">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供应商应在响应文件递交截止时间前将“电子加密响应文件”成功上传递交至“政采云平台”，否则响应文件无效。</w:t>
            </w:r>
          </w:p>
          <w:p w14:paraId="5C3D89A5">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“电子加密响应文件”成功上传递交后，供应商可自行打印响应文件接收回执。</w:t>
            </w:r>
          </w:p>
          <w:p w14:paraId="691004AD">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（2）“备份响应文件”的密封包装、递交：</w:t>
            </w:r>
          </w:p>
          <w:p w14:paraId="6434553C">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供应商在“政采云平台”完成“电子加密响应文件”的上传递交后，还可以在响应文件递交截止时间前递交以介质（U盘）存储的 “备份响应文件”（一份）；</w:t>
            </w:r>
          </w:p>
          <w:p w14:paraId="31EBFED8">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“备份响应文件”应当密封包装，并在包装上标注投标项目名称、投标单位名称并加盖公章。没有密封包装或者逾期送达的“备份响应文件”无效；</w:t>
            </w:r>
          </w:p>
          <w:p w14:paraId="51B0A897">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5780F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762B6CA">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598" w:type="dxa"/>
            <w:tcBorders>
              <w:top w:val="single" w:color="auto" w:sz="4" w:space="0"/>
              <w:left w:val="single" w:color="auto" w:sz="4" w:space="0"/>
              <w:bottom w:val="single" w:color="auto" w:sz="4" w:space="0"/>
              <w:right w:val="single" w:color="auto" w:sz="4" w:space="0"/>
            </w:tcBorders>
            <w:vAlign w:val="center"/>
          </w:tcPr>
          <w:p w14:paraId="112F1AA3">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磋商响应文件提交截止时间</w:t>
            </w:r>
          </w:p>
        </w:tc>
        <w:tc>
          <w:tcPr>
            <w:tcW w:w="7581" w:type="dxa"/>
            <w:tcBorders>
              <w:top w:val="single" w:color="auto" w:sz="4" w:space="0"/>
              <w:left w:val="single" w:color="auto" w:sz="4" w:space="0"/>
              <w:bottom w:val="single" w:color="auto" w:sz="4" w:space="0"/>
              <w:right w:val="single" w:color="auto" w:sz="4" w:space="0"/>
            </w:tcBorders>
            <w:vAlign w:val="center"/>
          </w:tcPr>
          <w:p w14:paraId="2C2E8FE9">
            <w:pPr>
              <w:pStyle w:val="27"/>
              <w:spacing w:before="0" w:beforeAutospacing="0" w:after="0" w:afterAutospacing="0" w:line="360" w:lineRule="auto"/>
              <w:ind w:firstLine="360" w:firstLineChars="200"/>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eastAsia="zh-CN"/>
              </w:rPr>
              <w:t>2025年</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lang w:eastAsia="zh-CN"/>
              </w:rPr>
              <w:t>月</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lang w:eastAsia="zh-CN"/>
              </w:rPr>
              <w:t>日09:00时</w:t>
            </w:r>
            <w:r>
              <w:rPr>
                <w:rFonts w:hint="eastAsia" w:ascii="宋体" w:hAnsi="宋体" w:eastAsia="宋体" w:cs="宋体"/>
                <w:color w:val="auto"/>
                <w:sz w:val="18"/>
                <w:szCs w:val="18"/>
                <w:highlight w:val="none"/>
              </w:rPr>
              <w:t>（北京时间）</w:t>
            </w:r>
          </w:p>
        </w:tc>
      </w:tr>
      <w:tr w14:paraId="28FEA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ECB550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598" w:type="dxa"/>
            <w:tcBorders>
              <w:top w:val="single" w:color="auto" w:sz="4" w:space="0"/>
              <w:left w:val="single" w:color="auto" w:sz="4" w:space="0"/>
              <w:bottom w:val="single" w:color="auto" w:sz="4" w:space="0"/>
              <w:right w:val="single" w:color="auto" w:sz="4" w:space="0"/>
            </w:tcBorders>
            <w:vAlign w:val="center"/>
          </w:tcPr>
          <w:p w14:paraId="24CE4EB3">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磋商响应文件提交地点</w:t>
            </w:r>
          </w:p>
        </w:tc>
        <w:tc>
          <w:tcPr>
            <w:tcW w:w="7581" w:type="dxa"/>
            <w:tcBorders>
              <w:top w:val="single" w:color="auto" w:sz="4" w:space="0"/>
              <w:left w:val="single" w:color="auto" w:sz="4" w:space="0"/>
              <w:bottom w:val="single" w:color="auto" w:sz="4" w:space="0"/>
              <w:right w:val="single" w:color="auto" w:sz="4" w:space="0"/>
            </w:tcBorders>
            <w:vAlign w:val="center"/>
          </w:tcPr>
          <w:p w14:paraId="342A0633">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14:paraId="01622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972B231">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598" w:type="dxa"/>
            <w:tcBorders>
              <w:top w:val="single" w:color="auto" w:sz="4" w:space="0"/>
              <w:left w:val="single" w:color="auto" w:sz="4" w:space="0"/>
              <w:bottom w:val="single" w:color="auto" w:sz="4" w:space="0"/>
              <w:right w:val="single" w:color="auto" w:sz="4" w:space="0"/>
            </w:tcBorders>
            <w:vAlign w:val="center"/>
          </w:tcPr>
          <w:p w14:paraId="7750E44A">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磋商时间（磋商截止时间）</w:t>
            </w:r>
          </w:p>
        </w:tc>
        <w:tc>
          <w:tcPr>
            <w:tcW w:w="7581" w:type="dxa"/>
            <w:tcBorders>
              <w:top w:val="single" w:color="auto" w:sz="4" w:space="0"/>
              <w:left w:val="single" w:color="auto" w:sz="4" w:space="0"/>
              <w:bottom w:val="single" w:color="auto" w:sz="4" w:space="0"/>
              <w:right w:val="single" w:color="auto" w:sz="4" w:space="0"/>
            </w:tcBorders>
            <w:vAlign w:val="center"/>
          </w:tcPr>
          <w:p w14:paraId="480B46D9">
            <w:pPr>
              <w:pStyle w:val="27"/>
              <w:spacing w:before="0" w:beforeAutospacing="0" w:after="0" w:afterAutospacing="0" w:line="360" w:lineRule="auto"/>
              <w:ind w:firstLine="360" w:firstLineChars="200"/>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2025年</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lang w:eastAsia="zh-CN"/>
              </w:rPr>
              <w:t>月</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lang w:eastAsia="zh-CN"/>
              </w:rPr>
              <w:t>日09:00时</w:t>
            </w:r>
            <w:r>
              <w:rPr>
                <w:rFonts w:hint="eastAsia" w:ascii="宋体" w:hAnsi="宋体" w:eastAsia="宋体" w:cs="宋体"/>
                <w:color w:val="auto"/>
                <w:sz w:val="18"/>
                <w:szCs w:val="18"/>
                <w:highlight w:val="none"/>
              </w:rPr>
              <w:t>（北京时间）</w:t>
            </w:r>
          </w:p>
        </w:tc>
      </w:tr>
      <w:tr w14:paraId="4D10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CB34B21">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598" w:type="dxa"/>
            <w:tcBorders>
              <w:top w:val="single" w:color="auto" w:sz="4" w:space="0"/>
              <w:left w:val="single" w:color="auto" w:sz="4" w:space="0"/>
              <w:bottom w:val="single" w:color="auto" w:sz="4" w:space="0"/>
              <w:right w:val="single" w:color="auto" w:sz="4" w:space="0"/>
            </w:tcBorders>
            <w:vAlign w:val="center"/>
          </w:tcPr>
          <w:p w14:paraId="6464EB1F">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磋商地点</w:t>
            </w:r>
          </w:p>
        </w:tc>
        <w:tc>
          <w:tcPr>
            <w:tcW w:w="7581" w:type="dxa"/>
            <w:tcBorders>
              <w:top w:val="single" w:color="auto" w:sz="4" w:space="0"/>
              <w:left w:val="single" w:color="auto" w:sz="4" w:space="0"/>
              <w:bottom w:val="single" w:color="auto" w:sz="4" w:space="0"/>
              <w:right w:val="single" w:color="auto" w:sz="4" w:space="0"/>
            </w:tcBorders>
            <w:vAlign w:val="center"/>
          </w:tcPr>
          <w:p w14:paraId="338ED737">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14:paraId="2F44C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30469E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598" w:type="dxa"/>
            <w:tcBorders>
              <w:top w:val="single" w:color="auto" w:sz="4" w:space="0"/>
              <w:left w:val="single" w:color="auto" w:sz="4" w:space="0"/>
              <w:bottom w:val="single" w:color="auto" w:sz="4" w:space="0"/>
              <w:right w:val="single" w:color="auto" w:sz="4" w:space="0"/>
            </w:tcBorders>
            <w:vAlign w:val="center"/>
          </w:tcPr>
          <w:p w14:paraId="166C5131">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电子加密响应文件的解密和异常情况处理</w:t>
            </w:r>
          </w:p>
        </w:tc>
        <w:tc>
          <w:tcPr>
            <w:tcW w:w="7581" w:type="dxa"/>
            <w:tcBorders>
              <w:top w:val="single" w:color="auto" w:sz="4" w:space="0"/>
              <w:left w:val="single" w:color="auto" w:sz="4" w:space="0"/>
              <w:bottom w:val="single" w:color="auto" w:sz="4" w:space="0"/>
              <w:right w:val="single" w:color="auto" w:sz="4" w:space="0"/>
            </w:tcBorders>
            <w:vAlign w:val="center"/>
          </w:tcPr>
          <w:p w14:paraId="3CAEB012">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（1）磋商响应截止时间后，采购组织机构将向各供应商发出“电子加密响应文件”的解密通知，各供应商代表应当在接到解密通知后30分钟内自行完成“电子加密响应文件”的在线解密。</w:t>
            </w:r>
          </w:p>
          <w:p w14:paraId="7BDC14B0">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539924E8">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（3）磋商截止时间前，供应商仅递交了“备份响应文件”而未将电子加密响应文件上传至“政府采购云平台”的，磋商无效。</w:t>
            </w:r>
          </w:p>
        </w:tc>
      </w:tr>
      <w:tr w14:paraId="5EB30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C4D34D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598" w:type="dxa"/>
            <w:tcBorders>
              <w:top w:val="single" w:color="auto" w:sz="4" w:space="0"/>
              <w:left w:val="single" w:color="auto" w:sz="4" w:space="0"/>
              <w:bottom w:val="single" w:color="auto" w:sz="4" w:space="0"/>
              <w:right w:val="single" w:color="auto" w:sz="4" w:space="0"/>
            </w:tcBorders>
            <w:vAlign w:val="center"/>
          </w:tcPr>
          <w:p w14:paraId="147F3844">
            <w:pPr>
              <w:pStyle w:val="7"/>
              <w:spacing w:line="240"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rPr>
              <w:t>可中止电子交易活动的情形</w:t>
            </w:r>
          </w:p>
        </w:tc>
        <w:tc>
          <w:tcPr>
            <w:tcW w:w="7581" w:type="dxa"/>
            <w:tcBorders>
              <w:top w:val="single" w:color="auto" w:sz="4" w:space="0"/>
              <w:left w:val="single" w:color="auto" w:sz="4" w:space="0"/>
              <w:bottom w:val="single" w:color="auto" w:sz="4" w:space="0"/>
              <w:right w:val="single" w:color="auto" w:sz="4" w:space="0"/>
            </w:tcBorders>
            <w:vAlign w:val="center"/>
          </w:tcPr>
          <w:p w14:paraId="358F4D57">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采购过程中出现以下情形，导致电子交易平台无法正常运行，或者无法保证电子交易的公平、公正和安全时，采购组织机构可中止电子交易活动：</w:t>
            </w:r>
          </w:p>
          <w:p w14:paraId="5712714A">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（1）电子交易平台发生故障而无法登录访问的；</w:t>
            </w:r>
          </w:p>
          <w:p w14:paraId="104F5AA0">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（2）电子交易平台应用或数据库出现错误，不能进行正常操作的；</w:t>
            </w:r>
          </w:p>
          <w:p w14:paraId="0DAF6724">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（3）电子交易平台发现严重安全漏洞，有潜在泄密危险的；</w:t>
            </w:r>
          </w:p>
          <w:p w14:paraId="410A0C11">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（4）病毒发作导致不能进行正常操作的；</w:t>
            </w:r>
          </w:p>
          <w:p w14:paraId="439BD5A1">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（5）其他无法保证电子交易的公平、公正和安全的情况。</w:t>
            </w:r>
          </w:p>
          <w:p w14:paraId="458CAA43">
            <w:pPr>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03477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3844B7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598" w:type="dxa"/>
            <w:tcBorders>
              <w:top w:val="single" w:color="auto" w:sz="4" w:space="0"/>
              <w:left w:val="single" w:color="auto" w:sz="4" w:space="0"/>
              <w:bottom w:val="single" w:color="auto" w:sz="4" w:space="0"/>
              <w:right w:val="single" w:color="auto" w:sz="4" w:space="0"/>
            </w:tcBorders>
            <w:vAlign w:val="center"/>
          </w:tcPr>
          <w:p w14:paraId="782DE9E2">
            <w:pPr>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评审办法</w:t>
            </w:r>
          </w:p>
        </w:tc>
        <w:tc>
          <w:tcPr>
            <w:tcW w:w="7581" w:type="dxa"/>
            <w:tcBorders>
              <w:top w:val="single" w:color="auto" w:sz="4" w:space="0"/>
              <w:left w:val="single" w:color="auto" w:sz="4" w:space="0"/>
              <w:bottom w:val="single" w:color="auto" w:sz="4" w:space="0"/>
              <w:right w:val="single" w:color="auto" w:sz="4" w:space="0"/>
            </w:tcBorders>
            <w:vAlign w:val="center"/>
          </w:tcPr>
          <w:p w14:paraId="1E982664">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详见本磋商文件第四章</w:t>
            </w:r>
          </w:p>
        </w:tc>
      </w:tr>
      <w:tr w14:paraId="7942F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C000FEF">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98" w:type="dxa"/>
            <w:tcBorders>
              <w:top w:val="single" w:color="auto" w:sz="4" w:space="0"/>
              <w:left w:val="single" w:color="auto" w:sz="4" w:space="0"/>
              <w:bottom w:val="single" w:color="auto" w:sz="4" w:space="0"/>
              <w:right w:val="single" w:color="auto" w:sz="4" w:space="0"/>
            </w:tcBorders>
            <w:vAlign w:val="center"/>
          </w:tcPr>
          <w:p w14:paraId="5D3CBA4B">
            <w:pPr>
              <w:autoSpaceDE w:val="0"/>
              <w:autoSpaceDN w:val="0"/>
              <w:adjustRightInd w:val="0"/>
              <w:snapToGrid w:val="0"/>
              <w:jc w:val="center"/>
              <w:textAlignment w:val="bottom"/>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成交公告及成交通知书</w:t>
            </w:r>
          </w:p>
        </w:tc>
        <w:tc>
          <w:tcPr>
            <w:tcW w:w="7581" w:type="dxa"/>
            <w:tcBorders>
              <w:top w:val="single" w:color="auto" w:sz="4" w:space="0"/>
              <w:left w:val="single" w:color="auto" w:sz="4" w:space="0"/>
              <w:bottom w:val="single" w:color="auto" w:sz="4" w:space="0"/>
              <w:right w:val="single" w:color="auto" w:sz="4" w:space="0"/>
            </w:tcBorders>
            <w:vAlign w:val="center"/>
          </w:tcPr>
          <w:p w14:paraId="26FDC4C3">
            <w:pPr>
              <w:autoSpaceDE w:val="0"/>
              <w:autoSpaceDN w:val="0"/>
              <w:rPr>
                <w:rFonts w:hint="eastAsia" w:ascii="宋体" w:hAnsi="宋体" w:cs="宋体"/>
                <w:color w:val="auto"/>
                <w:sz w:val="18"/>
                <w:szCs w:val="18"/>
                <w:highlight w:val="none"/>
              </w:rPr>
            </w:pPr>
            <w:r>
              <w:rPr>
                <w:rFonts w:hint="eastAsia" w:ascii="宋体" w:hAnsi="宋体" w:cs="宋体"/>
                <w:color w:val="auto"/>
                <w:sz w:val="18"/>
                <w:szCs w:val="18"/>
                <w:highlight w:val="none"/>
              </w:rPr>
              <w:t>　　采购人依法确定成交供应商2个工作日内，发出成交通知书。</w:t>
            </w:r>
          </w:p>
          <w:p w14:paraId="3F406603">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　　同时成交公告发布于浙江政府采购网  (</w:t>
            </w:r>
            <w:r>
              <w:rPr>
                <w:rFonts w:hint="eastAsia" w:ascii="宋体" w:hAnsi="宋体" w:cs="宋体"/>
                <w:color w:val="auto"/>
                <w:sz w:val="18"/>
                <w:szCs w:val="18"/>
                <w:highlight w:val="none"/>
                <w:u w:val="single"/>
              </w:rPr>
              <w:t>http://zfcg.czt.zj.gov.cn/</w:t>
            </w:r>
            <w:r>
              <w:rPr>
                <w:rFonts w:hint="eastAsia" w:ascii="宋体" w:hAnsi="宋体" w:cs="宋体"/>
                <w:color w:val="auto"/>
                <w:sz w:val="18"/>
                <w:szCs w:val="18"/>
                <w:highlight w:val="none"/>
              </w:rPr>
              <w:t>)、安吉县公共资源交易网（</w:t>
            </w:r>
            <w:r>
              <w:rPr>
                <w:rFonts w:ascii="宋体" w:hAnsi="宋体" w:cs="宋体"/>
                <w:color w:val="auto"/>
                <w:sz w:val="18"/>
                <w:szCs w:val="18"/>
                <w:highlight w:val="none"/>
                <w:u w:val="single"/>
              </w:rPr>
              <w:t xml:space="preserve"> http://www.anji.gov.cn/col/col1229656840/index.html</w:t>
            </w:r>
            <w:r>
              <w:rPr>
                <w:rFonts w:hint="eastAsia" w:ascii="宋体" w:hAnsi="宋体" w:cs="宋体"/>
                <w:color w:val="auto"/>
                <w:sz w:val="18"/>
                <w:szCs w:val="18"/>
                <w:highlight w:val="none"/>
              </w:rPr>
              <w:t>），成交公告期限为1个工作日。成交供应商的《中小企业声明函》（如有）随成交结果同时公告。</w:t>
            </w:r>
          </w:p>
        </w:tc>
      </w:tr>
      <w:tr w14:paraId="071A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65128A86">
            <w:pPr>
              <w:spacing w:line="340" w:lineRule="exact"/>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19</w:t>
            </w:r>
          </w:p>
        </w:tc>
        <w:tc>
          <w:tcPr>
            <w:tcW w:w="1598" w:type="dxa"/>
            <w:tcBorders>
              <w:top w:val="single" w:color="auto" w:sz="4" w:space="0"/>
              <w:left w:val="single" w:color="auto" w:sz="4" w:space="0"/>
              <w:bottom w:val="single" w:color="auto" w:sz="4" w:space="0"/>
              <w:right w:val="single" w:color="auto" w:sz="4" w:space="0"/>
            </w:tcBorders>
            <w:vAlign w:val="center"/>
          </w:tcPr>
          <w:p w14:paraId="6D4C133F">
            <w:pPr>
              <w:autoSpaceDE w:val="0"/>
              <w:autoSpaceDN w:val="0"/>
              <w:adjustRightInd w:val="0"/>
              <w:snapToGrid w:val="0"/>
              <w:jc w:val="center"/>
              <w:textAlignment w:val="bottom"/>
              <w:rPr>
                <w:rFonts w:hint="eastAsia" w:ascii="宋体" w:hAnsi="宋体" w:cs="宋体"/>
                <w:b/>
                <w:color w:val="auto"/>
                <w:sz w:val="18"/>
                <w:szCs w:val="18"/>
                <w:highlight w:val="none"/>
              </w:rPr>
            </w:pPr>
            <w:r>
              <w:rPr>
                <w:rFonts w:hint="eastAsia" w:ascii="宋体" w:hAnsi="宋体" w:cs="宋体"/>
                <w:bCs/>
                <w:color w:val="auto"/>
                <w:sz w:val="18"/>
                <w:szCs w:val="18"/>
                <w:highlight w:val="none"/>
              </w:rPr>
              <w:t>履约保证金</w:t>
            </w:r>
          </w:p>
        </w:tc>
        <w:tc>
          <w:tcPr>
            <w:tcW w:w="7581" w:type="dxa"/>
            <w:tcBorders>
              <w:top w:val="single" w:color="auto" w:sz="4" w:space="0"/>
              <w:left w:val="single" w:color="auto" w:sz="4" w:space="0"/>
              <w:bottom w:val="single" w:color="auto" w:sz="4" w:space="0"/>
              <w:right w:val="single" w:color="auto" w:sz="4" w:space="0"/>
            </w:tcBorders>
            <w:vAlign w:val="center"/>
          </w:tcPr>
          <w:p w14:paraId="070CD566">
            <w:pPr>
              <w:spacing w:line="360" w:lineRule="auto"/>
              <w:ind w:firstLine="360" w:firstLineChars="200"/>
              <w:rPr>
                <w:b/>
                <w:color w:val="auto"/>
                <w:sz w:val="18"/>
                <w:szCs w:val="18"/>
                <w:highlight w:val="none"/>
              </w:rPr>
            </w:pPr>
            <w:r>
              <w:rPr>
                <w:rFonts w:hint="eastAsia"/>
                <w:bCs/>
                <w:color w:val="auto"/>
                <w:sz w:val="18"/>
                <w:szCs w:val="18"/>
                <w:highlight w:val="none"/>
              </w:rPr>
              <w:t>不收取</w:t>
            </w:r>
          </w:p>
        </w:tc>
      </w:tr>
      <w:tr w14:paraId="1BDF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ACBC214">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598" w:type="dxa"/>
            <w:tcBorders>
              <w:top w:val="single" w:color="auto" w:sz="4" w:space="0"/>
              <w:left w:val="single" w:color="auto" w:sz="4" w:space="0"/>
              <w:bottom w:val="single" w:color="auto" w:sz="4" w:space="0"/>
              <w:right w:val="single" w:color="auto" w:sz="4" w:space="0"/>
            </w:tcBorders>
            <w:vAlign w:val="center"/>
          </w:tcPr>
          <w:p w14:paraId="5E41198D">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签订合同</w:t>
            </w:r>
          </w:p>
        </w:tc>
        <w:tc>
          <w:tcPr>
            <w:tcW w:w="7581" w:type="dxa"/>
            <w:tcBorders>
              <w:top w:val="single" w:color="auto" w:sz="4" w:space="0"/>
              <w:left w:val="single" w:color="auto" w:sz="4" w:space="0"/>
              <w:bottom w:val="single" w:color="auto" w:sz="4" w:space="0"/>
              <w:right w:val="single" w:color="auto" w:sz="4" w:space="0"/>
            </w:tcBorders>
            <w:vAlign w:val="center"/>
          </w:tcPr>
          <w:p w14:paraId="6F7991AB">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14:paraId="2533D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D3C3B3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598" w:type="dxa"/>
            <w:tcBorders>
              <w:top w:val="single" w:color="auto" w:sz="4" w:space="0"/>
              <w:left w:val="single" w:color="auto" w:sz="4" w:space="0"/>
              <w:bottom w:val="single" w:color="auto" w:sz="4" w:space="0"/>
              <w:right w:val="single" w:color="auto" w:sz="4" w:space="0"/>
            </w:tcBorders>
            <w:vAlign w:val="center"/>
          </w:tcPr>
          <w:p w14:paraId="177B896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信用记录查询</w:t>
            </w:r>
          </w:p>
        </w:tc>
        <w:tc>
          <w:tcPr>
            <w:tcW w:w="7581" w:type="dxa"/>
            <w:tcBorders>
              <w:top w:val="single" w:color="auto" w:sz="4" w:space="0"/>
              <w:left w:val="single" w:color="auto" w:sz="4" w:space="0"/>
              <w:bottom w:val="single" w:color="auto" w:sz="4" w:space="0"/>
              <w:right w:val="single" w:color="auto" w:sz="4" w:space="0"/>
            </w:tcBorders>
            <w:vAlign w:val="center"/>
          </w:tcPr>
          <w:p w14:paraId="78F7F385">
            <w:pPr>
              <w:rPr>
                <w:rFonts w:hint="eastAsia" w:ascii="宋体" w:hAnsi="宋体" w:cs="宋体"/>
                <w:color w:val="auto"/>
                <w:sz w:val="18"/>
                <w:szCs w:val="18"/>
                <w:highlight w:val="none"/>
              </w:rPr>
            </w:pPr>
            <w:r>
              <w:rPr>
                <w:rFonts w:hint="eastAsia" w:ascii="宋体" w:hAnsi="宋体" w:cs="宋体"/>
                <w:color w:val="auto"/>
                <w:sz w:val="18"/>
                <w:szCs w:val="18"/>
                <w:highlight w:val="none"/>
              </w:rPr>
              <w:t>依据财库[2016]125号文件执行。</w:t>
            </w:r>
          </w:p>
          <w:p w14:paraId="5361E22F">
            <w:pPr>
              <w:rPr>
                <w:rFonts w:hint="eastAsia" w:ascii="宋体" w:hAnsi="宋体" w:cs="宋体"/>
                <w:color w:val="auto"/>
                <w:sz w:val="18"/>
                <w:szCs w:val="18"/>
                <w:highlight w:val="none"/>
              </w:rPr>
            </w:pPr>
            <w:r>
              <w:rPr>
                <w:rFonts w:hint="eastAsia" w:ascii="宋体" w:hAnsi="宋体" w:cs="宋体"/>
                <w:color w:val="auto"/>
                <w:sz w:val="18"/>
                <w:szCs w:val="18"/>
                <w:highlight w:val="none"/>
              </w:rPr>
              <w:t>查询渠道：信用中国（</w:t>
            </w:r>
            <w:r>
              <w:rPr>
                <w:rFonts w:hint="eastAsia" w:ascii="宋体" w:hAnsi="宋体" w:cs="宋体"/>
                <w:color w:val="auto"/>
                <w:sz w:val="18"/>
                <w:szCs w:val="18"/>
                <w:highlight w:val="none"/>
                <w:u w:val="single"/>
              </w:rPr>
              <w:t>www.creditchina.gov.cn</w:t>
            </w:r>
            <w:r>
              <w:rPr>
                <w:rFonts w:hint="eastAsia" w:ascii="宋体" w:hAnsi="宋体" w:cs="宋体"/>
                <w:color w:val="auto"/>
                <w:sz w:val="18"/>
                <w:szCs w:val="18"/>
                <w:highlight w:val="none"/>
              </w:rPr>
              <w:t>）、中国政府采购网（</w:t>
            </w:r>
            <w:r>
              <w:rPr>
                <w:rFonts w:hint="eastAsia" w:ascii="宋体" w:hAnsi="宋体" w:cs="宋体"/>
                <w:color w:val="auto"/>
                <w:sz w:val="18"/>
                <w:szCs w:val="18"/>
                <w:highlight w:val="none"/>
                <w:u w:val="single"/>
              </w:rPr>
              <w:t>www.ccgp.gov.cn</w:t>
            </w:r>
            <w:r>
              <w:rPr>
                <w:rFonts w:hint="eastAsia" w:ascii="宋体" w:hAnsi="宋体" w:cs="宋体"/>
                <w:color w:val="auto"/>
                <w:sz w:val="18"/>
                <w:szCs w:val="18"/>
                <w:highlight w:val="none"/>
              </w:rPr>
              <w:t>）；</w:t>
            </w:r>
          </w:p>
          <w:p w14:paraId="36553C91">
            <w:pPr>
              <w:rPr>
                <w:rFonts w:hint="eastAsia" w:ascii="宋体" w:hAnsi="宋体" w:cs="宋体"/>
                <w:color w:val="auto"/>
                <w:sz w:val="18"/>
                <w:szCs w:val="18"/>
                <w:highlight w:val="none"/>
              </w:rPr>
            </w:pPr>
            <w:r>
              <w:rPr>
                <w:rFonts w:hint="eastAsia" w:ascii="宋体" w:hAnsi="宋体" w:cs="宋体"/>
                <w:color w:val="auto"/>
                <w:sz w:val="18"/>
                <w:szCs w:val="18"/>
                <w:highlight w:val="none"/>
              </w:rPr>
              <w:t>时间：提交首次响应文件截止时间前3年内；</w:t>
            </w:r>
          </w:p>
          <w:p w14:paraId="271F5D69">
            <w:pPr>
              <w:rPr>
                <w:rFonts w:hint="eastAsia" w:ascii="宋体" w:hAnsi="宋体" w:cs="宋体"/>
                <w:color w:val="auto"/>
                <w:sz w:val="18"/>
                <w:szCs w:val="18"/>
                <w:highlight w:val="none"/>
              </w:rPr>
            </w:pPr>
            <w:r>
              <w:rPr>
                <w:rFonts w:hint="eastAsia" w:ascii="宋体" w:hAnsi="宋体" w:cs="宋体"/>
                <w:color w:val="auto"/>
                <w:sz w:val="18"/>
                <w:szCs w:val="18"/>
                <w:highlight w:val="none"/>
              </w:rPr>
              <w:t>查询记录和证据的留存：网站查询，打印留存。</w:t>
            </w:r>
          </w:p>
          <w:p w14:paraId="07FFC9A0">
            <w:pPr>
              <w:rPr>
                <w:rFonts w:hint="eastAsia" w:ascii="宋体" w:hAnsi="宋体" w:cs="宋体"/>
                <w:color w:val="auto"/>
                <w:sz w:val="18"/>
                <w:szCs w:val="18"/>
                <w:highlight w:val="none"/>
              </w:rPr>
            </w:pPr>
            <w:r>
              <w:rPr>
                <w:rFonts w:hint="eastAsia" w:ascii="宋体" w:hAnsi="宋体" w:cs="宋体"/>
                <w:color w:val="auto"/>
                <w:sz w:val="18"/>
                <w:szCs w:val="18"/>
                <w:highlight w:val="none"/>
              </w:rPr>
              <w:t>使用规则：被列入失信被执行人、重大税收违法案件当事人名单、政府采购严重违法失信行为记录名单及其他不符合《中华人民共和国政府采购法》第二十二条规定条件的，其资格审查不通过。</w:t>
            </w:r>
          </w:p>
        </w:tc>
      </w:tr>
      <w:tr w14:paraId="54203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1722BDC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598" w:type="dxa"/>
            <w:tcBorders>
              <w:top w:val="single" w:color="auto" w:sz="4" w:space="0"/>
              <w:left w:val="single" w:color="auto" w:sz="4" w:space="0"/>
              <w:bottom w:val="single" w:color="auto" w:sz="4" w:space="0"/>
              <w:right w:val="single" w:color="auto" w:sz="4" w:space="0"/>
            </w:tcBorders>
            <w:vAlign w:val="center"/>
          </w:tcPr>
          <w:p w14:paraId="217B7B37">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政府采购政策执行</w:t>
            </w:r>
          </w:p>
        </w:tc>
        <w:tc>
          <w:tcPr>
            <w:tcW w:w="7581" w:type="dxa"/>
            <w:tcBorders>
              <w:top w:val="single" w:color="auto" w:sz="4" w:space="0"/>
              <w:left w:val="single" w:color="auto" w:sz="4" w:space="0"/>
              <w:bottom w:val="single" w:color="auto" w:sz="4" w:space="0"/>
              <w:right w:val="single" w:color="auto" w:sz="4" w:space="0"/>
            </w:tcBorders>
            <w:vAlign w:val="center"/>
          </w:tcPr>
          <w:p w14:paraId="38F0FD98">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本项目中小企业政策执行以下第1）条。</w:t>
            </w:r>
          </w:p>
          <w:p w14:paraId="3B44637B">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52"/>
            </w: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1）本项目为专门面向中小企业采购，提供服务的供应商非中小企业的，资格审查不通过；符合上述条件的中小微型企业应按照磋商文件附件的格式要求在资格文件中提供《中小企业声明函》；</w:t>
            </w:r>
          </w:p>
          <w:p w14:paraId="3B6C9FB2">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A3"/>
            </w:r>
            <w:r>
              <w:rPr>
                <w:rFonts w:hint="eastAsia" w:ascii="宋体" w:hAnsi="宋体" w:cs="宋体"/>
                <w:color w:val="auto"/>
                <w:sz w:val="18"/>
                <w:szCs w:val="18"/>
                <w:highlight w:val="none"/>
              </w:rPr>
              <w:t>2）本项目非专门面向中小企业采购，根据财政部发布的《政府采购促进中小企业发展暂行办法》规定，对于非专门面向此类企业的项目，对小型和微型企业产品和服务的投标价格给予10%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14:paraId="2326AD21">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符合上述条件的中小微型企业应按照采购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F58AE16">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仿宋_GB2312"/>
                <w:color w:val="auto"/>
                <w:kern w:val="0"/>
                <w:sz w:val="24"/>
                <w:highlight w:val="none"/>
                <w:u w:val="single"/>
              </w:rPr>
              <w:t>其他未列明行业</w:t>
            </w:r>
            <w:r>
              <w:rPr>
                <w:rFonts w:hint="eastAsia" w:ascii="宋体" w:hAnsi="宋体" w:cs="宋体"/>
                <w:b/>
                <w:bCs/>
                <w:color w:val="auto"/>
                <w:sz w:val="18"/>
                <w:szCs w:val="18"/>
                <w:highlight w:val="none"/>
              </w:rPr>
              <w:t>。</w:t>
            </w:r>
          </w:p>
        </w:tc>
      </w:tr>
      <w:tr w14:paraId="27CA8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6BA02E5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598" w:type="dxa"/>
            <w:tcBorders>
              <w:top w:val="single" w:color="auto" w:sz="4" w:space="0"/>
              <w:left w:val="single" w:color="auto" w:sz="4" w:space="0"/>
              <w:bottom w:val="single" w:color="auto" w:sz="4" w:space="0"/>
              <w:right w:val="single" w:color="auto" w:sz="4" w:space="0"/>
            </w:tcBorders>
            <w:vAlign w:val="center"/>
          </w:tcPr>
          <w:p w14:paraId="41ECDAFC">
            <w:pPr>
              <w:autoSpaceDE w:val="0"/>
              <w:autoSpaceDN w:val="0"/>
              <w:adjustRightIn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磋商注意事项</w:t>
            </w:r>
          </w:p>
        </w:tc>
        <w:tc>
          <w:tcPr>
            <w:tcW w:w="7581" w:type="dxa"/>
            <w:tcBorders>
              <w:top w:val="single" w:color="auto" w:sz="4" w:space="0"/>
              <w:left w:val="single" w:color="auto" w:sz="4" w:space="0"/>
              <w:bottom w:val="single" w:color="auto" w:sz="4" w:space="0"/>
              <w:right w:val="single" w:color="auto" w:sz="4" w:space="0"/>
            </w:tcBorders>
            <w:vAlign w:val="center"/>
          </w:tcPr>
          <w:p w14:paraId="70BB69CD">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68C8599E">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（2）存在下列行为的，采购人将其失信行为上报政府采购主管部门，由主管部门按有关规定对其违法失信行为记录进行公开：</w:t>
            </w:r>
          </w:p>
          <w:p w14:paraId="15EDAE21">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中标或者成交后，拒绝签订政府采购合同的；</w:t>
            </w:r>
          </w:p>
          <w:p w14:paraId="772CFB4B">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响应文件有效期内撤销响应文件的。</w:t>
            </w:r>
          </w:p>
        </w:tc>
      </w:tr>
      <w:tr w14:paraId="1F5D3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EA49DC4">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598" w:type="dxa"/>
            <w:tcBorders>
              <w:top w:val="single" w:color="auto" w:sz="4" w:space="0"/>
              <w:left w:val="single" w:color="auto" w:sz="4" w:space="0"/>
              <w:bottom w:val="single" w:color="auto" w:sz="4" w:space="0"/>
              <w:right w:val="single" w:color="auto" w:sz="4" w:space="0"/>
            </w:tcBorders>
            <w:vAlign w:val="center"/>
          </w:tcPr>
          <w:p w14:paraId="3F9568C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响应文件有效期</w:t>
            </w:r>
          </w:p>
        </w:tc>
        <w:tc>
          <w:tcPr>
            <w:tcW w:w="7581" w:type="dxa"/>
            <w:tcBorders>
              <w:top w:val="single" w:color="auto" w:sz="4" w:space="0"/>
              <w:left w:val="single" w:color="auto" w:sz="4" w:space="0"/>
              <w:bottom w:val="single" w:color="auto" w:sz="4" w:space="0"/>
              <w:right w:val="single" w:color="auto" w:sz="4" w:space="0"/>
            </w:tcBorders>
            <w:vAlign w:val="center"/>
          </w:tcPr>
          <w:p w14:paraId="299D33F0">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90天。</w:t>
            </w:r>
          </w:p>
        </w:tc>
      </w:tr>
      <w:tr w14:paraId="24932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B0F283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598" w:type="dxa"/>
            <w:tcBorders>
              <w:top w:val="single" w:color="auto" w:sz="4" w:space="0"/>
              <w:left w:val="single" w:color="auto" w:sz="4" w:space="0"/>
              <w:bottom w:val="single" w:color="auto" w:sz="4" w:space="0"/>
              <w:right w:val="single" w:color="auto" w:sz="4" w:space="0"/>
            </w:tcBorders>
            <w:vAlign w:val="center"/>
          </w:tcPr>
          <w:p w14:paraId="637956DE">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shd w:val="clear" w:color="auto" w:fill="FFFFFF"/>
              </w:rPr>
              <w:t>纸质版投标文件（响应文件）的提供</w:t>
            </w:r>
          </w:p>
        </w:tc>
        <w:tc>
          <w:tcPr>
            <w:tcW w:w="7581" w:type="dxa"/>
            <w:tcBorders>
              <w:top w:val="single" w:color="auto" w:sz="4" w:space="0"/>
              <w:left w:val="single" w:color="auto" w:sz="4" w:space="0"/>
              <w:bottom w:val="single" w:color="auto" w:sz="4" w:space="0"/>
              <w:right w:val="single" w:color="auto" w:sz="4" w:space="0"/>
            </w:tcBorders>
            <w:vAlign w:val="center"/>
          </w:tcPr>
          <w:p w14:paraId="737231D7">
            <w:pPr>
              <w:ind w:firstLine="360" w:firstLineChars="20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r w14:paraId="772F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322F87A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598" w:type="dxa"/>
            <w:tcBorders>
              <w:top w:val="single" w:color="auto" w:sz="4" w:space="0"/>
              <w:left w:val="single" w:color="auto" w:sz="4" w:space="0"/>
              <w:bottom w:val="single" w:color="auto" w:sz="4" w:space="0"/>
              <w:right w:val="single" w:color="auto" w:sz="4" w:space="0"/>
            </w:tcBorders>
            <w:vAlign w:val="center"/>
          </w:tcPr>
          <w:p w14:paraId="598EC7DE">
            <w:pPr>
              <w:autoSpaceDE w:val="0"/>
              <w:autoSpaceDN w:val="0"/>
              <w:adjustRightInd w:val="0"/>
              <w:ind w:right="69"/>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特别说明</w:t>
            </w:r>
          </w:p>
        </w:tc>
        <w:tc>
          <w:tcPr>
            <w:tcW w:w="7581" w:type="dxa"/>
            <w:tcBorders>
              <w:top w:val="single" w:color="auto" w:sz="4" w:space="0"/>
              <w:left w:val="single" w:color="auto" w:sz="4" w:space="0"/>
              <w:bottom w:val="single" w:color="auto" w:sz="4" w:space="0"/>
              <w:right w:val="single" w:color="auto" w:sz="4" w:space="0"/>
            </w:tcBorders>
            <w:vAlign w:val="center"/>
          </w:tcPr>
          <w:p w14:paraId="167E7360">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本表与采购文件其他部分内容不一致的，以本表为准。本采购文件的解释权属于采购人和采购代理机构。</w:t>
            </w:r>
          </w:p>
        </w:tc>
      </w:tr>
      <w:tr w14:paraId="5DF75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0838FFBF">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598" w:type="dxa"/>
            <w:tcBorders>
              <w:top w:val="single" w:color="auto" w:sz="4" w:space="0"/>
              <w:left w:val="single" w:color="auto" w:sz="4" w:space="0"/>
              <w:bottom w:val="single" w:color="auto" w:sz="4" w:space="0"/>
              <w:right w:val="single" w:color="auto" w:sz="4" w:space="0"/>
            </w:tcBorders>
            <w:vAlign w:val="center"/>
          </w:tcPr>
          <w:p w14:paraId="4A5E0D8F">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解释</w:t>
            </w:r>
          </w:p>
        </w:tc>
        <w:tc>
          <w:tcPr>
            <w:tcW w:w="7581" w:type="dxa"/>
            <w:tcBorders>
              <w:top w:val="single" w:color="auto" w:sz="4" w:space="0"/>
              <w:left w:val="single" w:color="auto" w:sz="4" w:space="0"/>
              <w:bottom w:val="single" w:color="auto" w:sz="4" w:space="0"/>
              <w:right w:val="single" w:color="auto" w:sz="4" w:space="0"/>
            </w:tcBorders>
            <w:vAlign w:val="center"/>
          </w:tcPr>
          <w:p w14:paraId="7CBAC77D">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本磋商文件的解释权属于招标采购单位</w:t>
            </w:r>
          </w:p>
        </w:tc>
      </w:tr>
    </w:tbl>
    <w:p w14:paraId="1EBEA1DE">
      <w:pPr>
        <w:spacing w:before="156" w:beforeLines="50" w:line="360" w:lineRule="auto"/>
        <w:rPr>
          <w:rFonts w:hint="eastAsia" w:ascii="宋体" w:hAnsi="宋体" w:cs="宋体"/>
          <w:b/>
          <w:color w:val="auto"/>
          <w:szCs w:val="21"/>
          <w:highlight w:val="none"/>
        </w:rPr>
      </w:pPr>
      <w:bookmarkStart w:id="7" w:name="_Toc15998"/>
      <w:bookmarkStart w:id="8" w:name="_Toc282640696"/>
      <w:bookmarkStart w:id="9" w:name="_Toc23399"/>
      <w:r>
        <w:rPr>
          <w:rFonts w:hint="eastAsia" w:ascii="宋体" w:hAnsi="宋体" w:cs="宋体"/>
          <w:b/>
          <w:color w:val="auto"/>
          <w:szCs w:val="21"/>
          <w:highlight w:val="none"/>
        </w:rPr>
        <w:t>一、适用范围</w:t>
      </w:r>
      <w:bookmarkEnd w:id="7"/>
      <w:bookmarkEnd w:id="8"/>
      <w:bookmarkEnd w:id="9"/>
    </w:p>
    <w:p w14:paraId="319DDE6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仅适用于本次竞争性磋商采购所叙述的工程、货物和服务。</w:t>
      </w:r>
      <w:bookmarkStart w:id="10" w:name="_Toc282640697"/>
    </w:p>
    <w:p w14:paraId="73D4B388">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二、定义</w:t>
      </w:r>
      <w:bookmarkEnd w:id="10"/>
    </w:p>
    <w:p w14:paraId="5BE1843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1、“采购人”系指</w:t>
      </w:r>
      <w:r>
        <w:rPr>
          <w:rFonts w:hint="eastAsia" w:ascii="宋体" w:hAnsi="宋体" w:cs="宋体"/>
          <w:bCs/>
          <w:color w:val="auto"/>
          <w:szCs w:val="21"/>
          <w:highlight w:val="none"/>
          <w:lang w:eastAsia="zh-CN"/>
        </w:rPr>
        <w:t>安吉县文化和广电旅游体育局</w:t>
      </w:r>
      <w:r>
        <w:rPr>
          <w:rFonts w:hint="eastAsia" w:ascii="宋体" w:hAnsi="宋体" w:cs="宋体"/>
          <w:bCs/>
          <w:color w:val="auto"/>
          <w:szCs w:val="21"/>
          <w:highlight w:val="none"/>
        </w:rPr>
        <w:t>。</w:t>
      </w:r>
    </w:p>
    <w:p w14:paraId="04928C8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2、“采购代理机构”系指安吉口碑采购代理服务有限公司。</w:t>
      </w:r>
    </w:p>
    <w:p w14:paraId="4C74AE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3、“供应商”系指向采购代理机构提交磋商响应文件的供应商。</w:t>
      </w:r>
    </w:p>
    <w:p w14:paraId="5343EA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4、“服务”系指按竞争性磋商文件要求提供的本项目所有工作内容。</w:t>
      </w:r>
    </w:p>
    <w:p w14:paraId="3C46F5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5、“招标采购单位”系指组织本次磋商的“采购代理机构”和“采购人”</w:t>
      </w:r>
    </w:p>
    <w:p w14:paraId="3262F6CB">
      <w:pPr>
        <w:spacing w:before="156" w:beforeLines="50" w:line="360" w:lineRule="auto"/>
        <w:rPr>
          <w:rFonts w:hint="eastAsia" w:ascii="宋体" w:hAnsi="宋体" w:cs="宋体"/>
          <w:b/>
          <w:color w:val="auto"/>
          <w:szCs w:val="21"/>
          <w:highlight w:val="none"/>
        </w:rPr>
      </w:pPr>
      <w:bookmarkStart w:id="11" w:name="_Toc282640698"/>
      <w:bookmarkStart w:id="12" w:name="_Toc2086"/>
      <w:bookmarkStart w:id="13" w:name="_Toc31441"/>
      <w:r>
        <w:rPr>
          <w:rFonts w:hint="eastAsia" w:ascii="宋体" w:hAnsi="宋体" w:cs="宋体"/>
          <w:b/>
          <w:color w:val="auto"/>
          <w:szCs w:val="21"/>
          <w:highlight w:val="none"/>
        </w:rPr>
        <w:t>三、供应商的资格要求</w:t>
      </w:r>
      <w:bookmarkEnd w:id="11"/>
      <w:bookmarkEnd w:id="12"/>
      <w:bookmarkEnd w:id="13"/>
    </w:p>
    <w:p w14:paraId="26D7DF8F">
      <w:pPr>
        <w:spacing w:line="360" w:lineRule="auto"/>
        <w:rPr>
          <w:rFonts w:hint="eastAsia" w:ascii="宋体" w:hAnsi="宋体" w:cs="宋体"/>
          <w:bCs/>
          <w:color w:val="auto"/>
          <w:szCs w:val="21"/>
          <w:highlight w:val="none"/>
        </w:rPr>
      </w:pPr>
      <w:bookmarkStart w:id="14" w:name="_Toc282640699"/>
      <w:r>
        <w:rPr>
          <w:rFonts w:hint="eastAsia" w:ascii="宋体" w:hAnsi="宋体" w:cs="宋体"/>
          <w:bCs/>
          <w:color w:val="auto"/>
          <w:szCs w:val="21"/>
          <w:highlight w:val="none"/>
        </w:rPr>
        <w:t xml:space="preserve">    符合竞争性磋商公告第二条供应商资格要求。</w:t>
      </w:r>
    </w:p>
    <w:p w14:paraId="07503834">
      <w:pPr>
        <w:spacing w:before="156" w:beforeLines="50" w:line="360" w:lineRule="auto"/>
        <w:rPr>
          <w:rFonts w:hint="eastAsia" w:ascii="宋体" w:hAnsi="宋体" w:cs="宋体"/>
          <w:b/>
          <w:color w:val="auto"/>
          <w:szCs w:val="21"/>
          <w:highlight w:val="none"/>
        </w:rPr>
      </w:pPr>
      <w:bookmarkStart w:id="15" w:name="_Toc19212"/>
      <w:bookmarkStart w:id="16" w:name="_Toc12662"/>
      <w:r>
        <w:rPr>
          <w:rFonts w:hint="eastAsia" w:ascii="宋体" w:hAnsi="宋体" w:cs="宋体"/>
          <w:b/>
          <w:color w:val="auto"/>
          <w:szCs w:val="21"/>
          <w:highlight w:val="none"/>
        </w:rPr>
        <w:t>四、磋商费用</w:t>
      </w:r>
      <w:bookmarkEnd w:id="14"/>
      <w:bookmarkEnd w:id="15"/>
      <w:bookmarkEnd w:id="16"/>
    </w:p>
    <w:p w14:paraId="11BE06D5">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无论竞争性磋商过程和结果如何，供应商自行承担与磋商响应有关的全部费用。</w:t>
      </w:r>
    </w:p>
    <w:p w14:paraId="401173F4">
      <w:pPr>
        <w:spacing w:before="156" w:beforeLines="50" w:line="360" w:lineRule="auto"/>
        <w:rPr>
          <w:rFonts w:hint="eastAsia" w:ascii="宋体" w:hAnsi="宋体" w:cs="宋体"/>
          <w:b/>
          <w:color w:val="auto"/>
          <w:szCs w:val="21"/>
          <w:highlight w:val="none"/>
        </w:rPr>
      </w:pPr>
      <w:bookmarkStart w:id="17" w:name="_Toc282640700"/>
      <w:bookmarkStart w:id="18" w:name="_Toc14194"/>
      <w:bookmarkStart w:id="19" w:name="_Toc26958"/>
      <w:bookmarkStart w:id="20" w:name="_Toc282640701"/>
      <w:r>
        <w:rPr>
          <w:rFonts w:hint="eastAsia" w:ascii="宋体" w:hAnsi="宋体" w:cs="宋体"/>
          <w:b/>
          <w:color w:val="auto"/>
          <w:szCs w:val="21"/>
          <w:highlight w:val="none"/>
        </w:rPr>
        <w:t>五、</w:t>
      </w:r>
      <w:bookmarkEnd w:id="17"/>
      <w:bookmarkEnd w:id="18"/>
      <w:bookmarkEnd w:id="19"/>
      <w:r>
        <w:rPr>
          <w:rFonts w:hint="eastAsia" w:ascii="宋体" w:hAnsi="宋体" w:cs="宋体"/>
          <w:b/>
          <w:color w:val="auto"/>
          <w:szCs w:val="21"/>
          <w:highlight w:val="none"/>
        </w:rPr>
        <w:t>▲竞争性磋商报价</w:t>
      </w:r>
    </w:p>
    <w:bookmarkEnd w:id="20"/>
    <w:p w14:paraId="25468152">
      <w:pPr>
        <w:spacing w:line="360" w:lineRule="auto"/>
        <w:ind w:firstLine="420" w:firstLineChars="200"/>
        <w:rPr>
          <w:rFonts w:hint="eastAsia" w:ascii="宋体" w:hAnsi="宋体" w:cs="宋体"/>
          <w:color w:val="auto"/>
          <w:szCs w:val="21"/>
          <w:highlight w:val="none"/>
        </w:rPr>
      </w:pPr>
      <w:bookmarkStart w:id="21" w:name="_Toc31890"/>
      <w:bookmarkStart w:id="22" w:name="_Toc27409"/>
      <w:r>
        <w:rPr>
          <w:rFonts w:hint="eastAsia" w:ascii="宋体" w:hAnsi="宋体" w:cs="宋体"/>
          <w:color w:val="auto"/>
          <w:szCs w:val="21"/>
          <w:highlight w:val="none"/>
        </w:rPr>
        <w:t>1.竞争性磋商报价以人民币为结算货币。</w:t>
      </w:r>
    </w:p>
    <w:p w14:paraId="212FEE2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2.磋商报价应按竞争性磋商文件中相关附表格式填写。</w:t>
      </w:r>
    </w:p>
    <w:p w14:paraId="52D7A9D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▲3.磋商响应文件中只允许有一个报价，有选择的或有条件的报价将不予接受。</w:t>
      </w:r>
    </w:p>
    <w:p w14:paraId="6238FC4D">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s="宋体"/>
          <w:b/>
          <w:bCs/>
          <w:color w:val="auto"/>
          <w:szCs w:val="21"/>
          <w:highlight w:val="none"/>
        </w:rPr>
        <w:t>anjikbcg@163.com）</w:t>
      </w:r>
      <w:r>
        <w:rPr>
          <w:rStyle w:val="37"/>
          <w:rFonts w:hint="eastAsia" w:ascii="宋体" w:hAnsi="宋体" w:cs="宋体"/>
          <w:b/>
          <w:bCs/>
          <w:color w:val="auto"/>
          <w:szCs w:val="21"/>
          <w:highlight w:val="none"/>
        </w:rPr>
        <w:t>。</w:t>
      </w:r>
      <w:r>
        <w:rPr>
          <w:rStyle w:val="37"/>
          <w:rFonts w:hint="eastAsia" w:ascii="宋体" w:hAnsi="宋体" w:cs="宋体"/>
          <w:b/>
          <w:bCs/>
          <w:color w:val="auto"/>
          <w:szCs w:val="21"/>
          <w:highlight w:val="none"/>
        </w:rPr>
        <w:fldChar w:fldCharType="end"/>
      </w:r>
    </w:p>
    <w:p w14:paraId="24545F13">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5.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76418F10">
      <w:pPr>
        <w:spacing w:line="360" w:lineRule="auto"/>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6.供应商应充分考虑因各种原因可能发生的费用。对没有填报的费用，采购人认为所有费用已包含在总价中，除合同条款另有规定外，不得进行调整。</w:t>
      </w:r>
    </w:p>
    <w:p w14:paraId="3DC3D9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7、供应商对竞争性磋商文件里有关磋商报价的全部内容应仔细确认，若有个别异议，应在磋商前提出修改意见，否则视同全部确认。</w:t>
      </w:r>
    </w:p>
    <w:bookmarkEnd w:id="21"/>
    <w:bookmarkEnd w:id="22"/>
    <w:p w14:paraId="10D362B2">
      <w:pPr>
        <w:spacing w:before="156" w:beforeLines="50" w:line="360" w:lineRule="auto"/>
        <w:rPr>
          <w:rFonts w:hint="eastAsia" w:ascii="宋体" w:hAnsi="宋体" w:cs="宋体"/>
          <w:b/>
          <w:color w:val="auto"/>
          <w:szCs w:val="21"/>
          <w:highlight w:val="none"/>
        </w:rPr>
      </w:pPr>
      <w:bookmarkStart w:id="23" w:name="_Toc18074"/>
      <w:bookmarkStart w:id="24" w:name="_Toc11127"/>
      <w:bookmarkStart w:id="25" w:name="_Toc30243"/>
      <w:bookmarkStart w:id="26" w:name="_Toc34746016"/>
      <w:r>
        <w:rPr>
          <w:rFonts w:hint="eastAsia" w:ascii="宋体" w:hAnsi="宋体" w:cs="宋体"/>
          <w:b/>
          <w:color w:val="auto"/>
          <w:szCs w:val="21"/>
          <w:highlight w:val="none"/>
        </w:rPr>
        <w:t>六、保证金</w:t>
      </w:r>
      <w:bookmarkEnd w:id="23"/>
      <w:bookmarkEnd w:id="24"/>
      <w:bookmarkEnd w:id="25"/>
    </w:p>
    <w:p w14:paraId="3A489008">
      <w:pPr>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不收取。</w:t>
      </w:r>
    </w:p>
    <w:p w14:paraId="5583D02B">
      <w:pPr>
        <w:spacing w:before="156" w:beforeLines="50" w:line="360" w:lineRule="auto"/>
        <w:rPr>
          <w:rFonts w:hint="eastAsia" w:ascii="宋体" w:hAnsi="宋体" w:cs="宋体"/>
          <w:b/>
          <w:color w:val="auto"/>
          <w:szCs w:val="21"/>
          <w:highlight w:val="none"/>
        </w:rPr>
      </w:pPr>
      <w:bookmarkStart w:id="27" w:name="_Toc5093"/>
      <w:bookmarkStart w:id="28" w:name="_Toc493761840"/>
      <w:bookmarkStart w:id="29" w:name="_Toc14479"/>
      <w:bookmarkStart w:id="30" w:name="_Toc1223"/>
      <w:r>
        <w:rPr>
          <w:rFonts w:hint="eastAsia" w:ascii="宋体" w:hAnsi="宋体" w:cs="宋体"/>
          <w:b/>
          <w:color w:val="auto"/>
          <w:szCs w:val="21"/>
          <w:highlight w:val="none"/>
        </w:rPr>
        <w:t>七、履约保</w:t>
      </w:r>
      <w:bookmarkEnd w:id="27"/>
      <w:bookmarkEnd w:id="28"/>
      <w:bookmarkEnd w:id="29"/>
      <w:bookmarkEnd w:id="30"/>
      <w:r>
        <w:rPr>
          <w:rFonts w:hint="eastAsia" w:ascii="宋体" w:hAnsi="宋体" w:cs="宋体"/>
          <w:b/>
          <w:color w:val="auto"/>
          <w:szCs w:val="21"/>
          <w:highlight w:val="none"/>
        </w:rPr>
        <w:t>证金</w:t>
      </w:r>
    </w:p>
    <w:p w14:paraId="4F6BC549">
      <w:pPr>
        <w:spacing w:line="360" w:lineRule="auto"/>
        <w:ind w:firstLine="420" w:firstLineChars="200"/>
        <w:rPr>
          <w:rFonts w:hint="eastAsia" w:ascii="宋体" w:hAnsi="宋体" w:cs="宋体"/>
          <w:color w:val="auto"/>
          <w:szCs w:val="21"/>
          <w:highlight w:val="none"/>
        </w:rPr>
      </w:pPr>
      <w:bookmarkStart w:id="31" w:name="_Toc177870543"/>
      <w:bookmarkStart w:id="32" w:name="_Toc31922"/>
      <w:bookmarkStart w:id="33" w:name="_Toc22213"/>
      <w:bookmarkStart w:id="34" w:name="_Toc31835"/>
      <w:bookmarkStart w:id="35" w:name="_Toc26404"/>
      <w:r>
        <w:rPr>
          <w:rFonts w:hint="eastAsia" w:ascii="宋体" w:hAnsi="宋体" w:cs="宋体"/>
          <w:color w:val="auto"/>
          <w:szCs w:val="21"/>
          <w:highlight w:val="none"/>
        </w:rPr>
        <w:t>不收取。</w:t>
      </w:r>
    </w:p>
    <w:p w14:paraId="5A1A7195">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八、质疑</w:t>
      </w:r>
      <w:bookmarkEnd w:id="31"/>
      <w:r>
        <w:rPr>
          <w:rFonts w:hint="eastAsia" w:ascii="宋体" w:hAnsi="宋体" w:cs="宋体"/>
          <w:b/>
          <w:color w:val="auto"/>
          <w:szCs w:val="21"/>
          <w:highlight w:val="none"/>
        </w:rPr>
        <w:t>和投诉</w:t>
      </w:r>
      <w:bookmarkEnd w:id="32"/>
      <w:bookmarkEnd w:id="33"/>
      <w:bookmarkEnd w:id="34"/>
      <w:bookmarkEnd w:id="35"/>
    </w:p>
    <w:p w14:paraId="19E77EC8">
      <w:pPr>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w:t>
      </w:r>
    </w:p>
    <w:p w14:paraId="20EE6E69">
      <w:pPr>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26ECAADE">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（1）对可以质疑的采购文件提出质疑的，为收到采购文件之日或者采购文件公告期限届满之日</w:t>
      </w:r>
      <w:r>
        <w:rPr>
          <w:rFonts w:hint="eastAsia" w:ascii="宋体" w:hAnsi="宋体" w:cs="宋体"/>
          <w:color w:val="auto"/>
          <w:szCs w:val="21"/>
          <w:highlight w:val="none"/>
        </w:rPr>
        <w:t>（公告期限届满后获取采购文件的，以公告期限届满之日为准）</w:t>
      </w:r>
      <w:r>
        <w:rPr>
          <w:rFonts w:hint="eastAsia" w:ascii="宋体" w:hAnsi="宋体" w:cs="宋体"/>
          <w:color w:val="auto"/>
          <w:highlight w:val="none"/>
        </w:rPr>
        <w:t>；</w:t>
      </w:r>
    </w:p>
    <w:p w14:paraId="2414320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17C2838">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47A1D70">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color w:val="auto"/>
          <w:highlight w:val="none"/>
        </w:rPr>
        <w:t>质疑供应商对采购人、采购代理机构的答复不满意或者采购人、采购代理机构未在规定时间内作出答复的，可以在答复期满后十五个工作日内向同级政府采购监管部门投诉。</w:t>
      </w:r>
    </w:p>
    <w:p w14:paraId="2E0D32BE">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1069AE7E">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质疑书、投诉书均应明确阐述采购文件、采购过程和成交结果中使自己合法权益受到损害的实质性内容，提供相关事实、依据和证据及其来源或线索，便于有关单位调查、答复和处理。</w:t>
      </w:r>
    </w:p>
    <w:p w14:paraId="3DECCB3F">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4.供应商一旦递交了响应文件，即被视为接受了本采购文件的所有内容，对采购文件无任何异议。</w:t>
      </w:r>
    </w:p>
    <w:p w14:paraId="0A11E32C">
      <w:pPr>
        <w:spacing w:before="156" w:beforeLines="50" w:line="360" w:lineRule="auto"/>
        <w:jc w:val="left"/>
        <w:outlineLvl w:val="0"/>
        <w:rPr>
          <w:rFonts w:hint="eastAsia" w:ascii="宋体" w:hAnsi="宋体" w:cs="宋体"/>
          <w:b/>
          <w:color w:val="auto"/>
          <w:szCs w:val="21"/>
          <w:highlight w:val="none"/>
        </w:rPr>
      </w:pPr>
      <w:bookmarkStart w:id="36" w:name="_Toc13401"/>
      <w:bookmarkStart w:id="37" w:name="_Toc25273"/>
      <w:bookmarkStart w:id="38" w:name="_Toc22636"/>
      <w:bookmarkStart w:id="39" w:name="_Toc23736"/>
      <w:r>
        <w:rPr>
          <w:rFonts w:hint="eastAsia" w:ascii="宋体" w:hAnsi="宋体" w:cs="宋体"/>
          <w:b/>
          <w:color w:val="auto"/>
          <w:szCs w:val="21"/>
          <w:highlight w:val="none"/>
        </w:rPr>
        <w:t>九、采购文件的澄清与修改</w:t>
      </w:r>
      <w:bookmarkEnd w:id="36"/>
      <w:bookmarkEnd w:id="37"/>
      <w:bookmarkEnd w:id="38"/>
      <w:bookmarkEnd w:id="39"/>
      <w:r>
        <w:rPr>
          <w:rFonts w:hint="eastAsia" w:ascii="宋体" w:hAnsi="宋体" w:cs="宋体"/>
          <w:b/>
          <w:color w:val="auto"/>
          <w:szCs w:val="21"/>
          <w:highlight w:val="none"/>
        </w:rPr>
        <w:t xml:space="preserve"> </w:t>
      </w:r>
    </w:p>
    <w:p w14:paraId="461E65A4">
      <w:pPr>
        <w:spacing w:line="360" w:lineRule="auto"/>
        <w:ind w:firstLine="420" w:firstLineChars="200"/>
        <w:jc w:val="left"/>
        <w:outlineLvl w:val="0"/>
        <w:rPr>
          <w:rFonts w:hint="eastAsia" w:ascii="宋体" w:hAnsi="宋体" w:cs="宋体"/>
          <w:color w:val="auto"/>
          <w:highlight w:val="none"/>
        </w:rPr>
      </w:pPr>
      <w:bookmarkStart w:id="40" w:name="_Toc1539"/>
      <w:bookmarkStart w:id="41" w:name="_Toc21454"/>
      <w:bookmarkStart w:id="42" w:name="_Toc32320"/>
      <w:bookmarkStart w:id="43" w:name="_Toc3056"/>
      <w:r>
        <w:rPr>
          <w:rFonts w:hint="eastAsia" w:ascii="宋体" w:hAnsi="宋体" w:cs="宋体"/>
          <w:color w:val="auto"/>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00B72926">
      <w:pPr>
        <w:spacing w:before="156" w:beforeLines="50" w:line="360" w:lineRule="auto"/>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十、响应文件有效期</w:t>
      </w:r>
      <w:bookmarkEnd w:id="40"/>
      <w:bookmarkEnd w:id="41"/>
      <w:bookmarkEnd w:id="42"/>
      <w:bookmarkEnd w:id="43"/>
    </w:p>
    <w:p w14:paraId="68BD04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1.响应文件从磋商之日起，有效期为90天。</w:t>
      </w:r>
    </w:p>
    <w:p w14:paraId="75D154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2.特殊情况下，采购人可与供应商协商延缓响应文件的有效期，这种要求和答复均以书面形式进行。</w:t>
      </w:r>
    </w:p>
    <w:p w14:paraId="07277D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3.响应文件有效期内，供应商撤销其响应文件的，</w:t>
      </w:r>
      <w:r>
        <w:rPr>
          <w:rFonts w:hint="eastAsia" w:ascii="宋体" w:hAnsi="宋体" w:cs="宋体"/>
          <w:color w:val="auto"/>
          <w:szCs w:val="21"/>
          <w:highlight w:val="none"/>
          <w:lang w:bidi="ar"/>
        </w:rPr>
        <w:t>采购人将其失信行为上报政府采购主管部门，由主管部门按有关规定对其违法失信行为记录进行公开</w:t>
      </w:r>
      <w:r>
        <w:rPr>
          <w:rFonts w:hint="eastAsia" w:ascii="宋体" w:hAnsi="宋体" w:cs="宋体"/>
          <w:color w:val="auto"/>
          <w:szCs w:val="21"/>
          <w:highlight w:val="none"/>
        </w:rPr>
        <w:t>。</w:t>
      </w:r>
    </w:p>
    <w:p w14:paraId="21830647">
      <w:pPr>
        <w:spacing w:before="156" w:beforeLines="50" w:line="360" w:lineRule="auto"/>
        <w:jc w:val="left"/>
        <w:outlineLvl w:val="0"/>
        <w:rPr>
          <w:rFonts w:hint="eastAsia" w:ascii="宋体" w:hAnsi="宋体" w:cs="宋体"/>
          <w:b/>
          <w:color w:val="auto"/>
          <w:szCs w:val="21"/>
          <w:highlight w:val="none"/>
        </w:rPr>
      </w:pPr>
      <w:bookmarkStart w:id="44" w:name="_Toc8167"/>
      <w:bookmarkStart w:id="45" w:name="_Toc790"/>
      <w:bookmarkStart w:id="46" w:name="_Toc493761842"/>
      <w:bookmarkStart w:id="47" w:name="_Toc21151"/>
      <w:r>
        <w:rPr>
          <w:rFonts w:hint="eastAsia" w:ascii="宋体" w:hAnsi="宋体" w:cs="宋体"/>
          <w:b/>
          <w:color w:val="auto"/>
          <w:szCs w:val="21"/>
          <w:highlight w:val="none"/>
        </w:rPr>
        <w:t>十一、响应文件的组成</w:t>
      </w:r>
      <w:bookmarkEnd w:id="44"/>
      <w:bookmarkEnd w:id="45"/>
      <w:bookmarkEnd w:id="46"/>
      <w:bookmarkEnd w:id="47"/>
    </w:p>
    <w:p w14:paraId="69D13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仔细阅读竞争性磋商文件中的所有内容，按照磋商文件及采购要求，详细编制响应文件，并对磋商文件的要求做出实质上的响应。未实质上响应的响应文件将可能导致被拒绝，但允许报价在满足并优于采购要求的前提下出现的微小差异。</w:t>
      </w:r>
    </w:p>
    <w:p w14:paraId="370B7D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3C9CAC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3.响应文件的组成</w:t>
      </w:r>
    </w:p>
    <w:p w14:paraId="42FBBC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3.1资格证明文件</w:t>
      </w:r>
    </w:p>
    <w:p w14:paraId="3102A3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14:paraId="3AA4DA8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法人营业执照副本、组织机构代码证副本及税务登记证副本或“三证合一”的营业执照或“五证合一”的营业执照副本复印件；</w:t>
      </w:r>
    </w:p>
    <w:p w14:paraId="25A2F28E">
      <w:pPr>
        <w:pStyle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3、完税证明或免税证明；</w:t>
      </w:r>
    </w:p>
    <w:p w14:paraId="6C1D6432">
      <w:pPr>
        <w:spacing w:line="360" w:lineRule="auto"/>
        <w:ind w:firstLine="420" w:firstLineChars="200"/>
        <w:rPr>
          <w:rFonts w:hint="eastAsia" w:ascii="宋体" w:hAnsi="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4、法定代表人身份证明书</w:t>
      </w:r>
      <w:r>
        <w:rPr>
          <w:rFonts w:hint="eastAsia" w:ascii="宋体" w:hAnsi="宋体" w:cs="宋体"/>
          <w:bCs/>
          <w:color w:val="auto"/>
          <w:szCs w:val="21"/>
          <w:highlight w:val="none"/>
        </w:rPr>
        <w:t>和授权委托书（格式见附件）；</w:t>
      </w:r>
    </w:p>
    <w:p w14:paraId="518ED3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中小企业声明函（注：本项目为专门面向中小企业采购，投标供应商非中小企业的，资格审查不通过；符合上述条件的中小微型企业应按照磋商文件附件的格式要求在资格证明文件中提供《中小企业声明函》）。</w:t>
      </w:r>
    </w:p>
    <w:p w14:paraId="0F3F879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3.2商务/技术文件 </w:t>
      </w:r>
    </w:p>
    <w:p w14:paraId="6EA50D11">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法定代表人身份证明书和授权委托书（格式见第六章）；</w:t>
      </w:r>
    </w:p>
    <w:p w14:paraId="352649EE">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供应商情况表（格式见第六章）；</w:t>
      </w:r>
    </w:p>
    <w:p w14:paraId="7DEE4087">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整体思路；</w:t>
      </w:r>
    </w:p>
    <w:p w14:paraId="1E7753EE">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策划方案；</w:t>
      </w:r>
    </w:p>
    <w:p w14:paraId="7D605B70">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整体组织实施方案；</w:t>
      </w:r>
    </w:p>
    <w:p w14:paraId="46247FFB">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开幕式方案；</w:t>
      </w:r>
    </w:p>
    <w:p w14:paraId="4963F870">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器材使用安全保障方案；</w:t>
      </w:r>
    </w:p>
    <w:p w14:paraId="170120E7">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赛事场地布置策划方案；</w:t>
      </w:r>
    </w:p>
    <w:p w14:paraId="4FCF6985">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媒体宣传推广方案及实施计划；</w:t>
      </w:r>
    </w:p>
    <w:p w14:paraId="422352DB">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医疗救护方案；</w:t>
      </w:r>
    </w:p>
    <w:p w14:paraId="699E6E6D">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安全风险防控、应急处置方案；</w:t>
      </w:r>
    </w:p>
    <w:p w14:paraId="340AF6A6">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参赛选手招募、服务方案；</w:t>
      </w:r>
    </w:p>
    <w:p w14:paraId="5208066C">
      <w:pPr>
        <w:numPr>
          <w:ilvl w:val="0"/>
          <w:numId w:val="4"/>
        </w:numPr>
        <w:adjustRightInd w:val="0"/>
        <w:snapToGrid w:val="0"/>
        <w:spacing w:line="360" w:lineRule="exact"/>
        <w:ind w:left="4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后勤保障方案；</w:t>
      </w:r>
    </w:p>
    <w:p w14:paraId="77C5BF27">
      <w:pPr>
        <w:numPr>
          <w:ilvl w:val="0"/>
          <w:numId w:val="4"/>
        </w:numPr>
        <w:adjustRightInd w:val="0"/>
        <w:snapToGrid w:val="0"/>
        <w:spacing w:line="360" w:lineRule="exact"/>
        <w:ind w:left="4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岗位分工方案</w:t>
      </w:r>
    </w:p>
    <w:p w14:paraId="19C0387E">
      <w:pPr>
        <w:numPr>
          <w:ilvl w:val="0"/>
          <w:numId w:val="4"/>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重难点分析；</w:t>
      </w:r>
    </w:p>
    <w:p w14:paraId="205238E1">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zh-CN"/>
        </w:rPr>
        <w:t>合理化建议；</w:t>
      </w:r>
    </w:p>
    <w:p w14:paraId="72169C8A">
      <w:pPr>
        <w:numPr>
          <w:ilvl w:val="0"/>
          <w:numId w:val="4"/>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团队配置；</w:t>
      </w:r>
    </w:p>
    <w:p w14:paraId="0335F5A7">
      <w:pPr>
        <w:numPr>
          <w:ilvl w:val="0"/>
          <w:numId w:val="4"/>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企业荣誉</w:t>
      </w:r>
    </w:p>
    <w:p w14:paraId="0D929376">
      <w:pPr>
        <w:numPr>
          <w:ilvl w:val="0"/>
          <w:numId w:val="4"/>
        </w:numPr>
        <w:adjustRightInd w:val="0"/>
        <w:snapToGrid w:val="0"/>
        <w:spacing w:line="360" w:lineRule="exact"/>
        <w:ind w:left="425"/>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同类项目（成功案例及业绩）实施情况一览表（格式见附件）；</w:t>
      </w:r>
    </w:p>
    <w:p w14:paraId="453918F2">
      <w:pPr>
        <w:numPr>
          <w:ilvl w:val="0"/>
          <w:numId w:val="4"/>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技术响应表（格式见第六章）；</w:t>
      </w:r>
    </w:p>
    <w:p w14:paraId="3DDCA1E1">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供应商认为需要提供的其他技术资料。</w:t>
      </w:r>
    </w:p>
    <w:p w14:paraId="62C68C77">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3.3报价文件包括：</w:t>
      </w:r>
    </w:p>
    <w:p w14:paraId="14A4A437">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1）初次报价表（格式见附件）；</w:t>
      </w:r>
    </w:p>
    <w:p w14:paraId="18170527">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2）报价明细表（格式见附件）；</w:t>
      </w:r>
    </w:p>
    <w:p w14:paraId="28232C48">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r>
        <w:rPr>
          <w:rFonts w:hint="eastAsia" w:ascii="宋体" w:hAnsi="宋体" w:cs="宋体"/>
          <w:bCs/>
          <w:color w:val="auto"/>
          <w:szCs w:val="21"/>
          <w:highlight w:val="none"/>
        </w:rPr>
        <w:t>。</w:t>
      </w:r>
    </w:p>
    <w:p w14:paraId="4A728720">
      <w:pPr>
        <w:autoSpaceDE w:val="0"/>
        <w:autoSpaceDN w:val="0"/>
        <w:snapToGrid w:val="0"/>
        <w:spacing w:line="360" w:lineRule="auto"/>
        <w:ind w:firstLine="420" w:firstLineChars="200"/>
        <w:textAlignment w:val="bottom"/>
        <w:rPr>
          <w:rFonts w:hint="eastAsia" w:ascii="宋体" w:hAnsi="宋体" w:cs="宋体"/>
          <w:b/>
          <w:bCs/>
          <w:color w:val="auto"/>
          <w:kern w:val="0"/>
          <w:szCs w:val="21"/>
          <w:highlight w:val="none"/>
        </w:rPr>
      </w:pPr>
      <w:r>
        <w:rPr>
          <w:rFonts w:hint="eastAsia" w:ascii="宋体" w:hAnsi="宋体" w:cs="宋体"/>
          <w:bCs/>
          <w:color w:val="auto"/>
          <w:szCs w:val="21"/>
          <w:highlight w:val="none"/>
        </w:rPr>
        <w:t>供应商可根据评分表及项目需求情况，自行添加相关表格及资料。</w:t>
      </w:r>
      <w:r>
        <w:rPr>
          <w:rFonts w:hint="eastAsia" w:ascii="宋体" w:hAnsi="宋体" w:cs="宋体"/>
          <w:color w:val="auto"/>
          <w:kern w:val="0"/>
          <w:szCs w:val="21"/>
          <w:highlight w:val="none"/>
        </w:rPr>
        <w:t>以上组成内容中的复印件均须加盖供应商</w:t>
      </w:r>
      <w:r>
        <w:rPr>
          <w:rFonts w:hint="eastAsia" w:ascii="宋体" w:hAnsi="宋体" w:cs="宋体"/>
          <w:b/>
          <w:bCs/>
          <w:color w:val="auto"/>
          <w:kern w:val="0"/>
          <w:szCs w:val="21"/>
          <w:highlight w:val="none"/>
        </w:rPr>
        <w:t>公章。</w:t>
      </w:r>
    </w:p>
    <w:p w14:paraId="1275083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4.响应文件内容填写及说明</w:t>
      </w:r>
    </w:p>
    <w:p w14:paraId="49FC98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供应商应按照3.1、3.2、3.3所列出的（内容及格式仅供参考）逐一组成响应文件并制作成册(商务文件与技术文件可以合并制作)。</w:t>
      </w:r>
    </w:p>
    <w:p w14:paraId="113DAC4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以上涉及所有资料复印件真实性由供应商自负，如发现弄虚作假，将取消磋商资格，已成交的取消成交资格，并按有关规定处罚。</w:t>
      </w:r>
    </w:p>
    <w:p w14:paraId="178958EB">
      <w:pPr>
        <w:spacing w:before="156" w:beforeLines="50" w:line="360" w:lineRule="auto"/>
        <w:jc w:val="left"/>
        <w:outlineLvl w:val="0"/>
        <w:rPr>
          <w:rFonts w:hint="eastAsia" w:ascii="宋体" w:hAnsi="宋体" w:cs="宋体"/>
          <w:b/>
          <w:color w:val="auto"/>
          <w:szCs w:val="21"/>
          <w:highlight w:val="none"/>
        </w:rPr>
      </w:pPr>
      <w:bookmarkStart w:id="48" w:name="_Toc282640705"/>
      <w:bookmarkStart w:id="49" w:name="_Toc493761843"/>
      <w:bookmarkStart w:id="50" w:name="_Toc13566"/>
      <w:bookmarkStart w:id="51" w:name="_Toc31587"/>
      <w:bookmarkStart w:id="52" w:name="_Toc24680"/>
      <w:r>
        <w:rPr>
          <w:rFonts w:hint="eastAsia" w:ascii="宋体" w:hAnsi="宋体" w:cs="宋体"/>
          <w:b/>
          <w:color w:val="auto"/>
          <w:szCs w:val="21"/>
          <w:highlight w:val="none"/>
        </w:rPr>
        <w:t>十二、</w:t>
      </w:r>
      <w:bookmarkEnd w:id="48"/>
      <w:bookmarkEnd w:id="49"/>
      <w:bookmarkStart w:id="53" w:name="_Toc14127"/>
      <w:r>
        <w:rPr>
          <w:rFonts w:hint="eastAsia" w:ascii="宋体" w:hAnsi="宋体" w:cs="宋体"/>
          <w:b/>
          <w:color w:val="auto"/>
          <w:szCs w:val="21"/>
          <w:highlight w:val="none"/>
        </w:rPr>
        <w:t>响应文件编制（电子交易）</w:t>
      </w:r>
      <w:bookmarkEnd w:id="50"/>
      <w:bookmarkEnd w:id="51"/>
      <w:bookmarkEnd w:id="52"/>
      <w:bookmarkEnd w:id="53"/>
    </w:p>
    <w:p w14:paraId="16B55D3B">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1、</w:t>
      </w:r>
      <w:r>
        <w:rPr>
          <w:rFonts w:hint="eastAsia" w:ascii="宋体" w:hAnsi="宋体" w:cs="宋体"/>
          <w:color w:val="auto"/>
          <w:highlight w:val="none"/>
        </w:rPr>
        <w:t>本项目通过“政采云平台（</w:t>
      </w:r>
      <w:r>
        <w:rPr>
          <w:rFonts w:hint="eastAsia" w:ascii="宋体" w:hAnsi="宋体" w:cs="宋体"/>
          <w:color w:val="auto"/>
          <w:highlight w:val="none"/>
          <w:u w:val="single"/>
        </w:rPr>
        <w:t>www.zcygov.cn</w:t>
      </w:r>
      <w:r>
        <w:rPr>
          <w:rFonts w:hint="eastAsia" w:ascii="宋体" w:hAnsi="宋体" w:cs="宋体"/>
          <w:color w:val="auto"/>
          <w:highlight w:val="none"/>
        </w:rPr>
        <w:t>）”实行在线响应（电子交易）。供应商应通过“政采云电子交易客户端”，并按照本采购文件和“政府采购云平台”的要求编制并加密响应文件。</w:t>
      </w:r>
    </w:p>
    <w:p w14:paraId="4D178DB2">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2、供应商应当按照本章节 “响应文件的组成”规定的内容及顺序在“政采云电子交易客户端”编制响应文件。</w:t>
      </w:r>
    </w:p>
    <w:p w14:paraId="4AE552B9">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6C6005A2">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4、响应文件内容不完整、编排混乱导致响应文件被误读、漏读或者查找不到相关内容的，是供应商的责任。</w:t>
      </w:r>
    </w:p>
    <w:p w14:paraId="6D679F41">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5、响应文件因字迹潦草或表达不清所引起的后果由供应商负责。</w:t>
      </w:r>
    </w:p>
    <w:p w14:paraId="0F5FC5A5">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19C6FDF1">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7、响应文件的签章</w:t>
      </w:r>
    </w:p>
    <w:p w14:paraId="3F84D49D">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7.1 响应文件的签章见《前附表》；</w:t>
      </w:r>
    </w:p>
    <w:p w14:paraId="4F0AF1DA">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7.2 响应文件应由供应商法定代表人或其授权代表签字（或盖章），并加盖供应商公章。</w:t>
      </w:r>
    </w:p>
    <w:p w14:paraId="4F5F78D7">
      <w:pPr>
        <w:spacing w:line="360" w:lineRule="auto"/>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7.3 参与在线响应时如遇平台技术问题详询400-881-7190。</w:t>
      </w:r>
    </w:p>
    <w:p w14:paraId="5D6EF143">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8、响应文件的形式</w:t>
      </w:r>
    </w:p>
    <w:p w14:paraId="2E4ED382">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8.1 </w:t>
      </w:r>
      <w:r>
        <w:rPr>
          <w:rFonts w:hint="eastAsia" w:ascii="宋体" w:hAnsi="宋体" w:cs="宋体"/>
          <w:color w:val="auto"/>
          <w:highlight w:val="none"/>
        </w:rPr>
        <w:t>响应文件的形式：</w:t>
      </w:r>
      <w:r>
        <w:rPr>
          <w:rFonts w:hint="eastAsia" w:ascii="宋体" w:hAnsi="宋体" w:cs="宋体"/>
          <w:color w:val="auto"/>
          <w:kern w:val="0"/>
          <w:highlight w:val="none"/>
        </w:rPr>
        <w:t>见《前附表》；</w:t>
      </w:r>
    </w:p>
    <w:p w14:paraId="088AB83B">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8.2 </w:t>
      </w:r>
      <w:r>
        <w:rPr>
          <w:rFonts w:hint="eastAsia" w:ascii="宋体" w:hAnsi="宋体" w:cs="宋体"/>
          <w:color w:val="auto"/>
          <w:highlight w:val="none"/>
        </w:rPr>
        <w:t>“电子加密响应文件”：“电子加密响应文件”是指通过“政采云电子交易客户端”完成响应文件编制后生成并加密的数据电文形式的响应文件。</w:t>
      </w:r>
    </w:p>
    <w:p w14:paraId="1F36446D">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8.3 </w:t>
      </w:r>
      <w:r>
        <w:rPr>
          <w:rFonts w:hint="eastAsia" w:ascii="宋体" w:hAnsi="宋体" w:cs="宋体"/>
          <w:color w:val="auto"/>
          <w:highlight w:val="none"/>
        </w:rPr>
        <w:t>“备份响应文件”：“备份响应文件”是指与“电子加密响应文件”同时生成的数据电文形式的电子文件（备份标书），其他方式编制的“备份响应文件”视为无效的“备份响应文件”。</w:t>
      </w:r>
    </w:p>
    <w:p w14:paraId="5D99868F">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9、响应文件的份数</w:t>
      </w:r>
    </w:p>
    <w:p w14:paraId="49B595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响应文件的份数：</w:t>
      </w:r>
      <w:r>
        <w:rPr>
          <w:rFonts w:hint="eastAsia" w:ascii="宋体" w:hAnsi="宋体" w:cs="宋体"/>
          <w:color w:val="auto"/>
          <w:kern w:val="0"/>
          <w:highlight w:val="none"/>
        </w:rPr>
        <w:t>见《前附表》</w:t>
      </w:r>
      <w:r>
        <w:rPr>
          <w:rFonts w:hint="eastAsia" w:ascii="宋体" w:hAnsi="宋体" w:cs="宋体"/>
          <w:color w:val="auto"/>
          <w:highlight w:val="none"/>
        </w:rPr>
        <w:t>。</w:t>
      </w:r>
    </w:p>
    <w:p w14:paraId="05AD5A29">
      <w:pPr>
        <w:spacing w:before="156" w:beforeLines="50" w:line="360" w:lineRule="auto"/>
        <w:jc w:val="left"/>
        <w:outlineLvl w:val="0"/>
        <w:rPr>
          <w:rFonts w:hint="eastAsia" w:ascii="宋体" w:hAnsi="宋体" w:cs="宋体"/>
          <w:b/>
          <w:color w:val="auto"/>
          <w:szCs w:val="21"/>
          <w:highlight w:val="none"/>
        </w:rPr>
      </w:pPr>
      <w:bookmarkStart w:id="54" w:name="_Toc4168"/>
      <w:bookmarkStart w:id="55" w:name="_Toc22695"/>
      <w:bookmarkStart w:id="56" w:name="_Toc493761844"/>
      <w:bookmarkStart w:id="57" w:name="_Toc282640709"/>
      <w:bookmarkStart w:id="58" w:name="_Toc4134"/>
      <w:r>
        <w:rPr>
          <w:rFonts w:hint="eastAsia" w:ascii="宋体" w:hAnsi="宋体" w:cs="宋体"/>
          <w:b/>
          <w:color w:val="auto"/>
          <w:szCs w:val="21"/>
          <w:highlight w:val="none"/>
        </w:rPr>
        <w:t>十三、响应文件的递交</w:t>
      </w:r>
      <w:bookmarkEnd w:id="54"/>
      <w:bookmarkEnd w:id="55"/>
      <w:bookmarkEnd w:id="56"/>
      <w:bookmarkEnd w:id="57"/>
      <w:bookmarkEnd w:id="58"/>
    </w:p>
    <w:p w14:paraId="54C1C1EE">
      <w:pPr>
        <w:spacing w:line="360" w:lineRule="auto"/>
        <w:ind w:firstLine="420" w:firstLineChars="200"/>
        <w:rPr>
          <w:rFonts w:hint="eastAsia" w:ascii="宋体" w:hAnsi="宋体" w:cs="宋体"/>
          <w:color w:val="auto"/>
          <w:kern w:val="0"/>
          <w:highlight w:val="none"/>
        </w:rPr>
      </w:pPr>
      <w:bookmarkStart w:id="59" w:name="_Toc282640710"/>
      <w:bookmarkStart w:id="60" w:name="_Toc493761845"/>
      <w:r>
        <w:rPr>
          <w:rFonts w:hint="eastAsia" w:ascii="宋体" w:hAnsi="宋体" w:cs="宋体"/>
          <w:color w:val="auto"/>
          <w:kern w:val="0"/>
          <w:highlight w:val="none"/>
        </w:rPr>
        <w:t>1、</w:t>
      </w:r>
      <w:r>
        <w:rPr>
          <w:rFonts w:hint="eastAsia" w:ascii="宋体" w:hAnsi="宋体" w:cs="宋体"/>
          <w:color w:val="auto"/>
          <w:kern w:val="0"/>
          <w:highlight w:val="none"/>
          <w:lang w:bidi="ar"/>
        </w:rPr>
        <w:t>响应文件的上传、递交</w:t>
      </w:r>
      <w:r>
        <w:rPr>
          <w:rFonts w:hint="eastAsia" w:ascii="宋体" w:hAnsi="宋体" w:cs="宋体"/>
          <w:color w:val="auto"/>
          <w:kern w:val="0"/>
          <w:highlight w:val="none"/>
        </w:rPr>
        <w:t>响应文件”的上传、递交：见《前附表》。</w:t>
      </w:r>
    </w:p>
    <w:p w14:paraId="46A3E8B3">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2、“电子加密响应文件”解密和异常情况处理“电子加密响应文件”解密：见《前附表》。</w:t>
      </w:r>
    </w:p>
    <w:p w14:paraId="190D5DCD">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3、响应文件的补充、修改或撤回。</w:t>
      </w:r>
    </w:p>
    <w:p w14:paraId="38BFA014">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21B84D6">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3.2 响应截止时间后，供应商不得撤回、修改《响应文件》。</w:t>
      </w:r>
    </w:p>
    <w:p w14:paraId="4427B1D6">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4、响应文件的备选方案</w:t>
      </w:r>
    </w:p>
    <w:p w14:paraId="6177A180">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供应商不得递交任何的备选（替代）方案，否则其响应文件将作无效处理。与“电子加密响应文件”同时生成的“备份响应文件”不是备选方案。</w:t>
      </w:r>
    </w:p>
    <w:p w14:paraId="2A488024">
      <w:pPr>
        <w:spacing w:line="360" w:lineRule="auto"/>
        <w:ind w:firstLine="420" w:firstLineChars="200"/>
        <w:rPr>
          <w:rFonts w:hint="eastAsia" w:ascii="宋体" w:hAnsi="宋体" w:cs="宋体"/>
          <w:color w:val="auto"/>
          <w:kern w:val="0"/>
          <w:highlight w:val="none"/>
        </w:rPr>
      </w:pPr>
      <w:bookmarkStart w:id="61" w:name="_Toc177870552"/>
      <w:r>
        <w:rPr>
          <w:rFonts w:hint="eastAsia" w:ascii="宋体" w:hAnsi="宋体" w:cs="宋体"/>
          <w:color w:val="auto"/>
          <w:kern w:val="0"/>
          <w:highlight w:val="none"/>
        </w:rPr>
        <w:t>5、响应截止期</w:t>
      </w:r>
    </w:p>
    <w:p w14:paraId="0082A081">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5.1供应商应按前附表规定的时间、地点将“电子加密响应文件”上传至“政采云平台”，响应截止时间后递交的“电子加密响应文件”，“政采云平台”将予以拒收。</w:t>
      </w:r>
    </w:p>
    <w:p w14:paraId="6505566E">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5.2供应商应按前附表规定的时间、地点将“备份响应文件”递交给采购代理机构，采购代理机构将拒绝接受逾期送达的“备份响应文件”。</w:t>
      </w:r>
    </w:p>
    <w:p w14:paraId="153A4B38">
      <w:pPr>
        <w:spacing w:line="360" w:lineRule="auto"/>
        <w:ind w:firstLine="420" w:firstLineChars="200"/>
        <w:jc w:val="left"/>
        <w:rPr>
          <w:rFonts w:hint="eastAsia" w:ascii="宋体" w:hAnsi="宋体" w:cs="宋体"/>
          <w:b/>
          <w:color w:val="auto"/>
          <w:sz w:val="24"/>
          <w:highlight w:val="none"/>
        </w:rPr>
      </w:pPr>
      <w:r>
        <w:rPr>
          <w:rFonts w:hint="eastAsia" w:ascii="宋体" w:hAnsi="宋体" w:cs="宋体"/>
          <w:color w:val="auto"/>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61"/>
    </w:p>
    <w:p w14:paraId="3930B96D">
      <w:pPr>
        <w:spacing w:before="156" w:beforeLines="50" w:line="360" w:lineRule="auto"/>
        <w:jc w:val="left"/>
        <w:outlineLvl w:val="0"/>
        <w:rPr>
          <w:rFonts w:hint="eastAsia" w:ascii="宋体" w:hAnsi="宋体" w:cs="宋体"/>
          <w:b/>
          <w:color w:val="auto"/>
          <w:szCs w:val="21"/>
          <w:highlight w:val="none"/>
        </w:rPr>
      </w:pPr>
      <w:bookmarkStart w:id="62" w:name="_Toc13357"/>
      <w:bookmarkStart w:id="63" w:name="_Toc2615"/>
      <w:bookmarkStart w:id="64" w:name="_Toc17958"/>
      <w:r>
        <w:rPr>
          <w:rFonts w:hint="eastAsia" w:ascii="宋体" w:hAnsi="宋体" w:cs="宋体"/>
          <w:b/>
          <w:color w:val="auto"/>
          <w:szCs w:val="21"/>
          <w:highlight w:val="none"/>
        </w:rPr>
        <w:t>十四、无效响应文件</w:t>
      </w:r>
      <w:bookmarkEnd w:id="59"/>
      <w:bookmarkEnd w:id="60"/>
      <w:bookmarkEnd w:id="62"/>
      <w:bookmarkEnd w:id="63"/>
      <w:bookmarkEnd w:id="64"/>
    </w:p>
    <w:p w14:paraId="6540F7DB">
      <w:pPr>
        <w:spacing w:line="360" w:lineRule="auto"/>
        <w:ind w:firstLine="422" w:firstLineChars="200"/>
        <w:jc w:val="left"/>
        <w:rPr>
          <w:rFonts w:hint="eastAsia" w:ascii="宋体" w:hAnsi="宋体" w:cs="宋体"/>
          <w:color w:val="auto"/>
          <w:szCs w:val="21"/>
          <w:highlight w:val="none"/>
        </w:rPr>
      </w:pPr>
      <w:bookmarkStart w:id="65" w:name="_Toc493761846"/>
      <w:bookmarkStart w:id="66" w:name="_Toc282640720"/>
      <w:r>
        <w:rPr>
          <w:rFonts w:hint="eastAsia" w:ascii="宋体" w:hAnsi="宋体" w:cs="宋体"/>
          <w:b/>
          <w:color w:val="auto"/>
          <w:szCs w:val="21"/>
          <w:highlight w:val="none"/>
        </w:rPr>
        <w:t>发生下列情况之一的响应文件被视为无效：</w:t>
      </w:r>
    </w:p>
    <w:p w14:paraId="452C13ED">
      <w:pPr>
        <w:spacing w:line="360" w:lineRule="auto"/>
        <w:ind w:firstLine="420" w:firstLineChars="200"/>
        <w:jc w:val="left"/>
        <w:rPr>
          <w:rFonts w:hint="eastAsia" w:ascii="宋体" w:hAnsi="宋体" w:cs="宋体"/>
          <w:color w:val="auto"/>
          <w:szCs w:val="21"/>
          <w:highlight w:val="none"/>
        </w:rPr>
      </w:pPr>
      <w:bookmarkStart w:id="67" w:name="_Toc282640711"/>
      <w:bookmarkStart w:id="68" w:name="_Toc414960356"/>
      <w:r>
        <w:rPr>
          <w:rFonts w:hint="eastAsia" w:ascii="宋体" w:hAnsi="宋体" w:cs="宋体"/>
          <w:color w:val="auto"/>
          <w:szCs w:val="21"/>
          <w:highlight w:val="none"/>
        </w:rPr>
        <w:t>1、在采购文件规定的递交截止时间以后送达的响应文件；</w:t>
      </w:r>
      <w:bookmarkEnd w:id="67"/>
      <w:bookmarkEnd w:id="68"/>
      <w:bookmarkStart w:id="69" w:name="_Toc282640712"/>
    </w:p>
    <w:bookmarkEnd w:id="69"/>
    <w:p w14:paraId="3B052878">
      <w:pPr>
        <w:spacing w:line="360" w:lineRule="auto"/>
        <w:ind w:firstLine="420" w:firstLineChars="200"/>
        <w:jc w:val="left"/>
        <w:rPr>
          <w:rFonts w:hint="eastAsia" w:ascii="宋体" w:hAnsi="宋体" w:cs="宋体"/>
          <w:color w:val="auto"/>
          <w:szCs w:val="21"/>
          <w:highlight w:val="none"/>
        </w:rPr>
      </w:pPr>
      <w:bookmarkStart w:id="70" w:name="_Toc282640713"/>
      <w:bookmarkStart w:id="71" w:name="_Toc414960357"/>
      <w:r>
        <w:rPr>
          <w:rFonts w:hint="eastAsia" w:ascii="宋体" w:hAnsi="宋体" w:cs="宋体"/>
          <w:color w:val="auto"/>
          <w:szCs w:val="21"/>
          <w:highlight w:val="none"/>
        </w:rPr>
        <w:t>2、</w:t>
      </w:r>
      <w:r>
        <w:rPr>
          <w:rFonts w:hint="eastAsia" w:ascii="宋体" w:hAnsi="宋体" w:cs="宋体"/>
          <w:color w:val="auto"/>
          <w:szCs w:val="21"/>
          <w:highlight w:val="none"/>
          <w:lang w:bidi="ar"/>
        </w:rPr>
        <w:t>响应文件递交截止时间前，供应商仅递交了“备份响应文件”而未将电子加密响应文件上传至“政府采购云平台”的，响应文件无效。</w:t>
      </w:r>
      <w:bookmarkEnd w:id="70"/>
      <w:bookmarkEnd w:id="71"/>
      <w:bookmarkStart w:id="72" w:name="_Toc282640715"/>
    </w:p>
    <w:p w14:paraId="41DB0849">
      <w:pPr>
        <w:spacing w:line="360" w:lineRule="auto"/>
        <w:ind w:firstLine="420" w:firstLineChars="200"/>
        <w:jc w:val="left"/>
        <w:rPr>
          <w:rFonts w:hint="eastAsia" w:ascii="宋体" w:hAnsi="宋体" w:cs="宋体"/>
          <w:color w:val="auto"/>
          <w:szCs w:val="21"/>
          <w:highlight w:val="none"/>
        </w:rPr>
      </w:pPr>
      <w:bookmarkStart w:id="73" w:name="_Toc414960358"/>
      <w:r>
        <w:rPr>
          <w:rFonts w:hint="eastAsia" w:ascii="宋体" w:hAnsi="宋体" w:cs="宋体"/>
          <w:color w:val="auto"/>
          <w:szCs w:val="21"/>
          <w:highlight w:val="none"/>
        </w:rPr>
        <w:t>3、与采购文件有重大偏离的响应文件；</w:t>
      </w:r>
      <w:bookmarkEnd w:id="72"/>
      <w:bookmarkEnd w:id="73"/>
      <w:bookmarkStart w:id="74" w:name="_Toc282640716"/>
    </w:p>
    <w:p w14:paraId="3A901CFD">
      <w:pPr>
        <w:spacing w:line="360" w:lineRule="auto"/>
        <w:ind w:firstLine="420" w:firstLineChars="200"/>
        <w:jc w:val="left"/>
        <w:rPr>
          <w:rFonts w:hint="eastAsia" w:ascii="宋体" w:hAnsi="宋体" w:cs="宋体"/>
          <w:color w:val="auto"/>
          <w:szCs w:val="21"/>
          <w:highlight w:val="none"/>
        </w:rPr>
      </w:pPr>
      <w:bookmarkStart w:id="75" w:name="_Toc414960359"/>
      <w:r>
        <w:rPr>
          <w:rFonts w:hint="eastAsia" w:ascii="宋体" w:hAnsi="宋体" w:cs="宋体"/>
          <w:color w:val="auto"/>
          <w:szCs w:val="21"/>
          <w:highlight w:val="none"/>
        </w:rPr>
        <w:t>4、</w:t>
      </w:r>
      <w:bookmarkEnd w:id="74"/>
      <w:bookmarkEnd w:id="75"/>
      <w:bookmarkStart w:id="76" w:name="_Toc282640718"/>
      <w:bookmarkStart w:id="77" w:name="_Toc414960361"/>
      <w:r>
        <w:rPr>
          <w:rFonts w:hint="eastAsia" w:ascii="宋体" w:hAnsi="宋体" w:cs="宋体"/>
          <w:color w:val="auto"/>
          <w:szCs w:val="21"/>
          <w:highlight w:val="none"/>
        </w:rPr>
        <w:t>磋商时供应商法定代表人（或授权代表）未在线参加磋商的；</w:t>
      </w:r>
      <w:bookmarkEnd w:id="76"/>
      <w:bookmarkEnd w:id="77"/>
      <w:bookmarkStart w:id="78" w:name="_Toc282640719"/>
    </w:p>
    <w:p w14:paraId="57139179">
      <w:pPr>
        <w:spacing w:line="360" w:lineRule="auto"/>
        <w:ind w:firstLine="420" w:firstLineChars="200"/>
        <w:jc w:val="left"/>
        <w:rPr>
          <w:rFonts w:hint="eastAsia" w:ascii="宋体" w:hAnsi="宋体" w:cs="宋体"/>
          <w:color w:val="auto"/>
          <w:szCs w:val="21"/>
          <w:highlight w:val="none"/>
        </w:rPr>
      </w:pPr>
      <w:bookmarkStart w:id="79" w:name="_Toc414960362"/>
      <w:r>
        <w:rPr>
          <w:rFonts w:hint="eastAsia" w:ascii="宋体" w:hAnsi="宋体" w:cs="宋体"/>
          <w:color w:val="auto"/>
          <w:szCs w:val="21"/>
          <w:highlight w:val="none"/>
        </w:rPr>
        <w:t>5、不具备磋商文件中规定的资格条件要求的；</w:t>
      </w:r>
      <w:bookmarkEnd w:id="79"/>
    </w:p>
    <w:p w14:paraId="48EC6E97">
      <w:pPr>
        <w:spacing w:line="360" w:lineRule="auto"/>
        <w:ind w:firstLine="420" w:firstLineChars="200"/>
        <w:rPr>
          <w:rFonts w:hint="eastAsia" w:ascii="宋体" w:hAnsi="宋体" w:cs="宋体"/>
          <w:color w:val="auto"/>
          <w:szCs w:val="21"/>
          <w:highlight w:val="none"/>
        </w:rPr>
      </w:pPr>
      <w:bookmarkStart w:id="80" w:name="_Toc414960363"/>
      <w:r>
        <w:rPr>
          <w:rFonts w:hint="eastAsia" w:ascii="宋体" w:hAnsi="宋体" w:cs="宋体"/>
          <w:color w:val="auto"/>
          <w:szCs w:val="21"/>
          <w:highlight w:val="none"/>
        </w:rPr>
        <w:t>6、不符合法律、法规和本采购文件规定的其他实质性要求的。</w:t>
      </w:r>
      <w:bookmarkEnd w:id="78"/>
      <w:bookmarkEnd w:id="80"/>
    </w:p>
    <w:p w14:paraId="3B756F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参与同一个采购包(标段)的供应商存在下列情形之一的其投标(响应)文件无效:(1)不同供应商的电子投标(响应)文件上传计算机的网卡MAC地址、CPU序列号和硬盘序本系统别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379ED2F4">
      <w:pPr>
        <w:spacing w:before="156" w:beforeLines="50" w:line="360" w:lineRule="auto"/>
        <w:jc w:val="left"/>
        <w:outlineLvl w:val="0"/>
        <w:rPr>
          <w:rFonts w:hint="eastAsia" w:ascii="宋体" w:hAnsi="宋体" w:cs="宋体"/>
          <w:b/>
          <w:color w:val="auto"/>
          <w:szCs w:val="21"/>
          <w:highlight w:val="none"/>
        </w:rPr>
      </w:pPr>
      <w:bookmarkStart w:id="81" w:name="_Toc22869"/>
      <w:bookmarkStart w:id="82" w:name="_Toc1484"/>
      <w:bookmarkStart w:id="83" w:name="_Toc8331"/>
      <w:r>
        <w:rPr>
          <w:rFonts w:hint="eastAsia" w:ascii="宋体" w:hAnsi="宋体" w:cs="宋体"/>
          <w:b/>
          <w:color w:val="auto"/>
          <w:szCs w:val="21"/>
          <w:highlight w:val="none"/>
        </w:rPr>
        <w:t>十五、</w:t>
      </w:r>
      <w:bookmarkEnd w:id="65"/>
      <w:bookmarkEnd w:id="66"/>
      <w:bookmarkStart w:id="84" w:name="_Toc11107"/>
      <w:bookmarkStart w:id="85" w:name="_Toc16217"/>
      <w:bookmarkStart w:id="86" w:name="_Toc18971"/>
      <w:bookmarkStart w:id="87" w:name="_Toc386"/>
      <w:bookmarkStart w:id="88" w:name="_Toc6687"/>
      <w:r>
        <w:rPr>
          <w:rFonts w:hint="eastAsia" w:ascii="宋体" w:hAnsi="宋体" w:cs="宋体"/>
          <w:b/>
          <w:color w:val="auto"/>
          <w:szCs w:val="21"/>
          <w:highlight w:val="none"/>
        </w:rPr>
        <w:t>确定成交供应商方法</w:t>
      </w:r>
      <w:bookmarkEnd w:id="81"/>
      <w:bookmarkEnd w:id="82"/>
      <w:bookmarkEnd w:id="83"/>
      <w:bookmarkEnd w:id="84"/>
      <w:bookmarkEnd w:id="85"/>
      <w:bookmarkEnd w:id="86"/>
      <w:bookmarkEnd w:id="87"/>
      <w:bookmarkEnd w:id="88"/>
    </w:p>
    <w:p w14:paraId="11D342B6">
      <w:pPr>
        <w:autoSpaceDE w:val="0"/>
        <w:autoSpaceDN w:val="0"/>
        <w:adjustRightIn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在质量与服务均能满足采购项目要求的前提下，以综合得分由高到低的原则确定成交供应商，</w:t>
      </w:r>
      <w:r>
        <w:rPr>
          <w:rFonts w:hint="eastAsia" w:ascii="宋体" w:hAnsi="宋体" w:cs="宋体"/>
          <w:color w:val="auto"/>
          <w:kern w:val="0"/>
          <w:szCs w:val="21"/>
          <w:highlight w:val="none"/>
        </w:rPr>
        <w:t xml:space="preserve"> </w:t>
      </w:r>
      <w:r>
        <w:rPr>
          <w:rFonts w:hint="eastAsia" w:ascii="宋体" w:hAnsi="宋体" w:cs="宋体"/>
          <w:b/>
          <w:color w:val="auto"/>
          <w:szCs w:val="21"/>
          <w:highlight w:val="none"/>
        </w:rPr>
        <w:t>详细的磋商程序见竞争性磋商文件第四章内容。</w:t>
      </w:r>
    </w:p>
    <w:p w14:paraId="64AB2D20">
      <w:pPr>
        <w:spacing w:before="156" w:beforeLines="50" w:line="360" w:lineRule="auto"/>
        <w:jc w:val="left"/>
        <w:outlineLvl w:val="0"/>
        <w:rPr>
          <w:rFonts w:hint="eastAsia" w:ascii="宋体" w:hAnsi="宋体" w:cs="宋体"/>
          <w:b/>
          <w:color w:val="auto"/>
          <w:szCs w:val="21"/>
          <w:highlight w:val="none"/>
        </w:rPr>
      </w:pPr>
      <w:bookmarkStart w:id="89" w:name="_Toc282640721"/>
      <w:bookmarkStart w:id="90" w:name="_Toc493761847"/>
      <w:bookmarkStart w:id="91" w:name="_Toc19856"/>
      <w:bookmarkStart w:id="92" w:name="_Toc25551"/>
      <w:bookmarkStart w:id="93" w:name="_Toc1195"/>
      <w:r>
        <w:rPr>
          <w:rFonts w:hint="eastAsia" w:ascii="宋体" w:hAnsi="宋体" w:cs="宋体"/>
          <w:b/>
          <w:color w:val="auto"/>
          <w:szCs w:val="21"/>
          <w:highlight w:val="none"/>
        </w:rPr>
        <w:t>十六、</w:t>
      </w:r>
      <w:bookmarkEnd w:id="89"/>
      <w:bookmarkEnd w:id="90"/>
      <w:bookmarkStart w:id="94" w:name="_Toc18112"/>
      <w:bookmarkStart w:id="95" w:name="_Toc3687"/>
      <w:bookmarkStart w:id="96" w:name="_Toc8051"/>
      <w:bookmarkStart w:id="97" w:name="_Toc25091"/>
      <w:bookmarkStart w:id="98" w:name="_Toc25586"/>
      <w:r>
        <w:rPr>
          <w:rFonts w:hint="eastAsia" w:ascii="宋体" w:hAnsi="宋体" w:cs="宋体"/>
          <w:b/>
          <w:color w:val="auto"/>
          <w:szCs w:val="21"/>
          <w:highlight w:val="none"/>
        </w:rPr>
        <w:t>授予合同</w:t>
      </w:r>
      <w:bookmarkEnd w:id="91"/>
      <w:bookmarkEnd w:id="92"/>
      <w:bookmarkEnd w:id="93"/>
      <w:bookmarkEnd w:id="94"/>
      <w:bookmarkEnd w:id="95"/>
      <w:bookmarkEnd w:id="96"/>
      <w:bookmarkEnd w:id="97"/>
      <w:bookmarkEnd w:id="98"/>
    </w:p>
    <w:p w14:paraId="7E14E11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1、授予合同的依据</w:t>
      </w:r>
    </w:p>
    <w:p w14:paraId="7E7A21D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招标采购单位签发的成交通知书；</w:t>
      </w:r>
    </w:p>
    <w:p w14:paraId="2D4D0DE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磋商文件、磋商文件的修改及补充通知（函）；</w:t>
      </w:r>
    </w:p>
    <w:p w14:paraId="518ACC2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响应文件和磋商时供应商作出的书面澄清、说明、纠正、承诺等；</w:t>
      </w:r>
    </w:p>
    <w:p w14:paraId="51CA22F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2、合同签订</w:t>
      </w:r>
    </w:p>
    <w:p w14:paraId="529B3DD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采购人与成交供应商应当在成交通知书发出之日起30日内签订合同。同时，采购代理机构对合同内容进行审查，如发现成交结果和磋商承诺内容不一致的，应予以纠正。</w:t>
      </w:r>
    </w:p>
    <w:p w14:paraId="235E719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05C60AB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3.采购人如不与成交供应商订立合同，或者采购人、成交供应商订立背离合同实质性内容的协议，由政府有关部门责令改正，同时依法承担相应法律责任。</w:t>
      </w:r>
    </w:p>
    <w:p w14:paraId="46C7F59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4.签订合同后2个工作日内，采购人应及时在政采云平台进行合同备案。</w:t>
      </w:r>
    </w:p>
    <w:p w14:paraId="6AD0726D">
      <w:pPr>
        <w:spacing w:before="156" w:beforeLines="50" w:line="360" w:lineRule="auto"/>
        <w:jc w:val="left"/>
        <w:outlineLvl w:val="0"/>
        <w:rPr>
          <w:rFonts w:hint="eastAsia" w:ascii="宋体" w:hAnsi="宋体" w:cs="宋体"/>
          <w:b/>
          <w:color w:val="auto"/>
          <w:szCs w:val="21"/>
          <w:highlight w:val="none"/>
        </w:rPr>
      </w:pPr>
      <w:bookmarkStart w:id="99" w:name="_Toc493761848"/>
      <w:bookmarkStart w:id="100" w:name="_Toc3930"/>
      <w:bookmarkStart w:id="101" w:name="_Toc16248"/>
      <w:bookmarkStart w:id="102" w:name="_Toc3043"/>
      <w:r>
        <w:rPr>
          <w:rFonts w:hint="eastAsia" w:ascii="宋体" w:hAnsi="宋体" w:cs="宋体"/>
          <w:b/>
          <w:color w:val="auto"/>
          <w:szCs w:val="21"/>
          <w:highlight w:val="none"/>
        </w:rPr>
        <w:t>十七、</w:t>
      </w:r>
      <w:bookmarkEnd w:id="99"/>
      <w:bookmarkStart w:id="103" w:name="_Toc1831"/>
      <w:r>
        <w:rPr>
          <w:rFonts w:hint="eastAsia" w:ascii="宋体" w:hAnsi="宋体" w:cs="宋体"/>
          <w:b/>
          <w:color w:val="auto"/>
          <w:szCs w:val="21"/>
          <w:highlight w:val="none"/>
        </w:rPr>
        <w:t>可中止电子交易活动的情形</w:t>
      </w:r>
      <w:bookmarkEnd w:id="100"/>
      <w:bookmarkEnd w:id="101"/>
      <w:bookmarkEnd w:id="102"/>
      <w:bookmarkEnd w:id="103"/>
    </w:p>
    <w:p w14:paraId="229BCC72">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14:paraId="6DFB49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14:paraId="7DF141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EE9354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E1BB8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14:paraId="6E99A0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4B2CC1D8">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14:paraId="5E0ED97B">
      <w:pPr>
        <w:spacing w:before="156" w:beforeLines="50" w:line="360" w:lineRule="auto"/>
        <w:jc w:val="left"/>
        <w:outlineLvl w:val="0"/>
        <w:rPr>
          <w:rFonts w:hint="eastAsia" w:ascii="宋体" w:hAnsi="宋体" w:cs="宋体"/>
          <w:b/>
          <w:color w:val="auto"/>
          <w:szCs w:val="21"/>
          <w:highlight w:val="none"/>
        </w:rPr>
      </w:pPr>
      <w:bookmarkStart w:id="104" w:name="_Toc8366"/>
      <w:bookmarkStart w:id="105" w:name="_Toc29352"/>
      <w:bookmarkStart w:id="106" w:name="_Toc20710"/>
      <w:bookmarkStart w:id="107" w:name="_Toc9895"/>
      <w:r>
        <w:rPr>
          <w:rFonts w:hint="eastAsia" w:ascii="宋体" w:hAnsi="宋体" w:cs="宋体"/>
          <w:b/>
          <w:color w:val="auto"/>
          <w:szCs w:val="21"/>
          <w:highlight w:val="none"/>
        </w:rPr>
        <w:t>十八、终止采购活动</w:t>
      </w:r>
      <w:bookmarkEnd w:id="104"/>
      <w:bookmarkEnd w:id="105"/>
      <w:bookmarkEnd w:id="106"/>
      <w:bookmarkEnd w:id="107"/>
    </w:p>
    <w:p w14:paraId="61693D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出现下列情形之一的，采购人或者采购代理机构应当终止竞争性磋商采购活动，发布项目终止公告并说明原因，重新开展采购活动：</w:t>
      </w:r>
    </w:p>
    <w:p w14:paraId="0B4D576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1、因情况变化，不再符合规定的竞争性磋商采购方式适用情形的；</w:t>
      </w:r>
    </w:p>
    <w:p w14:paraId="56A088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14:paraId="69D6DD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3、除相关规定情形外，在采购过程中符合要求的供应商或者报价未超过采购预算的供应商不足3家的。</w:t>
      </w:r>
    </w:p>
    <w:p w14:paraId="5C6DC75D">
      <w:pPr>
        <w:rPr>
          <w:color w:val="auto"/>
          <w:highlight w:val="none"/>
        </w:rPr>
      </w:pPr>
      <w:r>
        <w:rPr>
          <w:rFonts w:hint="eastAsia"/>
          <w:color w:val="auto"/>
          <w:highlight w:val="none"/>
        </w:rPr>
        <w:br w:type="page"/>
      </w:r>
    </w:p>
    <w:p w14:paraId="29EB89BC">
      <w:pPr>
        <w:pStyle w:val="5"/>
        <w:spacing w:before="156" w:after="156"/>
        <w:rPr>
          <w:color w:val="auto"/>
          <w:highlight w:val="none"/>
        </w:rPr>
      </w:pPr>
      <w:r>
        <w:rPr>
          <w:rFonts w:hint="eastAsia"/>
          <w:color w:val="auto"/>
          <w:highlight w:val="none"/>
        </w:rPr>
        <w:t>第三章  磋商项目服务内容及要求</w:t>
      </w:r>
      <w:bookmarkEnd w:id="26"/>
    </w:p>
    <w:p w14:paraId="466CBFDB">
      <w:pPr>
        <w:snapToGrid w:val="0"/>
        <w:spacing w:line="360" w:lineRule="auto"/>
        <w:ind w:firstLine="420" w:firstLineChars="200"/>
        <w:rPr>
          <w:rFonts w:hint="eastAsia" w:ascii="宋体" w:hAnsi="宋体" w:cs="宋体"/>
          <w:color w:val="auto"/>
          <w:kern w:val="0"/>
          <w:szCs w:val="21"/>
          <w:highlight w:val="none"/>
        </w:rPr>
      </w:pPr>
      <w:bookmarkStart w:id="108" w:name="_Toc73261936"/>
      <w:bookmarkStart w:id="109" w:name="_Toc71190162"/>
      <w:bookmarkStart w:id="110" w:name="_Toc71190163"/>
      <w:bookmarkStart w:id="111" w:name="_Toc31899"/>
      <w:bookmarkStart w:id="112" w:name="_Toc5671"/>
      <w:bookmarkStart w:id="113" w:name="_Toc16640"/>
      <w:bookmarkStart w:id="114" w:name="_Toc21821"/>
      <w:bookmarkStart w:id="115" w:name="_Toc8094"/>
      <w:bookmarkStart w:id="116" w:name="_Toc386810515"/>
      <w:bookmarkStart w:id="117" w:name="_Toc12868"/>
      <w:bookmarkStart w:id="118" w:name="_Toc20488"/>
      <w:bookmarkStart w:id="119" w:name="_Toc28690"/>
      <w:r>
        <w:rPr>
          <w:rFonts w:hint="eastAsia" w:ascii="宋体" w:hAnsi="宋体" w:cs="宋体"/>
          <w:color w:val="auto"/>
          <w:szCs w:val="21"/>
          <w:highlight w:val="none"/>
        </w:rPr>
        <w:t>本章要求适用于</w:t>
      </w:r>
      <w:r>
        <w:rPr>
          <w:rFonts w:hint="eastAsia" w:ascii="宋体" w:hAnsi="宋体" w:cs="宋体"/>
          <w:b/>
          <w:color w:val="auto"/>
          <w:szCs w:val="21"/>
          <w:highlight w:val="none"/>
          <w:u w:val="single"/>
        </w:rPr>
        <w:t>2025年第六届浙江省户外运动大会赛事服务项目</w:t>
      </w:r>
      <w:r>
        <w:rPr>
          <w:rFonts w:hint="eastAsia" w:ascii="宋体" w:hAnsi="宋体" w:cs="宋体"/>
          <w:color w:val="auto"/>
          <w:szCs w:val="21"/>
          <w:highlight w:val="none"/>
        </w:rPr>
        <w:t>的采购，是采购人为该项目的供应商提出的技术规范要求，为供应商完成响应文件的依据。本章所提出的内容为本项目的最低要求，供应商必须认真阅读以下内容，以免造成磋商损失。</w:t>
      </w:r>
      <w:bookmarkStart w:id="120" w:name="_Toc282640725"/>
      <w:bookmarkStart w:id="121" w:name="_Toc22750"/>
      <w:bookmarkStart w:id="122" w:name="_Toc3686"/>
      <w:bookmarkStart w:id="123" w:name="_Toc19431"/>
      <w:bookmarkStart w:id="124" w:name="_Toc31569"/>
    </w:p>
    <w:bookmarkEnd w:id="120"/>
    <w:bookmarkEnd w:id="121"/>
    <w:bookmarkEnd w:id="122"/>
    <w:bookmarkEnd w:id="123"/>
    <w:bookmarkEnd w:id="124"/>
    <w:p w14:paraId="5508FFB6">
      <w:pPr>
        <w:pStyle w:val="3"/>
        <w:spacing w:after="0" w:line="360" w:lineRule="auto"/>
        <w:ind w:left="210" w:leftChars="1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一、项目概况</w:t>
      </w:r>
    </w:p>
    <w:p w14:paraId="5546CA13">
      <w:pPr>
        <w:pStyle w:val="3"/>
        <w:spacing w:after="0" w:line="360" w:lineRule="auto"/>
        <w:ind w:left="210" w:leftChars="100"/>
        <w:rPr>
          <w:rFonts w:hint="eastAsia" w:ascii="宋体" w:hAnsi="宋体" w:cs="宋体" w:eastAsiaTheme="minorEastAsia"/>
          <w:color w:val="auto"/>
          <w:sz w:val="21"/>
          <w:szCs w:val="21"/>
          <w:highlight w:val="none"/>
        </w:rPr>
      </w:pPr>
      <w:r>
        <w:rPr>
          <w:rFonts w:hint="eastAsia" w:asciiTheme="minorEastAsia" w:hAnsiTheme="minorEastAsia" w:eastAsiaTheme="minorEastAsia" w:cstheme="minorEastAsia"/>
          <w:b/>
          <w:bCs/>
          <w:color w:val="auto"/>
          <w:sz w:val="24"/>
          <w:highlight w:val="none"/>
        </w:rPr>
        <w:t>（一）项目名称：</w:t>
      </w:r>
      <w:r>
        <w:rPr>
          <w:rFonts w:hint="eastAsia" w:ascii="宋体" w:hAnsi="宋体" w:cs="宋体" w:eastAsiaTheme="minorEastAsia"/>
          <w:color w:val="auto"/>
          <w:sz w:val="21"/>
          <w:szCs w:val="21"/>
          <w:highlight w:val="none"/>
        </w:rPr>
        <w:t>2025年第六届浙江省户外运动大会赛事服务项目</w:t>
      </w:r>
    </w:p>
    <w:p w14:paraId="17C31664">
      <w:pPr>
        <w:pStyle w:val="3"/>
        <w:spacing w:after="0" w:line="360" w:lineRule="auto"/>
        <w:ind w:left="210" w:left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（二）项目背景：</w:t>
      </w:r>
    </w:p>
    <w:p w14:paraId="323ECBDA">
      <w:pPr>
        <w:pStyle w:val="3"/>
        <w:spacing w:after="0" w:line="360" w:lineRule="auto"/>
        <w:ind w:left="210" w:leftChars="10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为进一步深入践行“绿水青山就是金山银山”发展 理念，推进落实浙江省体育领域高质量发展，打造现代化体育产业体系，打响“运动浙江 户外天堂”品牌，建设共同富裕示范区，助力浙江加快建成中国式现代化体育强省，现决定在湖州安吉云上草原熊猫部落举办“第六届浙江省户外运动大会。</w:t>
      </w:r>
    </w:p>
    <w:p w14:paraId="2E1F35A6">
      <w:pPr>
        <w:pStyle w:val="3"/>
        <w:spacing w:after="0" w:line="360" w:lineRule="auto"/>
        <w:ind w:left="210" w:leftChars="100"/>
        <w:rPr>
          <w:rFonts w:hint="eastAsia" w:ascii="宋体" w:hAnsi="宋体" w:cs="宋体"/>
          <w:color w:val="auto"/>
          <w:sz w:val="21"/>
          <w:szCs w:val="21"/>
          <w:highlight w:val="none"/>
        </w:rPr>
      </w:pPr>
      <w:r>
        <w:rPr>
          <w:rFonts w:hint="eastAsia" w:asciiTheme="minorEastAsia" w:hAnsiTheme="minorEastAsia" w:eastAsiaTheme="minorEastAsia" w:cstheme="minorEastAsia"/>
          <w:b/>
          <w:bCs/>
          <w:color w:val="auto"/>
          <w:sz w:val="24"/>
          <w:highlight w:val="none"/>
        </w:rPr>
        <w:t>（三）活动时间：</w:t>
      </w:r>
      <w:r>
        <w:rPr>
          <w:rFonts w:hint="eastAsia" w:ascii="宋体" w:hAnsi="宋体" w:cs="宋体"/>
          <w:color w:val="auto"/>
          <w:sz w:val="21"/>
          <w:szCs w:val="21"/>
          <w:highlight w:val="none"/>
        </w:rPr>
        <w:t>2025年9月13日-14日（拟，以实际执行为准）。</w:t>
      </w:r>
    </w:p>
    <w:p w14:paraId="7E59F7C5">
      <w:pPr>
        <w:pStyle w:val="3"/>
        <w:spacing w:after="0" w:line="360" w:lineRule="auto"/>
        <w:ind w:left="210" w:left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（四）活动主题：车轮在野、水与争锋</w:t>
      </w:r>
    </w:p>
    <w:p w14:paraId="5C8331EE">
      <w:pPr>
        <w:pStyle w:val="3"/>
        <w:spacing w:after="0" w:line="360" w:lineRule="auto"/>
        <w:ind w:left="210" w:leftChars="100"/>
        <w:rPr>
          <w:rFonts w:hint="eastAsia" w:ascii="宋体" w:hAnsi="宋体" w:cs="宋体"/>
          <w:color w:val="auto"/>
          <w:sz w:val="21"/>
          <w:szCs w:val="21"/>
          <w:highlight w:val="none"/>
        </w:rPr>
      </w:pPr>
      <w:r>
        <w:rPr>
          <w:rFonts w:hint="eastAsia" w:asciiTheme="minorEastAsia" w:hAnsiTheme="minorEastAsia" w:eastAsiaTheme="minorEastAsia" w:cstheme="minorEastAsia"/>
          <w:b/>
          <w:bCs/>
          <w:color w:val="auto"/>
          <w:sz w:val="24"/>
          <w:highlight w:val="none"/>
        </w:rPr>
        <w:t>（五）活动地点：</w:t>
      </w:r>
      <w:r>
        <w:rPr>
          <w:rFonts w:hint="eastAsia" w:ascii="宋体" w:hAnsi="宋体" w:cs="宋体"/>
          <w:color w:val="auto"/>
          <w:sz w:val="21"/>
          <w:szCs w:val="21"/>
          <w:highlight w:val="none"/>
        </w:rPr>
        <w:t>湖州市安吉县</w:t>
      </w:r>
    </w:p>
    <w:p w14:paraId="301F70EC">
      <w:pPr>
        <w:pStyle w:val="3"/>
        <w:spacing w:after="0" w:line="360" w:lineRule="auto"/>
        <w:ind w:left="210" w:leftChars="100"/>
        <w:rPr>
          <w:rFonts w:hint="eastAsia" w:ascii="宋体" w:hAnsi="宋体" w:cs="宋体"/>
          <w:color w:val="auto"/>
          <w:szCs w:val="21"/>
          <w:highlight w:val="none"/>
        </w:rPr>
      </w:pPr>
      <w:r>
        <w:rPr>
          <w:rFonts w:hint="eastAsia" w:asciiTheme="minorEastAsia" w:hAnsiTheme="minorEastAsia" w:eastAsiaTheme="minorEastAsia" w:cstheme="minorEastAsia"/>
          <w:b/>
          <w:bCs/>
          <w:color w:val="auto"/>
          <w:sz w:val="24"/>
          <w:highlight w:val="none"/>
        </w:rPr>
        <w:t>（六）赛事活动内容安排</w:t>
      </w:r>
      <w:r>
        <w:rPr>
          <w:rFonts w:hint="eastAsia" w:ascii="宋体" w:hAnsi="宋体" w:cs="宋体"/>
          <w:color w:val="auto"/>
          <w:sz w:val="21"/>
          <w:szCs w:val="21"/>
          <w:highlight w:val="none"/>
        </w:rPr>
        <w:t>（拟，以实际执行为准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供应商需自行勘察赛事现场</w:t>
      </w:r>
      <w:r>
        <w:rPr>
          <w:rFonts w:hint="eastAsia" w:ascii="宋体" w:hAnsi="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w:t>
      </w:r>
    </w:p>
    <w:p w14:paraId="4F2BF1BA">
      <w:pPr>
        <w:pStyle w:val="3"/>
        <w:numPr>
          <w:ilvl w:val="0"/>
          <w:numId w:val="0"/>
        </w:numPr>
        <w:spacing w:after="0" w:line="360" w:lineRule="auto"/>
        <w:ind w:leftChars="10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本次活动分为现场展览活动+赛事活动两个板块内容，总计人数要求2000人；</w:t>
      </w:r>
    </w:p>
    <w:p w14:paraId="1E0BBFC2">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登山赛</w:t>
      </w:r>
    </w:p>
    <w:p w14:paraId="20621935">
      <w:pPr>
        <w:pStyle w:val="3"/>
        <w:numPr>
          <w:ilvl w:val="0"/>
          <w:numId w:val="5"/>
        </w:numPr>
        <w:spacing w:after="0" w:line="360" w:lineRule="auto"/>
        <w:ind w:left="210" w:leftChars="100"/>
        <w:rPr>
          <w:rFonts w:hint="eastAsia" w:ascii="宋体" w:hAnsi="宋体" w:cs="宋体"/>
          <w:color w:val="auto"/>
          <w:sz w:val="21"/>
          <w:szCs w:val="21"/>
          <w:highlight w:val="none"/>
        </w:rPr>
      </w:pPr>
      <w:r>
        <w:rPr>
          <w:rFonts w:hint="eastAsia" w:ascii="宋体" w:hAnsi="宋体" w:cs="宋体"/>
          <w:color w:val="auto"/>
          <w:sz w:val="21"/>
          <w:szCs w:val="21"/>
          <w:highlight w:val="none"/>
        </w:rPr>
        <w:t>活动线路：安吉熊猫俱乐部（起点）-云上草原（终点）</w:t>
      </w:r>
    </w:p>
    <w:p w14:paraId="34D4DE44">
      <w:pPr>
        <w:pStyle w:val="3"/>
        <w:numPr>
          <w:ilvl w:val="0"/>
          <w:numId w:val="5"/>
        </w:numPr>
        <w:spacing w:after="0" w:line="360" w:lineRule="auto"/>
        <w:ind w:left="210" w:leftChars="100"/>
        <w:rPr>
          <w:rFonts w:hint="eastAsia" w:ascii="宋体" w:hAnsi="宋体" w:cs="宋体"/>
          <w:color w:val="auto"/>
          <w:sz w:val="21"/>
          <w:szCs w:val="21"/>
          <w:highlight w:val="none"/>
        </w:rPr>
      </w:pPr>
      <w:r>
        <w:rPr>
          <w:rFonts w:hint="eastAsia" w:ascii="宋体" w:hAnsi="宋体" w:cs="宋体"/>
          <w:color w:val="auto"/>
          <w:sz w:val="21"/>
          <w:szCs w:val="21"/>
          <w:highlight w:val="none"/>
        </w:rPr>
        <w:t>赛事组别：11公里组别、5公里亲子组别；</w:t>
      </w:r>
    </w:p>
    <w:p w14:paraId="7DFCDFC7">
      <w:pPr>
        <w:pStyle w:val="3"/>
        <w:numPr>
          <w:ilvl w:val="0"/>
          <w:numId w:val="5"/>
        </w:numPr>
        <w:spacing w:after="0" w:line="360" w:lineRule="auto"/>
        <w:ind w:left="210" w:leftChars="100"/>
        <w:rPr>
          <w:rFonts w:hint="eastAsia" w:ascii="宋体" w:hAnsi="宋体" w:cs="宋体"/>
          <w:color w:val="auto"/>
          <w:sz w:val="21"/>
          <w:szCs w:val="21"/>
          <w:highlight w:val="none"/>
        </w:rPr>
      </w:pPr>
      <w:r>
        <w:rPr>
          <w:rFonts w:hint="eastAsia" w:ascii="宋体" w:hAnsi="宋体" w:cs="宋体"/>
          <w:color w:val="auto"/>
          <w:sz w:val="21"/>
          <w:szCs w:val="21"/>
          <w:highlight w:val="none"/>
        </w:rPr>
        <w:t>计划人数：1000人</w:t>
      </w:r>
    </w:p>
    <w:p w14:paraId="27D44DFD">
      <w:pPr>
        <w:pStyle w:val="3"/>
        <w:numPr>
          <w:ilvl w:val="0"/>
          <w:numId w:val="5"/>
        </w:numPr>
        <w:spacing w:after="0" w:line="360" w:lineRule="auto"/>
        <w:ind w:left="210" w:leftChars="100"/>
        <w:rPr>
          <w:rFonts w:hint="eastAsia" w:ascii="仿宋" w:hAnsi="仿宋" w:eastAsia="仿宋" w:cs="仿宋"/>
          <w:b w:val="0"/>
          <w:bCs w:val="0"/>
          <w:color w:val="auto"/>
          <w:sz w:val="24"/>
          <w:szCs w:val="24"/>
          <w:highlight w:val="none"/>
          <w:lang w:eastAsia="zh-CN"/>
        </w:rPr>
      </w:pPr>
      <w:r>
        <w:rPr>
          <w:rFonts w:hint="eastAsia" w:ascii="宋体" w:hAnsi="宋体" w:cs="宋体"/>
          <w:color w:val="auto"/>
          <w:sz w:val="21"/>
          <w:szCs w:val="21"/>
          <w:highlight w:val="none"/>
        </w:rPr>
        <w:t>比赛时间：9月14日08:30-15:00</w:t>
      </w:r>
    </w:p>
    <w:p w14:paraId="43C880C3">
      <w:pPr>
        <w:pStyle w:val="3"/>
        <w:numPr>
          <w:ilvl w:val="0"/>
          <w:numId w:val="5"/>
        </w:numPr>
        <w:spacing w:after="0" w:line="360" w:lineRule="auto"/>
        <w:ind w:left="210" w:left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成交供应商需</w:t>
      </w:r>
      <w:r>
        <w:rPr>
          <w:rFonts w:hint="eastAsia" w:ascii="仿宋" w:hAnsi="仿宋" w:eastAsia="仿宋" w:cs="仿宋"/>
          <w:b w:val="0"/>
          <w:bCs w:val="0"/>
          <w:color w:val="auto"/>
          <w:sz w:val="24"/>
          <w:szCs w:val="24"/>
          <w:highlight w:val="none"/>
          <w:lang w:val="en-US" w:eastAsia="zh-CN"/>
        </w:rPr>
        <w:t>自行</w:t>
      </w:r>
      <w:r>
        <w:rPr>
          <w:rFonts w:hint="eastAsia" w:ascii="仿宋" w:hAnsi="仿宋" w:eastAsia="仿宋" w:cs="仿宋"/>
          <w:b w:val="0"/>
          <w:bCs w:val="0"/>
          <w:color w:val="auto"/>
          <w:sz w:val="24"/>
          <w:szCs w:val="24"/>
          <w:highlight w:val="none"/>
          <w:lang w:eastAsia="zh-CN"/>
        </w:rPr>
        <w:t>对活动现场进行初步勘察、调整并优化比赛路线，</w:t>
      </w:r>
      <w:r>
        <w:rPr>
          <w:rFonts w:hint="eastAsia" w:ascii="仿宋" w:hAnsi="仿宋" w:eastAsia="仿宋" w:cs="仿宋"/>
          <w:b w:val="0"/>
          <w:bCs w:val="0"/>
          <w:color w:val="auto"/>
          <w:sz w:val="24"/>
          <w:szCs w:val="24"/>
          <w:highlight w:val="none"/>
          <w:lang w:val="en-US" w:eastAsia="zh-CN"/>
        </w:rPr>
        <w:t>交由采购人决定最终比赛路线和方案。</w:t>
      </w:r>
    </w:p>
    <w:p w14:paraId="0286ED80">
      <w:pPr>
        <w:pStyle w:val="3"/>
        <w:numPr>
          <w:ilvl w:val="0"/>
          <w:numId w:val="5"/>
        </w:numPr>
        <w:spacing w:after="0" w:line="360" w:lineRule="auto"/>
        <w:ind w:left="210" w:left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成交供应商需</w:t>
      </w:r>
      <w:r>
        <w:rPr>
          <w:rFonts w:hint="eastAsia" w:ascii="仿宋" w:hAnsi="仿宋" w:eastAsia="仿宋" w:cs="仿宋"/>
          <w:b w:val="0"/>
          <w:bCs w:val="0"/>
          <w:color w:val="auto"/>
          <w:sz w:val="24"/>
          <w:szCs w:val="24"/>
          <w:highlight w:val="none"/>
          <w:lang w:val="en-US" w:eastAsia="zh-CN"/>
        </w:rPr>
        <w:t>负责奖牌、证书、号码簿、参赛指南、</w:t>
      </w:r>
      <w:r>
        <w:rPr>
          <w:rFonts w:hint="eastAsia" w:ascii="仿宋" w:hAnsi="仿宋" w:eastAsia="仿宋" w:cs="仿宋"/>
          <w:b w:val="0"/>
          <w:bCs w:val="0"/>
          <w:color w:val="auto"/>
          <w:sz w:val="24"/>
          <w:szCs w:val="24"/>
          <w:highlight w:val="none"/>
          <w:lang w:eastAsia="zh-CN"/>
        </w:rPr>
        <w:t>束口袋、</w:t>
      </w:r>
      <w:r>
        <w:rPr>
          <w:rFonts w:hint="eastAsia" w:ascii="仿宋" w:hAnsi="仿宋" w:eastAsia="仿宋" w:cs="仿宋"/>
          <w:b w:val="0"/>
          <w:bCs w:val="0"/>
          <w:color w:val="auto"/>
          <w:sz w:val="24"/>
          <w:szCs w:val="24"/>
          <w:highlight w:val="none"/>
          <w:lang w:val="en-US" w:eastAsia="zh-CN"/>
        </w:rPr>
        <w:t>参赛服装、参赛包、能量补给、</w:t>
      </w:r>
      <w:r>
        <w:rPr>
          <w:rFonts w:hint="eastAsia" w:ascii="仿宋" w:hAnsi="仿宋" w:eastAsia="仿宋" w:cs="仿宋"/>
          <w:b w:val="0"/>
          <w:bCs w:val="0"/>
          <w:color w:val="auto"/>
          <w:sz w:val="24"/>
          <w:szCs w:val="24"/>
          <w:highlight w:val="none"/>
          <w:lang w:eastAsia="zh-CN"/>
        </w:rPr>
        <w:t>纹身贴、</w:t>
      </w:r>
      <w:r>
        <w:rPr>
          <w:rFonts w:hint="eastAsia" w:ascii="仿宋" w:hAnsi="仿宋" w:eastAsia="仿宋" w:cs="仿宋"/>
          <w:b w:val="0"/>
          <w:bCs w:val="0"/>
          <w:color w:val="auto"/>
          <w:sz w:val="24"/>
          <w:szCs w:val="24"/>
          <w:highlight w:val="none"/>
          <w:lang w:val="en-US" w:eastAsia="zh-CN"/>
        </w:rPr>
        <w:t>计时系统、通讯系统、</w:t>
      </w:r>
      <w:r>
        <w:rPr>
          <w:rFonts w:hint="eastAsia" w:ascii="仿宋" w:hAnsi="仿宋" w:eastAsia="仿宋" w:cs="仿宋"/>
          <w:b w:val="0"/>
          <w:bCs w:val="0"/>
          <w:color w:val="auto"/>
          <w:sz w:val="24"/>
          <w:szCs w:val="24"/>
          <w:highlight w:val="none"/>
          <w:lang w:eastAsia="zh-CN"/>
        </w:rPr>
        <w:t>通道A板</w:t>
      </w:r>
      <w:r>
        <w:rPr>
          <w:rFonts w:hint="eastAsia" w:ascii="仿宋" w:hAnsi="仿宋" w:eastAsia="仿宋" w:cs="仿宋"/>
          <w:b w:val="0"/>
          <w:bCs w:val="0"/>
          <w:color w:val="auto"/>
          <w:sz w:val="24"/>
          <w:szCs w:val="24"/>
          <w:highlight w:val="none"/>
          <w:lang w:val="en-US" w:eastAsia="zh-CN"/>
        </w:rPr>
        <w:t>等赛事所涉及的所有物品、器材和设备的设计制作、采购工作，并制定详细的配额、数量。</w:t>
      </w:r>
    </w:p>
    <w:p w14:paraId="0CFB78FF">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rPr>
        <w:t>水上异装桨板赛</w:t>
      </w:r>
    </w:p>
    <w:p w14:paraId="020C7541">
      <w:pPr>
        <w:pStyle w:val="3"/>
        <w:numPr>
          <w:ilvl w:val="0"/>
          <w:numId w:val="6"/>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活动地点：山川乡水下湖畔</w:t>
      </w:r>
    </w:p>
    <w:p w14:paraId="3116BB6E">
      <w:pPr>
        <w:pStyle w:val="3"/>
        <w:numPr>
          <w:ilvl w:val="0"/>
          <w:numId w:val="6"/>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赛事组别：团队赛、个人赛</w:t>
      </w:r>
    </w:p>
    <w:p w14:paraId="3598D599">
      <w:pPr>
        <w:pStyle w:val="3"/>
        <w:numPr>
          <w:ilvl w:val="0"/>
          <w:numId w:val="6"/>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赛事时间：9月13日10:00-16:00</w:t>
      </w:r>
    </w:p>
    <w:p w14:paraId="5C022950">
      <w:pPr>
        <w:pStyle w:val="3"/>
        <w:numPr>
          <w:ilvl w:val="0"/>
          <w:numId w:val="6"/>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计划人数：团队赛200人、个人赛100人</w:t>
      </w:r>
    </w:p>
    <w:p w14:paraId="4F6EE86A">
      <w:pPr>
        <w:pStyle w:val="3"/>
        <w:numPr>
          <w:ilvl w:val="0"/>
          <w:numId w:val="6"/>
        </w:numPr>
        <w:spacing w:after="0" w:line="360" w:lineRule="auto"/>
        <w:rPr>
          <w:rFonts w:hint="eastAsia" w:ascii="仿宋" w:hAnsi="仿宋" w:eastAsia="仿宋" w:cs="仿宋"/>
          <w:b w:val="0"/>
          <w:bCs w:val="0"/>
          <w:color w:val="auto"/>
          <w:sz w:val="24"/>
          <w:szCs w:val="24"/>
          <w:highlight w:val="none"/>
          <w:lang w:val="zh-CN" w:eastAsia="zh-CN"/>
        </w:rPr>
      </w:pPr>
      <w:r>
        <w:rPr>
          <w:rFonts w:hint="eastAsia" w:ascii="宋体" w:hAnsi="宋体" w:eastAsia="宋体" w:cs="宋体"/>
          <w:color w:val="auto"/>
          <w:sz w:val="21"/>
          <w:szCs w:val="21"/>
          <w:highlight w:val="none"/>
        </w:rPr>
        <w:t>个人</w:t>
      </w:r>
      <w:r>
        <w:rPr>
          <w:rFonts w:hint="eastAsia" w:ascii="宋体" w:hAnsi="宋体" w:cs="宋体"/>
          <w:color w:val="auto"/>
          <w:sz w:val="21"/>
          <w:szCs w:val="21"/>
          <w:highlight w:val="none"/>
        </w:rPr>
        <w:t>赛分为5公里长程赛和200米短道竞速赛，团队赛为龙板团队绕标赛，起终点为云下湖畔码头。</w:t>
      </w:r>
    </w:p>
    <w:p w14:paraId="1F4036E7">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溯溪亲子赛</w:t>
      </w:r>
    </w:p>
    <w:p w14:paraId="42455298">
      <w:pPr>
        <w:pStyle w:val="3"/>
        <w:numPr>
          <w:ilvl w:val="0"/>
          <w:numId w:val="7"/>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活动地点：山川乡大里村</w:t>
      </w:r>
    </w:p>
    <w:p w14:paraId="178E8C66">
      <w:pPr>
        <w:pStyle w:val="3"/>
        <w:numPr>
          <w:ilvl w:val="0"/>
          <w:numId w:val="7"/>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赛事组别：亲子组</w:t>
      </w:r>
    </w:p>
    <w:p w14:paraId="08523693">
      <w:pPr>
        <w:pStyle w:val="3"/>
        <w:numPr>
          <w:ilvl w:val="0"/>
          <w:numId w:val="7"/>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赛事时间：9月13日13:00-16:00</w:t>
      </w:r>
    </w:p>
    <w:p w14:paraId="425EC934">
      <w:pPr>
        <w:pStyle w:val="3"/>
        <w:numPr>
          <w:ilvl w:val="0"/>
          <w:numId w:val="7"/>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计划人数：100组</w:t>
      </w:r>
    </w:p>
    <w:p w14:paraId="7FC67EA6">
      <w:pPr>
        <w:pStyle w:val="3"/>
        <w:numPr>
          <w:ilvl w:val="0"/>
          <w:numId w:val="7"/>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活动路线：山川乡大里村-罗仲-稻田坞（全场1.5KM）</w:t>
      </w:r>
    </w:p>
    <w:p w14:paraId="5E6E66EB">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飞盘竞技赛</w:t>
      </w:r>
    </w:p>
    <w:p w14:paraId="0BFEEA27">
      <w:pPr>
        <w:pStyle w:val="3"/>
        <w:numPr>
          <w:ilvl w:val="0"/>
          <w:numId w:val="8"/>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活动地点：云上草原度假村-熊猫部落</w:t>
      </w:r>
    </w:p>
    <w:p w14:paraId="112C9736">
      <w:pPr>
        <w:pStyle w:val="3"/>
        <w:numPr>
          <w:ilvl w:val="0"/>
          <w:numId w:val="8"/>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赛事组别:团队赛</w:t>
      </w:r>
    </w:p>
    <w:p w14:paraId="7D4D2663">
      <w:pPr>
        <w:pStyle w:val="3"/>
        <w:numPr>
          <w:ilvl w:val="0"/>
          <w:numId w:val="8"/>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赛事时间：9月13日10:16:00</w:t>
      </w:r>
    </w:p>
    <w:p w14:paraId="225A69A2">
      <w:pPr>
        <w:pStyle w:val="3"/>
        <w:numPr>
          <w:ilvl w:val="0"/>
          <w:numId w:val="8"/>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计划人数：200人</w:t>
      </w:r>
    </w:p>
    <w:p w14:paraId="546F0EC0">
      <w:pPr>
        <w:pStyle w:val="3"/>
        <w:numPr>
          <w:ilvl w:val="0"/>
          <w:numId w:val="8"/>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活动场地大小20*30m*2个场地</w:t>
      </w:r>
    </w:p>
    <w:p w14:paraId="6E99A645">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5、</w:t>
      </w:r>
      <w:r>
        <w:rPr>
          <w:rFonts w:hint="eastAsia" w:asciiTheme="minorEastAsia" w:hAnsiTheme="minorEastAsia" w:eastAsiaTheme="minorEastAsia" w:cstheme="minorEastAsia"/>
          <w:b/>
          <w:bCs/>
          <w:color w:val="auto"/>
          <w:sz w:val="24"/>
          <w:highlight w:val="none"/>
        </w:rPr>
        <w:t>房车巡游</w:t>
      </w:r>
    </w:p>
    <w:p w14:paraId="3EC40AF4">
      <w:pPr>
        <w:pStyle w:val="3"/>
        <w:numPr>
          <w:ilvl w:val="0"/>
          <w:numId w:val="9"/>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活动线路：云上草原熊猫俱乐部-余村-灵峰；</w:t>
      </w:r>
    </w:p>
    <w:p w14:paraId="33F71FC7">
      <w:pPr>
        <w:pStyle w:val="3"/>
        <w:numPr>
          <w:ilvl w:val="0"/>
          <w:numId w:val="9"/>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计划车辆：50辆房车</w:t>
      </w:r>
    </w:p>
    <w:p w14:paraId="4CCF58BA">
      <w:pPr>
        <w:pStyle w:val="3"/>
        <w:numPr>
          <w:ilvl w:val="0"/>
          <w:numId w:val="9"/>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活动时间：9月14日09:00-12:00</w:t>
      </w:r>
    </w:p>
    <w:p w14:paraId="097B8DA7">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萌宠泼水节</w:t>
      </w:r>
    </w:p>
    <w:p w14:paraId="72030970">
      <w:pPr>
        <w:pStyle w:val="3"/>
        <w:numPr>
          <w:ilvl w:val="0"/>
          <w:numId w:val="10"/>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活动地点：云上草原熊猫部落</w:t>
      </w:r>
    </w:p>
    <w:p w14:paraId="41D3E0F1">
      <w:pPr>
        <w:pStyle w:val="3"/>
        <w:numPr>
          <w:ilvl w:val="0"/>
          <w:numId w:val="10"/>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活动时间：9月13日</w:t>
      </w:r>
    </w:p>
    <w:p w14:paraId="36385B2B">
      <w:pPr>
        <w:pStyle w:val="3"/>
        <w:numPr>
          <w:ilvl w:val="0"/>
          <w:numId w:val="10"/>
        </w:numPr>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计划人数：100人</w:t>
      </w:r>
    </w:p>
    <w:p w14:paraId="5DDCD321">
      <w:pPr>
        <w:pStyle w:val="3"/>
        <w:spacing w:after="0"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7、</w:t>
      </w:r>
      <w:r>
        <w:rPr>
          <w:rFonts w:hint="eastAsia" w:asciiTheme="minorEastAsia" w:hAnsiTheme="minorEastAsia" w:eastAsiaTheme="minorEastAsia" w:cstheme="minorEastAsia"/>
          <w:b/>
          <w:bCs/>
          <w:color w:val="auto"/>
          <w:sz w:val="24"/>
          <w:highlight w:val="none"/>
        </w:rPr>
        <w:t>浙体产业沙龙</w:t>
      </w:r>
    </w:p>
    <w:p w14:paraId="7D002C98">
      <w:pPr>
        <w:pStyle w:val="3"/>
        <w:spacing w:after="0" w:line="360" w:lineRule="auto"/>
        <w:ind w:firstLine="312"/>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计划邀请浙江省优秀体育产业企业家参与论坛，计划邀请100家，专家主旨演讲</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包含企业家到场住宿及用餐安排</w:t>
      </w:r>
      <w:r>
        <w:rPr>
          <w:rFonts w:hint="eastAsia" w:ascii="宋体" w:hAnsi="宋体" w:cs="宋体"/>
          <w:color w:val="auto"/>
          <w:sz w:val="21"/>
          <w:szCs w:val="21"/>
          <w:highlight w:val="none"/>
          <w:lang w:eastAsia="zh-CN"/>
        </w:rPr>
        <w:t>）。</w:t>
      </w:r>
    </w:p>
    <w:p w14:paraId="34E0A65D">
      <w:pPr>
        <w:spacing w:line="360" w:lineRule="auto"/>
        <w:ind w:firstLine="426" w:firstLineChars="202"/>
        <w:rPr>
          <w:rFonts w:hint="eastAsia"/>
          <w:b/>
          <w:bCs/>
          <w:color w:val="auto"/>
          <w:highlight w:val="none"/>
          <w:lang w:val="en-US" w:eastAsia="zh-CN"/>
        </w:rPr>
      </w:pPr>
      <w:r>
        <w:rPr>
          <w:rFonts w:hint="eastAsia" w:ascii="宋体" w:hAnsi="宋体" w:cs="宋体"/>
          <w:b/>
          <w:bCs/>
          <w:color w:val="auto"/>
          <w:kern w:val="2"/>
          <w:sz w:val="21"/>
          <w:szCs w:val="21"/>
          <w:highlight w:val="none"/>
          <w:lang w:val="en-US" w:eastAsia="zh-CN" w:bidi="ar-SA"/>
        </w:rPr>
        <w:t>注：成交供应商</w:t>
      </w:r>
      <w:r>
        <w:rPr>
          <w:rFonts w:hint="eastAsia" w:ascii="宋体" w:hAnsi="宋体" w:eastAsia="宋体" w:cs="宋体"/>
          <w:b/>
          <w:bCs/>
          <w:color w:val="auto"/>
          <w:kern w:val="2"/>
          <w:sz w:val="21"/>
          <w:szCs w:val="21"/>
          <w:highlight w:val="none"/>
          <w:lang w:val="en-US" w:eastAsia="zh-CN" w:bidi="ar-SA"/>
        </w:rPr>
        <w:t>现场招募体育活动品牌供应商不低于50家，现场设立摊位不低于80个。</w:t>
      </w:r>
    </w:p>
    <w:p w14:paraId="0AF41178">
      <w:pPr>
        <w:pStyle w:val="3"/>
        <w:spacing w:after="0" w:line="360" w:lineRule="auto"/>
        <w:ind w:left="210" w:leftChars="100"/>
        <w:rPr>
          <w:rFonts w:hint="eastAsia" w:ascii="宋体" w:hAnsi="宋体" w:cs="宋体"/>
          <w:color w:val="auto"/>
          <w:sz w:val="21"/>
          <w:szCs w:val="21"/>
          <w:highlight w:val="none"/>
        </w:rPr>
      </w:pPr>
      <w:r>
        <w:rPr>
          <w:rFonts w:hint="eastAsia" w:asciiTheme="minorEastAsia" w:hAnsiTheme="minorEastAsia" w:eastAsiaTheme="minorEastAsia" w:cstheme="minorEastAsia"/>
          <w:b/>
          <w:bCs/>
          <w:color w:val="auto"/>
          <w:sz w:val="28"/>
          <w:szCs w:val="28"/>
          <w:highlight w:val="none"/>
          <w:lang w:val="en-US" w:eastAsia="zh-CN"/>
        </w:rPr>
        <w:t>二、</w:t>
      </w:r>
      <w:r>
        <w:rPr>
          <w:rFonts w:hint="eastAsia" w:asciiTheme="minorEastAsia" w:hAnsiTheme="minorEastAsia" w:eastAsiaTheme="minorEastAsia" w:cstheme="minorEastAsia"/>
          <w:b/>
          <w:bCs/>
          <w:color w:val="auto"/>
          <w:sz w:val="28"/>
          <w:szCs w:val="28"/>
          <w:highlight w:val="none"/>
        </w:rPr>
        <w:t>服务内容</w:t>
      </w:r>
    </w:p>
    <w:p w14:paraId="3A6FE2DE">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1、成交</w:t>
      </w:r>
      <w:r>
        <w:rPr>
          <w:rFonts w:hint="eastAsia" w:ascii="宋体" w:hAnsi="宋体" w:eastAsia="宋体" w:cs="宋体"/>
          <w:color w:val="auto"/>
          <w:kern w:val="2"/>
          <w:sz w:val="21"/>
          <w:szCs w:val="21"/>
          <w:highlight w:val="none"/>
          <w:lang w:val="en-US" w:eastAsia="zh-CN" w:bidi="ar-SA"/>
        </w:rPr>
        <w:t>供应商负责制作赛事策划及执行方案（以下简称执行总案），执行总案应包括竞赛组织方案、应急处理方案、医疗保障方案、安全风险防控方案、赛事策划总案、竞赛工作策划执行案、赛事宣传方案、安全保卫方案、志愿者工作方案、赛事招商方案等内容；要求执行总案应明确阶段工作内容及完成时间节点，，能充分体现赛事特点，易于传播及报道；所有方案须经采购人同意。</w:t>
      </w:r>
    </w:p>
    <w:p w14:paraId="3E5C2BE1">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2、成交</w:t>
      </w:r>
      <w:r>
        <w:rPr>
          <w:rFonts w:hint="eastAsia" w:ascii="宋体" w:hAnsi="宋体" w:eastAsia="宋体" w:cs="宋体"/>
          <w:color w:val="auto"/>
          <w:kern w:val="2"/>
          <w:sz w:val="21"/>
          <w:szCs w:val="21"/>
          <w:highlight w:val="none"/>
          <w:lang w:val="en-US" w:eastAsia="zh-CN" w:bidi="ar-SA"/>
        </w:rPr>
        <w:t>供应商应根据项目进展向采购人提交执行总案，经采购人审核通过后予以执行。采购人就执行总案提出修改意见、建议、质疑的，</w:t>
      </w:r>
      <w:r>
        <w:rPr>
          <w:rFonts w:hint="eastAsia" w:ascii="宋体"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供应商应及时予以解答并修改、完善该执行总案，直至采购人审核通过。</w:t>
      </w:r>
    </w:p>
    <w:p w14:paraId="08E437D7">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采购人有权根据各项赛事执行实际情况及工作安排，要求</w:t>
      </w:r>
      <w:r>
        <w:rPr>
          <w:rFonts w:hint="eastAsia" w:ascii="宋体"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供应商对提交的赛事执行方案进行修改、重做，</w:t>
      </w:r>
      <w:r>
        <w:rPr>
          <w:rFonts w:hint="eastAsia" w:ascii="宋体"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供应商应积极配合采购人对相关方案进行调整，并不收取任何费用。</w:t>
      </w:r>
    </w:p>
    <w:p w14:paraId="5B02EA38">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4、成交</w:t>
      </w:r>
      <w:r>
        <w:rPr>
          <w:rFonts w:hint="eastAsia" w:ascii="宋体" w:hAnsi="宋体" w:eastAsia="宋体" w:cs="宋体"/>
          <w:color w:val="auto"/>
          <w:kern w:val="2"/>
          <w:sz w:val="21"/>
          <w:szCs w:val="21"/>
          <w:highlight w:val="none"/>
          <w:lang w:val="en-US" w:eastAsia="zh-CN" w:bidi="ar-SA"/>
        </w:rPr>
        <w:t>供应商负责赛事奖金、保险、赛事（运动员、裁判员、志愿者等）招募、赛事人员（劳务、差旅、补贴等）等赛事组织管理工作并承担相关费用。</w:t>
      </w:r>
    </w:p>
    <w:p w14:paraId="7DDF20A6">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5、成交</w:t>
      </w:r>
      <w:r>
        <w:rPr>
          <w:rFonts w:hint="eastAsia" w:ascii="宋体" w:hAnsi="宋体" w:eastAsia="宋体" w:cs="宋体"/>
          <w:color w:val="auto"/>
          <w:kern w:val="2"/>
          <w:sz w:val="21"/>
          <w:szCs w:val="21"/>
          <w:highlight w:val="none"/>
          <w:lang w:val="en-US" w:eastAsia="zh-CN" w:bidi="ar-SA"/>
        </w:rPr>
        <w:t>供应商负责赛事活动执行（保障车辆、赛道补给、赛道设施、特色服务等）、赛事保障（计时系统、通讯保障、环卫保障、赛道内及集结区的A板等）等赛事执行保障工作并承担相关费用。</w:t>
      </w:r>
    </w:p>
    <w:p w14:paraId="4731CF4E">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6、成交</w:t>
      </w:r>
      <w:r>
        <w:rPr>
          <w:rFonts w:hint="eastAsia" w:ascii="宋体" w:hAnsi="宋体" w:eastAsia="宋体" w:cs="宋体"/>
          <w:color w:val="auto"/>
          <w:kern w:val="2"/>
          <w:sz w:val="21"/>
          <w:szCs w:val="21"/>
          <w:highlight w:val="none"/>
          <w:lang w:val="en-US" w:eastAsia="zh-CN" w:bidi="ar-SA"/>
        </w:rPr>
        <w:t>供应商负责参赛包、完赛包、奖牌、证书等关键物料设计制作工作并承担相关费用</w:t>
      </w:r>
      <w:r>
        <w:rPr>
          <w:rFonts w:hint="eastAsia" w:ascii="宋体" w:hAnsi="宋体" w:cs="宋体"/>
          <w:color w:val="auto"/>
          <w:kern w:val="2"/>
          <w:sz w:val="21"/>
          <w:szCs w:val="21"/>
          <w:highlight w:val="none"/>
          <w:lang w:val="en-US" w:eastAsia="zh-CN" w:bidi="ar-SA"/>
        </w:rPr>
        <w:t>。</w:t>
      </w:r>
    </w:p>
    <w:p w14:paraId="76593DFA">
      <w:pPr>
        <w:keepNext w:val="0"/>
        <w:keepLines w:val="0"/>
        <w:pageBreakBefore w:val="0"/>
        <w:widowControl/>
        <w:numPr>
          <w:ilvl w:val="0"/>
          <w:numId w:val="0"/>
        </w:numPr>
        <w:kinsoku/>
        <w:wordWrap/>
        <w:topLinePunct w:val="0"/>
        <w:bidi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7、成交</w:t>
      </w:r>
      <w:r>
        <w:rPr>
          <w:rFonts w:hint="eastAsia" w:ascii="宋体" w:hAnsi="宋体" w:eastAsia="宋体" w:cs="宋体"/>
          <w:color w:val="auto"/>
          <w:kern w:val="2"/>
          <w:sz w:val="21"/>
          <w:szCs w:val="21"/>
          <w:highlight w:val="none"/>
          <w:lang w:val="en-US" w:eastAsia="zh-CN" w:bidi="ar-SA"/>
        </w:rPr>
        <w:t>供应商负责现场场地的搭建、氛围布置，设备的制作、采购、租赁工作；负责赛事结束后，场地的清理、物品的回收工作。</w:t>
      </w:r>
    </w:p>
    <w:p w14:paraId="340C3EA2">
      <w:pPr>
        <w:pStyle w:val="3"/>
        <w:spacing w:after="0" w:line="360" w:lineRule="auto"/>
        <w:ind w:left="210" w:leftChars="1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三、具体要求</w:t>
      </w:r>
    </w:p>
    <w:p w14:paraId="19F54064">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做好赛事总体思路策划，包括但不限于赛事形象设计、本次赛事线路特征描述等，要求能充分展现户外运动大会的特点、易于传播。赛事总体思路策划经采购人和赛事组委会确认后由</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组织实施。</w:t>
      </w:r>
    </w:p>
    <w:p w14:paraId="5A73F9D0">
      <w:pPr>
        <w:spacing w:line="360" w:lineRule="auto"/>
        <w:ind w:firstLine="424" w:firstLineChars="202"/>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赛事视频：根据赛道策划制定拍摄记录方案，后期剪辑制作完成30秒和3-5分钟的宣传片，用于采购人宣传推广</w:t>
      </w:r>
      <w:r>
        <w:rPr>
          <w:rFonts w:hint="eastAsia" w:ascii="宋体" w:hAnsi="宋体" w:cs="宋体"/>
          <w:color w:val="auto"/>
          <w:kern w:val="2"/>
          <w:sz w:val="21"/>
          <w:szCs w:val="21"/>
          <w:highlight w:val="none"/>
          <w:lang w:val="en-US" w:eastAsia="zh-CN" w:bidi="ar-SA"/>
        </w:rPr>
        <w:t>。</w:t>
      </w:r>
    </w:p>
    <w:p w14:paraId="4E41C2E3">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承担比赛现场主持人相关费用（主持人人选的确定需经组委会同意）。</w:t>
      </w:r>
    </w:p>
    <w:p w14:paraId="583D21C3">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承担比赛线路沿途与赛事相关的刀旗、标语、展板的费用。</w:t>
      </w:r>
    </w:p>
    <w:p w14:paraId="0626FB87">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整个赛事的形象设计制作。</w:t>
      </w:r>
    </w:p>
    <w:p w14:paraId="0198DAE2">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赛道和场地设计及布置方案</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按照各项赛事的标准要求进行赛道和场地布置，具体包括但不限于主背景墙、起终点拱门区搭建LED屏、主席台和颁奖台、音响（集结区全覆盖）、起点检录区、冲刺区两侧搭建LED屏、终点成绩统计区、终点物品发放区、终点衣物领取区、嘉宾休息区、安保指挥中心及安保指挥大屏、演职人员更衣区、沿线表演区、里程提示牌、补给提示牌、导引提示牌、沿线交通管制告示牌、地贴指示、沿线饮用水和饮料食品补给站、沿线围挡和隔离（铁马等）、A字牌、活动桌椅、各类宣传广告牌和道旗、注水旗等。</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应负责起终点及领物场馆的场地费用。</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制订的赛道和场地布置方案，应包含形象设计、各类平面布置图、效果图，以及各类物品的数量和总体施工计划安排。为确保赛事安全，赛事需采用抗风性能良好的钢架篷房和帐篷。</w:t>
      </w:r>
    </w:p>
    <w:p w14:paraId="6690EC87">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提供各类证件（含组委会证、贵宾证、嘉宾证、志愿者证、车辆通行证、安保人员证、媒体记者证、工作人员证等）及秩序册、参赛指南等的设计及制作。</w:t>
      </w:r>
    </w:p>
    <w:p w14:paraId="4EBCB2DF">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提供参赛运动员的奖金、奖牌的设计及制作。</w:t>
      </w:r>
    </w:p>
    <w:p w14:paraId="2B9F5C43">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提供参赛选手号码布、完赛纪念牌、存放衣物袋、参赛服、大浴巾、拖鞋等的设计及制作。</w:t>
      </w:r>
    </w:p>
    <w:p w14:paraId="282CBD7E">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为所有参赛选手、赛事技术代表、技术官员、裁判员、工作人员及现场观众投保人身意外险（含突发性死亡保险赔付），并购买公众责任险。</w:t>
      </w:r>
    </w:p>
    <w:p w14:paraId="7DC72B0B">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提供运动装备（须经采购人确认）。包括但不限于：按各项赛事的组织惯例，为所有运动员、技术官员、主席台贵宾、裁判员、工作人员、志愿者、记者提供相关装备等。</w:t>
      </w:r>
    </w:p>
    <w:p w14:paraId="2D537AD4">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提供补给食品包括但不限于：按各项赛事的组织惯例，为所有运动员、技术官员、贵宾、裁判员、工作人员、志愿者、记者提供饮用水、功能饮料、完赛食品（含面包、矿泉水、以及补给餐食等）。</w:t>
      </w:r>
    </w:p>
    <w:p w14:paraId="1D732744">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CN" w:bidi="ar-SA"/>
        </w:rPr>
        <w:t>提供赛事用车</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根据赛事整体推进的进度配备相应的工作人员。</w:t>
      </w:r>
    </w:p>
    <w:p w14:paraId="5B68AEB6">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color w:val="auto"/>
          <w:kern w:val="2"/>
          <w:sz w:val="21"/>
          <w:szCs w:val="21"/>
          <w:highlight w:val="none"/>
          <w:lang w:val="en-US" w:eastAsia="zh-CN" w:bidi="ar-SA"/>
        </w:rPr>
        <w:t>赛事的技术代表、仲裁、裁判员、工作人员等在赛事活动期间的食宿接待。</w:t>
      </w:r>
    </w:p>
    <w:p w14:paraId="60CABBF8">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保障赛前裁判员培训、技术会议、察看线路等工作的会场、食宿。</w:t>
      </w:r>
    </w:p>
    <w:p w14:paraId="4C229FD0">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参赛运动员中获奖运动员的奖金、奖牌、证书。</w:t>
      </w:r>
    </w:p>
    <w:p w14:paraId="1344FB9D">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负责提供赛事报名系统平台</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符合比赛要求的感应器计时系统；参赛选手感应计时芯片；满足比赛要求的裁判员、后勤保障人员无线通讯系统和设备；裁判所需的电脑、打印机和相应耗材等。</w:t>
      </w:r>
    </w:p>
    <w:p w14:paraId="49BAF93E">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en-US" w:eastAsia="zh-CN" w:bidi="ar-SA"/>
        </w:rPr>
        <w:t>制定满足上述需求（可高于但不可低于上述需求）的竞赛和器材保障方案，并根据比赛时间节点明确倒计时实施进度计划。</w:t>
      </w:r>
    </w:p>
    <w:p w14:paraId="24F8946B">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en-US" w:eastAsia="zh-CN" w:bidi="ar-SA"/>
        </w:rPr>
        <w:t>志愿者的招募、培训、管理、用餐、车辆接送安排，根据裁判组的要求配足志愿者人员并做好志愿者的培训、岗位分配和比赛期间的集结投放，为每名志愿者提供T恤、帽子、志愿者包、志愿服务证书。</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需按照上述需求（可高于而不可低于上述需求）制定志愿者招募分配管理方案，并根据比赛时间节点明确倒计时实施进度计划，以及相应的工作人员配备。</w:t>
      </w:r>
    </w:p>
    <w:p w14:paraId="6F629EFD">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20、成交供应商</w:t>
      </w:r>
      <w:r>
        <w:rPr>
          <w:rFonts w:hint="eastAsia" w:ascii="宋体" w:hAnsi="宋体" w:eastAsia="宋体" w:cs="宋体"/>
          <w:color w:val="auto"/>
          <w:kern w:val="2"/>
          <w:sz w:val="21"/>
          <w:szCs w:val="21"/>
          <w:highlight w:val="none"/>
          <w:lang w:val="en-US" w:eastAsia="zh-CN" w:bidi="ar-SA"/>
        </w:rPr>
        <w:t>应协助做好以下后勤保障，包括但不限于：</w:t>
      </w:r>
    </w:p>
    <w:p w14:paraId="357A531C">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20.1</w:t>
      </w:r>
      <w:r>
        <w:rPr>
          <w:rFonts w:hint="eastAsia" w:ascii="宋体" w:hAnsi="宋体" w:eastAsia="宋体" w:cs="宋体"/>
          <w:color w:val="auto"/>
          <w:kern w:val="2"/>
          <w:sz w:val="21"/>
          <w:szCs w:val="21"/>
          <w:highlight w:val="none"/>
          <w:lang w:val="en-US" w:eastAsia="zh-CN" w:bidi="ar-SA"/>
        </w:rPr>
        <w:t>.嘉宾接待工作及车辆</w:t>
      </w:r>
      <w:r>
        <w:rPr>
          <w:rFonts w:hint="eastAsia" w:ascii="宋体" w:hAnsi="宋体" w:cs="宋体"/>
          <w:color w:val="auto"/>
          <w:kern w:val="2"/>
          <w:sz w:val="21"/>
          <w:szCs w:val="21"/>
          <w:highlight w:val="none"/>
          <w:lang w:val="en-US" w:eastAsia="zh-CN" w:bidi="ar-SA"/>
        </w:rPr>
        <w:t>；</w:t>
      </w:r>
    </w:p>
    <w:p w14:paraId="1514CC3E">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20.2.成交供应商</w:t>
      </w:r>
      <w:r>
        <w:rPr>
          <w:rFonts w:hint="eastAsia" w:ascii="宋体" w:hAnsi="宋体" w:eastAsia="宋体" w:cs="宋体"/>
          <w:color w:val="auto"/>
          <w:kern w:val="2"/>
          <w:sz w:val="21"/>
          <w:szCs w:val="21"/>
          <w:highlight w:val="none"/>
          <w:lang w:val="en-US" w:eastAsia="zh-CN" w:bidi="ar-SA"/>
        </w:rPr>
        <w:t>在赛道沿途设置医疗服务站及沿途医疗服务志愿者，协助医疗救护、维护比赛秩序，参赛者可随时向他们请求帮助。登山赛活动自起点起每1km设立1名救护员（医疗志愿者），全称设立2个医疗救助点，由</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培训和选拔。</w:t>
      </w:r>
    </w:p>
    <w:p w14:paraId="59EC20BE">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20.3.</w:t>
      </w:r>
      <w:r>
        <w:rPr>
          <w:rFonts w:hint="eastAsia" w:ascii="宋体" w:hAnsi="宋体" w:eastAsia="宋体" w:cs="宋体"/>
          <w:color w:val="auto"/>
          <w:kern w:val="2"/>
          <w:sz w:val="21"/>
          <w:szCs w:val="21"/>
          <w:highlight w:val="none"/>
          <w:lang w:val="en-US" w:eastAsia="zh-CN" w:bidi="ar-SA"/>
        </w:rPr>
        <w:t>医疗站设备和药品配置：AED急救设施，急救箱（内科常用药）、氧气袋、吸氧管、冰袋、冷冻喷雾剂、创可贴、血压计、听诊器、胶布、绷带、棉垫、 敷料、夹板、无菌手套、 棉球、棉签、 血糖检测仪、面罩、简易呼吸器、剪刀。</w:t>
      </w:r>
    </w:p>
    <w:p w14:paraId="22EDEFDA">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20.4.成交供应商</w:t>
      </w:r>
      <w:r>
        <w:rPr>
          <w:rFonts w:hint="eastAsia" w:ascii="宋体" w:hAnsi="宋体" w:eastAsia="宋体" w:cs="宋体"/>
          <w:color w:val="auto"/>
          <w:kern w:val="2"/>
          <w:sz w:val="21"/>
          <w:szCs w:val="21"/>
          <w:highlight w:val="none"/>
          <w:lang w:val="en-US" w:eastAsia="zh-CN" w:bidi="ar-SA"/>
        </w:rPr>
        <w:t>需选择专业的第三方物流公司，负责赛事物流服务。</w:t>
      </w:r>
    </w:p>
    <w:p w14:paraId="104D2026">
      <w:pPr>
        <w:spacing w:line="360" w:lineRule="auto"/>
        <w:ind w:firstLine="424" w:firstLineChars="20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20.5.</w:t>
      </w:r>
      <w:r>
        <w:rPr>
          <w:rFonts w:hint="eastAsia" w:ascii="宋体" w:hAnsi="宋体" w:eastAsia="宋体" w:cs="宋体"/>
          <w:color w:val="auto"/>
          <w:kern w:val="2"/>
          <w:sz w:val="21"/>
          <w:szCs w:val="21"/>
          <w:highlight w:val="none"/>
          <w:lang w:val="en-US" w:eastAsia="zh-CN" w:bidi="ar-SA"/>
        </w:rPr>
        <w:t>为确保本赛事安全有序的开展，</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须根据本赛事的具体情况及招标人要求投入约100人次的保安人员，所有费用已包含在投标报价中，</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应充分考虑该项费用，并自行承担报价风险。并在起终点设置安保指挥中心。</w:t>
      </w:r>
    </w:p>
    <w:p w14:paraId="77A3F0A5">
      <w:pPr>
        <w:pStyle w:val="3"/>
        <w:spacing w:after="0" w:line="360" w:lineRule="auto"/>
        <w:ind w:left="210" w:leftChars="100"/>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20.6.</w:t>
      </w:r>
      <w:r>
        <w:rPr>
          <w:rFonts w:hint="eastAsia" w:ascii="宋体" w:hAnsi="宋体" w:eastAsia="宋体" w:cs="宋体"/>
          <w:color w:val="auto"/>
          <w:kern w:val="2"/>
          <w:sz w:val="21"/>
          <w:szCs w:val="21"/>
          <w:highlight w:val="none"/>
          <w:lang w:val="en-US" w:eastAsia="zh-CN" w:bidi="ar-SA"/>
        </w:rPr>
        <w:t>根据赛事及</w:t>
      </w:r>
      <w:r>
        <w:rPr>
          <w:rFonts w:hint="eastAsia" w:ascii="宋体" w:hAnsi="宋体" w:cs="宋体"/>
          <w:color w:val="auto"/>
          <w:kern w:val="2"/>
          <w:sz w:val="21"/>
          <w:szCs w:val="21"/>
          <w:highlight w:val="none"/>
          <w:lang w:val="en-US" w:eastAsia="zh-CN" w:bidi="ar-SA"/>
        </w:rPr>
        <w:t>采购人最终</w:t>
      </w:r>
      <w:r>
        <w:rPr>
          <w:rFonts w:hint="eastAsia" w:ascii="宋体" w:hAnsi="宋体" w:eastAsia="宋体" w:cs="宋体"/>
          <w:color w:val="auto"/>
          <w:kern w:val="2"/>
          <w:sz w:val="21"/>
          <w:szCs w:val="21"/>
          <w:highlight w:val="none"/>
          <w:lang w:val="en-US" w:eastAsia="zh-CN" w:bidi="ar-SA"/>
        </w:rPr>
        <w:t>的要求，提供赛道沿线所需的指示牌、公里牌、刀旗、小彩旗、氛围布置横幅、隔离铁马、空白铁马、警示锥、警戒线等物料。</w:t>
      </w:r>
    </w:p>
    <w:p w14:paraId="335BA82C">
      <w:pPr>
        <w:pStyle w:val="3"/>
        <w:spacing w:after="0" w:line="360" w:lineRule="auto"/>
        <w:ind w:left="210" w:leftChars="100"/>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四、宣传要求</w:t>
      </w:r>
    </w:p>
    <w:p w14:paraId="4C912FAC">
      <w:pPr>
        <w:pStyle w:val="3"/>
        <w:spacing w:after="0" w:line="360" w:lineRule="auto"/>
        <w:ind w:left="210" w:leftChars="1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（一）媒体宣传</w:t>
      </w:r>
    </w:p>
    <w:p w14:paraId="11F70FD0">
      <w:pPr>
        <w:snapToGrid w:val="0"/>
        <w:spacing w:line="360" w:lineRule="auto"/>
        <w:ind w:left="210" w:leftChars="100"/>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1、 活动前期：小红书达人体验官招募与预热</w:t>
      </w:r>
    </w:p>
    <w:p w14:paraId="4E2649F2">
      <w:pPr>
        <w:pStyle w:val="62"/>
        <w:numPr>
          <w:ilvl w:val="0"/>
          <w:numId w:val="11"/>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KOL/KOC达人2万以上粉丝量到场宣发不少于20人，发稿不低于100次。</w:t>
      </w:r>
    </w:p>
    <w:p w14:paraId="2DEFA946">
      <w:pPr>
        <w:pStyle w:val="62"/>
        <w:numPr>
          <w:ilvl w:val="0"/>
          <w:numId w:val="11"/>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在小红书、抖音、微博等平台发起话题；</w:t>
      </w:r>
    </w:p>
    <w:p w14:paraId="5E3DAC88">
      <w:pPr>
        <w:pStyle w:val="62"/>
        <w:numPr>
          <w:ilvl w:val="0"/>
          <w:numId w:val="11"/>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前期种草预热</w:t>
      </w:r>
      <w:r>
        <w:rPr>
          <w:rFonts w:hint="eastAsia" w:ascii="宋体" w:hAnsi="宋体" w:cs="宋体"/>
          <w:color w:val="auto"/>
          <w:szCs w:val="21"/>
          <w:highlight w:val="none"/>
        </w:rPr>
        <w:t>（如</w:t>
      </w:r>
      <w:r>
        <w:rPr>
          <w:rFonts w:hint="eastAsia" w:ascii="宋体" w:hAnsi="宋体" w:eastAsia="宋体" w:cs="宋体"/>
          <w:color w:val="auto"/>
          <w:szCs w:val="21"/>
          <w:highlight w:val="none"/>
        </w:rPr>
        <w:t>发起投票互动</w:t>
      </w:r>
      <w:r>
        <w:rPr>
          <w:rFonts w:hint="eastAsia" w:ascii="宋体" w:hAnsi="宋体" w:cs="宋体"/>
          <w:color w:val="auto"/>
          <w:szCs w:val="21"/>
          <w:highlight w:val="none"/>
        </w:rPr>
        <w:t>、</w:t>
      </w:r>
      <w:r>
        <w:rPr>
          <w:rFonts w:hint="eastAsia" w:ascii="宋体" w:hAnsi="宋体" w:eastAsia="宋体" w:cs="宋体"/>
          <w:color w:val="auto"/>
          <w:szCs w:val="21"/>
          <w:highlight w:val="none"/>
        </w:rPr>
        <w:t>话题运营</w:t>
      </w:r>
      <w:r>
        <w:rPr>
          <w:rFonts w:hint="eastAsia" w:ascii="宋体" w:hAnsi="宋体" w:cs="宋体"/>
          <w:color w:val="auto"/>
          <w:szCs w:val="21"/>
          <w:highlight w:val="none"/>
        </w:rPr>
        <w:t>等）</w:t>
      </w:r>
    </w:p>
    <w:p w14:paraId="7F10CFE5">
      <w:pPr>
        <w:pStyle w:val="62"/>
        <w:numPr>
          <w:ilvl w:val="0"/>
          <w:numId w:val="11"/>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cs="宋体"/>
          <w:color w:val="auto"/>
          <w:szCs w:val="21"/>
          <w:highlight w:val="none"/>
        </w:rPr>
        <w:t>户外运动大咖拍摄倒计时宣传片；</w:t>
      </w:r>
    </w:p>
    <w:p w14:paraId="43047303">
      <w:pPr>
        <w:snapToGrid w:val="0"/>
        <w:spacing w:line="360" w:lineRule="auto"/>
        <w:ind w:left="210" w:leftChars="100"/>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2、活动中期：达人体验+活动内容宣传大赛</w:t>
      </w:r>
    </w:p>
    <w:p w14:paraId="1CBD0672">
      <w:pPr>
        <w:pStyle w:val="62"/>
        <w:numPr>
          <w:ilvl w:val="0"/>
          <w:numId w:val="12"/>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到场达人至少30人；</w:t>
      </w:r>
    </w:p>
    <w:p w14:paraId="1AACFA6A">
      <w:pPr>
        <w:pStyle w:val="62"/>
        <w:numPr>
          <w:ilvl w:val="0"/>
          <w:numId w:val="12"/>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现场小红书10万以上粉丝达人至少5人；</w:t>
      </w:r>
    </w:p>
    <w:p w14:paraId="790F746B">
      <w:pPr>
        <w:snapToGrid w:val="0"/>
        <w:spacing w:line="360" w:lineRule="auto"/>
        <w:ind w:left="210" w:leftChars="100"/>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3、活动后期：央媒及省媒进行全覆盖报</w:t>
      </w:r>
    </w:p>
    <w:p w14:paraId="60F22AC0">
      <w:pPr>
        <w:pStyle w:val="62"/>
        <w:numPr>
          <w:ilvl w:val="0"/>
          <w:numId w:val="13"/>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cs="宋体"/>
          <w:color w:val="auto"/>
          <w:szCs w:val="21"/>
          <w:highlight w:val="none"/>
        </w:rPr>
        <w:t>央媒传播至少5篇</w:t>
      </w:r>
    </w:p>
    <w:p w14:paraId="455EE795">
      <w:pPr>
        <w:pStyle w:val="62"/>
        <w:numPr>
          <w:ilvl w:val="0"/>
          <w:numId w:val="13"/>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浙江体育频道、浙江卫视、浙江电视台播出</w:t>
      </w:r>
    </w:p>
    <w:p w14:paraId="64E7252E">
      <w:pPr>
        <w:pStyle w:val="62"/>
        <w:numPr>
          <w:ilvl w:val="0"/>
          <w:numId w:val="13"/>
        </w:numPr>
        <w:snapToGrid w:val="0"/>
        <w:spacing w:line="360" w:lineRule="auto"/>
        <w:ind w:left="210" w:leftChars="100" w:firstLine="420" w:firstLineChars="200"/>
        <w:contextualSpacing w:val="0"/>
        <w:rPr>
          <w:rFonts w:hint="eastAsia" w:ascii="宋体" w:hAnsi="宋体" w:cs="宋体"/>
          <w:color w:val="auto"/>
          <w:szCs w:val="21"/>
          <w:highlight w:val="none"/>
        </w:rPr>
      </w:pPr>
      <w:r>
        <w:rPr>
          <w:rFonts w:hint="eastAsia" w:ascii="宋体" w:hAnsi="宋体" w:eastAsia="宋体" w:cs="宋体"/>
          <w:color w:val="auto"/>
          <w:szCs w:val="21"/>
          <w:highlight w:val="none"/>
        </w:rPr>
        <w:t>市外媒体宣发不少于10篇</w:t>
      </w:r>
    </w:p>
    <w:p w14:paraId="128A3EB0">
      <w:pPr>
        <w:pStyle w:val="3"/>
        <w:spacing w:after="0" w:line="360" w:lineRule="auto"/>
        <w:ind w:left="210" w:leftChars="1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（二）舞台活动现场舞美效果</w:t>
      </w:r>
    </w:p>
    <w:p w14:paraId="5C93ABC5">
      <w:pPr>
        <w:pStyle w:val="3"/>
        <w:spacing w:after="0" w:line="360" w:lineRule="auto"/>
        <w:ind w:left="210" w:leftChars="10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项目至少配置2组8+4线阵音响+8只单15，通过声学建模优化声场分布，声压级均匀度控制在±3dB以内；灯光秀与音乐的精准同步，光通量输出达流明，显色指数CRI≥90，可满足本次活动开幕式、音乐会等专业级视听需求。</w:t>
      </w:r>
    </w:p>
    <w:p w14:paraId="2831897F">
      <w:pPr>
        <w:pStyle w:val="3"/>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舞台要求: 1、舞台要求至少不小于6*10米；</w:t>
      </w:r>
    </w:p>
    <w:p w14:paraId="5C79B2B7">
      <w:pPr>
        <w:pStyle w:val="3"/>
        <w:spacing w:after="0" w:line="360" w:lineRule="auto"/>
        <w:ind w:firstLine="1680" w:firstLineChars="800"/>
        <w:rPr>
          <w:rFonts w:hint="eastAsia" w:ascii="宋体" w:hAnsi="宋体" w:cs="宋体"/>
          <w:color w:val="auto"/>
          <w:sz w:val="21"/>
          <w:szCs w:val="21"/>
          <w:highlight w:val="none"/>
        </w:rPr>
      </w:pPr>
      <w:r>
        <w:rPr>
          <w:rFonts w:hint="eastAsia" w:ascii="宋体" w:hAnsi="宋体" w:cs="宋体"/>
          <w:color w:val="auto"/>
          <w:sz w:val="21"/>
          <w:szCs w:val="21"/>
          <w:highlight w:val="none"/>
        </w:rPr>
        <w:t>2、具备LED户外大屏；</w:t>
      </w:r>
    </w:p>
    <w:p w14:paraId="27B7C93B">
      <w:pPr>
        <w:pStyle w:val="3"/>
        <w:spacing w:after="0"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舞台活动内容</w:t>
      </w:r>
      <w:r>
        <w:rPr>
          <w:rFonts w:hint="eastAsia" w:ascii="宋体" w:hAnsi="宋体" w:cs="宋体"/>
          <w:color w:val="auto"/>
          <w:sz w:val="21"/>
          <w:szCs w:val="21"/>
          <w:highlight w:val="none"/>
          <w:lang w:eastAsia="zh-CN"/>
        </w:rPr>
        <w:t>：</w:t>
      </w:r>
    </w:p>
    <w:p w14:paraId="6D3D85A9">
      <w:pPr>
        <w:pStyle w:val="3"/>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开幕式活动</w:t>
      </w:r>
    </w:p>
    <w:p w14:paraId="4A80DE82">
      <w:pPr>
        <w:pStyle w:val="3"/>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活动时间：9月13日17:00-17:30</w:t>
      </w:r>
    </w:p>
    <w:p w14:paraId="4DF8E0F5">
      <w:pPr>
        <w:pStyle w:val="3"/>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活动地点：云上草原度假区熊猫部落</w:t>
      </w:r>
    </w:p>
    <w:p w14:paraId="70C1E8A3">
      <w:pPr>
        <w:pStyle w:val="3"/>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活动内容：包含开幕表演、赛事发布、视频制作、品牌秀场等环节内容</w:t>
      </w:r>
    </w:p>
    <w:p w14:paraId="505D3EC7">
      <w:pPr>
        <w:pStyle w:val="3"/>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现场人数要求：2000人；</w:t>
      </w:r>
    </w:p>
    <w:p w14:paraId="2BBEA678">
      <w:pPr>
        <w:pStyle w:val="3"/>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户外品牌之夜</w:t>
      </w:r>
    </w:p>
    <w:p w14:paraId="6B2C6A77">
      <w:pPr>
        <w:pStyle w:val="3"/>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活动时间：9月13日18:00-20:00</w:t>
      </w:r>
    </w:p>
    <w:p w14:paraId="79EC82B3">
      <w:pPr>
        <w:pStyle w:val="3"/>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活动地点：熊猫部落</w:t>
      </w:r>
    </w:p>
    <w:p w14:paraId="1CA16440">
      <w:pPr>
        <w:pStyle w:val="3"/>
        <w:spacing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活动内容：包含乐队表演、品牌路演等</w:t>
      </w:r>
    </w:p>
    <w:p w14:paraId="3E3A2610">
      <w:pPr>
        <w:snapToGrid w:val="0"/>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五、</w:t>
      </w:r>
      <w:bookmarkEnd w:id="108"/>
      <w:r>
        <w:rPr>
          <w:rFonts w:hint="eastAsia" w:asciiTheme="minorEastAsia" w:hAnsiTheme="minorEastAsia" w:eastAsiaTheme="minorEastAsia" w:cstheme="minorEastAsia"/>
          <w:b/>
          <w:bCs/>
          <w:color w:val="auto"/>
          <w:kern w:val="2"/>
          <w:sz w:val="28"/>
          <w:szCs w:val="28"/>
          <w:highlight w:val="none"/>
          <w:lang w:val="en-US" w:eastAsia="zh-CN" w:bidi="ar-SA"/>
        </w:rPr>
        <w:t xml:space="preserve">验收要求 </w:t>
      </w:r>
    </w:p>
    <w:p w14:paraId="0129516F">
      <w:pPr>
        <w:snapToGrid w:val="0"/>
        <w:spacing w:line="360" w:lineRule="auto"/>
        <w:ind w:firstLine="630" w:firstLineChars="3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1、中标单位提供的策划方案等须经采购人认可后方可实施； </w:t>
      </w:r>
    </w:p>
    <w:p w14:paraId="35A726F4">
      <w:pPr>
        <w:pStyle w:val="62"/>
        <w:numPr>
          <w:ilvl w:val="0"/>
          <w:numId w:val="0"/>
        </w:numPr>
        <w:adjustRightInd/>
        <w:spacing w:line="360" w:lineRule="auto"/>
        <w:ind w:firstLine="630" w:firstLineChars="3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2、验收方法：由采购人组织验收。组织相关人员对赛事人员、安保、场地安排、比赛流程、比赛效果等内容进行验收。 </w:t>
      </w:r>
    </w:p>
    <w:p w14:paraId="005B865B">
      <w:pPr>
        <w:pStyle w:val="62"/>
        <w:numPr>
          <w:ilvl w:val="0"/>
          <w:numId w:val="0"/>
        </w:numPr>
        <w:adjustRightInd/>
        <w:spacing w:line="360" w:lineRule="auto"/>
        <w:ind w:firstLine="630" w:firstLineChars="3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3、中标单位按照采购合同、投标文件、招标文件的约定履约。因中标人本身或工作人员执行不力，或影响采购人正常开展正常工作的，采购人有权执行合同罚则或终止合同，并要求中标方赔偿实际损失费用。 </w:t>
      </w:r>
    </w:p>
    <w:p w14:paraId="238DEAF6">
      <w:pPr>
        <w:snapToGrid w:val="0"/>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六、其他说明</w:t>
      </w:r>
    </w:p>
    <w:p w14:paraId="1C32A344">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1、本项目的产品或服务不允许拆分参投，否则其投标无效。 </w:t>
      </w:r>
    </w:p>
    <w:p w14:paraId="21E622BC">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2、中标之后，如发现供应商的投标文件内容有不一致的，以有利于采购人的原则执行。 </w:t>
      </w:r>
    </w:p>
    <w:p w14:paraId="4F7716BC">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 xml:space="preserve">、要求按照赛事推进节奏向采购人提交项目进展报告及相关资料；定期举行联系沟通会议，使采购人了解项目的执行落实状况，具体时间由项目负责人与采购人协调确定。 </w:t>
      </w:r>
    </w:p>
    <w:p w14:paraId="2646BFF7">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 xml:space="preserve">、要求及时做好项目文书资料的收集、立卷、归档工作，并在提出验收申请时向采购人提交。 </w:t>
      </w:r>
    </w:p>
    <w:p w14:paraId="28CE94F4">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如因不可抗力因素导致本赛事延期的，采购人根据实际情况，延长合同期限；导致本赛事取消或部分取消，采购人根据实际已完成的工作内容情况，按照该比赛项目要求的最少投入资金（经采购人同意，金额可根据实际情况适当调整），在支付合同价款时对此金额予以扣除，或按供应商实际必要支出结算。</w:t>
      </w:r>
    </w:p>
    <w:p w14:paraId="4E704A4B">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 xml:space="preserve">、采购响应人组织的比赛接受采购人监管（项目实施过程中，采购人将随时随机抽检，对项目的人员管理、行程设置进行全程监管）。 </w:t>
      </w:r>
    </w:p>
    <w:p w14:paraId="5B552B96">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 xml:space="preserve">、采购响应人在各比赛项目实施完成后提交完整的资料交采购人备案。 </w:t>
      </w:r>
    </w:p>
    <w:p w14:paraId="388FB5DB">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 xml:space="preserve">、采购响应人须做好相关资料的保密工作，不得将由采购人提供的有关资料提供给无关人员。 </w:t>
      </w:r>
    </w:p>
    <w:p w14:paraId="56379F1A">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 xml:space="preserve">、中标人履行完毕该项目全部赛事活动后需提交绩效评价报告及相关所有与本项目有关的支出明细清单。 </w:t>
      </w:r>
    </w:p>
    <w:p w14:paraId="4B6EBDF4">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 xml:space="preserve">、保障完成与比赛相关的其他未尽事宜。 </w:t>
      </w:r>
    </w:p>
    <w:p w14:paraId="0FDE7849">
      <w:pPr>
        <w:snapToGrid w:val="0"/>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 xml:space="preserve">七、商务要求 </w:t>
      </w:r>
    </w:p>
    <w:p w14:paraId="5E3018A8">
      <w:pPr>
        <w:snapToGrid w:val="0"/>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（一）商务报价要求 </w:t>
      </w:r>
    </w:p>
    <w:p w14:paraId="6033E2D5">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 xml:space="preserve">1、本项目为一个标项，其采购预算金额（最高限价）：140万元，投标报价超过最高限价的，其投标为无效标。 </w:t>
      </w:r>
    </w:p>
    <w:p w14:paraId="249D26C9">
      <w:pPr>
        <w:pStyle w:val="62"/>
        <w:numPr>
          <w:ilvl w:val="0"/>
          <w:numId w:val="0"/>
        </w:numPr>
        <w:adjustRightInd/>
        <w:spacing w:line="360" w:lineRule="auto"/>
        <w:ind w:firstLine="840" w:firstLineChars="4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磋商响应报价是履行合同的最终价格，包括但不限于有关本项目实施所涉及的一切费用，即完成本项目服务工作所需的赛事运营(含开幕式)、人工、食宿/交通/安保/医疗等后勤保障、器械使用、设计/制作/运输/布展撤展、保险、验收、技术服务、税费、利润、安全事故处理等完成本项目的所有费用。</w:t>
      </w:r>
      <w:r>
        <w:rPr>
          <w:rFonts w:hint="eastAsia" w:ascii="宋体" w:hAnsi="宋体" w:eastAsia="宋体" w:cs="宋体"/>
          <w:b/>
          <w:bCs/>
          <w:color w:val="auto"/>
          <w:kern w:val="2"/>
          <w:sz w:val="21"/>
          <w:szCs w:val="21"/>
          <w:highlight w:val="none"/>
          <w:lang w:val="en-US" w:eastAsia="zh-CN" w:bidi="ar-SA"/>
        </w:rPr>
        <w:t xml:space="preserve">如有漏项，视同已包含在其它项目中，合同总价和单价不做调整。 </w:t>
      </w:r>
    </w:p>
    <w:p w14:paraId="1C6AD42C">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3、按国家规定由成交人缴纳的各种税收已包含在本项目的总价内，由成交人向税务机关缴纳。 </w:t>
      </w:r>
    </w:p>
    <w:p w14:paraId="4232FC56">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4、本项目的磋商响应供应商应以人民币报价。</w:t>
      </w:r>
    </w:p>
    <w:p w14:paraId="23F61CB0">
      <w:pPr>
        <w:snapToGrid w:val="0"/>
        <w:spacing w:line="360" w:lineRule="auto"/>
        <w:ind w:firstLine="442" w:firstLineChars="200"/>
        <w:rPr>
          <w:rFonts w:hint="eastAsia" w:asciiTheme="minorEastAsia" w:hAnsiTheme="minorEastAsia" w:eastAsiaTheme="minorEastAsia" w:cstheme="minorEastAsia"/>
          <w:b/>
          <w:bCs/>
          <w:color w:val="auto"/>
          <w:kern w:val="2"/>
          <w:sz w:val="22"/>
          <w:szCs w:val="22"/>
          <w:highlight w:val="none"/>
          <w:lang w:val="en-US" w:eastAsia="zh-Hans" w:bidi="ar-SA"/>
        </w:rPr>
      </w:pPr>
      <w:r>
        <w:rPr>
          <w:rFonts w:hint="eastAsia" w:asciiTheme="minorEastAsia" w:hAnsiTheme="minorEastAsia" w:eastAsiaTheme="minorEastAsia" w:cstheme="minorEastAsia"/>
          <w:b/>
          <w:bCs/>
          <w:color w:val="auto"/>
          <w:kern w:val="2"/>
          <w:sz w:val="22"/>
          <w:szCs w:val="22"/>
          <w:highlight w:val="none"/>
          <w:lang w:val="en-US" w:eastAsia="zh-Hans" w:bidi="ar-SA"/>
        </w:rPr>
        <w:t>（</w:t>
      </w:r>
      <w:r>
        <w:rPr>
          <w:rFonts w:hint="eastAsia" w:asciiTheme="minorEastAsia" w:hAnsiTheme="minorEastAsia" w:eastAsiaTheme="minorEastAsia" w:cstheme="minorEastAsia"/>
          <w:b/>
          <w:bCs/>
          <w:color w:val="auto"/>
          <w:kern w:val="2"/>
          <w:sz w:val="22"/>
          <w:szCs w:val="22"/>
          <w:highlight w:val="none"/>
          <w:lang w:val="en-US" w:eastAsia="zh-CN" w:bidi="ar-SA"/>
        </w:rPr>
        <w:t>二</w:t>
      </w:r>
      <w:r>
        <w:rPr>
          <w:rFonts w:hint="eastAsia" w:asciiTheme="minorEastAsia" w:hAnsiTheme="minorEastAsia" w:eastAsiaTheme="minorEastAsia" w:cstheme="minorEastAsia"/>
          <w:b/>
          <w:bCs/>
          <w:color w:val="auto"/>
          <w:kern w:val="2"/>
          <w:sz w:val="22"/>
          <w:szCs w:val="22"/>
          <w:highlight w:val="none"/>
          <w:lang w:val="en-US" w:eastAsia="zh-Hans" w:bidi="ar-SA"/>
        </w:rPr>
        <w:t>）合同履行时间</w:t>
      </w:r>
    </w:p>
    <w:p w14:paraId="26D4A490">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合同签订之日起至</w:t>
      </w:r>
      <w:r>
        <w:rPr>
          <w:rFonts w:hint="eastAsia" w:ascii="宋体" w:hAnsi="宋体" w:eastAsia="宋体" w:cs="宋体"/>
          <w:color w:val="auto"/>
          <w:kern w:val="2"/>
          <w:sz w:val="21"/>
          <w:szCs w:val="21"/>
          <w:highlight w:val="none"/>
          <w:lang w:val="en-US" w:eastAsia="zh-CN" w:bidi="ar-SA"/>
        </w:rPr>
        <w:t>2025年第六届浙江省户外运动大会</w:t>
      </w:r>
      <w:r>
        <w:rPr>
          <w:rFonts w:hint="eastAsia" w:ascii="宋体" w:hAnsi="宋体" w:eastAsia="宋体" w:cs="宋体"/>
          <w:color w:val="auto"/>
          <w:kern w:val="2"/>
          <w:sz w:val="21"/>
          <w:szCs w:val="21"/>
          <w:highlight w:val="none"/>
          <w:lang w:val="en-US" w:eastAsia="zh-Hans" w:bidi="ar-SA"/>
        </w:rPr>
        <w:t>活动全部</w:t>
      </w:r>
      <w:r>
        <w:rPr>
          <w:rFonts w:hint="eastAsia" w:ascii="宋体" w:hAnsi="宋体" w:eastAsia="宋体" w:cs="宋体"/>
          <w:color w:val="auto"/>
          <w:kern w:val="2"/>
          <w:sz w:val="21"/>
          <w:szCs w:val="21"/>
          <w:highlight w:val="none"/>
          <w:lang w:val="en-US" w:eastAsia="zh-CN" w:bidi="ar-SA"/>
        </w:rPr>
        <w:t>结束，以及款项结清为止。</w:t>
      </w:r>
    </w:p>
    <w:p w14:paraId="568D2812">
      <w:pPr>
        <w:snapToGrid w:val="0"/>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Hans" w:bidi="ar-SA"/>
        </w:rPr>
      </w:pPr>
      <w:r>
        <w:rPr>
          <w:rFonts w:hint="eastAsia" w:asciiTheme="minorEastAsia" w:hAnsiTheme="minorEastAsia" w:eastAsiaTheme="minorEastAsia" w:cstheme="minorEastAsia"/>
          <w:b/>
          <w:bCs/>
          <w:color w:val="auto"/>
          <w:kern w:val="2"/>
          <w:sz w:val="21"/>
          <w:szCs w:val="21"/>
          <w:highlight w:val="none"/>
          <w:lang w:val="en-US" w:eastAsia="zh-Hans" w:bidi="ar-SA"/>
        </w:rPr>
        <w:t>（</w:t>
      </w:r>
      <w:r>
        <w:rPr>
          <w:rFonts w:hint="eastAsia" w:asciiTheme="minorEastAsia" w:hAnsiTheme="minorEastAsia" w:eastAsiaTheme="minorEastAsia" w:cstheme="minorEastAsia"/>
          <w:b/>
          <w:bCs/>
          <w:color w:val="auto"/>
          <w:kern w:val="2"/>
          <w:sz w:val="21"/>
          <w:szCs w:val="21"/>
          <w:highlight w:val="none"/>
          <w:lang w:val="en-US" w:eastAsia="zh-CN" w:bidi="ar-SA"/>
        </w:rPr>
        <w:t>三</w:t>
      </w:r>
      <w:r>
        <w:rPr>
          <w:rFonts w:hint="eastAsia" w:asciiTheme="minorEastAsia" w:hAnsiTheme="minorEastAsia" w:eastAsiaTheme="minorEastAsia" w:cstheme="minorEastAsia"/>
          <w:b/>
          <w:bCs/>
          <w:color w:val="auto"/>
          <w:kern w:val="2"/>
          <w:sz w:val="21"/>
          <w:szCs w:val="21"/>
          <w:highlight w:val="none"/>
          <w:lang w:val="en-US" w:eastAsia="zh-Hans" w:bidi="ar-SA"/>
        </w:rPr>
        <w:t>）合同履行地点</w:t>
      </w:r>
    </w:p>
    <w:p w14:paraId="7032FDCF">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采购人指定地点。</w:t>
      </w:r>
    </w:p>
    <w:p w14:paraId="3CC0EBE4">
      <w:pPr>
        <w:snapToGrid w:val="0"/>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Hans" w:bidi="ar-SA"/>
        </w:rPr>
      </w:pPr>
      <w:r>
        <w:rPr>
          <w:rFonts w:hint="eastAsia" w:asciiTheme="minorEastAsia" w:hAnsiTheme="minorEastAsia" w:eastAsiaTheme="minorEastAsia" w:cstheme="minorEastAsia"/>
          <w:b/>
          <w:bCs/>
          <w:color w:val="auto"/>
          <w:kern w:val="2"/>
          <w:sz w:val="21"/>
          <w:szCs w:val="21"/>
          <w:highlight w:val="none"/>
          <w:lang w:val="zh-CN" w:eastAsia="zh-Hans" w:bidi="ar-SA"/>
        </w:rPr>
        <w:t>▲</w:t>
      </w:r>
      <w:r>
        <w:rPr>
          <w:rFonts w:hint="eastAsia" w:asciiTheme="minorEastAsia" w:hAnsiTheme="minorEastAsia" w:eastAsiaTheme="minorEastAsia" w:cstheme="minorEastAsia"/>
          <w:b/>
          <w:bCs/>
          <w:color w:val="auto"/>
          <w:kern w:val="2"/>
          <w:sz w:val="21"/>
          <w:szCs w:val="21"/>
          <w:highlight w:val="none"/>
          <w:lang w:val="en-US" w:eastAsia="zh-Hans" w:bidi="ar-SA"/>
        </w:rPr>
        <w:t>（</w:t>
      </w:r>
      <w:r>
        <w:rPr>
          <w:rFonts w:hint="eastAsia" w:asciiTheme="minorEastAsia" w:hAnsiTheme="minorEastAsia" w:eastAsiaTheme="minorEastAsia" w:cstheme="minorEastAsia"/>
          <w:b/>
          <w:bCs/>
          <w:color w:val="auto"/>
          <w:kern w:val="2"/>
          <w:sz w:val="21"/>
          <w:szCs w:val="21"/>
          <w:highlight w:val="none"/>
          <w:lang w:val="en-US" w:eastAsia="zh-CN" w:bidi="ar-SA"/>
        </w:rPr>
        <w:t>四</w:t>
      </w:r>
      <w:r>
        <w:rPr>
          <w:rFonts w:hint="eastAsia" w:asciiTheme="minorEastAsia" w:hAnsiTheme="minorEastAsia" w:eastAsiaTheme="minorEastAsia" w:cstheme="minorEastAsia"/>
          <w:b/>
          <w:bCs/>
          <w:color w:val="auto"/>
          <w:kern w:val="2"/>
          <w:sz w:val="21"/>
          <w:szCs w:val="21"/>
          <w:highlight w:val="none"/>
          <w:lang w:val="en-US" w:eastAsia="zh-Hans" w:bidi="ar-SA"/>
        </w:rPr>
        <w:t>）付款方式</w:t>
      </w:r>
    </w:p>
    <w:bookmarkEnd w:id="109"/>
    <w:bookmarkEnd w:id="110"/>
    <w:p w14:paraId="2C8A6DCA">
      <w:pPr>
        <w:pStyle w:val="62"/>
        <w:numPr>
          <w:ilvl w:val="0"/>
          <w:numId w:val="0"/>
        </w:numPr>
        <w:adjustRightInd/>
        <w:spacing w:line="360" w:lineRule="auto"/>
        <w:ind w:firstLine="843" w:firstLineChars="400"/>
        <w:rPr>
          <w:rFonts w:hint="eastAsia" w:ascii="宋体" w:hAnsi="宋体" w:eastAsia="宋体" w:cs="宋体"/>
          <w:b/>
          <w:bCs/>
          <w:color w:val="auto"/>
          <w:kern w:val="2"/>
          <w:sz w:val="21"/>
          <w:szCs w:val="21"/>
          <w:highlight w:val="none"/>
          <w:lang w:val="en-US" w:eastAsia="zh-Hans" w:bidi="ar-SA"/>
        </w:rPr>
      </w:pPr>
      <w:r>
        <w:rPr>
          <w:rFonts w:hint="eastAsia" w:ascii="宋体" w:hAnsi="宋体" w:eastAsia="宋体" w:cs="宋体"/>
          <w:b/>
          <w:bCs/>
          <w:color w:val="auto"/>
          <w:kern w:val="2"/>
          <w:sz w:val="21"/>
          <w:szCs w:val="21"/>
          <w:highlight w:val="none"/>
          <w:lang w:val="en-US" w:eastAsia="zh-CN" w:bidi="ar-SA"/>
        </w:rPr>
        <w:t xml:space="preserve">根据浙江省财政厅关于进一步发挥政府采购政策功能全力推动经济稳进提质的通知（浙财采监【2022】3 号）要求，制定如下付款方式： </w:t>
      </w:r>
    </w:p>
    <w:p w14:paraId="31A225E7">
      <w:pPr>
        <w:pStyle w:val="62"/>
        <w:numPr>
          <w:ilvl w:val="0"/>
          <w:numId w:val="0"/>
        </w:numPr>
        <w:adjustRightInd/>
        <w:spacing w:line="360" w:lineRule="auto"/>
        <w:ind w:firstLine="843"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b/>
          <w:bCs/>
          <w:color w:val="auto"/>
          <w:kern w:val="2"/>
          <w:sz w:val="21"/>
          <w:szCs w:val="21"/>
          <w:highlight w:val="none"/>
          <w:lang w:val="en-US" w:eastAsia="zh-CN" w:bidi="ar-SA"/>
        </w:rPr>
        <w:t>采用总价包干，分期支付：</w:t>
      </w:r>
      <w:r>
        <w:rPr>
          <w:rFonts w:hint="eastAsia" w:ascii="宋体" w:hAnsi="宋体" w:eastAsia="宋体" w:cs="宋体"/>
          <w:color w:val="auto"/>
          <w:kern w:val="2"/>
          <w:sz w:val="21"/>
          <w:szCs w:val="21"/>
          <w:highlight w:val="none"/>
          <w:lang w:val="en-US" w:eastAsia="zh-CN" w:bidi="ar-SA"/>
        </w:rPr>
        <w:t xml:space="preserve"> </w:t>
      </w:r>
    </w:p>
    <w:p w14:paraId="5FAB36FF">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①首付款：合同生效以及具备实施条件后</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 xml:space="preserve">个工作日由甲方向乙方支付合同总价的 40%预付款； </w:t>
      </w:r>
    </w:p>
    <w:p w14:paraId="66BEEBF7">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②实施款：乙方全部履约完毕后</w:t>
      </w:r>
      <w:r>
        <w:rPr>
          <w:rFonts w:hint="eastAsia" w:ascii="宋体" w:hAnsi="宋体" w:cs="宋体"/>
          <w:color w:val="auto"/>
          <w:kern w:val="2"/>
          <w:sz w:val="21"/>
          <w:szCs w:val="21"/>
          <w:highlight w:val="none"/>
          <w:lang w:val="en-US" w:eastAsia="zh-CN" w:bidi="ar-SA"/>
        </w:rPr>
        <w:t>且审计合格后，以审计报告价格为准，</w:t>
      </w:r>
      <w:r>
        <w:rPr>
          <w:rFonts w:hint="eastAsia" w:ascii="宋体" w:hAnsi="宋体" w:eastAsia="宋体" w:cs="宋体"/>
          <w:color w:val="auto"/>
          <w:kern w:val="2"/>
          <w:sz w:val="21"/>
          <w:szCs w:val="21"/>
          <w:highlight w:val="none"/>
          <w:lang w:val="en-US" w:eastAsia="zh-CN" w:bidi="ar-SA"/>
        </w:rPr>
        <w:t>经甲方确认后</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个工作日内支付</w:t>
      </w:r>
      <w:r>
        <w:rPr>
          <w:rFonts w:hint="eastAsia" w:ascii="宋体" w:hAnsi="宋体" w:cs="宋体"/>
          <w:color w:val="auto"/>
          <w:kern w:val="2"/>
          <w:sz w:val="21"/>
          <w:szCs w:val="21"/>
          <w:highlight w:val="none"/>
          <w:lang w:val="en-US" w:eastAsia="zh-CN" w:bidi="ar-SA"/>
        </w:rPr>
        <w:t>剩余</w:t>
      </w:r>
      <w:r>
        <w:rPr>
          <w:rFonts w:hint="eastAsia" w:ascii="宋体" w:hAnsi="宋体" w:eastAsia="宋体" w:cs="宋体"/>
          <w:color w:val="auto"/>
          <w:kern w:val="2"/>
          <w:sz w:val="21"/>
          <w:szCs w:val="21"/>
          <w:highlight w:val="none"/>
          <w:lang w:val="en-US" w:eastAsia="zh-CN" w:bidi="ar-SA"/>
        </w:rPr>
        <w:t>款项。</w:t>
      </w:r>
    </w:p>
    <w:p w14:paraId="65533384">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 xml:space="preserve">③结算款项时，乙方根据甲方要求开具符合规范的发票。 </w:t>
      </w:r>
    </w:p>
    <w:p w14:paraId="290E9969">
      <w:pPr>
        <w:snapToGrid w:val="0"/>
        <w:spacing w:line="360" w:lineRule="auto"/>
        <w:rPr>
          <w:rFonts w:hint="eastAsia" w:asciiTheme="minorEastAsia" w:hAnsiTheme="minorEastAsia" w:eastAsiaTheme="minorEastAsia" w:cstheme="minorEastAsia"/>
          <w:b/>
          <w:bCs/>
          <w:color w:val="auto"/>
          <w:kern w:val="2"/>
          <w:sz w:val="28"/>
          <w:szCs w:val="28"/>
          <w:highlight w:val="none"/>
          <w:lang w:val="en-US" w:eastAsia="zh-Hans" w:bidi="ar-SA"/>
        </w:rPr>
      </w:pPr>
      <w:r>
        <w:rPr>
          <w:rFonts w:hint="eastAsia" w:asciiTheme="minorEastAsia" w:hAnsiTheme="minorEastAsia" w:eastAsiaTheme="minorEastAsia" w:cstheme="minorEastAsia"/>
          <w:b/>
          <w:bCs/>
          <w:color w:val="auto"/>
          <w:kern w:val="2"/>
          <w:sz w:val="28"/>
          <w:szCs w:val="28"/>
          <w:highlight w:val="none"/>
          <w:lang w:val="en-US" w:eastAsia="zh-CN" w:bidi="ar-SA"/>
        </w:rPr>
        <w:t>八</w:t>
      </w:r>
      <w:r>
        <w:rPr>
          <w:rFonts w:hint="eastAsia" w:asciiTheme="minorEastAsia" w:hAnsiTheme="minorEastAsia" w:eastAsiaTheme="minorEastAsia" w:cstheme="minorEastAsia"/>
          <w:b/>
          <w:bCs/>
          <w:color w:val="auto"/>
          <w:kern w:val="2"/>
          <w:sz w:val="28"/>
          <w:szCs w:val="28"/>
          <w:highlight w:val="none"/>
          <w:lang w:val="en-US" w:eastAsia="zh-Hans" w:bidi="ar-SA"/>
        </w:rPr>
        <w:t>、</w:t>
      </w:r>
      <w:bookmarkEnd w:id="111"/>
      <w:r>
        <w:rPr>
          <w:rFonts w:hint="eastAsia" w:asciiTheme="minorEastAsia" w:hAnsiTheme="minorEastAsia" w:eastAsiaTheme="minorEastAsia" w:cstheme="minorEastAsia"/>
          <w:b/>
          <w:bCs/>
          <w:color w:val="auto"/>
          <w:kern w:val="2"/>
          <w:sz w:val="28"/>
          <w:szCs w:val="28"/>
          <w:highlight w:val="none"/>
          <w:lang w:val="en-US" w:eastAsia="zh-Hans" w:bidi="ar-SA"/>
        </w:rPr>
        <w:t xml:space="preserve">注意 </w:t>
      </w:r>
    </w:p>
    <w:bookmarkEnd w:id="112"/>
    <w:bookmarkEnd w:id="113"/>
    <w:bookmarkEnd w:id="114"/>
    <w:bookmarkEnd w:id="115"/>
    <w:bookmarkEnd w:id="116"/>
    <w:bookmarkEnd w:id="117"/>
    <w:bookmarkEnd w:id="118"/>
    <w:bookmarkEnd w:id="119"/>
    <w:p w14:paraId="03981789">
      <w:pPr>
        <w:pStyle w:val="62"/>
        <w:numPr>
          <w:ilvl w:val="0"/>
          <w:numId w:val="0"/>
        </w:numPr>
        <w:adjustRightInd/>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1、标“▲”条款是实质性条款，供应商必须全部响应，否则磋商响应无效。</w:t>
      </w:r>
    </w:p>
    <w:p w14:paraId="2BE283D8">
      <w:pPr>
        <w:pStyle w:val="62"/>
        <w:numPr>
          <w:ilvl w:val="0"/>
          <w:numId w:val="0"/>
        </w:numPr>
        <w:adjustRightInd/>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25" w:name="_Toc402872203"/>
      <w:bookmarkStart w:id="126" w:name="_Toc34746017"/>
      <w:r>
        <w:rPr>
          <w:rFonts w:hint="eastAsia" w:ascii="宋体" w:hAnsi="宋体" w:eastAsia="宋体" w:cs="宋体"/>
          <w:color w:val="auto"/>
          <w:kern w:val="2"/>
          <w:sz w:val="21"/>
          <w:szCs w:val="21"/>
          <w:highlight w:val="none"/>
          <w:lang w:val="zh-CN" w:eastAsia="zh-CN" w:bidi="ar-SA"/>
        </w:rPr>
        <w:t>。</w:t>
      </w:r>
    </w:p>
    <w:p w14:paraId="169FCD16">
      <w:pPr>
        <w:autoSpaceDE w:val="0"/>
        <w:autoSpaceDN w:val="0"/>
        <w:adjustRightInd w:val="0"/>
        <w:snapToGrid w:val="0"/>
        <w:spacing w:before="156" w:beforeLines="50" w:after="156" w:afterLines="50" w:line="360" w:lineRule="auto"/>
        <w:jc w:val="center"/>
        <w:textAlignment w:val="bottom"/>
        <w:rPr>
          <w:color w:val="auto"/>
          <w:highlight w:val="none"/>
        </w:rPr>
      </w:pPr>
      <w:r>
        <w:rPr>
          <w:rStyle w:val="40"/>
          <w:rFonts w:hint="eastAsia"/>
          <w:color w:val="auto"/>
          <w:highlight w:val="none"/>
        </w:rPr>
        <w:br w:type="page"/>
      </w:r>
      <w:r>
        <w:rPr>
          <w:rStyle w:val="40"/>
          <w:rFonts w:hint="eastAsia"/>
          <w:color w:val="auto"/>
          <w:highlight w:val="none"/>
        </w:rPr>
        <w:t>第四章  磋商原则和程序</w:t>
      </w:r>
      <w:bookmarkEnd w:id="125"/>
      <w:bookmarkEnd w:id="126"/>
    </w:p>
    <w:p w14:paraId="77B196AF">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127" w:name="_Toc17438"/>
      <w:bookmarkStart w:id="128" w:name="_Toc6985"/>
      <w:r>
        <w:rPr>
          <w:rFonts w:hint="eastAsia" w:ascii="宋体" w:hAnsi="宋体" w:cs="宋体"/>
          <w:bCs/>
          <w:color w:val="auto"/>
          <w:szCs w:val="21"/>
          <w:highlight w:val="none"/>
        </w:rPr>
        <w:t>根据《中华人民共和国政府采购法》、《政府采购竞争性磋商采购方式管理暂行办法》等要求，遵循公开、公平、公正、科学、择优原则和诚实、信誉、效率的服务原则，制定本评审办法。</w:t>
      </w:r>
      <w:bookmarkEnd w:id="127"/>
      <w:bookmarkEnd w:id="128"/>
    </w:p>
    <w:p w14:paraId="64B34C95">
      <w:pPr>
        <w:spacing w:before="156" w:beforeLines="50" w:line="360" w:lineRule="auto"/>
        <w:rPr>
          <w:rFonts w:hint="eastAsia" w:ascii="宋体" w:hAnsi="宋体" w:cs="宋体"/>
          <w:b/>
          <w:color w:val="auto"/>
          <w:szCs w:val="21"/>
          <w:highlight w:val="none"/>
        </w:rPr>
      </w:pPr>
      <w:bookmarkStart w:id="129" w:name="_Toc5294"/>
      <w:bookmarkStart w:id="130" w:name="_Toc282640741"/>
      <w:bookmarkStart w:id="131" w:name="_Toc402872204"/>
      <w:bookmarkStart w:id="132" w:name="_Toc14739"/>
      <w:r>
        <w:rPr>
          <w:rFonts w:hint="eastAsia" w:ascii="宋体" w:hAnsi="宋体" w:cs="宋体"/>
          <w:b/>
          <w:color w:val="auto"/>
          <w:szCs w:val="21"/>
          <w:highlight w:val="none"/>
        </w:rPr>
        <w:t>一、</w:t>
      </w:r>
      <w:bookmarkEnd w:id="129"/>
      <w:bookmarkEnd w:id="130"/>
      <w:bookmarkEnd w:id="131"/>
      <w:bookmarkEnd w:id="132"/>
      <w:r>
        <w:rPr>
          <w:rFonts w:hint="eastAsia" w:ascii="宋体" w:hAnsi="宋体" w:cs="宋体"/>
          <w:b/>
          <w:color w:val="auto"/>
          <w:szCs w:val="21"/>
          <w:highlight w:val="none"/>
        </w:rPr>
        <w:t>磋商准备</w:t>
      </w:r>
      <w:bookmarkStart w:id="133" w:name="_Toc21671"/>
      <w:bookmarkStart w:id="134" w:name="_Toc282640744"/>
      <w:bookmarkStart w:id="135" w:name="_Toc10100"/>
      <w:bookmarkStart w:id="136" w:name="_Toc402872205"/>
    </w:p>
    <w:p w14:paraId="5B01B83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组织机构按照响应文件规定的时间通过“政府采购云平台”组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34D3530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若磋商供应商在规定时间内无法解密或解密失败，采购代理机构将开启磋商供应商递交的以介质存储的数据电文形式的备份响应文件，上传至政采云平台项目采购模块，以完成磋商，电子加密响应文件自动失效。</w:t>
      </w:r>
    </w:p>
    <w:p w14:paraId="17EBD2F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3、所有二次报价询标流程，均在线上完成，请各供应商务必不要离开电脑太久，并留意手机短信。（请提前检查“政采云”内，关于‘项目采购’的岗位权限是否已勾选上。如有问题，请致电400-881-7190）。</w:t>
      </w:r>
    </w:p>
    <w:p w14:paraId="6CA62867">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二、磋商小组</w:t>
      </w:r>
      <w:bookmarkEnd w:id="133"/>
      <w:bookmarkEnd w:id="134"/>
      <w:bookmarkEnd w:id="135"/>
      <w:bookmarkEnd w:id="136"/>
    </w:p>
    <w:p w14:paraId="5CB52D8D">
      <w:pPr>
        <w:spacing w:line="360" w:lineRule="auto"/>
        <w:ind w:firstLine="420" w:firstLineChars="200"/>
        <w:rPr>
          <w:rFonts w:hint="eastAsia" w:ascii="宋体" w:hAnsi="宋体" w:cs="宋体"/>
          <w:bCs/>
          <w:color w:val="auto"/>
          <w:szCs w:val="21"/>
          <w:highlight w:val="none"/>
        </w:rPr>
      </w:pPr>
      <w:bookmarkStart w:id="137" w:name="_Toc282640745"/>
      <w:bookmarkStart w:id="138" w:name="_Toc414960376"/>
      <w:r>
        <w:rPr>
          <w:rFonts w:hint="eastAsia" w:ascii="宋体" w:hAnsi="宋体" w:cs="宋体"/>
          <w:bCs/>
          <w:color w:val="auto"/>
          <w:szCs w:val="21"/>
          <w:highlight w:val="none"/>
        </w:rPr>
        <w:t>1、本项目磋商小组依法由3人（含）以上奇数的人员组成，磋商小组对响应文件进行审查、质疑、评估和比较。</w:t>
      </w:r>
      <w:bookmarkEnd w:id="137"/>
      <w:bookmarkEnd w:id="138"/>
    </w:p>
    <w:p w14:paraId="649B277C">
      <w:pPr>
        <w:spacing w:line="360" w:lineRule="auto"/>
        <w:ind w:firstLine="420" w:firstLineChars="200"/>
        <w:rPr>
          <w:rFonts w:hint="eastAsia" w:ascii="宋体" w:hAnsi="宋体" w:cs="宋体"/>
          <w:bCs/>
          <w:color w:val="auto"/>
          <w:szCs w:val="21"/>
          <w:highlight w:val="none"/>
        </w:rPr>
      </w:pPr>
      <w:bookmarkStart w:id="139" w:name="_Toc414960377"/>
      <w:r>
        <w:rPr>
          <w:rFonts w:hint="eastAsia" w:ascii="宋体" w:hAnsi="宋体" w:cs="宋体"/>
          <w:bCs/>
          <w:color w:val="auto"/>
          <w:szCs w:val="21"/>
          <w:highlight w:val="none"/>
        </w:rPr>
        <w:t>2、磋商期间，供应商法人代表或授权委托人必须在线，负责解答有关事宜。</w:t>
      </w:r>
      <w:bookmarkEnd w:id="139"/>
    </w:p>
    <w:p w14:paraId="00658DE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3、磋商过程应严格保密，磋商小组及有关工作人员应严格遵守纪律，不得泄露任何磋商信息。</w:t>
      </w:r>
    </w:p>
    <w:p w14:paraId="5301209C">
      <w:pPr>
        <w:spacing w:before="156" w:beforeLines="50" w:line="360" w:lineRule="auto"/>
        <w:rPr>
          <w:rFonts w:hint="eastAsia" w:ascii="宋体" w:hAnsi="宋体" w:cs="宋体"/>
          <w:b/>
          <w:color w:val="auto"/>
          <w:szCs w:val="21"/>
          <w:highlight w:val="none"/>
        </w:rPr>
      </w:pPr>
      <w:bookmarkStart w:id="140" w:name="_Toc20285"/>
      <w:bookmarkStart w:id="141" w:name="_Toc402872206"/>
      <w:bookmarkStart w:id="142" w:name="_Toc1211"/>
      <w:r>
        <w:rPr>
          <w:rFonts w:hint="eastAsia" w:ascii="宋体" w:hAnsi="宋体" w:cs="宋体"/>
          <w:b/>
          <w:color w:val="auto"/>
          <w:szCs w:val="21"/>
          <w:highlight w:val="none"/>
        </w:rPr>
        <w:t>三、竞争性磋商原则与方法</w:t>
      </w:r>
      <w:bookmarkEnd w:id="140"/>
      <w:bookmarkEnd w:id="141"/>
      <w:bookmarkEnd w:id="142"/>
    </w:p>
    <w:p w14:paraId="619BEE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1、磋商小组将遵循公开、公平、公正的原则，对供应商提供工程、货物或服务的价格、技术性能、工期、安装实施方案、售后服务、培训计划、公司基本情况、履约能力等进行综合分析考评。</w:t>
      </w:r>
    </w:p>
    <w:p w14:paraId="32BA9D0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2、磋商小组应客观、公正地对待所有供应商，对所有响应文件评价，均采用相同的程序和标准。</w:t>
      </w:r>
    </w:p>
    <w:p w14:paraId="612097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3、在磋商期间，供应商不得向磋商小组成员询问磋商情况，不得进行旨在影响磋商结果的活动，否则将废除其磋商资格。</w:t>
      </w:r>
    </w:p>
    <w:p w14:paraId="26D3CF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4、在磋商过程中，磋商小组成员不得与供应商私下交换意见，在竞争性磋商工作结束后，凡与磋商情况有接触的人不得将磋商情况扩散出磋商小组成员之外。</w:t>
      </w:r>
    </w:p>
    <w:p w14:paraId="523F724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5、招标采购单位不向未成交供应商解释未成交原因，不退还响应文件。</w:t>
      </w:r>
    </w:p>
    <w:p w14:paraId="71D18546">
      <w:pPr>
        <w:spacing w:before="156" w:beforeLines="50" w:line="360" w:lineRule="auto"/>
        <w:rPr>
          <w:rFonts w:hint="eastAsia" w:ascii="宋体" w:hAnsi="宋体" w:cs="宋体"/>
          <w:b/>
          <w:color w:val="auto"/>
          <w:szCs w:val="21"/>
          <w:highlight w:val="none"/>
        </w:rPr>
      </w:pPr>
      <w:bookmarkStart w:id="143" w:name="_Toc32595"/>
      <w:bookmarkStart w:id="144" w:name="_Toc15794"/>
      <w:bookmarkStart w:id="145" w:name="_Toc282640747"/>
      <w:bookmarkStart w:id="146" w:name="_Toc402872207"/>
      <w:r>
        <w:rPr>
          <w:rFonts w:hint="eastAsia" w:ascii="宋体" w:hAnsi="宋体" w:cs="宋体"/>
          <w:b/>
          <w:color w:val="auto"/>
          <w:szCs w:val="21"/>
          <w:highlight w:val="none"/>
        </w:rPr>
        <w:t>四、磋商程序</w:t>
      </w:r>
      <w:bookmarkEnd w:id="143"/>
      <w:bookmarkEnd w:id="144"/>
      <w:bookmarkEnd w:id="145"/>
      <w:bookmarkEnd w:id="146"/>
    </w:p>
    <w:p w14:paraId="1FA467FA">
      <w:pPr>
        <w:spacing w:line="360" w:lineRule="auto"/>
        <w:ind w:firstLine="420" w:firstLineChars="200"/>
        <w:rPr>
          <w:rFonts w:hint="eastAsia" w:ascii="宋体" w:hAnsi="宋体" w:cs="宋体"/>
          <w:bCs/>
          <w:color w:val="auto"/>
          <w:szCs w:val="21"/>
          <w:highlight w:val="none"/>
        </w:rPr>
      </w:pPr>
      <w:bookmarkStart w:id="147" w:name="_Toc282640735"/>
      <w:bookmarkStart w:id="148" w:name="_Toc402872208"/>
      <w:bookmarkStart w:id="149" w:name="_Toc30295"/>
      <w:bookmarkStart w:id="150" w:name="_Toc16129"/>
      <w:r>
        <w:rPr>
          <w:rFonts w:hint="eastAsia" w:ascii="宋体" w:hAnsi="宋体" w:cs="宋体"/>
          <w:bCs/>
          <w:color w:val="auto"/>
          <w:szCs w:val="21"/>
          <w:highlight w:val="none"/>
        </w:rPr>
        <w:t>1、磋商会由采购代理机构主持，磋商响应截止时间后，供应商登录政采云平台，用“项目采购-开标评标”功能对电子响应文件进行在线解密，各供应商代表在收到解密通知后30分钟内自行完成“电子加密响应文件”的在线解密。</w:t>
      </w:r>
    </w:p>
    <w:p w14:paraId="7AF66F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2、响应文件解密结束，开启响应文件，采购人及采购代理机构依法对供应商的资格进行审查，资格审查结束后磋商小组对商务技术响应文件进行评审；</w:t>
      </w:r>
    </w:p>
    <w:p w14:paraId="318929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3、供应商按签到的前后顺序决定磋商的顺序，就价格、服务等认为需要磋商的内容进行磋商，供应商逐家回答磋商小组的提问，响应人作出最终承诺和最终报价。</w:t>
      </w:r>
    </w:p>
    <w:p w14:paraId="607650B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4、在系统上公开资格和商务技术评审结果；</w:t>
      </w:r>
    </w:p>
    <w:p w14:paraId="64AB4D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5、在系统上录入最终报价情况；</w:t>
      </w:r>
    </w:p>
    <w:p w14:paraId="1DA3D6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6、磋商小组对报价情况进行评审；</w:t>
      </w:r>
    </w:p>
    <w:p w14:paraId="1E8A8E0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7、在系统上公布评审结果。</w:t>
      </w:r>
    </w:p>
    <w:p w14:paraId="09C8E0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特别说明：政采云平台如对电子化开标及评审程序有调整的，按调整后的程序操作。</w:t>
      </w:r>
    </w:p>
    <w:p w14:paraId="4007D077">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五、磋商文件的澄清</w:t>
      </w:r>
      <w:bookmarkEnd w:id="147"/>
      <w:bookmarkEnd w:id="148"/>
      <w:bookmarkEnd w:id="149"/>
      <w:bookmarkEnd w:id="150"/>
    </w:p>
    <w:p w14:paraId="4E9FF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1、供应商对磋商文件如有疑义的，应在规定的答疑时间内以书面形式告知采购人，以便及时对磋商文件作出澄清。</w:t>
      </w:r>
    </w:p>
    <w:p w14:paraId="0706CCB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响应文件中含义不明确、同类问题表述不一致或者有明显文字和计算错误的内容，磋商小组应当以书面形式要求供应商作出必要的澄清、说明或者纠正。供应商应派授权代表和有关专业人员通过政采云线上或指定的电子邮箱、传真号码等书面形式提交并加盖公章，或者由法定代表人或其授权的代表签字，作出澄清、说明或者补正。但澄清或者说明不得超过响应文件的范围或者改变响应文件的实质性内容。</w:t>
      </w:r>
    </w:p>
    <w:p w14:paraId="11332A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3、对在澄清中涉及到的商业秘密，磋商小组成员及参加磋商的有关工作人员负有保密责任。</w:t>
      </w:r>
    </w:p>
    <w:p w14:paraId="337513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4、磋商小组以书面形式对磋商文件作出的修改或补充，与磋商文件具有同等法律效力。</w:t>
      </w:r>
    </w:p>
    <w:p w14:paraId="728AB5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5、评审中需要供应商对响应文件作出澄清、说明或者补正的，磋商小组给予供应商提交澄清、说明或补正的时间不得少于半小时，供应商已经明确表示澄清、说明或补正完毕的除外。</w:t>
      </w:r>
    </w:p>
    <w:p w14:paraId="5A440C29">
      <w:pPr>
        <w:spacing w:before="156" w:beforeLines="50" w:line="360" w:lineRule="auto"/>
        <w:rPr>
          <w:rFonts w:hint="eastAsia" w:ascii="宋体" w:hAnsi="宋体" w:cs="宋体"/>
          <w:b/>
          <w:color w:val="auto"/>
          <w:szCs w:val="21"/>
          <w:highlight w:val="none"/>
        </w:rPr>
      </w:pPr>
      <w:bookmarkStart w:id="151" w:name="_Toc16835"/>
      <w:bookmarkStart w:id="152" w:name="_Toc24587"/>
      <w:bookmarkStart w:id="153" w:name="_Toc402872209"/>
      <w:r>
        <w:rPr>
          <w:rFonts w:hint="eastAsia" w:ascii="宋体" w:hAnsi="宋体" w:cs="宋体"/>
          <w:b/>
          <w:color w:val="auto"/>
          <w:szCs w:val="21"/>
          <w:highlight w:val="none"/>
        </w:rPr>
        <w:t>六、确定供应商办法</w:t>
      </w:r>
      <w:bookmarkEnd w:id="151"/>
      <w:bookmarkEnd w:id="152"/>
      <w:bookmarkEnd w:id="153"/>
    </w:p>
    <w:p w14:paraId="488B4D20">
      <w:pPr>
        <w:spacing w:line="360" w:lineRule="auto"/>
        <w:ind w:firstLine="420" w:firstLineChars="200"/>
        <w:rPr>
          <w:rFonts w:hint="eastAsia" w:ascii="宋体" w:hAnsi="宋体" w:cs="宋体"/>
          <w:bCs/>
          <w:color w:val="auto"/>
          <w:szCs w:val="21"/>
          <w:highlight w:val="none"/>
        </w:rPr>
      </w:pPr>
      <w:bookmarkStart w:id="154" w:name="_Toc389216170"/>
      <w:bookmarkStart w:id="155" w:name="_Toc282640748"/>
      <w:bookmarkStart w:id="156" w:name="_Toc402872210"/>
      <w:r>
        <w:rPr>
          <w:rFonts w:hint="eastAsia" w:ascii="宋体" w:hAnsi="宋体" w:cs="宋体"/>
          <w:bCs/>
          <w:color w:val="auto"/>
          <w:szCs w:val="21"/>
          <w:highlight w:val="none"/>
        </w:rPr>
        <w:t>本项目由采购人授权磋商小组直接确定成交供应商。</w:t>
      </w:r>
    </w:p>
    <w:p w14:paraId="2B0A019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本次评审采用综合评分法，即按照在质量和服务均能满足竞争性磋商文件实质性要求且综合得分由高到低的原则确定成交供应商。</w:t>
      </w:r>
    </w:p>
    <w:p w14:paraId="0061A6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磋商结束后，磋商小组拟制评审报告。</w:t>
      </w:r>
    </w:p>
    <w:p w14:paraId="2CFD6A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采购代理机构在评审结束后2个工作日内在相关网站上发布成交公告，同时发出成交通知书。</w:t>
      </w:r>
    </w:p>
    <w:p w14:paraId="4CAE597E">
      <w:pPr>
        <w:spacing w:line="360" w:lineRule="auto"/>
        <w:ind w:firstLine="420" w:firstLineChars="200"/>
        <w:rPr>
          <w:rFonts w:hint="eastAsia" w:ascii="宋体" w:hAnsi="宋体" w:cs="宋体"/>
          <w:bCs/>
          <w:color w:val="auto"/>
          <w:szCs w:val="21"/>
          <w:highlight w:val="none"/>
        </w:rPr>
      </w:pPr>
    </w:p>
    <w:p w14:paraId="0A3B5F7F">
      <w:pPr>
        <w:spacing w:before="156" w:beforeLines="50" w:line="360" w:lineRule="auto"/>
        <w:rPr>
          <w:rFonts w:hint="eastAsia" w:ascii="宋体" w:hAnsi="宋体" w:cs="宋体"/>
          <w:b/>
          <w:color w:val="auto"/>
          <w:szCs w:val="21"/>
          <w:highlight w:val="none"/>
        </w:rPr>
      </w:pPr>
      <w:bookmarkStart w:id="157" w:name="_Toc17287"/>
      <w:bookmarkStart w:id="158" w:name="_Toc18677"/>
      <w:r>
        <w:rPr>
          <w:rFonts w:hint="eastAsia" w:ascii="宋体" w:hAnsi="宋体" w:cs="宋体"/>
          <w:b/>
          <w:color w:val="auto"/>
          <w:szCs w:val="21"/>
          <w:highlight w:val="none"/>
        </w:rPr>
        <w:t>七、综合评分法</w:t>
      </w:r>
      <w:bookmarkEnd w:id="154"/>
      <w:bookmarkEnd w:id="155"/>
      <w:bookmarkEnd w:id="156"/>
      <w:bookmarkEnd w:id="157"/>
      <w:bookmarkEnd w:id="158"/>
    </w:p>
    <w:p w14:paraId="30D5835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为公正、公平、科学地选择成交供应商，根据《中华人民共和国政府采购法》等有关法律法规的规定，并结合本项目的实际，制定本办法。</w:t>
      </w:r>
    </w:p>
    <w:p w14:paraId="22E8EA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（一）总则</w:t>
      </w:r>
    </w:p>
    <w:p w14:paraId="5C448DD8">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分、技术资信商务分</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排名第二的供应商为第二成交候选供应商，其他供应商的成交候选资格以此类推，</w:t>
      </w:r>
      <w:r>
        <w:rPr>
          <w:rFonts w:hint="eastAsia" w:ascii="宋体" w:hAnsi="宋体" w:cs="宋体"/>
          <w:bCs/>
          <w:color w:val="auto"/>
          <w:szCs w:val="21"/>
          <w:highlight w:val="none"/>
        </w:rPr>
        <w:t>评分过程中采用四舍五入法，并保留小数2位。</w:t>
      </w:r>
    </w:p>
    <w:p w14:paraId="0CD3BD88">
      <w:pPr>
        <w:numPr>
          <w:ilvl w:val="0"/>
          <w:numId w:val="14"/>
        </w:num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计算方法：</w:t>
      </w:r>
    </w:p>
    <w:p w14:paraId="261DB7F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1、价格分：</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p w14:paraId="7254FD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价格分采用低价优先法计算，即满足采购文件要求且价格最低的</w:t>
      </w:r>
      <w:r>
        <w:rPr>
          <w:rFonts w:hint="eastAsia" w:ascii="宋体" w:hAnsi="宋体" w:cs="宋体"/>
          <w:color w:val="auto"/>
          <w:szCs w:val="21"/>
          <w:highlight w:val="none"/>
          <w:lang w:eastAsia="zh-CN"/>
        </w:rPr>
        <w:t>投标报价</w:t>
      </w:r>
      <w:r>
        <w:rPr>
          <w:rFonts w:hint="eastAsia" w:ascii="宋体" w:hAnsi="宋体" w:cs="宋体"/>
          <w:color w:val="auto"/>
          <w:szCs w:val="21"/>
          <w:highlight w:val="none"/>
        </w:rPr>
        <w:t>为</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基准</w:t>
      </w:r>
      <w:r>
        <w:rPr>
          <w:rFonts w:hint="eastAsia" w:ascii="宋体" w:hAnsi="宋体" w:cs="宋体"/>
          <w:color w:val="auto"/>
          <w:szCs w:val="21"/>
          <w:highlight w:val="none"/>
          <w:lang w:eastAsia="zh-CN"/>
        </w:rPr>
        <w:t>价</w:t>
      </w:r>
      <w:r>
        <w:rPr>
          <w:rFonts w:hint="eastAsia" w:ascii="宋体" w:hAnsi="宋体" w:cs="宋体"/>
          <w:color w:val="auto"/>
          <w:szCs w:val="21"/>
          <w:highlight w:val="none"/>
        </w:rPr>
        <w:t>，其他供应商的价格分按照下列公式计算：</w:t>
      </w:r>
    </w:p>
    <w:p w14:paraId="0A45C3FB">
      <w:pPr>
        <w:widowControl/>
        <w:spacing w:line="360" w:lineRule="auto"/>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价格分=（</w:t>
      </w:r>
      <w:r>
        <w:rPr>
          <w:rFonts w:hint="eastAsia" w:ascii="宋体" w:hAnsi="宋体" w:cs="宋体"/>
          <w:color w:val="auto"/>
          <w:szCs w:val="21"/>
          <w:highlight w:val="none"/>
          <w:u w:val="single"/>
          <w:lang w:eastAsia="zh-CN"/>
        </w:rPr>
        <w:t>评标</w:t>
      </w:r>
      <w:r>
        <w:rPr>
          <w:rFonts w:hint="eastAsia" w:ascii="宋体" w:hAnsi="宋体" w:cs="宋体"/>
          <w:color w:val="auto"/>
          <w:szCs w:val="21"/>
          <w:highlight w:val="none"/>
          <w:u w:val="single"/>
        </w:rPr>
        <w:t>基准</w:t>
      </w:r>
      <w:r>
        <w:rPr>
          <w:rFonts w:hint="eastAsia" w:ascii="宋体" w:hAnsi="宋体" w:cs="宋体"/>
          <w:color w:val="auto"/>
          <w:szCs w:val="21"/>
          <w:highlight w:val="none"/>
          <w:u w:val="single"/>
          <w:lang w:eastAsia="zh-CN"/>
        </w:rPr>
        <w:t>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投标报价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%×100（保留两位小数）</w:t>
      </w:r>
    </w:p>
    <w:p w14:paraId="1244EA1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以最终报价为准，报价不得超限价，否则投标无效。</w:t>
      </w:r>
    </w:p>
    <w:p w14:paraId="0C03079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2、供应商的投标报价超过采购人给定的预算金额及最高限价的，作无效标处理。</w:t>
      </w:r>
    </w:p>
    <w:p w14:paraId="724B2DDF">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zh-TW" w:eastAsia="zh-TW"/>
        </w:rPr>
        <w:t>评审时评标委员会认为</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的报价明显低于其他通过符合性审查</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的报价，有可能影响产品质量或者不能诚信履约的，</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在评标现场合理的时间内提供书面说明，必要时提交相关证明材料；</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不能证明其报价合理性的，评标委员会应当将其作为无效投标处理</w:t>
      </w:r>
      <w:r>
        <w:rPr>
          <w:rFonts w:hint="eastAsia" w:ascii="宋体" w:hAnsi="宋体"/>
          <w:b/>
          <w:bCs/>
          <w:color w:val="auto"/>
          <w:szCs w:val="21"/>
          <w:highlight w:val="none"/>
        </w:rPr>
        <w:t>。</w:t>
      </w:r>
    </w:p>
    <w:p w14:paraId="783FAEA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4、技术部分：</w:t>
      </w:r>
      <w:r>
        <w:rPr>
          <w:rFonts w:hint="eastAsia" w:ascii="宋体" w:hAnsi="宋体" w:cs="宋体"/>
          <w:b/>
          <w:color w:val="auto"/>
          <w:szCs w:val="21"/>
          <w:highlight w:val="none"/>
          <w:lang w:val="en-US" w:eastAsia="zh-CN"/>
        </w:rPr>
        <w:t>85</w:t>
      </w:r>
      <w:r>
        <w:rPr>
          <w:rFonts w:hint="eastAsia" w:ascii="宋体" w:hAnsi="宋体" w:cs="宋体"/>
          <w:b/>
          <w:color w:val="auto"/>
          <w:szCs w:val="21"/>
          <w:highlight w:val="none"/>
        </w:rPr>
        <w:t>分</w:t>
      </w:r>
    </w:p>
    <w:tbl>
      <w:tblPr>
        <w:tblStyle w:val="3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76"/>
        <w:gridCol w:w="6361"/>
        <w:gridCol w:w="1455"/>
      </w:tblGrid>
      <w:tr w14:paraId="29B8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56" w:type="dxa"/>
            <w:vAlign w:val="center"/>
          </w:tcPr>
          <w:p w14:paraId="13261BE7">
            <w:pPr>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序号</w:t>
            </w:r>
          </w:p>
        </w:tc>
        <w:tc>
          <w:tcPr>
            <w:tcW w:w="1376" w:type="dxa"/>
            <w:vAlign w:val="center"/>
          </w:tcPr>
          <w:p w14:paraId="198C6792">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评分项目</w:t>
            </w:r>
          </w:p>
        </w:tc>
        <w:tc>
          <w:tcPr>
            <w:tcW w:w="6361" w:type="dxa"/>
            <w:vAlign w:val="center"/>
          </w:tcPr>
          <w:p w14:paraId="538BCEB2">
            <w:pPr>
              <w:spacing w:line="320" w:lineRule="exact"/>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c>
          <w:tcPr>
            <w:tcW w:w="1455" w:type="dxa"/>
            <w:vAlign w:val="center"/>
          </w:tcPr>
          <w:p w14:paraId="5A04A023">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517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56" w:type="dxa"/>
            <w:vAlign w:val="center"/>
          </w:tcPr>
          <w:p w14:paraId="5C5044A1">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376" w:type="dxa"/>
            <w:vAlign w:val="center"/>
          </w:tcPr>
          <w:p w14:paraId="057D557F">
            <w:pPr>
              <w:spacing w:line="320" w:lineRule="exact"/>
              <w:jc w:val="center"/>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整体思路</w:t>
            </w:r>
          </w:p>
        </w:tc>
        <w:tc>
          <w:tcPr>
            <w:tcW w:w="6361" w:type="dxa"/>
            <w:vAlign w:val="center"/>
          </w:tcPr>
          <w:p w14:paraId="70621542">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根据供应商提供的整体思路方案（包括活动主题确认，场地选择及勘测，核心项目设计，体验项目设计等）进行综合评价： </w:t>
            </w:r>
          </w:p>
          <w:p w14:paraId="59CE7C19">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（1）提供的整体思路总体方案是否清晰、完整，是否具体及合理进行评分：（本项分值设置为 4，3，2，1，0 分）；</w:t>
            </w:r>
          </w:p>
          <w:p w14:paraId="1B938D1B">
            <w:pPr>
              <w:spacing w:line="320" w:lineRule="exact"/>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（2）是否极具创意性、可行性，是否能满足实际需求进行评分：（本项分值设置为 3，2，1，0 分）。</w:t>
            </w:r>
          </w:p>
        </w:tc>
        <w:tc>
          <w:tcPr>
            <w:tcW w:w="1455" w:type="dxa"/>
            <w:vAlign w:val="center"/>
          </w:tcPr>
          <w:p w14:paraId="3245C59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1A79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756" w:type="dxa"/>
            <w:vAlign w:val="center"/>
          </w:tcPr>
          <w:p w14:paraId="1C33CBB4">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76" w:type="dxa"/>
            <w:vAlign w:val="center"/>
          </w:tcPr>
          <w:p w14:paraId="3E316B16">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策划方案</w:t>
            </w:r>
          </w:p>
        </w:tc>
        <w:tc>
          <w:tcPr>
            <w:tcW w:w="6361" w:type="dxa"/>
            <w:vAlign w:val="center"/>
          </w:tcPr>
          <w:p w14:paraId="54A0496B">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根据供应商提供的策划方案（包括落地活动、启动活动配套氛围等）进行综合评价： </w:t>
            </w:r>
          </w:p>
          <w:p w14:paraId="4B9176DF">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（1）提供的策划方案是否清晰、完整，是否具体及合理进行评分：（本项分值设置为 4，3，2，1，0 分）；</w:t>
            </w:r>
          </w:p>
          <w:p w14:paraId="093E610B">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（2）是否极具创意性、可行性，是否满足实际需求进行评分：（本项分值设置为,3，2，1，0 分）。</w:t>
            </w:r>
          </w:p>
        </w:tc>
        <w:tc>
          <w:tcPr>
            <w:tcW w:w="1455" w:type="dxa"/>
            <w:vAlign w:val="center"/>
          </w:tcPr>
          <w:p w14:paraId="70272DC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132F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756" w:type="dxa"/>
            <w:vAlign w:val="center"/>
          </w:tcPr>
          <w:p w14:paraId="11CD9861">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76" w:type="dxa"/>
            <w:vAlign w:val="center"/>
          </w:tcPr>
          <w:p w14:paraId="2A4834C2">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整体组织实施方案</w:t>
            </w:r>
          </w:p>
        </w:tc>
        <w:tc>
          <w:tcPr>
            <w:tcW w:w="6361" w:type="dxa"/>
            <w:vAlign w:val="center"/>
          </w:tcPr>
          <w:p w14:paraId="536B4040">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针对本项目的整体组织实施方案，包括在确保阶段性任务实现的同时，统筹总体目标实现等情况详细阐述及前期准备、赛事具体安排、各部门协调工作等方案进行综合评价： </w:t>
            </w:r>
          </w:p>
          <w:p w14:paraId="63FF8F9F">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（1）方案是否完整涵盖以上各项内容进行评分：（本项分值设置为 4，3，2，1，0 分）；</w:t>
            </w:r>
          </w:p>
          <w:p w14:paraId="2F635209">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（2）项目组织实施方案是否具有针对性、是否有利于保障 </w:t>
            </w:r>
          </w:p>
          <w:p w14:paraId="751C91CA">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赛事顺利实施进行评分：（本项分值设置为3，2，1，0 分）。</w:t>
            </w:r>
          </w:p>
        </w:tc>
        <w:tc>
          <w:tcPr>
            <w:tcW w:w="1455" w:type="dxa"/>
            <w:vAlign w:val="center"/>
          </w:tcPr>
          <w:p w14:paraId="77F4CC7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7A43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756" w:type="dxa"/>
            <w:vAlign w:val="center"/>
          </w:tcPr>
          <w:p w14:paraId="4B1123F1">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76" w:type="dxa"/>
            <w:vAlign w:val="center"/>
          </w:tcPr>
          <w:p w14:paraId="10A6260F">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开幕式方案</w:t>
            </w:r>
          </w:p>
        </w:tc>
        <w:tc>
          <w:tcPr>
            <w:tcW w:w="6361" w:type="dxa"/>
            <w:vAlign w:val="center"/>
          </w:tcPr>
          <w:p w14:paraId="7F44764A">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根据供应商提供的开幕式整体方案（包括开幕式形式，流程设计，传播形式等）的创意、亮点及与主题的贴切性进行综合评分： 开幕式的艺术风格、互动形式是否符合当代审美、是否有创新创意及是否具有互动性（本项分值设置为 5，4，3，2，1，0 分） 。</w:t>
            </w:r>
          </w:p>
          <w:p w14:paraId="41EC251C">
            <w:pPr>
              <w:spacing w:line="320" w:lineRule="exact"/>
              <w:rPr>
                <w:rFonts w:hint="eastAsia" w:ascii="宋体" w:hAnsi="宋体" w:cs="宋体"/>
                <w:color w:val="auto"/>
                <w:szCs w:val="21"/>
                <w:highlight w:val="none"/>
                <w:lang w:val="en-US" w:eastAsia="zh-CN"/>
              </w:rPr>
            </w:pPr>
          </w:p>
        </w:tc>
        <w:tc>
          <w:tcPr>
            <w:tcW w:w="1455" w:type="dxa"/>
            <w:vAlign w:val="center"/>
          </w:tcPr>
          <w:p w14:paraId="72E893B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5ED7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756" w:type="dxa"/>
            <w:vAlign w:val="center"/>
          </w:tcPr>
          <w:p w14:paraId="1E8333FE">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376" w:type="dxa"/>
            <w:vAlign w:val="center"/>
          </w:tcPr>
          <w:p w14:paraId="0B1F3F8A">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器材使用安全保障方案</w:t>
            </w:r>
          </w:p>
          <w:p w14:paraId="61C86786">
            <w:pPr>
              <w:spacing w:line="320" w:lineRule="exact"/>
              <w:jc w:val="center"/>
              <w:rPr>
                <w:rFonts w:hint="eastAsia" w:ascii="宋体" w:hAnsi="宋体" w:cs="宋体"/>
                <w:color w:val="auto"/>
                <w:szCs w:val="21"/>
                <w:highlight w:val="none"/>
                <w:lang w:val="en-US" w:eastAsia="zh-CN"/>
              </w:rPr>
            </w:pPr>
          </w:p>
        </w:tc>
        <w:tc>
          <w:tcPr>
            <w:tcW w:w="6361" w:type="dxa"/>
            <w:vAlign w:val="center"/>
          </w:tcPr>
          <w:p w14:paraId="139E91ED">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根据供应商提供的器材使用安全保障方案是否体现具体详实、是否突出保障方案核心重点，是否满足采购需求等进行综合评分：（本项分值设置为 5，4，3，2，1，0 分）。</w:t>
            </w:r>
          </w:p>
        </w:tc>
        <w:tc>
          <w:tcPr>
            <w:tcW w:w="1455" w:type="dxa"/>
            <w:vAlign w:val="center"/>
          </w:tcPr>
          <w:p w14:paraId="76377DB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20F3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756" w:type="dxa"/>
            <w:vAlign w:val="center"/>
          </w:tcPr>
          <w:p w14:paraId="3FD3C12A">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376" w:type="dxa"/>
            <w:vAlign w:val="center"/>
          </w:tcPr>
          <w:p w14:paraId="5C4262FF">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赛事场地布置策划方案</w:t>
            </w:r>
          </w:p>
          <w:p w14:paraId="3CAC511F">
            <w:pPr>
              <w:spacing w:line="320" w:lineRule="exact"/>
              <w:jc w:val="center"/>
              <w:rPr>
                <w:rFonts w:hint="eastAsia" w:ascii="宋体" w:hAnsi="宋体" w:cs="宋体"/>
                <w:color w:val="auto"/>
                <w:szCs w:val="21"/>
                <w:highlight w:val="none"/>
                <w:lang w:val="en-US" w:eastAsia="zh-CN"/>
              </w:rPr>
            </w:pPr>
          </w:p>
        </w:tc>
        <w:tc>
          <w:tcPr>
            <w:tcW w:w="6361" w:type="dxa"/>
            <w:vAlign w:val="center"/>
          </w:tcPr>
          <w:p w14:paraId="785F8740">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（1）根据供应商提供的赛事场地布置策划方案是否具体详实、是否安全、是否切合实际情况进行评分：（本项分值设置为 3，2，1，0 分）；</w:t>
            </w:r>
            <w:bookmarkStart w:id="176" w:name="_GoBack"/>
            <w:bookmarkEnd w:id="176"/>
          </w:p>
          <w:p w14:paraId="0196F039">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（2）场地布置是否具有创意新颖、是否具有可操作性进行评分：（本项分值设置为 3，2，1，0 分）。</w:t>
            </w:r>
          </w:p>
        </w:tc>
        <w:tc>
          <w:tcPr>
            <w:tcW w:w="1455" w:type="dxa"/>
            <w:vAlign w:val="center"/>
          </w:tcPr>
          <w:p w14:paraId="2407FA7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14:paraId="2EB1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756" w:type="dxa"/>
            <w:vAlign w:val="center"/>
          </w:tcPr>
          <w:p w14:paraId="329504D5">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376" w:type="dxa"/>
            <w:vAlign w:val="center"/>
          </w:tcPr>
          <w:p w14:paraId="41B8B20D">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媒体宣传推广方案及实施计划</w:t>
            </w:r>
          </w:p>
        </w:tc>
        <w:tc>
          <w:tcPr>
            <w:tcW w:w="6361" w:type="dxa"/>
            <w:vAlign w:val="center"/>
          </w:tcPr>
          <w:p w14:paraId="33C13B5F">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根据供应商提供的媒体宣传推广方案及实施计划是否满足采购项目需求，是否具有创意性、合理性、可操作性，媒体资源是否丰富，能否为赛事或活动提供很好的广告宣传、媒体宣传、赛事直播等，包含赛前、赛时和赛后3个阶段进行综合评分： </w:t>
            </w:r>
          </w:p>
          <w:p w14:paraId="0FDEE435">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（1）广告宣传、媒体宣传、赛事直播等方案及实施计划满足采购项目需求，是否具有好的创意性、合理性、可操作性进行评分：（本项分值设置为 4，3，2，1，0 分）； </w:t>
            </w:r>
          </w:p>
          <w:p w14:paraId="28C9B6CA">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（2）媒体资源是否丰富，是否能为赛事或活动提供更好推广和传播，是否满足实际需求进行评分：（本项分值设置为,4，3，2，1，0 分）。</w:t>
            </w:r>
          </w:p>
        </w:tc>
        <w:tc>
          <w:tcPr>
            <w:tcW w:w="1455" w:type="dxa"/>
            <w:vAlign w:val="center"/>
          </w:tcPr>
          <w:p w14:paraId="3251C7D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r>
      <w:tr w14:paraId="5D4C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756" w:type="dxa"/>
            <w:vAlign w:val="center"/>
          </w:tcPr>
          <w:p w14:paraId="78D13648">
            <w:pPr>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376" w:type="dxa"/>
            <w:vAlign w:val="center"/>
          </w:tcPr>
          <w:p w14:paraId="24047CD4">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医疗救护方案</w:t>
            </w:r>
          </w:p>
        </w:tc>
        <w:tc>
          <w:tcPr>
            <w:tcW w:w="6361" w:type="dxa"/>
            <w:vAlign w:val="center"/>
          </w:tcPr>
          <w:p w14:paraId="2B97A147">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根据供应商制定的医疗救护方案包含指挥调度体系、医疗力量配置、医疗培训安排、医疗设备与药品安排等内容，内容专业、完整、详实，完全符合项目实际，具有完全可行性的等进行综合评分（本项分值设置为 5，4，3，2，1，0 分）。</w:t>
            </w:r>
          </w:p>
        </w:tc>
        <w:tc>
          <w:tcPr>
            <w:tcW w:w="1455" w:type="dxa"/>
            <w:vAlign w:val="center"/>
          </w:tcPr>
          <w:p w14:paraId="314771D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0044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56" w:type="dxa"/>
            <w:vAlign w:val="center"/>
          </w:tcPr>
          <w:p w14:paraId="327FB7B5">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376" w:type="dxa"/>
            <w:vAlign w:val="center"/>
          </w:tcPr>
          <w:p w14:paraId="7769BDB2">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安全风险防控、应急处置方案</w:t>
            </w:r>
          </w:p>
        </w:tc>
        <w:tc>
          <w:tcPr>
            <w:tcW w:w="6361" w:type="dxa"/>
            <w:vAlign w:val="center"/>
          </w:tcPr>
          <w:p w14:paraId="7B9F0FA0">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制定的安全风险防控方案是否有详细的组织机构及职责和指挥联动机制、预防和预警机制、赛事安保、消防、熔断机制、应急保障救援、后期处置等，每项内容科学合理等进行综合评分（本项分值设置为 5，4，3，2，1，0 分）。</w:t>
            </w:r>
          </w:p>
        </w:tc>
        <w:tc>
          <w:tcPr>
            <w:tcW w:w="1455" w:type="dxa"/>
            <w:vAlign w:val="center"/>
          </w:tcPr>
          <w:p w14:paraId="73B792C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3813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756" w:type="dxa"/>
            <w:vAlign w:val="center"/>
          </w:tcPr>
          <w:p w14:paraId="565B73D4">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376" w:type="dxa"/>
            <w:vAlign w:val="center"/>
          </w:tcPr>
          <w:p w14:paraId="668FB376">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参赛选手招募、服务方案</w:t>
            </w:r>
          </w:p>
        </w:tc>
        <w:tc>
          <w:tcPr>
            <w:tcW w:w="6361" w:type="dxa"/>
            <w:vAlign w:val="center"/>
          </w:tcPr>
          <w:p w14:paraId="5C77D7F5">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根据供应商制定的参赛选手招募方案、服务方案是否科学、合理、完整且满足本次采购项目需求，有招募成效，服务安排妥当等进行综合评分（本项分值设置为 5，4，3，2，1，0 分）。</w:t>
            </w:r>
          </w:p>
        </w:tc>
        <w:tc>
          <w:tcPr>
            <w:tcW w:w="1455" w:type="dxa"/>
            <w:vAlign w:val="center"/>
          </w:tcPr>
          <w:p w14:paraId="6605C44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510F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756" w:type="dxa"/>
            <w:vAlign w:val="center"/>
          </w:tcPr>
          <w:p w14:paraId="41282CCE">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376" w:type="dxa"/>
            <w:vAlign w:val="center"/>
          </w:tcPr>
          <w:p w14:paraId="2B72CFC8">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后勤保障方案</w:t>
            </w:r>
          </w:p>
        </w:tc>
        <w:tc>
          <w:tcPr>
            <w:tcW w:w="6361" w:type="dxa"/>
            <w:vAlign w:val="center"/>
          </w:tcPr>
          <w:p w14:paraId="3194FFA9">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根据供应商制定的后勤保障、志愿者管理及培训、嘉宾接待方案内容是否完善，考虑充分，安排布置妥当、针对性强等进行综合评分（本项分值设置为 5，4，3，2，1，0 分）。</w:t>
            </w:r>
          </w:p>
        </w:tc>
        <w:tc>
          <w:tcPr>
            <w:tcW w:w="1455" w:type="dxa"/>
            <w:vAlign w:val="center"/>
          </w:tcPr>
          <w:p w14:paraId="25CE973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6DB6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756" w:type="dxa"/>
            <w:shd w:val="clear" w:color="auto" w:fill="auto"/>
            <w:vAlign w:val="center"/>
          </w:tcPr>
          <w:p w14:paraId="35CCBD8C">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1376" w:type="dxa"/>
            <w:vAlign w:val="center"/>
          </w:tcPr>
          <w:p w14:paraId="03AD77DE">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岗位分工方案</w:t>
            </w:r>
          </w:p>
        </w:tc>
        <w:tc>
          <w:tcPr>
            <w:tcW w:w="6361" w:type="dxa"/>
            <w:shd w:val="clear" w:color="auto" w:fill="auto"/>
            <w:vAlign w:val="center"/>
          </w:tcPr>
          <w:p w14:paraId="0416D03A">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根据供应商提供的本项目赛事服务团队人员岗位分工方案岗位职责分工是否清晰、是否有利于赛事活动开展等进行综合评分（本项分值设置为 5，4，3，2，1，0 分）。</w:t>
            </w:r>
          </w:p>
        </w:tc>
        <w:tc>
          <w:tcPr>
            <w:tcW w:w="1455" w:type="dxa"/>
            <w:shd w:val="clear" w:color="auto" w:fill="auto"/>
            <w:vAlign w:val="center"/>
          </w:tcPr>
          <w:p w14:paraId="23CB0E96">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3319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756" w:type="dxa"/>
            <w:shd w:val="clear" w:color="auto" w:fill="auto"/>
            <w:vAlign w:val="center"/>
          </w:tcPr>
          <w:p w14:paraId="05EC5733">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13</w:t>
            </w:r>
          </w:p>
        </w:tc>
        <w:tc>
          <w:tcPr>
            <w:tcW w:w="1376" w:type="dxa"/>
            <w:vAlign w:val="center"/>
          </w:tcPr>
          <w:p w14:paraId="152C2667">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重难点分析</w:t>
            </w:r>
          </w:p>
        </w:tc>
        <w:tc>
          <w:tcPr>
            <w:tcW w:w="6361" w:type="dxa"/>
            <w:vAlign w:val="center"/>
          </w:tcPr>
          <w:p w14:paraId="2AF771DF">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根据投标人对本项目的理解，是否有对重点、难点赛事服务环节进行描述和分析进行评分：（本项分值设置为 5，4，3，2，1，0 分） </w:t>
            </w:r>
          </w:p>
        </w:tc>
        <w:tc>
          <w:tcPr>
            <w:tcW w:w="1455" w:type="dxa"/>
            <w:vAlign w:val="center"/>
          </w:tcPr>
          <w:p w14:paraId="48EFDFD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4D32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756" w:type="dxa"/>
            <w:shd w:val="clear" w:color="auto" w:fill="auto"/>
            <w:vAlign w:val="center"/>
          </w:tcPr>
          <w:p w14:paraId="7399CCD8">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w:t>
            </w:r>
          </w:p>
        </w:tc>
        <w:tc>
          <w:tcPr>
            <w:tcW w:w="1376" w:type="dxa"/>
            <w:vAlign w:val="center"/>
          </w:tcPr>
          <w:p w14:paraId="7C645395">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合理化建议</w:t>
            </w:r>
          </w:p>
        </w:tc>
        <w:tc>
          <w:tcPr>
            <w:tcW w:w="6361" w:type="dxa"/>
            <w:vAlign w:val="center"/>
          </w:tcPr>
          <w:p w14:paraId="152C56CF">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根据供应商提供的本项目赛事服务相关合理化建议的合理化建议与承诺，得到认可或采纳的每一条得 1 分，最高得 5分；与本项目履约无关的建议与承诺不予认可的不得分。 </w:t>
            </w:r>
          </w:p>
        </w:tc>
        <w:tc>
          <w:tcPr>
            <w:tcW w:w="1455" w:type="dxa"/>
            <w:vAlign w:val="center"/>
          </w:tcPr>
          <w:p w14:paraId="03B4369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5477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756" w:type="dxa"/>
            <w:shd w:val="clear" w:color="auto" w:fill="auto"/>
            <w:vAlign w:val="center"/>
          </w:tcPr>
          <w:p w14:paraId="3DFA8708">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15</w:t>
            </w:r>
          </w:p>
        </w:tc>
        <w:tc>
          <w:tcPr>
            <w:tcW w:w="1376" w:type="dxa"/>
            <w:vAlign w:val="center"/>
          </w:tcPr>
          <w:p w14:paraId="580735E5">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团队配置</w:t>
            </w:r>
          </w:p>
        </w:tc>
        <w:tc>
          <w:tcPr>
            <w:tcW w:w="6361" w:type="dxa"/>
            <w:vAlign w:val="center"/>
          </w:tcPr>
          <w:p w14:paraId="1AB143E9">
            <w:pPr>
              <w:numPr>
                <w:ilvl w:val="0"/>
                <w:numId w:val="15"/>
              </w:num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w:t>
            </w:r>
          </w:p>
          <w:p w14:paraId="5DFE9CD9">
            <w:pPr>
              <w:numPr>
                <w:ilvl w:val="0"/>
                <w:numId w:val="0"/>
              </w:num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以项目负责人身份承担过类似体育赛事的，每个得1分，最多得2分。</w:t>
            </w:r>
          </w:p>
          <w:p w14:paraId="38415AD7">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2、项目组成员（不含项目负责人）: </w:t>
            </w:r>
          </w:p>
          <w:p w14:paraId="145E1319">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项目团队人员，具备同类赛事服务经验的，每人得1分，最多得2分。</w:t>
            </w:r>
          </w:p>
          <w:p w14:paraId="1D2DA85D">
            <w:pPr>
              <w:spacing w:line="320" w:lineRule="exact"/>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（以上须提供人员相关证明材料原件扫描件及提供近三个月内任意一个月缴纳社保证明原件扫描并加盖公章，</w:t>
            </w:r>
            <w:r>
              <w:rPr>
                <w:rFonts w:hint="eastAsia" w:ascii="宋体" w:hAnsi="宋体" w:eastAsia="宋体" w:cs="宋体"/>
                <w:b/>
                <w:bCs/>
                <w:color w:val="auto"/>
                <w:szCs w:val="21"/>
                <w:highlight w:val="none"/>
                <w:lang w:val="zh-CN" w:eastAsia="zh-CN"/>
              </w:rPr>
              <w:t>未提供不得分。</w:t>
            </w:r>
            <w:r>
              <w:rPr>
                <w:rFonts w:hint="eastAsia" w:ascii="宋体" w:hAnsi="宋体" w:cs="宋体"/>
                <w:b/>
                <w:bCs/>
                <w:color w:val="auto"/>
                <w:szCs w:val="21"/>
                <w:highlight w:val="none"/>
                <w:lang w:val="en-US" w:eastAsia="zh-CN"/>
              </w:rPr>
              <w:t>）</w:t>
            </w:r>
            <w:r>
              <w:rPr>
                <w:rFonts w:hint="eastAsia" w:ascii="宋体" w:hAnsi="宋体" w:cs="宋体"/>
                <w:color w:val="auto"/>
                <w:szCs w:val="21"/>
                <w:highlight w:val="none"/>
                <w:lang w:val="en-US" w:eastAsia="zh-CN"/>
              </w:rPr>
              <w:t xml:space="preserve"> </w:t>
            </w:r>
          </w:p>
        </w:tc>
        <w:tc>
          <w:tcPr>
            <w:tcW w:w="1455" w:type="dxa"/>
            <w:vAlign w:val="center"/>
          </w:tcPr>
          <w:p w14:paraId="36E3CE8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14:paraId="5D63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756" w:type="dxa"/>
            <w:vAlign w:val="center"/>
          </w:tcPr>
          <w:p w14:paraId="1D049FA5">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376" w:type="dxa"/>
            <w:vAlign w:val="center"/>
          </w:tcPr>
          <w:p w14:paraId="76E44877">
            <w:pPr>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同类项目业绩</w:t>
            </w:r>
          </w:p>
        </w:tc>
        <w:tc>
          <w:tcPr>
            <w:tcW w:w="6361" w:type="dxa"/>
            <w:vAlign w:val="center"/>
          </w:tcPr>
          <w:p w14:paraId="0EABC124">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 2022年 1月 1日以来供应商承承接过类似项目成功业绩的，每提供 1个得0.5分，满分1分。</w:t>
            </w:r>
          </w:p>
          <w:p w14:paraId="252CAE90">
            <w:pPr>
              <w:spacing w:line="320" w:lineRule="exact"/>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（须提供合同原件扫描件并加盖公章，</w:t>
            </w:r>
            <w:r>
              <w:rPr>
                <w:rFonts w:hint="eastAsia" w:ascii="宋体" w:hAnsi="宋体" w:eastAsia="宋体" w:cs="宋体"/>
                <w:b/>
                <w:bCs/>
                <w:color w:val="auto"/>
                <w:szCs w:val="21"/>
                <w:highlight w:val="none"/>
                <w:lang w:val="zh-CN" w:eastAsia="zh-CN"/>
              </w:rPr>
              <w:t>未提供不得分。</w:t>
            </w:r>
            <w:r>
              <w:rPr>
                <w:rFonts w:hint="eastAsia" w:ascii="宋体" w:hAnsi="宋体" w:cs="宋体"/>
                <w:b/>
                <w:bCs/>
                <w:color w:val="auto"/>
                <w:szCs w:val="21"/>
                <w:highlight w:val="none"/>
                <w:lang w:val="en-US" w:eastAsia="zh-CN"/>
              </w:rPr>
              <w:t>）</w:t>
            </w:r>
          </w:p>
        </w:tc>
        <w:tc>
          <w:tcPr>
            <w:tcW w:w="1455" w:type="dxa"/>
            <w:vAlign w:val="center"/>
          </w:tcPr>
          <w:p w14:paraId="75B3A54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客观分（1分）</w:t>
            </w:r>
          </w:p>
        </w:tc>
      </w:tr>
    </w:tbl>
    <w:p w14:paraId="687A8DF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注：以上证明文件复印件均需CA签章，附在响应文件中；提供材料不真实、不完整或伪造证明材料的，后果自负。</w:t>
      </w:r>
    </w:p>
    <w:p w14:paraId="0A9C11E6">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（三）技术、商务分的计算</w:t>
      </w:r>
    </w:p>
    <w:p w14:paraId="4D5A4D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技术、商务分按照磋商小组成员的独立评分结果汇总数算术平均分计算，计算公式为：</w:t>
      </w:r>
    </w:p>
    <w:p w14:paraId="753DD45C">
      <w:pPr>
        <w:spacing w:line="360" w:lineRule="auto"/>
        <w:ind w:firstLine="420" w:firstLineChars="200"/>
        <w:jc w:val="center"/>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技术、商务分=（磋商小组成员评分合计数）/（磋商小组组成人员数）</w:t>
      </w:r>
    </w:p>
    <w:p w14:paraId="74337FD5">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（四）评审方法</w:t>
      </w:r>
    </w:p>
    <w:p w14:paraId="03E61F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磋商小组根据磋商情况及各供应商完工时间、服务条款响应情况、技术方案、提供服务的质量、付款方式、供应商综合实力、资信情况、承诺的售后服务等多方面进行评审。确定进入最终报价的供应商名单。</w:t>
      </w:r>
    </w:p>
    <w:p w14:paraId="3EE68225">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（五）推荐成交供应商</w:t>
      </w:r>
    </w:p>
    <w:p w14:paraId="0858DDA7">
      <w:pPr>
        <w:spacing w:line="360" w:lineRule="auto"/>
        <w:ind w:firstLine="422" w:firstLineChars="200"/>
        <w:rPr>
          <w:rFonts w:hint="eastAsia" w:ascii="宋体" w:hAnsi="宋体" w:cs="宋体"/>
          <w:b/>
          <w:bCs/>
          <w:color w:val="auto"/>
          <w:szCs w:val="21"/>
          <w:highlight w:val="none"/>
        </w:rPr>
      </w:pPr>
      <w:bookmarkStart w:id="159" w:name="_Toc282640736"/>
      <w:bookmarkStart w:id="160" w:name="_Toc14678"/>
      <w:bookmarkStart w:id="161" w:name="_Toc29138"/>
      <w:bookmarkStart w:id="162" w:name="_Toc402872211"/>
      <w:r>
        <w:rPr>
          <w:rFonts w:hint="eastAsia" w:ascii="宋体" w:hAnsi="宋体" w:cs="宋体"/>
          <w:b/>
          <w:bCs/>
          <w:color w:val="auto"/>
          <w:szCs w:val="21"/>
          <w:highlight w:val="none"/>
        </w:rPr>
        <w:t>磋商小组推荐综合得分第一名的为成交供应商，第二名、第三名的为候补成交候选供应商……依次类推。总分相同的，按照最后报价由低到高的顺序推荐，总分且最后报价相同的，按照技术指标优劣顺序推荐，并编写评审报告。</w:t>
      </w:r>
    </w:p>
    <w:p w14:paraId="46651105">
      <w:pPr>
        <w:spacing w:line="360" w:lineRule="auto"/>
        <w:ind w:left="422" w:hanging="422" w:hangingChars="200"/>
        <w:rPr>
          <w:rFonts w:hint="eastAsia" w:ascii="宋体" w:hAnsi="宋体" w:cs="宋体"/>
          <w:b/>
          <w:color w:val="auto"/>
          <w:szCs w:val="21"/>
          <w:highlight w:val="none"/>
        </w:rPr>
      </w:pPr>
      <w:r>
        <w:rPr>
          <w:rFonts w:hint="eastAsia" w:ascii="宋体" w:hAnsi="宋体" w:cs="宋体"/>
          <w:b/>
          <w:color w:val="auto"/>
          <w:szCs w:val="21"/>
          <w:highlight w:val="none"/>
        </w:rPr>
        <w:t>八、资格</w:t>
      </w:r>
      <w:bookmarkEnd w:id="159"/>
      <w:r>
        <w:rPr>
          <w:rFonts w:hint="eastAsia" w:ascii="宋体" w:hAnsi="宋体" w:cs="宋体"/>
          <w:b/>
          <w:color w:val="auto"/>
          <w:szCs w:val="21"/>
          <w:highlight w:val="none"/>
        </w:rPr>
        <w:t>审查</w:t>
      </w:r>
      <w:bookmarkEnd w:id="160"/>
      <w:bookmarkEnd w:id="161"/>
      <w:bookmarkEnd w:id="162"/>
    </w:p>
    <w:p w14:paraId="586580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1、磋商小组将对所选择的成交候选人是否有资格或能力圆满地履行合同做出进一步确认。</w:t>
      </w:r>
    </w:p>
    <w:p w14:paraId="77DE31F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2、如果供应商被确定为不具备履行合同的能力，磋商小组有权拒绝签发成交通知书。在该情况下，磋商小组将考虑按同样的程序审查下一位成交候选人。</w:t>
      </w:r>
    </w:p>
    <w:p w14:paraId="7069D671">
      <w:pPr>
        <w:spacing w:line="360" w:lineRule="auto"/>
        <w:ind w:left="422" w:hanging="422" w:hangingChars="200"/>
        <w:rPr>
          <w:rFonts w:hint="eastAsia" w:ascii="宋体" w:hAnsi="宋体" w:cs="宋体"/>
          <w:b/>
          <w:color w:val="auto"/>
          <w:szCs w:val="21"/>
          <w:highlight w:val="none"/>
        </w:rPr>
      </w:pPr>
      <w:bookmarkStart w:id="163" w:name="_Toc20293"/>
      <w:bookmarkStart w:id="164" w:name="_Toc5918"/>
      <w:bookmarkStart w:id="165" w:name="_Toc402872212"/>
      <w:r>
        <w:rPr>
          <w:rFonts w:hint="eastAsia" w:ascii="宋体" w:hAnsi="宋体" w:cs="宋体"/>
          <w:b/>
          <w:color w:val="auto"/>
          <w:szCs w:val="21"/>
          <w:highlight w:val="none"/>
        </w:rPr>
        <w:t>九、 成交通知、授予合同</w:t>
      </w:r>
      <w:bookmarkEnd w:id="163"/>
      <w:bookmarkEnd w:id="164"/>
      <w:bookmarkEnd w:id="165"/>
    </w:p>
    <w:p w14:paraId="3C99D5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1、经磋商小组审查，确定成交候选人，发出成交通知书。</w:t>
      </w:r>
    </w:p>
    <w:p w14:paraId="58AC5F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2、成交供应商凭成交通知书在30天内签订合同。</w:t>
      </w:r>
    </w:p>
    <w:p w14:paraId="35B8AC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3、成交供应商在规定的时间内不履行合同，按违约处理，并按有关规定承担违约责任。</w:t>
      </w:r>
    </w:p>
    <w:p w14:paraId="0C51901D">
      <w:pPr>
        <w:spacing w:before="156" w:beforeLines="50" w:after="156" w:afterLines="50" w:line="560" w:lineRule="exact"/>
        <w:jc w:val="center"/>
        <w:rPr>
          <w:rFonts w:hint="eastAsia" w:ascii="宋体" w:hAnsi="宋体" w:cs="宋体"/>
          <w:color w:val="auto"/>
          <w:sz w:val="32"/>
          <w:szCs w:val="32"/>
          <w:highlight w:val="none"/>
        </w:rPr>
      </w:pPr>
      <w:r>
        <w:rPr>
          <w:rFonts w:hint="eastAsia" w:ascii="宋体" w:hAnsi="宋体" w:cs="宋体"/>
          <w:bCs/>
          <w:color w:val="auto"/>
          <w:szCs w:val="21"/>
          <w:highlight w:val="none"/>
        </w:rPr>
        <w:br w:type="page"/>
      </w:r>
      <w:bookmarkStart w:id="166" w:name="_Toc34746018"/>
      <w:r>
        <w:rPr>
          <w:rStyle w:val="40"/>
          <w:rFonts w:hint="eastAsia"/>
          <w:color w:val="auto"/>
          <w:szCs w:val="32"/>
          <w:highlight w:val="none"/>
        </w:rPr>
        <w:t>第五章 合同主要条款</w:t>
      </w:r>
      <w:bookmarkEnd w:id="166"/>
    </w:p>
    <w:p w14:paraId="1B2DDAB1">
      <w:pPr>
        <w:spacing w:line="560" w:lineRule="exact"/>
        <w:jc w:val="center"/>
        <w:rPr>
          <w:rFonts w:hint="eastAsia" w:ascii="宋体" w:hAnsi="宋体" w:cs="宋体"/>
          <w:b/>
          <w:color w:val="auto"/>
          <w:sz w:val="32"/>
          <w:szCs w:val="32"/>
          <w:highlight w:val="none"/>
        </w:rPr>
      </w:pPr>
    </w:p>
    <w:p w14:paraId="0DAC8379">
      <w:pPr>
        <w:spacing w:line="560" w:lineRule="exact"/>
        <w:ind w:firstLine="1"/>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采购合同书（仅供参考，以最终合同为准）</w:t>
      </w:r>
    </w:p>
    <w:p w14:paraId="5E9C1BA9">
      <w:pPr>
        <w:spacing w:line="560" w:lineRule="exact"/>
        <w:rPr>
          <w:rFonts w:hint="eastAsia" w:ascii="宋体" w:hAnsi="宋体" w:cs="宋体"/>
          <w:color w:val="auto"/>
          <w:sz w:val="32"/>
          <w:szCs w:val="32"/>
          <w:highlight w:val="none"/>
        </w:rPr>
      </w:pPr>
    </w:p>
    <w:p w14:paraId="77446C2E">
      <w:pPr>
        <w:ind w:firstLine="5460" w:firstLineChars="260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合同编号：</w:t>
      </w:r>
      <w:r>
        <w:rPr>
          <w:rFonts w:hint="eastAsia" w:ascii="仿宋" w:hAnsi="仿宋" w:eastAsia="仿宋" w:cs="仿宋"/>
          <w:color w:val="auto"/>
          <w:kern w:val="0"/>
          <w:szCs w:val="21"/>
          <w:highlight w:val="none"/>
          <w:u w:val="single"/>
        </w:rPr>
        <w:t xml:space="preserve">                  </w:t>
      </w:r>
    </w:p>
    <w:p w14:paraId="528FFC82">
      <w:pPr>
        <w:rPr>
          <w:rFonts w:hint="eastAsia" w:ascii="仿宋" w:hAnsi="仿宋" w:eastAsia="仿宋" w:cs="仿宋"/>
          <w:color w:val="auto"/>
          <w:szCs w:val="21"/>
          <w:highlight w:val="none"/>
        </w:rPr>
      </w:pPr>
    </w:p>
    <w:p w14:paraId="157DC74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甲方：（采购人）</w:t>
      </w:r>
    </w:p>
    <w:p w14:paraId="4365683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住所：</w:t>
      </w:r>
    </w:p>
    <w:p w14:paraId="3816985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422B3BE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p w14:paraId="37E1C3F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p w14:paraId="7ABF621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p w14:paraId="6B6B57AA">
      <w:pPr>
        <w:pStyle w:val="3"/>
        <w:rPr>
          <w:rFonts w:hint="eastAsia" w:ascii="仿宋" w:hAnsi="仿宋" w:eastAsia="仿宋" w:cs="仿宋"/>
          <w:color w:val="auto"/>
          <w:highlight w:val="none"/>
        </w:rPr>
      </w:pPr>
    </w:p>
    <w:p w14:paraId="4CDEDC99">
      <w:pPr>
        <w:spacing w:line="360" w:lineRule="auto"/>
        <w:rPr>
          <w:rFonts w:hint="eastAsia" w:ascii="仿宋" w:hAnsi="仿宋" w:eastAsia="仿宋" w:cs="仿宋"/>
          <w:color w:val="auto"/>
          <w:szCs w:val="21"/>
          <w:highlight w:val="none"/>
        </w:rPr>
      </w:pPr>
    </w:p>
    <w:p w14:paraId="4D44EDD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乙方：（成交供应商）</w:t>
      </w:r>
    </w:p>
    <w:p w14:paraId="4DE38773">
      <w:pPr>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住所：</w:t>
      </w:r>
    </w:p>
    <w:p w14:paraId="119A64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182740A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p w14:paraId="41DC57F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p w14:paraId="504753A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p w14:paraId="67101A0F">
      <w:pPr>
        <w:rPr>
          <w:rFonts w:hint="eastAsia" w:ascii="仿宋" w:hAnsi="仿宋" w:eastAsia="仿宋" w:cs="仿宋"/>
          <w:color w:val="auto"/>
          <w:szCs w:val="21"/>
          <w:highlight w:val="none"/>
        </w:rPr>
      </w:pPr>
    </w:p>
    <w:p w14:paraId="4DBBBE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根据《中华人民共和国政府采购法》《中华人民共和国民法典》和其它相关法律、法规规定，甲方通过竞争性磋商方式依法确定乙方为</w:t>
      </w:r>
      <w:r>
        <w:rPr>
          <w:rFonts w:hint="eastAsia" w:ascii="仿宋" w:hAnsi="仿宋" w:eastAsia="仿宋" w:cs="仿宋"/>
          <w:color w:val="auto"/>
          <w:szCs w:val="21"/>
          <w:highlight w:val="none"/>
          <w:u w:val="single"/>
        </w:rPr>
        <w:t>（项目名称：）（项目编号：）</w:t>
      </w:r>
      <w:r>
        <w:rPr>
          <w:rFonts w:hint="eastAsia" w:ascii="仿宋" w:hAnsi="仿宋" w:eastAsia="仿宋" w:cs="仿宋"/>
          <w:color w:val="auto"/>
          <w:szCs w:val="21"/>
          <w:highlight w:val="none"/>
        </w:rPr>
        <w:t>的成交供应商，经双方协商一致订立本合同，以资共同遵守。本项目成交通知书、乙方响应文件、磋商文件以及甲、乙双方商定的补充协议是本合同不可分割的组成部分。</w:t>
      </w:r>
    </w:p>
    <w:p w14:paraId="7B2BEC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下列文件构成本合同的组成部分，</w:t>
      </w:r>
      <w:r>
        <w:rPr>
          <w:rFonts w:hint="eastAsia" w:ascii="仿宋" w:hAnsi="仿宋" w:eastAsia="仿宋" w:cs="仿宋"/>
          <w:color w:val="auto"/>
          <w:highlight w:val="none"/>
          <w:lang w:val="zh-CN"/>
        </w:rPr>
        <w:t>彼此</w:t>
      </w:r>
      <w:r>
        <w:rPr>
          <w:rFonts w:hint="eastAsia" w:ascii="仿宋" w:hAnsi="仿宋" w:eastAsia="仿宋" w:cs="仿宋"/>
          <w:color w:val="auto"/>
          <w:szCs w:val="21"/>
          <w:highlight w:val="none"/>
        </w:rPr>
        <w:t>相互解释，相互补充。组成本合同的多个文件的优先解释顺序如下：</w:t>
      </w:r>
    </w:p>
    <w:p w14:paraId="4EDC128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1.补充协议（如有）</w:t>
      </w:r>
    </w:p>
    <w:p w14:paraId="680926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2.本合同书</w:t>
      </w:r>
    </w:p>
    <w:p w14:paraId="46C17BB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w:t>
      </w:r>
      <w:r>
        <w:rPr>
          <w:rFonts w:hint="eastAsia" w:ascii="仿宋" w:hAnsi="仿宋" w:eastAsia="仿宋" w:cs="仿宋"/>
          <w:color w:val="auto"/>
          <w:highlight w:val="none"/>
          <w:lang w:val="zh-CN"/>
        </w:rPr>
        <w:t>成交</w:t>
      </w:r>
      <w:r>
        <w:rPr>
          <w:rFonts w:hint="eastAsia" w:ascii="仿宋" w:hAnsi="仿宋" w:eastAsia="仿宋" w:cs="仿宋"/>
          <w:color w:val="auto"/>
          <w:szCs w:val="21"/>
          <w:highlight w:val="none"/>
        </w:rPr>
        <w:t>）通知书</w:t>
      </w:r>
    </w:p>
    <w:p w14:paraId="66545E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4.乙方投标（响应）文件</w:t>
      </w:r>
    </w:p>
    <w:p w14:paraId="559EA76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5.采购文件澄清（修改）、更正文件</w:t>
      </w:r>
    </w:p>
    <w:p w14:paraId="2E23D56F">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6.采购文件</w:t>
      </w:r>
    </w:p>
    <w:p w14:paraId="188DD17E">
      <w:pPr>
        <w:pStyle w:val="89"/>
        <w:widowControl/>
        <w:spacing w:beforeLines="0" w:afterLines="0" w:line="420" w:lineRule="exact"/>
        <w:ind w:firstLine="42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w:t>
      </w:r>
      <w:r>
        <w:rPr>
          <w:rFonts w:hint="eastAsia" w:ascii="仿宋" w:hAnsi="仿宋" w:eastAsia="仿宋" w:cs="仿宋"/>
          <w:b/>
          <w:color w:val="auto"/>
          <w:sz w:val="21"/>
          <w:szCs w:val="21"/>
          <w:highlight w:val="none"/>
          <w:lang w:val="en-US"/>
        </w:rPr>
        <w:t>服务</w:t>
      </w:r>
      <w:r>
        <w:rPr>
          <w:rFonts w:hint="eastAsia" w:ascii="仿宋" w:hAnsi="仿宋" w:eastAsia="仿宋" w:cs="仿宋"/>
          <w:b/>
          <w:color w:val="auto"/>
          <w:sz w:val="21"/>
          <w:szCs w:val="21"/>
          <w:highlight w:val="none"/>
        </w:rPr>
        <w:t>内容</w:t>
      </w:r>
      <w:r>
        <w:rPr>
          <w:rFonts w:hint="eastAsia" w:ascii="仿宋" w:hAnsi="仿宋" w:eastAsia="仿宋" w:cs="仿宋"/>
          <w:b/>
          <w:color w:val="auto"/>
          <w:sz w:val="21"/>
          <w:szCs w:val="21"/>
          <w:highlight w:val="none"/>
          <w:lang w:val="en-US"/>
        </w:rPr>
        <w:t>及要求</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u w:val="single"/>
        </w:rPr>
        <w:t xml:space="preserve">                           </w:t>
      </w:r>
      <w:r>
        <w:rPr>
          <w:rFonts w:hint="eastAsia" w:ascii="仿宋" w:hAnsi="仿宋" w:eastAsia="仿宋" w:cs="仿宋"/>
          <w:b/>
          <w:color w:val="auto"/>
          <w:sz w:val="21"/>
          <w:szCs w:val="21"/>
          <w:highlight w:val="none"/>
        </w:rPr>
        <w:t>。</w:t>
      </w:r>
    </w:p>
    <w:p w14:paraId="47EEAC68">
      <w:pPr>
        <w:pStyle w:val="89"/>
        <w:widowControl/>
        <w:spacing w:beforeLines="0" w:afterLines="0" w:line="420" w:lineRule="exact"/>
        <w:ind w:firstLine="422"/>
        <w:jc w:val="left"/>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二、服务期限：</w:t>
      </w:r>
      <w:r>
        <w:rPr>
          <w:rFonts w:hint="eastAsia" w:ascii="仿宋" w:hAnsi="仿宋" w:eastAsia="仿宋" w:cs="仿宋"/>
          <w:bCs/>
          <w:color w:val="auto"/>
          <w:sz w:val="21"/>
          <w:szCs w:val="21"/>
          <w:highlight w:val="none"/>
          <w:u w:val="single"/>
        </w:rPr>
        <w:t>（按采购文件第三章要求填写）。</w:t>
      </w:r>
    </w:p>
    <w:p w14:paraId="73B55926">
      <w:pPr>
        <w:pStyle w:val="89"/>
        <w:widowControl/>
        <w:spacing w:beforeLines="0" w:afterLines="0" w:line="420" w:lineRule="exact"/>
        <w:ind w:firstLine="42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三、合同金额及款项支付</w:t>
      </w:r>
    </w:p>
    <w:p w14:paraId="1D59D387">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1.合同金额：人民币（大写）：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8EA56C2">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2.款项支付：</w:t>
      </w:r>
      <w:r>
        <w:rPr>
          <w:rFonts w:hint="eastAsia" w:ascii="仿宋" w:hAnsi="仿宋" w:eastAsia="仿宋" w:cs="仿宋"/>
          <w:color w:val="auto"/>
          <w:szCs w:val="21"/>
          <w:highlight w:val="none"/>
          <w:u w:val="single"/>
        </w:rPr>
        <w:t xml:space="preserve">         （按照第三章采购需求相应规定及磋商结果填写）     。 </w:t>
      </w:r>
    </w:p>
    <w:p w14:paraId="0B02FE84">
      <w:pPr>
        <w:pStyle w:val="89"/>
        <w:widowControl/>
        <w:spacing w:beforeLines="0" w:afterLines="0" w:line="420" w:lineRule="exact"/>
        <w:ind w:firstLine="422"/>
        <w:jc w:val="left"/>
        <w:rPr>
          <w:rFonts w:hint="eastAsia" w:ascii="仿宋" w:hAnsi="仿宋" w:eastAsia="仿宋" w:cs="仿宋"/>
          <w:b/>
          <w:color w:val="auto"/>
          <w:sz w:val="21"/>
          <w:szCs w:val="21"/>
          <w:highlight w:val="none"/>
          <w:lang w:val="en-US"/>
        </w:rPr>
      </w:pPr>
      <w:r>
        <w:rPr>
          <w:rFonts w:hint="eastAsia" w:ascii="仿宋" w:hAnsi="仿宋" w:eastAsia="仿宋" w:cs="仿宋"/>
          <w:b/>
          <w:color w:val="auto"/>
          <w:sz w:val="21"/>
          <w:szCs w:val="21"/>
          <w:highlight w:val="none"/>
          <w:lang w:val="en-US"/>
        </w:rPr>
        <w:t>四、技术资料</w:t>
      </w:r>
    </w:p>
    <w:p w14:paraId="55476C33">
      <w:pPr>
        <w:spacing w:line="360" w:lineRule="auto"/>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1.乙方应按采购文件规定的时间向甲方提供有关技术资料。</w:t>
      </w:r>
    </w:p>
    <w:p w14:paraId="42CD9C15">
      <w:pPr>
        <w:spacing w:line="360" w:lineRule="auto"/>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2.没有甲方事先书面同意，乙方不得将由甲方提供的计划、样品或资料提供给与履行本合同无关的任何其他人。即使向履行本合同有关的人员提供，也应注意保密并限于履行合同的必需范围。</w:t>
      </w:r>
    </w:p>
    <w:p w14:paraId="062E778D">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五、履约保证金</w:t>
      </w:r>
    </w:p>
    <w:p w14:paraId="4FC5ECD4">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本项目无需缴纳履约保证金。</w:t>
      </w:r>
    </w:p>
    <w:p w14:paraId="21996623">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六、转包或分包</w:t>
      </w:r>
    </w:p>
    <w:p w14:paraId="416A81E8">
      <w:pPr>
        <w:spacing w:line="360" w:lineRule="auto"/>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1.本项目不允许转包；</w:t>
      </w:r>
    </w:p>
    <w:p w14:paraId="403EBC05">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2.本项目未经采购人同意不得擅自转包；</w:t>
      </w:r>
    </w:p>
    <w:p w14:paraId="1D039927">
      <w:pPr>
        <w:spacing w:line="360" w:lineRule="auto"/>
        <w:ind w:firstLine="420"/>
        <w:rPr>
          <w:rFonts w:hint="eastAsia" w:ascii="仿宋" w:hAnsi="仿宋" w:eastAsia="仿宋" w:cs="仿宋"/>
          <w:color w:val="auto"/>
          <w:szCs w:val="21"/>
          <w:highlight w:val="none"/>
          <w:lang w:val="zh-CN"/>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val="zh-CN"/>
        </w:rPr>
        <w:t>.如乙方擅自</w:t>
      </w:r>
      <w:r>
        <w:rPr>
          <w:rFonts w:hint="eastAsia" w:ascii="仿宋" w:hAnsi="仿宋" w:eastAsia="仿宋" w:cs="仿宋"/>
          <w:color w:val="auto"/>
          <w:szCs w:val="21"/>
          <w:highlight w:val="none"/>
          <w:lang w:val="zh-CN"/>
        </w:rPr>
        <w:t>转包或再次分包的，甲方有权解除合同，追回已支付款项并追究乙方的违约责任。</w:t>
      </w:r>
    </w:p>
    <w:p w14:paraId="7CFE86AF">
      <w:pPr>
        <w:spacing w:line="30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七、成果资料</w:t>
      </w:r>
    </w:p>
    <w:p w14:paraId="14725707">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1.乙方应根据服务内容和要求，将全部成果资料完整交给甲方。</w:t>
      </w:r>
    </w:p>
    <w:p w14:paraId="2111211B">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2.成果内容：必须符合本项目采购需求的有关要求和国家、省相关标准。</w:t>
      </w:r>
    </w:p>
    <w:p w14:paraId="4F994FB0">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3.成果构成：成果应充分表达项目内容，主要包括文本、相关文件附件等。</w:t>
      </w:r>
    </w:p>
    <w:p w14:paraId="7B875172">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4.成果要求：提交的成果必须装订成册（电子文件除外），图纸和文本文件必须做到清晰、完整，尺寸齐全、准确。</w:t>
      </w:r>
    </w:p>
    <w:p w14:paraId="76CDF0DC">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成果份数：乙方须向甲方提供完整的纸质最终纸质成果2套，电子成果2套。若甲方要求对资料的数量进行补充时，乙方须予以服从，并按要求补充，补充数量涉及的费用由甲方支付，乙方只能按基本印刷成本收取，不得额外</w:t>
      </w:r>
      <w:r>
        <w:rPr>
          <w:rFonts w:hint="eastAsia" w:ascii="仿宋" w:hAnsi="仿宋" w:eastAsia="仿宋" w:cs="仿宋"/>
          <w:color w:val="auto"/>
          <w:szCs w:val="21"/>
          <w:highlight w:val="none"/>
          <w:lang w:val="zh-CN"/>
        </w:rPr>
        <w:t>增加</w:t>
      </w:r>
      <w:r>
        <w:rPr>
          <w:rFonts w:hint="eastAsia" w:ascii="仿宋" w:hAnsi="仿宋" w:eastAsia="仿宋" w:cs="仿宋"/>
          <w:color w:val="auto"/>
          <w:highlight w:val="none"/>
        </w:rPr>
        <w:t>其它费用。</w:t>
      </w:r>
    </w:p>
    <w:p w14:paraId="396114E1">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6.如果甲方确认乙方提供的安吉县重大项目谋划咨询服务项目</w:t>
      </w:r>
      <w:r>
        <w:rPr>
          <w:rFonts w:hint="eastAsia" w:ascii="仿宋" w:hAnsi="仿宋" w:eastAsia="仿宋" w:cs="仿宋"/>
          <w:color w:val="auto"/>
          <w:szCs w:val="21"/>
          <w:highlight w:val="none"/>
          <w:lang w:val="zh-CN"/>
        </w:rPr>
        <w:t>成果</w:t>
      </w:r>
      <w:r>
        <w:rPr>
          <w:rFonts w:hint="eastAsia" w:ascii="仿宋" w:hAnsi="仿宋" w:eastAsia="仿宋" w:cs="仿宋"/>
          <w:color w:val="auto"/>
          <w:highlight w:val="none"/>
        </w:rPr>
        <w:t>资料不完整或在运输过程中丢失，乙方将在收到甲方通知后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天内将这些资料免费寄给甲方。</w:t>
      </w:r>
    </w:p>
    <w:p w14:paraId="0A7A0A46">
      <w:pPr>
        <w:spacing w:line="30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八、合同</w:t>
      </w:r>
      <w:r>
        <w:rPr>
          <w:rFonts w:hint="eastAsia" w:ascii="仿宋" w:hAnsi="仿宋" w:eastAsia="仿宋" w:cs="仿宋"/>
          <w:b/>
          <w:snapToGrid w:val="0"/>
          <w:color w:val="auto"/>
          <w:kern w:val="0"/>
          <w:szCs w:val="21"/>
          <w:highlight w:val="none"/>
        </w:rPr>
        <w:t>双方的权利和义务</w:t>
      </w:r>
    </w:p>
    <w:p w14:paraId="67656CFE">
      <w:pPr>
        <w:spacing w:line="300" w:lineRule="auto"/>
        <w:ind w:firstLine="422" w:firstLineChars="200"/>
        <w:jc w:val="left"/>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（一）甲方的权利和义务</w:t>
      </w:r>
    </w:p>
    <w:p w14:paraId="1A53F823">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1.甲方应当全面、真实地叙述与本项目事务有关的各种情况，并保证所提供的一切相关文件真实、合法和有效。</w:t>
      </w:r>
    </w:p>
    <w:p w14:paraId="264DB448">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2.甲方应配合并协助乙方尽职调查、现场调研等事宜，并就此提供相关工作便利。</w:t>
      </w:r>
    </w:p>
    <w:p w14:paraId="58C5F88C">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3.甲方应按本合同规定及时足额支付相应的费用。</w:t>
      </w:r>
    </w:p>
    <w:p w14:paraId="7408982C">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4.甲方有权向乙方询问工作进展情况及相关的内容，有权阐述对具体问题的意见和建议。</w:t>
      </w:r>
    </w:p>
    <w:p w14:paraId="346C913D">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5.甲方应为本项目安排相应的联系人，并安排相关负责人员与乙方就项目情况及重大问题深入沟通，在技术问题上为乙方提供必要的人员支持。</w:t>
      </w:r>
    </w:p>
    <w:p w14:paraId="4FB6D085">
      <w:pPr>
        <w:spacing w:line="300" w:lineRule="auto"/>
        <w:ind w:firstLine="422" w:firstLineChars="200"/>
        <w:jc w:val="left"/>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（二）乙方的权利和义务</w:t>
      </w:r>
    </w:p>
    <w:p w14:paraId="0498FCBC">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1.乙方应充分理解甲方的意图，其工作思路、想法须贯穿项目实施的目的。</w:t>
      </w:r>
    </w:p>
    <w:p w14:paraId="5C53F3E2">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2.提供合同约定的咨询服务，并对咨询服务质量负责，确保甲方权益。</w:t>
      </w:r>
    </w:p>
    <w:p w14:paraId="21EA0FC0">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3.选派合格和足够的咨询人员，保证咨询人员足够的工作时间以及时迅捷提供咨询服务。</w:t>
      </w:r>
    </w:p>
    <w:p w14:paraId="43D00FAF">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4.同甲方共同商定咨询服务工作计划，对工作进度进行控制，并按照工作计划安排及时向甲方汇报工作。</w:t>
      </w:r>
    </w:p>
    <w:p w14:paraId="4B3F78E4">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5.乙方有权根据合同约定的支付方式按时取得咨询服务费。</w:t>
      </w:r>
    </w:p>
    <w:p w14:paraId="6723F4DB">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6.乙方对履行本合同过程中所获悉的资料、数据信息及形成的服务成果等负有保密义务，未经甲方书面同意不得向第三方泄露，且保密责任不因合同的终止或解除而失效。如甲方提出要求，乙方须无条件与甲方签订保密协议。</w:t>
      </w:r>
    </w:p>
    <w:p w14:paraId="2D60BDB0">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（三）成果权利归属</w:t>
      </w:r>
    </w:p>
    <w:p w14:paraId="40D2E7B3">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1.本项目的所有成果著作权等知识产权和</w:t>
      </w:r>
      <w:r>
        <w:rPr>
          <w:rFonts w:hint="eastAsia" w:ascii="仿宋" w:hAnsi="仿宋" w:eastAsia="仿宋" w:cs="仿宋"/>
          <w:color w:val="auto"/>
          <w:szCs w:val="21"/>
          <w:highlight w:val="none"/>
          <w:lang w:val="zh-CN"/>
        </w:rPr>
        <w:t>所有</w:t>
      </w:r>
      <w:r>
        <w:rPr>
          <w:rFonts w:hint="eastAsia" w:ascii="仿宋" w:hAnsi="仿宋" w:eastAsia="仿宋" w:cs="仿宋"/>
          <w:color w:val="auto"/>
          <w:highlight w:val="none"/>
        </w:rPr>
        <w:t>权益归甲方和乙方双方共有。</w:t>
      </w:r>
    </w:p>
    <w:p w14:paraId="13EA2819">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2.甲方引用乙方的工作成果所完成的新的技术</w:t>
      </w:r>
      <w:r>
        <w:rPr>
          <w:rFonts w:hint="eastAsia" w:ascii="仿宋" w:hAnsi="仿宋" w:eastAsia="仿宋" w:cs="仿宋"/>
          <w:color w:val="auto"/>
          <w:szCs w:val="21"/>
          <w:highlight w:val="none"/>
          <w:lang w:val="zh-CN"/>
        </w:rPr>
        <w:t>成果</w:t>
      </w:r>
      <w:r>
        <w:rPr>
          <w:rFonts w:hint="eastAsia" w:ascii="仿宋" w:hAnsi="仿宋" w:eastAsia="仿宋" w:cs="仿宋"/>
          <w:color w:val="auto"/>
          <w:highlight w:val="none"/>
        </w:rPr>
        <w:t>，属于甲方所有，甲方依法享有该项技术成果应得的所有权利。</w:t>
      </w:r>
    </w:p>
    <w:p w14:paraId="0AEBC1B9">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无论发生何种情形（包括合同提前终止或解除），甲方均有权利用乙方的阶段性工作成果，并且甲方利用乙方的阶段性工作成果所完成的新的技术成果，属于甲方所有，甲方依法享有该项技术成果应得的所有权利。</w:t>
      </w:r>
    </w:p>
    <w:p w14:paraId="776187BB">
      <w:pPr>
        <w:spacing w:line="360" w:lineRule="auto"/>
        <w:ind w:firstLine="420"/>
        <w:rPr>
          <w:rFonts w:hint="eastAsia" w:ascii="仿宋" w:hAnsi="仿宋" w:eastAsia="仿宋" w:cs="仿宋"/>
          <w:b/>
          <w:color w:val="auto"/>
          <w:highlight w:val="none"/>
        </w:rPr>
      </w:pPr>
      <w:r>
        <w:rPr>
          <w:rFonts w:hint="eastAsia" w:ascii="仿宋" w:hAnsi="仿宋" w:eastAsia="仿宋" w:cs="仿宋"/>
          <w:b/>
          <w:color w:val="auto"/>
          <w:szCs w:val="21"/>
          <w:highlight w:val="none"/>
        </w:rPr>
        <w:t>九、</w:t>
      </w:r>
      <w:r>
        <w:rPr>
          <w:rFonts w:hint="eastAsia" w:ascii="仿宋" w:hAnsi="仿宋" w:eastAsia="仿宋" w:cs="仿宋"/>
          <w:b/>
          <w:color w:val="auto"/>
          <w:highlight w:val="none"/>
        </w:rPr>
        <w:t>税费</w:t>
      </w:r>
    </w:p>
    <w:p w14:paraId="38C01D8A">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本合同执行中相关的一切税费均由乙方负担。</w:t>
      </w:r>
    </w:p>
    <w:p w14:paraId="09E9A125">
      <w:pPr>
        <w:spacing w:line="360" w:lineRule="auto"/>
        <w:ind w:firstLine="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十、违约责任</w:t>
      </w:r>
    </w:p>
    <w:p w14:paraId="3820C4F5">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1.甲方无正当理由不得</w:t>
      </w:r>
      <w:r>
        <w:rPr>
          <w:rFonts w:hint="eastAsia" w:ascii="仿宋" w:hAnsi="仿宋" w:eastAsia="仿宋" w:cs="仿宋"/>
          <w:color w:val="auto"/>
          <w:szCs w:val="21"/>
          <w:highlight w:val="none"/>
          <w:lang w:val="zh-CN"/>
        </w:rPr>
        <w:t>拒收</w:t>
      </w:r>
      <w:r>
        <w:rPr>
          <w:rFonts w:hint="eastAsia" w:ascii="仿宋" w:hAnsi="仿宋" w:eastAsia="仿宋" w:cs="仿宋"/>
          <w:color w:val="auto"/>
          <w:highlight w:val="none"/>
        </w:rPr>
        <w:t>服务成果、拒付服务款。</w:t>
      </w:r>
    </w:p>
    <w:p w14:paraId="69672AD4">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2.如乙方不能交付服务</w:t>
      </w:r>
      <w:r>
        <w:rPr>
          <w:rFonts w:hint="eastAsia" w:ascii="仿宋" w:hAnsi="仿宋" w:eastAsia="仿宋" w:cs="仿宋"/>
          <w:color w:val="auto"/>
          <w:szCs w:val="21"/>
          <w:highlight w:val="none"/>
          <w:lang w:val="zh-CN"/>
        </w:rPr>
        <w:t>成果</w:t>
      </w:r>
      <w:r>
        <w:rPr>
          <w:rFonts w:hint="eastAsia" w:ascii="仿宋" w:hAnsi="仿宋" w:eastAsia="仿宋" w:cs="仿宋"/>
          <w:color w:val="auto"/>
          <w:highlight w:val="none"/>
        </w:rPr>
        <w:t>，或交付的成果不能满足甲方要求的，甲方有权单方终止合同。并要求乙方对由此造成的损失承担赔偿责任。</w:t>
      </w:r>
    </w:p>
    <w:p w14:paraId="34214213">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3.乙方应按时间节点交付服务成果，如乙方逾期交付服务成果达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天，甲方有权解除合同，解除合同的通知自到达乙方时生效。</w:t>
      </w:r>
    </w:p>
    <w:p w14:paraId="79D377ED">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在履行合同过程中，如果乙方遇到不能按时间节点交付服务成果情况，应及时以书面形式将不能按时间节点交付服务成果的理由、预期延误时间通知甲方。甲方收到乙方通知后，认为其理由正当的，可酌情延长交付服务成果时间；不认可乙方不能按时交付服务成果理由的，按逾期交付服务成果处理。</w:t>
      </w:r>
    </w:p>
    <w:p w14:paraId="2A3B9827">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4.乙方所交付的服务：《安吉县重大项目谋划咨询服务项目》编制范围、内容、深度、数据、质量等未达到甲方需求的，甲方有权拒收。</w:t>
      </w:r>
    </w:p>
    <w:p w14:paraId="7A5C7630">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5.任意一方出现上述违约情形的，守约方有权根据自身利益受损程度要求违约方承担违约责任，守约方主张的利益受损范围应当以直接损失为界。</w:t>
      </w:r>
    </w:p>
    <w:p w14:paraId="6873A97A">
      <w:pPr>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6.乙方在承担上述2～4款一项或多项违约责任后，仍应继续履行合同规定的义务（甲方解除合同的除外）。甲方未能及时追究乙方的任何一项违约责任并不表明甲方放弃追究乙方该项或其他违约责任。</w:t>
      </w:r>
    </w:p>
    <w:p w14:paraId="405A8E4F">
      <w:pPr>
        <w:spacing w:line="30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十一、不可抗力事件处理</w:t>
      </w:r>
    </w:p>
    <w:p w14:paraId="205CEE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1.合同有效期内，任何一方因</w:t>
      </w:r>
      <w:r>
        <w:rPr>
          <w:rFonts w:hint="eastAsia" w:ascii="仿宋" w:hAnsi="仿宋" w:eastAsia="仿宋" w:cs="仿宋"/>
          <w:color w:val="auto"/>
          <w:highlight w:val="none"/>
          <w:lang w:val="zh-CN"/>
        </w:rPr>
        <w:t>不可抗力</w:t>
      </w:r>
      <w:r>
        <w:rPr>
          <w:rFonts w:hint="eastAsia" w:ascii="仿宋" w:hAnsi="仿宋" w:eastAsia="仿宋" w:cs="仿宋"/>
          <w:color w:val="auto"/>
          <w:szCs w:val="21"/>
          <w:highlight w:val="none"/>
        </w:rPr>
        <w:t>事件导致不能履行合同，则合同履行期可延长，其延长期与不可抗力影响期相同。</w:t>
      </w:r>
    </w:p>
    <w:p w14:paraId="7130D1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1401F3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3.不可抗力事件延续120天以上，双方应通过友好协商，确定是否继续履行合同。</w:t>
      </w:r>
    </w:p>
    <w:p w14:paraId="01860264">
      <w:pPr>
        <w:spacing w:line="30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十二、争议的解决</w:t>
      </w:r>
    </w:p>
    <w:p w14:paraId="3FA1DE8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双方在履行合同过程中产生</w:t>
      </w:r>
      <w:r>
        <w:rPr>
          <w:rFonts w:hint="eastAsia" w:ascii="仿宋" w:hAnsi="仿宋" w:eastAsia="仿宋" w:cs="仿宋"/>
          <w:color w:val="auto"/>
          <w:highlight w:val="none"/>
          <w:lang w:val="zh-CN"/>
        </w:rPr>
        <w:t>争议</w:t>
      </w:r>
      <w:r>
        <w:rPr>
          <w:rFonts w:hint="eastAsia" w:ascii="仿宋" w:hAnsi="仿宋" w:eastAsia="仿宋" w:cs="仿宋"/>
          <w:color w:val="auto"/>
          <w:szCs w:val="21"/>
          <w:highlight w:val="none"/>
        </w:rPr>
        <w:t>时，应首先通过友好协商解决，如果协商不能解决争议，则采取以下第</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种方式处理：</w:t>
      </w:r>
    </w:p>
    <w:p w14:paraId="0B90CB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（1）向安吉县人民法院提起诉讼；</w:t>
      </w:r>
    </w:p>
    <w:p w14:paraId="346305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（2）向湖州仲裁委员会提请仲裁。</w:t>
      </w:r>
    </w:p>
    <w:p w14:paraId="5BF95311">
      <w:pPr>
        <w:spacing w:line="30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十三、合同生效及其它</w:t>
      </w:r>
    </w:p>
    <w:p w14:paraId="75EB86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1.合同经甲、乙双方法定代表人或授权代表签字并加盖单位公章后生效；</w:t>
      </w:r>
    </w:p>
    <w:p w14:paraId="2C8AC9A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2.合同执行中涉及采购资金和采购内容修改或补充的，须经财政部门审批，并签书面补充协议报同级财政部门备案，方可作为主</w:t>
      </w:r>
      <w:r>
        <w:rPr>
          <w:rFonts w:hint="eastAsia" w:ascii="仿宋" w:hAnsi="仿宋" w:eastAsia="仿宋" w:cs="仿宋"/>
          <w:color w:val="auto"/>
          <w:highlight w:val="none"/>
        </w:rPr>
        <w:t>合同</w:t>
      </w:r>
      <w:r>
        <w:rPr>
          <w:rFonts w:hint="eastAsia" w:ascii="仿宋" w:hAnsi="仿宋" w:eastAsia="仿宋" w:cs="仿宋"/>
          <w:color w:val="auto"/>
          <w:szCs w:val="21"/>
          <w:highlight w:val="none"/>
        </w:rPr>
        <w:t>不可分割的一部分。</w:t>
      </w:r>
    </w:p>
    <w:p w14:paraId="5DF7C48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3.本合同未尽事宜，遵照《</w:t>
      </w:r>
      <w:r>
        <w:rPr>
          <w:rFonts w:hint="eastAsia" w:ascii="仿宋" w:hAnsi="仿宋" w:eastAsia="仿宋" w:cs="仿宋"/>
          <w:color w:val="auto"/>
          <w:highlight w:val="none"/>
          <w:lang w:val="zh-CN"/>
        </w:rPr>
        <w:t>中华人民共和国</w:t>
      </w:r>
      <w:r>
        <w:rPr>
          <w:rFonts w:hint="eastAsia" w:ascii="仿宋" w:hAnsi="仿宋" w:eastAsia="仿宋" w:cs="仿宋"/>
          <w:color w:val="auto"/>
          <w:szCs w:val="21"/>
          <w:highlight w:val="none"/>
        </w:rPr>
        <w:t>民法典》有关条文执行。</w:t>
      </w:r>
    </w:p>
    <w:p w14:paraId="381950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4.本合同正本一式六份，甲乙</w:t>
      </w:r>
      <w:r>
        <w:rPr>
          <w:rFonts w:hint="eastAsia" w:ascii="仿宋" w:hAnsi="仿宋" w:eastAsia="仿宋" w:cs="仿宋"/>
          <w:color w:val="auto"/>
          <w:highlight w:val="none"/>
          <w:lang w:val="zh-CN"/>
        </w:rPr>
        <w:t>双方</w:t>
      </w:r>
      <w:r>
        <w:rPr>
          <w:rFonts w:hint="eastAsia" w:ascii="仿宋" w:hAnsi="仿宋" w:eastAsia="仿宋" w:cs="仿宋"/>
          <w:color w:val="auto"/>
          <w:szCs w:val="21"/>
          <w:highlight w:val="none"/>
        </w:rPr>
        <w:t>各执二份；鉴证方、同级财政部门各执一份，均具备同等法律效力。</w:t>
      </w:r>
    </w:p>
    <w:p w14:paraId="24E9A0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以下无</w:t>
      </w:r>
      <w:r>
        <w:rPr>
          <w:rFonts w:hint="eastAsia" w:ascii="仿宋" w:hAnsi="仿宋" w:eastAsia="仿宋" w:cs="仿宋"/>
          <w:color w:val="auto"/>
          <w:highlight w:val="none"/>
        </w:rPr>
        <w:t>正文</w:t>
      </w:r>
      <w:r>
        <w:rPr>
          <w:rFonts w:hint="eastAsia" w:ascii="仿宋" w:hAnsi="仿宋" w:eastAsia="仿宋" w:cs="仿宋"/>
          <w:color w:val="auto"/>
          <w:szCs w:val="21"/>
          <w:highlight w:val="none"/>
        </w:rPr>
        <w:t>。</w:t>
      </w:r>
    </w:p>
    <w:p w14:paraId="2B643C94">
      <w:pPr>
        <w:pStyle w:val="22"/>
        <w:rPr>
          <w:rFonts w:hint="eastAsia" w:ascii="仿宋" w:hAnsi="仿宋" w:eastAsia="仿宋" w:cs="仿宋"/>
          <w:color w:val="auto"/>
          <w:szCs w:val="21"/>
          <w:highlight w:val="none"/>
        </w:rPr>
      </w:pPr>
    </w:p>
    <w:p w14:paraId="1D5F3987">
      <w:pPr>
        <w:rPr>
          <w:rFonts w:hint="eastAsia" w:ascii="仿宋" w:hAnsi="仿宋" w:eastAsia="仿宋" w:cs="仿宋"/>
          <w:color w:val="auto"/>
          <w:szCs w:val="21"/>
          <w:highlight w:val="none"/>
        </w:rPr>
      </w:pPr>
    </w:p>
    <w:p w14:paraId="6AD444E3">
      <w:pPr>
        <w:pStyle w:val="22"/>
        <w:rPr>
          <w:rFonts w:hint="eastAsia" w:ascii="仿宋" w:hAnsi="仿宋" w:eastAsia="仿宋" w:cs="仿宋"/>
          <w:color w:val="auto"/>
          <w:highlight w:val="none"/>
        </w:rPr>
      </w:pPr>
    </w:p>
    <w:p w14:paraId="75D854E2">
      <w:pPr>
        <w:spacing w:line="480" w:lineRule="auto"/>
        <w:rPr>
          <w:rFonts w:hint="eastAsia" w:ascii="仿宋" w:hAnsi="仿宋" w:eastAsia="仿宋" w:cs="仿宋"/>
          <w:color w:val="auto"/>
          <w:szCs w:val="21"/>
          <w:highlight w:val="none"/>
        </w:rPr>
      </w:pPr>
    </w:p>
    <w:p w14:paraId="69F9AA25">
      <w:pPr>
        <w:spacing w:line="480" w:lineRule="auto"/>
        <w:rPr>
          <w:rFonts w:hint="eastAsia" w:ascii="仿宋" w:hAnsi="仿宋" w:eastAsia="仿宋" w:cs="仿宋"/>
          <w:color w:val="auto"/>
          <w:szCs w:val="21"/>
          <w:highlight w:val="none"/>
        </w:rPr>
      </w:pPr>
    </w:p>
    <w:p w14:paraId="6E0D79A1">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甲方（盖公章）：</w:t>
      </w:r>
    </w:p>
    <w:p w14:paraId="44606C98">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法定代表人（单位负责人）或其授权代理人（签字或盖章）：</w:t>
      </w:r>
    </w:p>
    <w:p w14:paraId="253840AE">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224A60FD">
      <w:pPr>
        <w:spacing w:line="480" w:lineRule="auto"/>
        <w:rPr>
          <w:rFonts w:hint="eastAsia" w:ascii="仿宋" w:hAnsi="仿宋" w:eastAsia="仿宋" w:cs="仿宋"/>
          <w:color w:val="auto"/>
          <w:szCs w:val="21"/>
          <w:highlight w:val="none"/>
        </w:rPr>
      </w:pPr>
    </w:p>
    <w:p w14:paraId="18006EDF">
      <w:pPr>
        <w:spacing w:line="480" w:lineRule="auto"/>
        <w:rPr>
          <w:rFonts w:hint="eastAsia" w:ascii="仿宋" w:hAnsi="仿宋" w:eastAsia="仿宋" w:cs="仿宋"/>
          <w:color w:val="auto"/>
          <w:szCs w:val="21"/>
          <w:highlight w:val="none"/>
        </w:rPr>
      </w:pPr>
    </w:p>
    <w:p w14:paraId="379424B8">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乙方（盖公章）：</w:t>
      </w:r>
    </w:p>
    <w:p w14:paraId="1D5C7498">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法定代表人（单位负责人）或其授权代理人（签字或盖章）：</w:t>
      </w:r>
    </w:p>
    <w:p w14:paraId="697AA2B4">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0D55F0EF">
      <w:pPr>
        <w:spacing w:line="480" w:lineRule="auto"/>
        <w:rPr>
          <w:rFonts w:hint="eastAsia" w:ascii="仿宋" w:hAnsi="仿宋" w:eastAsia="仿宋" w:cs="仿宋"/>
          <w:color w:val="auto"/>
          <w:szCs w:val="21"/>
          <w:highlight w:val="none"/>
        </w:rPr>
      </w:pPr>
    </w:p>
    <w:p w14:paraId="061CA9B6">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鉴证方：采购代理机构（盖章）</w:t>
      </w:r>
    </w:p>
    <w:p w14:paraId="176F7B76">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项目经办人：</w:t>
      </w:r>
    </w:p>
    <w:p w14:paraId="2C7B47E9">
      <w:pPr>
        <w:spacing w:line="720" w:lineRule="auto"/>
        <w:rPr>
          <w:rFonts w:hint="eastAsia" w:ascii="仿宋" w:hAnsi="仿宋" w:eastAsia="仿宋" w:cs="仿宋"/>
          <w:color w:val="auto"/>
          <w:highlight w:val="none"/>
        </w:rPr>
      </w:pPr>
      <w:r>
        <w:rPr>
          <w:rFonts w:hint="eastAsia" w:ascii="仿宋" w:hAnsi="仿宋" w:eastAsia="仿宋" w:cs="仿宋"/>
          <w:color w:val="auto"/>
          <w:szCs w:val="21"/>
          <w:highlight w:val="none"/>
        </w:rPr>
        <w:t>日期：      年   月   日</w:t>
      </w:r>
    </w:p>
    <w:p w14:paraId="56849FAF">
      <w:pPr>
        <w:pStyle w:val="16"/>
        <w:adjustRightInd w:val="0"/>
        <w:snapToGrid w:val="0"/>
        <w:spacing w:before="0" w:after="0" w:line="560" w:lineRule="exact"/>
        <w:ind w:left="2" w:leftChars="1" w:firstLine="643" w:firstLineChars="200"/>
        <w:rPr>
          <w:rFonts w:hint="eastAsia" w:cs="宋体"/>
          <w:b/>
          <w:bCs/>
          <w:snapToGrid w:val="0"/>
          <w:color w:val="auto"/>
          <w:sz w:val="32"/>
          <w:szCs w:val="32"/>
          <w:highlight w:val="none"/>
        </w:rPr>
      </w:pPr>
    </w:p>
    <w:p w14:paraId="29F8D08A">
      <w:pPr>
        <w:pStyle w:val="16"/>
        <w:adjustRightInd w:val="0"/>
        <w:snapToGrid w:val="0"/>
        <w:spacing w:before="0" w:after="0" w:line="560" w:lineRule="exact"/>
        <w:ind w:left="2" w:leftChars="1" w:firstLine="562" w:firstLineChars="200"/>
        <w:rPr>
          <w:rFonts w:hint="eastAsia" w:cs="宋体"/>
          <w:b/>
          <w:bCs/>
          <w:snapToGrid w:val="0"/>
          <w:color w:val="auto"/>
          <w:sz w:val="28"/>
          <w:szCs w:val="28"/>
          <w:highlight w:val="none"/>
        </w:rPr>
      </w:pPr>
    </w:p>
    <w:p w14:paraId="0F548315">
      <w:pPr>
        <w:pStyle w:val="16"/>
        <w:adjustRightInd w:val="0"/>
        <w:snapToGrid w:val="0"/>
        <w:spacing w:before="0" w:after="0" w:line="560" w:lineRule="exact"/>
        <w:ind w:left="2" w:leftChars="1" w:firstLine="562" w:firstLineChars="200"/>
        <w:rPr>
          <w:rFonts w:hint="eastAsia" w:cs="宋体"/>
          <w:b/>
          <w:bCs/>
          <w:snapToGrid w:val="0"/>
          <w:color w:val="auto"/>
          <w:sz w:val="28"/>
          <w:szCs w:val="28"/>
          <w:highlight w:val="none"/>
        </w:rPr>
      </w:pPr>
      <w:r>
        <w:rPr>
          <w:rFonts w:hint="eastAsia" w:cs="宋体"/>
          <w:b/>
          <w:bCs/>
          <w:snapToGrid w:val="0"/>
          <w:color w:val="auto"/>
          <w:sz w:val="28"/>
          <w:szCs w:val="28"/>
          <w:highlight w:val="none"/>
        </w:rPr>
        <w:t>注：本合同作为示范文本，具体以采购人与成交供应商所签定正式合同为准。</w:t>
      </w:r>
    </w:p>
    <w:p w14:paraId="352B7FBF">
      <w:pPr>
        <w:pStyle w:val="16"/>
        <w:adjustRightInd w:val="0"/>
        <w:snapToGrid w:val="0"/>
        <w:spacing w:before="0" w:after="0" w:line="280" w:lineRule="exact"/>
        <w:ind w:left="2" w:leftChars="1" w:firstLine="422" w:firstLineChars="200"/>
        <w:rPr>
          <w:rFonts w:hint="eastAsia" w:cs="宋体"/>
          <w:b/>
          <w:bCs/>
          <w:snapToGrid w:val="0"/>
          <w:color w:val="auto"/>
          <w:sz w:val="21"/>
          <w:highlight w:val="none"/>
        </w:rPr>
      </w:pPr>
    </w:p>
    <w:p w14:paraId="36E906B2">
      <w:pPr>
        <w:spacing w:line="320" w:lineRule="exact"/>
        <w:rPr>
          <w:rFonts w:hint="eastAsia" w:ascii="宋体" w:hAnsi="宋体" w:cs="宋体"/>
          <w:color w:val="auto"/>
          <w:szCs w:val="21"/>
          <w:highlight w:val="none"/>
        </w:rPr>
      </w:pPr>
    </w:p>
    <w:p w14:paraId="41C51401">
      <w:pPr>
        <w:pStyle w:val="5"/>
        <w:spacing w:before="156" w:after="156"/>
        <w:rPr>
          <w:color w:val="auto"/>
          <w:highlight w:val="none"/>
        </w:rPr>
      </w:pPr>
      <w:bookmarkStart w:id="167" w:name="_Toc34746019"/>
      <w:r>
        <w:rPr>
          <w:rFonts w:hint="eastAsia"/>
          <w:color w:val="auto"/>
          <w:highlight w:val="none"/>
        </w:rPr>
        <w:br w:type="page"/>
      </w:r>
      <w:r>
        <w:rPr>
          <w:rFonts w:hint="eastAsia"/>
          <w:color w:val="auto"/>
          <w:highlight w:val="none"/>
        </w:rPr>
        <w:t>第六章  响应文件格式</w:t>
      </w:r>
      <w:bookmarkEnd w:id="167"/>
    </w:p>
    <w:p w14:paraId="08CCA704">
      <w:pPr>
        <w:widowControl/>
        <w:autoSpaceDE w:val="0"/>
        <w:autoSpaceDN w:val="0"/>
        <w:snapToGrid w:val="0"/>
        <w:spacing w:line="360" w:lineRule="auto"/>
        <w:ind w:firstLine="420" w:firstLineChars="200"/>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本章节内容提供部分响应文件格式，磋商文件中要求，但未提供格式的，须由供应商自行制作。</w:t>
      </w:r>
    </w:p>
    <w:p w14:paraId="6C49D005">
      <w:pPr>
        <w:spacing w:line="360" w:lineRule="auto"/>
        <w:ind w:firstLine="570"/>
        <w:jc w:val="center"/>
        <w:rPr>
          <w:rFonts w:hint="eastAsia" w:ascii="宋体" w:hAnsi="宋体" w:cs="宋体"/>
          <w:color w:val="auto"/>
          <w:szCs w:val="21"/>
          <w:highlight w:val="none"/>
        </w:rPr>
      </w:pPr>
      <w:r>
        <w:rPr>
          <w:rFonts w:hint="eastAsia" w:ascii="宋体" w:hAnsi="宋体" w:cs="宋体"/>
          <w:b/>
          <w:color w:val="auto"/>
          <w:szCs w:val="21"/>
          <w:highlight w:val="none"/>
        </w:rPr>
        <w:t>一、资格证明文件格式</w:t>
      </w:r>
    </w:p>
    <w:p w14:paraId="70AE364E">
      <w:pPr>
        <w:ind w:firstLine="570"/>
        <w:rPr>
          <w:rFonts w:hint="eastAsia" w:ascii="宋体" w:hAnsi="宋体" w:cs="宋体"/>
          <w:color w:val="auto"/>
          <w:szCs w:val="21"/>
          <w:highlight w:val="none"/>
        </w:rPr>
      </w:pPr>
    </w:p>
    <w:p w14:paraId="63465381">
      <w:pPr>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1、资格证明文件的封面格式：</w:t>
      </w:r>
    </w:p>
    <w:p w14:paraId="1E5BFFF2">
      <w:pPr>
        <w:keepNext/>
        <w:keepLines/>
        <w:spacing w:line="579" w:lineRule="auto"/>
        <w:rPr>
          <w:rFonts w:hint="eastAsia" w:ascii="宋体" w:hAnsi="宋体" w:cs="宋体"/>
          <w:color w:val="auto"/>
          <w:szCs w:val="21"/>
          <w:highlight w:val="none"/>
        </w:rPr>
      </w:pPr>
    </w:p>
    <w:p w14:paraId="50D62D56">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响应文件</w:t>
      </w:r>
    </w:p>
    <w:p w14:paraId="42AF59A3">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1E4F9908">
      <w:pPr>
        <w:ind w:firstLine="570"/>
        <w:jc w:val="center"/>
        <w:rPr>
          <w:rFonts w:hint="eastAsia" w:ascii="宋体" w:hAnsi="宋体" w:cs="宋体"/>
          <w:b/>
          <w:color w:val="auto"/>
          <w:szCs w:val="21"/>
          <w:highlight w:val="none"/>
        </w:rPr>
      </w:pPr>
    </w:p>
    <w:p w14:paraId="353998FB">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14:paraId="5FEB9968">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14:paraId="3D50775C">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14:paraId="3B3668C6">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14:paraId="1A43374B">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14:paraId="06BE2ACC">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14:paraId="47B14B4F">
      <w:pPr>
        <w:spacing w:line="400" w:lineRule="exact"/>
        <w:ind w:firstLine="420" w:firstLineChars="200"/>
        <w:jc w:val="left"/>
        <w:rPr>
          <w:rFonts w:hint="eastAsia" w:ascii="宋体" w:hAnsi="宋体" w:cs="宋体"/>
          <w:color w:val="auto"/>
          <w:szCs w:val="21"/>
          <w:highlight w:val="none"/>
        </w:rPr>
      </w:pPr>
    </w:p>
    <w:p w14:paraId="39AC0A23">
      <w:pPr>
        <w:rPr>
          <w:rFonts w:hint="eastAsia" w:ascii="宋体" w:hAnsi="宋体" w:cs="宋体"/>
          <w:color w:val="auto"/>
          <w:szCs w:val="21"/>
          <w:highlight w:val="none"/>
          <w:u w:val="single"/>
        </w:rPr>
      </w:pPr>
    </w:p>
    <w:p w14:paraId="4EE962A6">
      <w:pPr>
        <w:rPr>
          <w:rFonts w:hint="eastAsia" w:ascii="宋体" w:hAnsi="宋体" w:cs="宋体"/>
          <w:color w:val="auto"/>
          <w:szCs w:val="21"/>
          <w:highlight w:val="none"/>
        </w:rPr>
      </w:pPr>
    </w:p>
    <w:p w14:paraId="58E25551">
      <w:pPr>
        <w:keepNext/>
        <w:pageBreakBefore/>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2、目录及内容</w:t>
      </w:r>
    </w:p>
    <w:p w14:paraId="03D40B5C">
      <w:pPr>
        <w:autoSpaceDE w:val="0"/>
        <w:autoSpaceDN w:val="0"/>
        <w:adjustRightInd w:val="0"/>
        <w:snapToGrid w:val="0"/>
        <w:spacing w:line="360" w:lineRule="auto"/>
        <w:ind w:firstLine="426" w:firstLineChars="202"/>
        <w:textAlignment w:val="bottom"/>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6DD2C73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14:paraId="184703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法人营业执照副本、组织机构代码证副本及税务登记证副本或“三证合一”的营业执照或“五证合一”的营业执照副本复印件；</w:t>
      </w:r>
    </w:p>
    <w:p w14:paraId="6888CF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3、法定代表人身份证明书和授权委托书（格式见附件）；</w:t>
      </w:r>
    </w:p>
    <w:p w14:paraId="47AF6F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中小企业声明函（注：本项目为专门面向中小企业采购，投标供应商非中小企业的，资格审查不通过；符合上述条件的中小微型企业应按照磋商文件附件的格式要求在资格证明文件中提供《中小企业声明函》）。</w:t>
      </w:r>
    </w:p>
    <w:p w14:paraId="2DB830D1">
      <w:pPr>
        <w:spacing w:line="360" w:lineRule="auto"/>
        <w:ind w:firstLine="420" w:firstLineChars="200"/>
        <w:rPr>
          <w:rFonts w:hint="eastAsia" w:ascii="宋体" w:hAnsi="宋体" w:cs="宋体"/>
          <w:color w:val="auto"/>
          <w:szCs w:val="21"/>
          <w:highlight w:val="none"/>
        </w:rPr>
      </w:pPr>
    </w:p>
    <w:p w14:paraId="78CE5606">
      <w:pPr>
        <w:spacing w:line="280" w:lineRule="exact"/>
        <w:ind w:firstLine="411" w:firstLineChars="196"/>
        <w:rPr>
          <w:rFonts w:hint="eastAsia" w:ascii="宋体" w:hAnsi="宋体" w:cs="宋体"/>
          <w:color w:val="auto"/>
          <w:szCs w:val="21"/>
          <w:highlight w:val="none"/>
        </w:rPr>
      </w:pPr>
    </w:p>
    <w:p w14:paraId="410D70DA">
      <w:pPr>
        <w:spacing w:line="280" w:lineRule="exact"/>
        <w:ind w:firstLine="411" w:firstLineChars="196"/>
        <w:rPr>
          <w:rFonts w:hint="eastAsia" w:ascii="宋体" w:hAnsi="宋体" w:cs="宋体"/>
          <w:color w:val="auto"/>
          <w:szCs w:val="21"/>
          <w:highlight w:val="none"/>
        </w:rPr>
      </w:pPr>
    </w:p>
    <w:p w14:paraId="5B0DDA63">
      <w:pPr>
        <w:spacing w:line="280" w:lineRule="exact"/>
        <w:ind w:firstLine="411" w:firstLineChars="196"/>
        <w:rPr>
          <w:rFonts w:hint="eastAsia" w:ascii="宋体" w:hAnsi="宋体" w:cs="宋体"/>
          <w:color w:val="auto"/>
          <w:szCs w:val="21"/>
          <w:highlight w:val="none"/>
        </w:rPr>
      </w:pPr>
    </w:p>
    <w:p w14:paraId="680ACA5D">
      <w:pPr>
        <w:spacing w:line="280" w:lineRule="exact"/>
        <w:ind w:firstLine="411" w:firstLineChars="196"/>
        <w:rPr>
          <w:rFonts w:hint="eastAsia" w:ascii="宋体" w:hAnsi="宋体" w:cs="宋体"/>
          <w:color w:val="auto"/>
          <w:szCs w:val="21"/>
          <w:highlight w:val="none"/>
        </w:rPr>
      </w:pPr>
    </w:p>
    <w:p w14:paraId="3912E276">
      <w:pPr>
        <w:spacing w:line="280" w:lineRule="exact"/>
        <w:ind w:firstLine="411" w:firstLineChars="196"/>
        <w:rPr>
          <w:rFonts w:hint="eastAsia" w:ascii="宋体" w:hAnsi="宋体" w:cs="宋体"/>
          <w:color w:val="auto"/>
          <w:szCs w:val="21"/>
          <w:highlight w:val="none"/>
        </w:rPr>
      </w:pPr>
    </w:p>
    <w:p w14:paraId="20649473">
      <w:pPr>
        <w:spacing w:line="280" w:lineRule="exact"/>
        <w:ind w:firstLine="411" w:firstLineChars="196"/>
        <w:rPr>
          <w:rFonts w:hint="eastAsia" w:ascii="宋体" w:hAnsi="宋体" w:cs="宋体"/>
          <w:color w:val="auto"/>
          <w:szCs w:val="21"/>
          <w:highlight w:val="none"/>
        </w:rPr>
      </w:pPr>
    </w:p>
    <w:p w14:paraId="4690467A">
      <w:pPr>
        <w:spacing w:line="280" w:lineRule="exact"/>
        <w:ind w:firstLine="411" w:firstLineChars="196"/>
        <w:rPr>
          <w:rFonts w:hint="eastAsia" w:ascii="宋体" w:hAnsi="宋体" w:cs="宋体"/>
          <w:color w:val="auto"/>
          <w:szCs w:val="21"/>
          <w:highlight w:val="none"/>
        </w:rPr>
      </w:pPr>
    </w:p>
    <w:p w14:paraId="6194F775">
      <w:pPr>
        <w:spacing w:line="280" w:lineRule="exact"/>
        <w:ind w:firstLine="411" w:firstLineChars="196"/>
        <w:rPr>
          <w:rFonts w:hint="eastAsia" w:ascii="宋体" w:hAnsi="宋体" w:cs="宋体"/>
          <w:color w:val="auto"/>
          <w:szCs w:val="21"/>
          <w:highlight w:val="none"/>
        </w:rPr>
      </w:pPr>
    </w:p>
    <w:p w14:paraId="6020C8C3">
      <w:pPr>
        <w:spacing w:line="280" w:lineRule="exact"/>
        <w:ind w:firstLine="411" w:firstLineChars="196"/>
        <w:rPr>
          <w:rFonts w:hint="eastAsia" w:ascii="宋体" w:hAnsi="宋体" w:cs="宋体"/>
          <w:color w:val="auto"/>
          <w:szCs w:val="21"/>
          <w:highlight w:val="none"/>
        </w:rPr>
      </w:pPr>
    </w:p>
    <w:p w14:paraId="232A4F5C">
      <w:pPr>
        <w:spacing w:line="280" w:lineRule="exact"/>
        <w:ind w:firstLine="411" w:firstLineChars="196"/>
        <w:rPr>
          <w:rFonts w:hint="eastAsia" w:ascii="宋体" w:hAnsi="宋体" w:cs="宋体"/>
          <w:color w:val="auto"/>
          <w:szCs w:val="21"/>
          <w:highlight w:val="none"/>
        </w:rPr>
      </w:pPr>
    </w:p>
    <w:p w14:paraId="1FB6D5AD">
      <w:pPr>
        <w:spacing w:line="280" w:lineRule="exact"/>
        <w:ind w:firstLine="411" w:firstLineChars="196"/>
        <w:rPr>
          <w:rFonts w:hint="eastAsia" w:ascii="宋体" w:hAnsi="宋体" w:cs="宋体"/>
          <w:color w:val="auto"/>
          <w:szCs w:val="21"/>
          <w:highlight w:val="none"/>
        </w:rPr>
      </w:pPr>
    </w:p>
    <w:p w14:paraId="2E15B2FC">
      <w:pPr>
        <w:spacing w:line="280" w:lineRule="exact"/>
        <w:ind w:firstLine="411" w:firstLineChars="196"/>
        <w:rPr>
          <w:rFonts w:hint="eastAsia" w:ascii="宋体" w:hAnsi="宋体" w:cs="宋体"/>
          <w:color w:val="auto"/>
          <w:szCs w:val="21"/>
          <w:highlight w:val="none"/>
        </w:rPr>
      </w:pPr>
    </w:p>
    <w:p w14:paraId="46FC4161">
      <w:pPr>
        <w:spacing w:line="280" w:lineRule="exact"/>
        <w:ind w:firstLine="411" w:firstLineChars="196"/>
        <w:rPr>
          <w:rFonts w:hint="eastAsia" w:ascii="宋体" w:hAnsi="宋体" w:cs="宋体"/>
          <w:color w:val="auto"/>
          <w:szCs w:val="21"/>
          <w:highlight w:val="none"/>
        </w:rPr>
      </w:pPr>
    </w:p>
    <w:p w14:paraId="54717F16">
      <w:pPr>
        <w:spacing w:line="280" w:lineRule="exact"/>
        <w:ind w:firstLine="411" w:firstLineChars="196"/>
        <w:rPr>
          <w:rFonts w:hint="eastAsia" w:ascii="宋体" w:hAnsi="宋体" w:cs="宋体"/>
          <w:color w:val="auto"/>
          <w:szCs w:val="21"/>
          <w:highlight w:val="none"/>
        </w:rPr>
      </w:pPr>
    </w:p>
    <w:p w14:paraId="0A87C5B4">
      <w:pPr>
        <w:spacing w:line="280" w:lineRule="exact"/>
        <w:ind w:firstLine="411" w:firstLineChars="196"/>
        <w:rPr>
          <w:rFonts w:hint="eastAsia" w:ascii="宋体" w:hAnsi="宋体" w:cs="宋体"/>
          <w:color w:val="auto"/>
          <w:szCs w:val="21"/>
          <w:highlight w:val="none"/>
        </w:rPr>
      </w:pPr>
    </w:p>
    <w:p w14:paraId="0A3F7BDD">
      <w:pPr>
        <w:spacing w:line="280" w:lineRule="exact"/>
        <w:ind w:firstLine="411" w:firstLineChars="196"/>
        <w:rPr>
          <w:rFonts w:hint="eastAsia" w:ascii="宋体" w:hAnsi="宋体" w:cs="宋体"/>
          <w:color w:val="auto"/>
          <w:szCs w:val="21"/>
          <w:highlight w:val="none"/>
        </w:rPr>
      </w:pPr>
    </w:p>
    <w:p w14:paraId="2B5E1D96">
      <w:pPr>
        <w:spacing w:line="280" w:lineRule="exact"/>
        <w:ind w:firstLine="411" w:firstLineChars="196"/>
        <w:rPr>
          <w:rFonts w:hint="eastAsia" w:ascii="宋体" w:hAnsi="宋体" w:cs="宋体"/>
          <w:color w:val="auto"/>
          <w:szCs w:val="21"/>
          <w:highlight w:val="none"/>
        </w:rPr>
      </w:pPr>
    </w:p>
    <w:p w14:paraId="16B85590">
      <w:pPr>
        <w:spacing w:line="280" w:lineRule="exact"/>
        <w:ind w:firstLine="411" w:firstLineChars="196"/>
        <w:rPr>
          <w:rFonts w:hint="eastAsia" w:ascii="宋体" w:hAnsi="宋体" w:cs="宋体"/>
          <w:color w:val="auto"/>
          <w:szCs w:val="21"/>
          <w:highlight w:val="none"/>
        </w:rPr>
      </w:pPr>
    </w:p>
    <w:p w14:paraId="78F5C1DE">
      <w:pPr>
        <w:spacing w:line="280" w:lineRule="exact"/>
        <w:ind w:firstLine="411" w:firstLineChars="196"/>
        <w:rPr>
          <w:rFonts w:hint="eastAsia" w:ascii="宋体" w:hAnsi="宋体" w:cs="宋体"/>
          <w:color w:val="auto"/>
          <w:szCs w:val="21"/>
          <w:highlight w:val="none"/>
        </w:rPr>
      </w:pPr>
    </w:p>
    <w:p w14:paraId="57DA20D5">
      <w:pPr>
        <w:spacing w:line="280" w:lineRule="exact"/>
        <w:ind w:firstLine="411" w:firstLineChars="196"/>
        <w:rPr>
          <w:rFonts w:hint="eastAsia" w:ascii="宋体" w:hAnsi="宋体" w:cs="宋体"/>
          <w:color w:val="auto"/>
          <w:szCs w:val="21"/>
          <w:highlight w:val="none"/>
        </w:rPr>
      </w:pPr>
    </w:p>
    <w:p w14:paraId="22AE7403">
      <w:pPr>
        <w:spacing w:line="280" w:lineRule="exact"/>
        <w:ind w:firstLine="411" w:firstLineChars="196"/>
        <w:rPr>
          <w:rFonts w:hint="eastAsia" w:ascii="宋体" w:hAnsi="宋体" w:cs="宋体"/>
          <w:color w:val="auto"/>
          <w:szCs w:val="21"/>
          <w:highlight w:val="none"/>
        </w:rPr>
      </w:pPr>
    </w:p>
    <w:p w14:paraId="26718520">
      <w:pPr>
        <w:spacing w:line="280" w:lineRule="exact"/>
        <w:ind w:firstLine="411" w:firstLineChars="196"/>
        <w:rPr>
          <w:rFonts w:hint="eastAsia" w:ascii="宋体" w:hAnsi="宋体" w:cs="宋体"/>
          <w:color w:val="auto"/>
          <w:szCs w:val="21"/>
          <w:highlight w:val="none"/>
        </w:rPr>
      </w:pPr>
    </w:p>
    <w:p w14:paraId="0451E411">
      <w:pPr>
        <w:spacing w:line="280" w:lineRule="exact"/>
        <w:ind w:firstLine="411" w:firstLineChars="196"/>
        <w:rPr>
          <w:rFonts w:hint="eastAsia" w:ascii="宋体" w:hAnsi="宋体" w:cs="宋体"/>
          <w:color w:val="auto"/>
          <w:szCs w:val="21"/>
          <w:highlight w:val="none"/>
        </w:rPr>
      </w:pPr>
    </w:p>
    <w:p w14:paraId="2AFF7227">
      <w:pPr>
        <w:spacing w:line="280" w:lineRule="exact"/>
        <w:ind w:firstLine="411" w:firstLineChars="196"/>
        <w:rPr>
          <w:rFonts w:hint="eastAsia" w:ascii="宋体" w:hAnsi="宋体" w:cs="宋体"/>
          <w:color w:val="auto"/>
          <w:szCs w:val="21"/>
          <w:highlight w:val="none"/>
        </w:rPr>
      </w:pPr>
    </w:p>
    <w:p w14:paraId="488E05E2">
      <w:pPr>
        <w:spacing w:line="280" w:lineRule="exact"/>
        <w:ind w:firstLine="411" w:firstLineChars="196"/>
        <w:rPr>
          <w:rFonts w:hint="eastAsia" w:ascii="宋体" w:hAnsi="宋体" w:cs="宋体"/>
          <w:color w:val="auto"/>
          <w:szCs w:val="21"/>
          <w:highlight w:val="none"/>
        </w:rPr>
      </w:pPr>
    </w:p>
    <w:p w14:paraId="11279CB1">
      <w:pPr>
        <w:spacing w:line="280" w:lineRule="exact"/>
        <w:ind w:firstLine="411" w:firstLineChars="196"/>
        <w:rPr>
          <w:rFonts w:hint="eastAsia" w:ascii="宋体" w:hAnsi="宋体" w:cs="宋体"/>
          <w:color w:val="auto"/>
          <w:szCs w:val="21"/>
          <w:highlight w:val="none"/>
        </w:rPr>
      </w:pPr>
    </w:p>
    <w:p w14:paraId="671606A5">
      <w:pPr>
        <w:spacing w:line="280" w:lineRule="exact"/>
        <w:ind w:firstLine="411" w:firstLineChars="196"/>
        <w:rPr>
          <w:rFonts w:hint="eastAsia" w:ascii="宋体" w:hAnsi="宋体" w:cs="宋体"/>
          <w:color w:val="auto"/>
          <w:szCs w:val="21"/>
          <w:highlight w:val="none"/>
        </w:rPr>
      </w:pPr>
    </w:p>
    <w:p w14:paraId="44B48432">
      <w:pPr>
        <w:pStyle w:val="72"/>
        <w:rPr>
          <w:rFonts w:hint="eastAsia" w:ascii="宋体" w:hAnsi="宋体" w:cs="宋体"/>
          <w:color w:val="auto"/>
          <w:szCs w:val="21"/>
          <w:highlight w:val="none"/>
        </w:rPr>
      </w:pPr>
    </w:p>
    <w:p w14:paraId="386A5446">
      <w:pPr>
        <w:spacing w:line="280" w:lineRule="exact"/>
        <w:ind w:firstLine="411" w:firstLineChars="196"/>
        <w:rPr>
          <w:rFonts w:hint="eastAsia" w:ascii="宋体" w:hAnsi="宋体" w:cs="宋体"/>
          <w:color w:val="auto"/>
          <w:szCs w:val="21"/>
          <w:highlight w:val="none"/>
        </w:rPr>
      </w:pPr>
    </w:p>
    <w:p w14:paraId="57A23DBC">
      <w:pPr>
        <w:spacing w:line="280" w:lineRule="exact"/>
        <w:ind w:firstLine="411" w:firstLineChars="196"/>
        <w:rPr>
          <w:rFonts w:hint="eastAsia" w:ascii="宋体" w:hAnsi="宋体" w:cs="宋体"/>
          <w:color w:val="auto"/>
          <w:szCs w:val="21"/>
          <w:highlight w:val="none"/>
        </w:rPr>
      </w:pPr>
    </w:p>
    <w:p w14:paraId="30ABC252">
      <w:pPr>
        <w:spacing w:line="280" w:lineRule="exact"/>
        <w:rPr>
          <w:rFonts w:hint="eastAsia" w:ascii="宋体" w:hAnsi="宋体" w:cs="宋体"/>
          <w:color w:val="auto"/>
          <w:szCs w:val="21"/>
          <w:highlight w:val="none"/>
        </w:rPr>
      </w:pPr>
    </w:p>
    <w:p w14:paraId="5E67DDE0">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3、磋商申请函</w:t>
      </w:r>
    </w:p>
    <w:p w14:paraId="27E6F8D1">
      <w:pPr>
        <w:spacing w:line="360" w:lineRule="auto"/>
        <w:jc w:val="center"/>
        <w:rPr>
          <w:rFonts w:hint="eastAsia" w:ascii="宋体" w:hAnsi="宋体" w:cs="宋体"/>
          <w:color w:val="auto"/>
          <w:szCs w:val="21"/>
          <w:highlight w:val="none"/>
        </w:rPr>
      </w:pPr>
      <w:r>
        <w:rPr>
          <w:rFonts w:hint="eastAsia" w:ascii="宋体" w:hAnsi="宋体" w:cs="宋体"/>
          <w:b/>
          <w:bCs/>
          <w:color w:val="auto"/>
          <w:sz w:val="30"/>
          <w:szCs w:val="30"/>
          <w:highlight w:val="none"/>
        </w:rPr>
        <w:t>磋 商 申 请 函</w:t>
      </w:r>
      <w:r>
        <w:rPr>
          <w:rFonts w:hint="eastAsia" w:ascii="宋体" w:hAnsi="宋体" w:cs="宋体"/>
          <w:color w:val="auto"/>
          <w:szCs w:val="21"/>
          <w:highlight w:val="none"/>
        </w:rPr>
        <w:t xml:space="preserve"> </w:t>
      </w:r>
    </w:p>
    <w:p w14:paraId="05730ACF">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致                 ：</w:t>
      </w:r>
    </w:p>
    <w:p w14:paraId="79370BAC">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（供应商全称）  </w:t>
      </w:r>
      <w:r>
        <w:rPr>
          <w:rFonts w:hint="eastAsia" w:ascii="宋体" w:hAnsi="宋体" w:cs="宋体"/>
          <w:color w:val="auto"/>
          <w:szCs w:val="21"/>
          <w:highlight w:val="none"/>
        </w:rPr>
        <w:t xml:space="preserve"> 授权 </w:t>
      </w:r>
      <w:r>
        <w:rPr>
          <w:rFonts w:hint="eastAsia" w:ascii="宋体" w:hAnsi="宋体" w:cs="宋体"/>
          <w:color w:val="auto"/>
          <w:szCs w:val="21"/>
          <w:highlight w:val="none"/>
          <w:u w:val="single"/>
        </w:rPr>
        <w:t xml:space="preserve">   （授权代表名称、职务、职称）    </w:t>
      </w:r>
      <w:r>
        <w:rPr>
          <w:rFonts w:hint="eastAsia" w:ascii="宋体" w:hAnsi="宋体" w:cs="宋体"/>
          <w:color w:val="auto"/>
          <w:szCs w:val="21"/>
          <w:highlight w:val="none"/>
        </w:rPr>
        <w:t xml:space="preserve"> 为本公司授权代表，参加贵方组织的</w:t>
      </w:r>
      <w:r>
        <w:rPr>
          <w:rFonts w:hint="eastAsia" w:ascii="宋体" w:hAnsi="宋体" w:cs="宋体"/>
          <w:color w:val="auto"/>
          <w:szCs w:val="21"/>
          <w:highlight w:val="none"/>
          <w:u w:val="single"/>
        </w:rPr>
        <w:t xml:space="preserve">  项目名称（项目编号）  </w:t>
      </w:r>
      <w:r>
        <w:rPr>
          <w:rFonts w:hint="eastAsia" w:ascii="宋体" w:hAnsi="宋体" w:cs="宋体"/>
          <w:color w:val="auto"/>
          <w:szCs w:val="21"/>
          <w:highlight w:val="none"/>
        </w:rPr>
        <w:t xml:space="preserve"> 竞争性磋商有关活动，进行磋商。为此</w:t>
      </w:r>
      <w:r>
        <w:rPr>
          <w:rFonts w:hint="eastAsia" w:ascii="宋体" w:hAnsi="宋体" w:cs="宋体"/>
          <w:color w:val="auto"/>
          <w:szCs w:val="21"/>
          <w:highlight w:val="none"/>
          <w:lang w:val="zh-CN"/>
        </w:rPr>
        <w:t>承诺如下</w:t>
      </w:r>
      <w:r>
        <w:rPr>
          <w:rFonts w:hint="eastAsia" w:ascii="宋体" w:hAnsi="宋体" w:cs="宋体"/>
          <w:color w:val="auto"/>
          <w:szCs w:val="21"/>
          <w:highlight w:val="none"/>
        </w:rPr>
        <w:t xml:space="preserve">：  </w:t>
      </w:r>
    </w:p>
    <w:p w14:paraId="2AC5F46F">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1、 按照磋商文件要求制作并提交规定的电子档加密响应文件1份、备份响应文件1份。</w:t>
      </w:r>
    </w:p>
    <w:p w14:paraId="72F2BDC8">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2、本项目负责人：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FB13C13">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3、保证遵守磋商文件中的有关规定和收费标准。</w:t>
      </w:r>
    </w:p>
    <w:p w14:paraId="458EBFFF">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4、保证严格执行甲、乙双方所签的合同，并承担全部规定的责任义务。</w:t>
      </w:r>
    </w:p>
    <w:p w14:paraId="2C0670F2">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5、我们已详细审查全部磋商文件，包括磋商补充文件（如果有的话）。我们完全理解并同意放弃对这方面有不明及误解的权力。</w:t>
      </w:r>
    </w:p>
    <w:p w14:paraId="600ED777">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6、我们已对项目现场进行实地踏勘，充分了解项目要求。</w:t>
      </w:r>
    </w:p>
    <w:p w14:paraId="428DED46">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7、愿意向贵方提供任何与该项目有关的数据、情况和技术资料，完全理解贵方不一定接受最低价成交的决定。</w:t>
      </w:r>
    </w:p>
    <w:p w14:paraId="1699B0D2">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8、我方承诺已经具备招标文件规定的参加本项目政府采购活动的供应商应当具备的条件：</w:t>
      </w:r>
    </w:p>
    <w:p w14:paraId="2C5DFD5A">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1DFAFEA">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0F24C172">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0943BE39">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7631929">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14:paraId="108AB0DD">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（6）至本项目投标截止时间前，我方未列入失信被执行人、重大税收违法案件当事人名单、政府采购严重违法失信行为记录名单；</w:t>
      </w:r>
    </w:p>
    <w:p w14:paraId="42735122">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9、我方承诺：最近三年我方无行贿犯罪行为，若我方成交，愿意接受社会监督和检察院调查。                         </w:t>
      </w:r>
    </w:p>
    <w:p w14:paraId="3C67A10F">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10、本文件自磋商之日起 90 天内有效。</w:t>
      </w:r>
    </w:p>
    <w:p w14:paraId="677653FC">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11、与本项目有关的一切往来通讯请寄：</w:t>
      </w:r>
    </w:p>
    <w:p w14:paraId="483564D4">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43E5F85">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474ED213">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43C9BAD4">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2E706228">
      <w:pPr>
        <w:pStyle w:val="16"/>
        <w:spacing w:line="360" w:lineRule="auto"/>
        <w:ind w:right="839" w:firstLine="420" w:firstLineChars="200"/>
        <w:rPr>
          <w:rFonts w:hint="eastAsia" w:cs="宋体"/>
          <w:color w:val="auto"/>
          <w:sz w:val="21"/>
          <w:szCs w:val="21"/>
          <w:highlight w:val="none"/>
        </w:rPr>
      </w:pPr>
      <w:r>
        <w:rPr>
          <w:rFonts w:hint="eastAsia" w:cs="宋体"/>
          <w:color w:val="auto"/>
          <w:sz w:val="21"/>
          <w:szCs w:val="21"/>
          <w:highlight w:val="none"/>
        </w:rPr>
        <w:t xml:space="preserve">日期：     </w:t>
      </w:r>
    </w:p>
    <w:p w14:paraId="617C077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0AC588A6">
      <w:pPr>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4、法定代表人身份证明书</w:t>
      </w:r>
    </w:p>
    <w:p w14:paraId="0110E8B7">
      <w:pPr>
        <w:spacing w:before="156" w:beforeLines="50" w:after="156" w:afterLines="50" w:line="400" w:lineRule="exact"/>
        <w:jc w:val="center"/>
        <w:rPr>
          <w:rFonts w:hint="eastAsia" w:ascii="宋体" w:hAnsi="宋体" w:cs="宋体"/>
          <w:bCs/>
          <w:color w:val="auto"/>
          <w:szCs w:val="21"/>
          <w:highlight w:val="none"/>
        </w:rPr>
      </w:pPr>
    </w:p>
    <w:p w14:paraId="02968B09">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法定代表人身份证明书</w:t>
      </w:r>
    </w:p>
    <w:p w14:paraId="568956E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6B8A38D8">
      <w:pPr>
        <w:spacing w:before="156" w:beforeLines="50" w:after="156" w:afterLines="50" w:line="400" w:lineRule="exact"/>
        <w:rPr>
          <w:rFonts w:hint="eastAsia" w:ascii="宋体" w:hAnsi="宋体" w:cs="宋体"/>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BA88CDC">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14:paraId="47DAA7EC">
      <w:pPr>
        <w:spacing w:before="156" w:beforeLines="50" w:after="156" w:afterLines="50" w:line="400" w:lineRule="exact"/>
        <w:rPr>
          <w:rFonts w:hint="eastAsia" w:ascii="宋体" w:hAnsi="宋体" w:cs="宋体"/>
          <w:color w:val="auto"/>
          <w:szCs w:val="21"/>
          <w:highlight w:val="none"/>
        </w:rPr>
      </w:pPr>
    </w:p>
    <w:p w14:paraId="5F6F47E4">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特此证明</w:t>
      </w:r>
    </w:p>
    <w:p w14:paraId="5378E882">
      <w:pPr>
        <w:spacing w:before="156" w:beforeLines="50" w:after="156" w:afterLines="50" w:line="400" w:lineRule="exact"/>
        <w:jc w:val="right"/>
        <w:rPr>
          <w:rFonts w:hint="eastAsia" w:ascii="宋体" w:hAnsi="宋体" w:cs="宋体"/>
          <w:color w:val="auto"/>
          <w:szCs w:val="21"/>
          <w:highlight w:val="none"/>
        </w:rPr>
      </w:pPr>
    </w:p>
    <w:p w14:paraId="34661960">
      <w:pPr>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14:paraId="6783BEEA">
      <w:pPr>
        <w:wordWrap w:val="0"/>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4C0E9D5A">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14:paraId="5F1F93E9">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附法定代表人身份证复印件</w:t>
      </w:r>
    </w:p>
    <w:p w14:paraId="396105AD">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8DA2E2A">
      <w:pPr>
        <w:spacing w:before="156" w:beforeLines="50" w:after="156" w:afterLines="50" w:line="400" w:lineRule="exact"/>
        <w:rPr>
          <w:rFonts w:hint="eastAsia" w:ascii="宋体" w:hAnsi="宋体" w:cs="宋体"/>
          <w:color w:val="auto"/>
          <w:szCs w:val="21"/>
          <w:highlight w:val="none"/>
        </w:rPr>
      </w:pPr>
    </w:p>
    <w:p w14:paraId="2F9DAFBF">
      <w:pPr>
        <w:spacing w:before="156" w:beforeLines="50" w:after="156" w:afterLines="50" w:line="400" w:lineRule="exact"/>
        <w:rPr>
          <w:rFonts w:hint="eastAsia" w:ascii="宋体" w:hAnsi="宋体" w:cs="宋体"/>
          <w:color w:val="auto"/>
          <w:szCs w:val="21"/>
          <w:highlight w:val="none"/>
        </w:rPr>
      </w:pPr>
    </w:p>
    <w:p w14:paraId="0365D202">
      <w:pPr>
        <w:spacing w:line="400" w:lineRule="exact"/>
        <w:rPr>
          <w:rFonts w:hint="eastAsia" w:ascii="宋体" w:hAnsi="宋体" w:cs="宋体"/>
          <w:color w:val="auto"/>
          <w:szCs w:val="21"/>
          <w:highlight w:val="none"/>
        </w:rPr>
      </w:pPr>
    </w:p>
    <w:p w14:paraId="4771B7A3">
      <w:pPr>
        <w:spacing w:line="400" w:lineRule="exact"/>
        <w:rPr>
          <w:rFonts w:hint="eastAsia" w:ascii="宋体" w:hAnsi="宋体" w:cs="宋体"/>
          <w:color w:val="auto"/>
          <w:szCs w:val="21"/>
          <w:highlight w:val="none"/>
        </w:rPr>
      </w:pPr>
    </w:p>
    <w:p w14:paraId="3C8414D1">
      <w:pPr>
        <w:spacing w:line="400" w:lineRule="exact"/>
        <w:rPr>
          <w:rFonts w:hint="eastAsia" w:ascii="宋体" w:hAnsi="宋体" w:cs="宋体"/>
          <w:color w:val="auto"/>
          <w:szCs w:val="21"/>
          <w:highlight w:val="none"/>
        </w:rPr>
      </w:pPr>
    </w:p>
    <w:p w14:paraId="79DE29CA">
      <w:pPr>
        <w:spacing w:line="400" w:lineRule="exact"/>
        <w:rPr>
          <w:rFonts w:hint="eastAsia" w:ascii="宋体" w:hAnsi="宋体" w:cs="宋体"/>
          <w:color w:val="auto"/>
          <w:szCs w:val="21"/>
          <w:highlight w:val="none"/>
        </w:rPr>
      </w:pPr>
    </w:p>
    <w:p w14:paraId="26C5BEC1">
      <w:pPr>
        <w:spacing w:line="400" w:lineRule="exact"/>
        <w:rPr>
          <w:rFonts w:hint="eastAsia" w:ascii="宋体" w:hAnsi="宋体" w:cs="宋体"/>
          <w:color w:val="auto"/>
          <w:szCs w:val="21"/>
          <w:highlight w:val="none"/>
        </w:rPr>
      </w:pPr>
    </w:p>
    <w:p w14:paraId="782FD662">
      <w:pPr>
        <w:spacing w:line="400" w:lineRule="exact"/>
        <w:rPr>
          <w:rFonts w:hint="eastAsia" w:ascii="宋体" w:hAnsi="宋体" w:cs="宋体"/>
          <w:color w:val="auto"/>
          <w:szCs w:val="21"/>
          <w:highlight w:val="none"/>
        </w:rPr>
      </w:pPr>
    </w:p>
    <w:p w14:paraId="5E39D3C9">
      <w:pPr>
        <w:spacing w:line="400" w:lineRule="exact"/>
        <w:rPr>
          <w:rFonts w:hint="eastAsia" w:ascii="宋体" w:hAnsi="宋体" w:cs="宋体"/>
          <w:color w:val="auto"/>
          <w:szCs w:val="21"/>
          <w:highlight w:val="none"/>
        </w:rPr>
      </w:pPr>
    </w:p>
    <w:p w14:paraId="20C3FF08">
      <w:pPr>
        <w:spacing w:line="400" w:lineRule="exact"/>
        <w:rPr>
          <w:rFonts w:hint="eastAsia" w:ascii="宋体" w:hAnsi="宋体" w:cs="宋体"/>
          <w:color w:val="auto"/>
          <w:szCs w:val="21"/>
          <w:highlight w:val="none"/>
        </w:rPr>
      </w:pPr>
    </w:p>
    <w:p w14:paraId="519BE3E8">
      <w:pPr>
        <w:spacing w:line="400" w:lineRule="exact"/>
        <w:rPr>
          <w:rFonts w:hint="eastAsia" w:ascii="宋体" w:hAnsi="宋体" w:cs="宋体"/>
          <w:color w:val="auto"/>
          <w:szCs w:val="21"/>
          <w:highlight w:val="none"/>
        </w:rPr>
      </w:pPr>
    </w:p>
    <w:p w14:paraId="5C69F38E">
      <w:pPr>
        <w:spacing w:line="400" w:lineRule="exact"/>
        <w:rPr>
          <w:rFonts w:hint="eastAsia" w:ascii="宋体" w:hAnsi="宋体" w:cs="宋体"/>
          <w:color w:val="auto"/>
          <w:szCs w:val="21"/>
          <w:highlight w:val="none"/>
        </w:rPr>
      </w:pPr>
    </w:p>
    <w:p w14:paraId="2CE163D4">
      <w:pPr>
        <w:spacing w:line="400" w:lineRule="exact"/>
        <w:rPr>
          <w:rFonts w:hint="eastAsia" w:ascii="宋体" w:hAnsi="宋体" w:cs="宋体"/>
          <w:color w:val="auto"/>
          <w:szCs w:val="21"/>
          <w:highlight w:val="none"/>
        </w:rPr>
      </w:pPr>
    </w:p>
    <w:p w14:paraId="2762E571">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5、法定代表人授权委托书格式</w:t>
      </w:r>
    </w:p>
    <w:p w14:paraId="51944364">
      <w:pPr>
        <w:spacing w:before="156" w:beforeLines="50" w:after="156" w:afterLines="50" w:line="400" w:lineRule="exact"/>
        <w:jc w:val="center"/>
        <w:rPr>
          <w:rFonts w:hint="eastAsia" w:ascii="宋体" w:hAnsi="宋体" w:cs="宋体"/>
          <w:bCs/>
          <w:color w:val="auto"/>
          <w:szCs w:val="21"/>
          <w:highlight w:val="none"/>
        </w:rPr>
      </w:pPr>
    </w:p>
    <w:p w14:paraId="13545F58">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法定代表人授权委托书</w:t>
      </w:r>
    </w:p>
    <w:p w14:paraId="584F33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31D245FD">
      <w:pPr>
        <w:spacing w:line="360" w:lineRule="auto"/>
        <w:ind w:firstLine="612"/>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（授权代表姓名）  </w:t>
      </w:r>
      <w:r>
        <w:rPr>
          <w:rFonts w:hint="eastAsia" w:ascii="宋体" w:hAnsi="宋体" w:cs="宋体"/>
          <w:color w:val="auto"/>
          <w:szCs w:val="21"/>
          <w:highlight w:val="none"/>
        </w:rPr>
        <w:t xml:space="preserve">为我公司法定代表人授权代表，参加贵处组织的  </w:t>
      </w:r>
      <w:r>
        <w:rPr>
          <w:rFonts w:hint="eastAsia" w:ascii="宋体" w:hAnsi="宋体" w:cs="宋体"/>
          <w:color w:val="auto"/>
          <w:szCs w:val="21"/>
          <w:highlight w:val="none"/>
          <w:u w:val="single"/>
        </w:rPr>
        <w:t xml:space="preserve">项目名称， （项目编号）  </w:t>
      </w:r>
      <w:r>
        <w:rPr>
          <w:rFonts w:hint="eastAsia" w:ascii="宋体" w:hAnsi="宋体" w:cs="宋体"/>
          <w:color w:val="auto"/>
          <w:szCs w:val="21"/>
          <w:highlight w:val="none"/>
        </w:rPr>
        <w:t>项目谈判，全权处理本次谈判活动中的一切事宜，我承认授权代表全权代表我所签署的本项目的响应文件的内容。</w:t>
      </w:r>
    </w:p>
    <w:p w14:paraId="4EBFC5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授权代表无转授权，特此授权。</w:t>
      </w:r>
    </w:p>
    <w:p w14:paraId="773AD950">
      <w:pPr>
        <w:spacing w:line="360" w:lineRule="auto"/>
        <w:ind w:firstLine="420" w:firstLineChars="200"/>
        <w:rPr>
          <w:rFonts w:hint="eastAsia" w:ascii="宋体" w:hAnsi="宋体" w:cs="宋体"/>
          <w:color w:val="auto"/>
          <w:szCs w:val="21"/>
          <w:highlight w:val="none"/>
        </w:rPr>
      </w:pPr>
    </w:p>
    <w:p w14:paraId="5F9C75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（签字）  </w:t>
      </w:r>
      <w:r>
        <w:rPr>
          <w:rFonts w:hint="eastAsia" w:ascii="宋体" w:hAnsi="宋体" w:cs="宋体"/>
          <w:color w:val="auto"/>
          <w:szCs w:val="21"/>
          <w:highlight w:val="none"/>
        </w:rPr>
        <w:t xml:space="preserve"> 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0D824FF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详细通讯地址：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653E40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20C067AB">
      <w:pPr>
        <w:ind w:left="1" w:firstLine="403" w:firstLineChars="192"/>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ED1C5D2">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供应商名称：（盖章）</w:t>
      </w:r>
      <w:r>
        <w:rPr>
          <w:rFonts w:hint="eastAsia" w:ascii="宋体" w:hAnsi="宋体" w:cs="宋体"/>
          <w:color w:val="auto"/>
          <w:szCs w:val="21"/>
          <w:highlight w:val="none"/>
          <w:u w:val="single"/>
        </w:rPr>
        <w:t xml:space="preserve">                                   </w:t>
      </w:r>
    </w:p>
    <w:p w14:paraId="0E67E4D5">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法定代表人（签字）：</w:t>
      </w:r>
    </w:p>
    <w:p w14:paraId="579B8EBE">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42CE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6D2438D1">
      <w:pPr>
        <w:pStyle w:val="18"/>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授权代表身份证复印件</w:t>
      </w:r>
    </w:p>
    <w:p w14:paraId="3AC25314">
      <w:pPr>
        <w:pStyle w:val="18"/>
        <w:ind w:firstLine="420" w:firstLineChars="200"/>
        <w:rPr>
          <w:rFonts w:hint="eastAsia" w:ascii="宋体" w:hAnsi="宋体" w:cs="宋体"/>
          <w:color w:val="auto"/>
          <w:szCs w:val="21"/>
          <w:highlight w:val="none"/>
        </w:rPr>
      </w:pPr>
    </w:p>
    <w:p w14:paraId="372FE39A">
      <w:pPr>
        <w:spacing w:line="400" w:lineRule="exact"/>
        <w:jc w:val="left"/>
        <w:rPr>
          <w:rFonts w:hint="eastAsia" w:ascii="宋体" w:hAnsi="宋体" w:cs="宋体"/>
          <w:color w:val="auto"/>
          <w:szCs w:val="21"/>
          <w:highlight w:val="none"/>
        </w:rPr>
      </w:pPr>
    </w:p>
    <w:p w14:paraId="47581234">
      <w:pPr>
        <w:rPr>
          <w:rFonts w:hint="eastAsia" w:ascii="宋体" w:hAnsi="宋体" w:cs="宋体"/>
          <w:color w:val="auto"/>
          <w:szCs w:val="21"/>
          <w:highlight w:val="none"/>
        </w:rPr>
      </w:pPr>
    </w:p>
    <w:p w14:paraId="399D6C73">
      <w:pPr>
        <w:rPr>
          <w:rFonts w:hint="eastAsia" w:ascii="宋体" w:hAnsi="宋体" w:cs="宋体"/>
          <w:color w:val="auto"/>
          <w:szCs w:val="21"/>
          <w:highlight w:val="none"/>
        </w:rPr>
      </w:pPr>
    </w:p>
    <w:p w14:paraId="0D64771E">
      <w:pPr>
        <w:spacing w:line="400" w:lineRule="exact"/>
        <w:jc w:val="left"/>
        <w:rPr>
          <w:rFonts w:hint="eastAsia" w:ascii="宋体" w:hAnsi="宋体" w:cs="宋体"/>
          <w:color w:val="auto"/>
          <w:szCs w:val="21"/>
          <w:highlight w:val="none"/>
        </w:rPr>
      </w:pPr>
    </w:p>
    <w:p w14:paraId="0CFD34AF">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6、中小企业声明函格式</w:t>
      </w:r>
    </w:p>
    <w:p w14:paraId="720B37EC">
      <w:pPr>
        <w:widowControl/>
        <w:spacing w:line="360" w:lineRule="auto"/>
        <w:jc w:val="center"/>
        <w:rPr>
          <w:rFonts w:hint="eastAsia" w:ascii="宋体" w:hAnsi="宋体" w:cs="宋体"/>
          <w:b/>
          <w:color w:val="auto"/>
          <w:kern w:val="0"/>
          <w:szCs w:val="21"/>
          <w:highlight w:val="none"/>
          <w:lang w:bidi="ar"/>
        </w:rPr>
      </w:pPr>
    </w:p>
    <w:p w14:paraId="3E4A9AB4">
      <w:pPr>
        <w:widowControl/>
        <w:spacing w:line="360" w:lineRule="auto"/>
        <w:jc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中小企业声明函（工程、服务）</w:t>
      </w:r>
    </w:p>
    <w:p w14:paraId="05699EB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cs="宋体"/>
          <w:color w:val="auto"/>
          <w:kern w:val="0"/>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547463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Cs/>
          <w:color w:val="auto"/>
          <w:kern w:val="0"/>
          <w:sz w:val="24"/>
          <w:highlight w:val="none"/>
          <w:shd w:val="pct10" w:color="auto" w:fill="FFFFFF"/>
          <w:lang w:bidi="ar"/>
        </w:rPr>
        <w:t xml:space="preserve"> 其他未列明行业</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14:paraId="746DBB01">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Cs/>
          <w:color w:val="auto"/>
          <w:kern w:val="0"/>
          <w:sz w:val="24"/>
          <w:highlight w:val="none"/>
          <w:shd w:val="pct10" w:color="auto" w:fill="FFFFFF"/>
          <w:lang w:bidi="ar"/>
        </w:rPr>
        <w:t xml:space="preserve"> </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14:paraId="6DD8F15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p w14:paraId="324E62C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39E1B61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2CE12D5B">
      <w:pPr>
        <w:widowControl/>
        <w:spacing w:line="360" w:lineRule="auto"/>
        <w:ind w:firstLine="420" w:firstLineChars="200"/>
        <w:jc w:val="right"/>
        <w:rPr>
          <w:rFonts w:hint="eastAsia" w:ascii="宋体" w:hAnsi="宋体" w:cs="宋体"/>
          <w:color w:val="auto"/>
          <w:kern w:val="0"/>
          <w:szCs w:val="21"/>
          <w:highlight w:val="none"/>
          <w:lang w:bidi="ar"/>
        </w:rPr>
      </w:pPr>
    </w:p>
    <w:p w14:paraId="4C63EE3F">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4FC4E553">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14:paraId="42FD0A4E">
      <w:pPr>
        <w:widowControl/>
        <w:spacing w:line="400" w:lineRule="exact"/>
        <w:jc w:val="left"/>
        <w:rPr>
          <w:rFonts w:hint="eastAsia" w:ascii="宋体" w:hAnsi="宋体" w:cs="宋体"/>
          <w:color w:val="auto"/>
          <w:kern w:val="0"/>
          <w:szCs w:val="21"/>
          <w:highlight w:val="none"/>
          <w:lang w:bidi="ar"/>
        </w:rPr>
      </w:pPr>
    </w:p>
    <w:p w14:paraId="014E42D6">
      <w:pPr>
        <w:widowControl/>
        <w:spacing w:line="400" w:lineRule="exact"/>
        <w:jc w:val="left"/>
        <w:rPr>
          <w:rFonts w:hint="eastAsia" w:ascii="宋体" w:hAnsi="宋体" w:cs="宋体"/>
          <w:color w:val="auto"/>
          <w:kern w:val="0"/>
          <w:szCs w:val="21"/>
          <w:highlight w:val="none"/>
          <w:lang w:bidi="ar"/>
        </w:rPr>
      </w:pPr>
    </w:p>
    <w:p w14:paraId="5C260EED">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说明：</w:t>
      </w:r>
    </w:p>
    <w:p w14:paraId="6D1922CD">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color w:val="auto"/>
          <w:kern w:val="0"/>
          <w:sz w:val="24"/>
          <w:highlight w:val="none"/>
          <w:shd w:val="pct10" w:color="auto" w:fill="FFFFFF"/>
          <w:lang w:bidi="ar"/>
        </w:rPr>
        <w:t xml:space="preserve"> </w:t>
      </w:r>
      <w:r>
        <w:rPr>
          <w:rFonts w:hint="eastAsia" w:ascii="宋体" w:hAnsi="宋体" w:cs="宋体"/>
          <w:color w:val="auto"/>
          <w:kern w:val="0"/>
          <w:szCs w:val="21"/>
          <w:highlight w:val="none"/>
          <w:lang w:bidi="ar"/>
        </w:rPr>
        <w:t>（任选其一填写）。</w:t>
      </w:r>
    </w:p>
    <w:p w14:paraId="79EDB1D0">
      <w:pPr>
        <w:pStyle w:val="5"/>
        <w:spacing w:before="0" w:beforeLines="0" w:after="0" w:afterLines="0" w:line="400" w:lineRule="exact"/>
        <w:ind w:firstLine="420" w:firstLineChars="200"/>
        <w:jc w:val="left"/>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bidi="ar"/>
        </w:rPr>
        <w:t>2、供应商必须如实且规范填写本表格。如供应商提供的服务非中小企业的，资格审查不通过，投标无效；</w:t>
      </w:r>
    </w:p>
    <w:p w14:paraId="56342915">
      <w:pPr>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Style w:val="34"/>
          <w:rFonts w:hint="eastAsia" w:ascii="宋体" w:hAnsi="宋体" w:cs="宋体"/>
          <w:b w:val="0"/>
          <w:color w:val="auto"/>
          <w:kern w:val="0"/>
          <w:szCs w:val="21"/>
          <w:highlight w:val="none"/>
          <w:lang w:bidi="ar"/>
        </w:rPr>
        <w:t>中小企业划分为中型、小型、微型三种类型，具体标准根据企业从业人员、营业收入、资产总额等指标，结合行业特点制定。各行业划型标准为：</w:t>
      </w:r>
    </w:p>
    <w:p w14:paraId="3B4F5FE6">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（一）农、林、牧、渔业</w:t>
      </w:r>
    </w:p>
    <w:p w14:paraId="6730A3F3">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6CCF2F0">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（二）工业</w:t>
      </w:r>
    </w:p>
    <w:p w14:paraId="535297D1">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18E2DF">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（三）建筑业</w:t>
      </w:r>
    </w:p>
    <w:p w14:paraId="10A2C88B">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22200A">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（四）批发业</w:t>
      </w:r>
    </w:p>
    <w:p w14:paraId="3465605E">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856C36">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（五）零售业</w:t>
      </w:r>
    </w:p>
    <w:p w14:paraId="32FD9FF9">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D5260E">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（六）交通运输业</w:t>
      </w:r>
    </w:p>
    <w:p w14:paraId="736C9095">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w:t>
      </w:r>
    </w:p>
    <w:p w14:paraId="742723BC">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（七）仓储业</w:t>
      </w:r>
    </w:p>
    <w:p w14:paraId="2F21AFC8">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A14F30">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（八）邮政业</w:t>
      </w:r>
    </w:p>
    <w:p w14:paraId="2C60C01B">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A3CC01">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（九）住宿业</w:t>
      </w:r>
    </w:p>
    <w:p w14:paraId="63BF830D">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1151E0">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（十）餐饮业</w:t>
      </w:r>
    </w:p>
    <w:p w14:paraId="3161EF3F">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9910B7">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（十一）信息传输业</w:t>
      </w:r>
    </w:p>
    <w:p w14:paraId="25D23F18">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92BDE52">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（十二）软件和信息技术服务业</w:t>
      </w:r>
    </w:p>
    <w:p w14:paraId="643D7F8D">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AD7D91">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（十三）房地产开发经营</w:t>
      </w:r>
    </w:p>
    <w:p w14:paraId="14DB4435">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31C156">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（十四）物业管理</w:t>
      </w:r>
    </w:p>
    <w:p w14:paraId="0E6007D3">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0265B4">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（十五）租赁和商务服务业</w:t>
      </w:r>
    </w:p>
    <w:p w14:paraId="4673085A">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CFA240">
      <w:pPr>
        <w:pStyle w:val="27"/>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shd w:val="clear" w:color="auto" w:fill="FFFFFF"/>
        </w:rPr>
        <w:t>（十六）其他未列明行业</w:t>
      </w:r>
    </w:p>
    <w:p w14:paraId="2F3EFD9F">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79E0DBDA">
      <w:pPr>
        <w:pStyle w:val="16"/>
        <w:spacing w:before="120" w:after="120"/>
        <w:rPr>
          <w:rFonts w:hint="eastAsia" w:cs="宋体"/>
          <w:color w:val="auto"/>
          <w:sz w:val="21"/>
          <w:szCs w:val="21"/>
          <w:highlight w:val="none"/>
        </w:rPr>
      </w:pPr>
    </w:p>
    <w:p w14:paraId="5CF446F1">
      <w:pPr>
        <w:snapToGrid w:val="0"/>
        <w:spacing w:before="50" w:after="50" w:line="380" w:lineRule="exact"/>
        <w:ind w:right="-817" w:rightChars="-389"/>
        <w:rPr>
          <w:rFonts w:hint="eastAsia" w:ascii="宋体" w:hAnsi="宋体" w:cs="宋体"/>
          <w:b/>
          <w:color w:val="auto"/>
          <w:szCs w:val="21"/>
          <w:highlight w:val="none"/>
        </w:rPr>
      </w:pPr>
    </w:p>
    <w:p w14:paraId="3133D603">
      <w:pPr>
        <w:snapToGrid w:val="0"/>
        <w:spacing w:before="50" w:after="50" w:line="380" w:lineRule="exact"/>
        <w:ind w:right="-817" w:rightChars="-389"/>
        <w:rPr>
          <w:rFonts w:hint="eastAsia" w:ascii="宋体" w:hAnsi="宋体" w:cs="宋体"/>
          <w:b/>
          <w:color w:val="auto"/>
          <w:szCs w:val="21"/>
          <w:highlight w:val="none"/>
        </w:rPr>
      </w:pPr>
    </w:p>
    <w:p w14:paraId="5A6E96E8">
      <w:pPr>
        <w:snapToGrid w:val="0"/>
        <w:spacing w:before="50" w:after="50" w:line="380" w:lineRule="exact"/>
        <w:ind w:right="-817" w:rightChars="-389"/>
        <w:rPr>
          <w:rFonts w:hint="eastAsia" w:ascii="宋体" w:hAnsi="宋体" w:cs="宋体"/>
          <w:b/>
          <w:color w:val="auto"/>
          <w:szCs w:val="21"/>
          <w:highlight w:val="none"/>
        </w:rPr>
      </w:pPr>
    </w:p>
    <w:p w14:paraId="1C3F173D">
      <w:pPr>
        <w:snapToGrid w:val="0"/>
        <w:spacing w:before="50" w:after="50" w:line="380" w:lineRule="exact"/>
        <w:ind w:right="-817" w:rightChars="-389"/>
        <w:rPr>
          <w:rFonts w:hint="eastAsia" w:ascii="宋体" w:hAnsi="宋体" w:cs="宋体"/>
          <w:b/>
          <w:color w:val="auto"/>
          <w:szCs w:val="21"/>
          <w:highlight w:val="none"/>
        </w:rPr>
      </w:pPr>
    </w:p>
    <w:p w14:paraId="5026828F">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7、残疾人福利性单位声明函格式</w:t>
      </w:r>
    </w:p>
    <w:p w14:paraId="0327A723">
      <w:pPr>
        <w:snapToGrid w:val="0"/>
        <w:spacing w:before="50" w:after="50"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789B05A2">
      <w:pPr>
        <w:snapToGrid w:val="0"/>
        <w:spacing w:before="50" w:after="50" w:line="380" w:lineRule="exact"/>
        <w:ind w:right="-817" w:rightChars="-389"/>
        <w:rPr>
          <w:rFonts w:hint="eastAsia" w:ascii="宋体" w:hAnsi="宋体" w:cs="宋体"/>
          <w:b/>
          <w:color w:val="auto"/>
          <w:szCs w:val="21"/>
          <w:highlight w:val="none"/>
        </w:rPr>
      </w:pPr>
    </w:p>
    <w:p w14:paraId="731DE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CA365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388347F">
      <w:pPr>
        <w:snapToGrid w:val="0"/>
        <w:spacing w:before="50" w:after="50" w:line="360" w:lineRule="auto"/>
        <w:ind w:right="-817" w:rightChars="-389"/>
        <w:rPr>
          <w:rFonts w:hint="eastAsia" w:ascii="宋体" w:hAnsi="宋体" w:cs="宋体"/>
          <w:b/>
          <w:color w:val="auto"/>
          <w:szCs w:val="21"/>
          <w:highlight w:val="none"/>
        </w:rPr>
      </w:pPr>
    </w:p>
    <w:p w14:paraId="4929615F">
      <w:pPr>
        <w:snapToGrid w:val="0"/>
        <w:spacing w:before="50" w:after="50" w:line="360" w:lineRule="auto"/>
        <w:ind w:right="-817" w:rightChars="-389"/>
        <w:rPr>
          <w:rFonts w:hint="eastAsia" w:ascii="宋体" w:hAnsi="宋体" w:cs="宋体"/>
          <w:b/>
          <w:color w:val="auto"/>
          <w:szCs w:val="21"/>
          <w:highlight w:val="none"/>
        </w:rPr>
      </w:pPr>
    </w:p>
    <w:p w14:paraId="36C0652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企业名称（盖章）：</w:t>
      </w:r>
    </w:p>
    <w:p w14:paraId="46D0D8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授权委托人签字：</w:t>
      </w:r>
    </w:p>
    <w:p w14:paraId="7FA518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p>
    <w:p w14:paraId="0DEAAAAE">
      <w:pPr>
        <w:snapToGrid w:val="0"/>
        <w:spacing w:before="50" w:after="50" w:line="360" w:lineRule="auto"/>
        <w:ind w:right="-817" w:rightChars="-389"/>
        <w:rPr>
          <w:rFonts w:hint="eastAsia" w:ascii="宋体" w:hAnsi="宋体" w:cs="宋体"/>
          <w:b/>
          <w:color w:val="auto"/>
          <w:szCs w:val="21"/>
          <w:highlight w:val="none"/>
        </w:rPr>
      </w:pPr>
    </w:p>
    <w:p w14:paraId="41BECBE3">
      <w:pPr>
        <w:snapToGrid w:val="0"/>
        <w:spacing w:before="50" w:after="50" w:line="360" w:lineRule="auto"/>
        <w:ind w:right="-817" w:rightChars="-389"/>
        <w:rPr>
          <w:rFonts w:hint="eastAsia" w:ascii="宋体" w:hAnsi="宋体" w:cs="宋体"/>
          <w:b/>
          <w:color w:val="auto"/>
          <w:szCs w:val="21"/>
          <w:highlight w:val="none"/>
        </w:rPr>
      </w:pPr>
    </w:p>
    <w:p w14:paraId="35C27D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注：提供社保缴纳人员名单、录用的残疾人的《中华人民共和国残疾人证》或者《中华人民共和国残疾军人证(1至8级)》复印件。</w:t>
      </w:r>
    </w:p>
    <w:p w14:paraId="74E775FF">
      <w:pPr>
        <w:snapToGrid w:val="0"/>
        <w:spacing w:before="50" w:after="50" w:line="380" w:lineRule="exact"/>
        <w:ind w:right="-817" w:rightChars="-389"/>
        <w:rPr>
          <w:rFonts w:hint="eastAsia" w:ascii="宋体" w:hAnsi="宋体" w:cs="宋体"/>
          <w:b/>
          <w:color w:val="auto"/>
          <w:szCs w:val="21"/>
          <w:highlight w:val="none"/>
        </w:rPr>
      </w:pPr>
    </w:p>
    <w:p w14:paraId="6BF35121">
      <w:pPr>
        <w:snapToGrid w:val="0"/>
        <w:spacing w:before="50" w:after="50" w:line="380" w:lineRule="exact"/>
        <w:ind w:right="-817" w:rightChars="-389"/>
        <w:rPr>
          <w:rFonts w:hint="eastAsia" w:ascii="宋体" w:hAnsi="宋体" w:cs="宋体"/>
          <w:b/>
          <w:color w:val="auto"/>
          <w:szCs w:val="21"/>
          <w:highlight w:val="none"/>
        </w:rPr>
      </w:pPr>
    </w:p>
    <w:p w14:paraId="54435277">
      <w:pPr>
        <w:snapToGrid w:val="0"/>
        <w:spacing w:before="50" w:after="50" w:line="380" w:lineRule="exact"/>
        <w:ind w:right="-817" w:rightChars="-389"/>
        <w:rPr>
          <w:rFonts w:hint="eastAsia" w:ascii="宋体" w:hAnsi="宋体" w:cs="宋体"/>
          <w:b/>
          <w:color w:val="auto"/>
          <w:szCs w:val="21"/>
          <w:highlight w:val="none"/>
        </w:rPr>
      </w:pPr>
    </w:p>
    <w:p w14:paraId="25DA874D">
      <w:pPr>
        <w:snapToGrid w:val="0"/>
        <w:spacing w:before="50" w:after="50" w:line="380" w:lineRule="exact"/>
        <w:ind w:right="-817" w:rightChars="-389"/>
        <w:rPr>
          <w:rFonts w:hint="eastAsia" w:ascii="宋体" w:hAnsi="宋体" w:cs="宋体"/>
          <w:b/>
          <w:color w:val="auto"/>
          <w:szCs w:val="21"/>
          <w:highlight w:val="none"/>
        </w:rPr>
      </w:pPr>
    </w:p>
    <w:p w14:paraId="43C34B58">
      <w:pPr>
        <w:snapToGrid w:val="0"/>
        <w:spacing w:before="50" w:after="50" w:line="380" w:lineRule="exact"/>
        <w:ind w:right="-817" w:rightChars="-389"/>
        <w:rPr>
          <w:rFonts w:hint="eastAsia" w:ascii="宋体" w:hAnsi="宋体" w:cs="宋体"/>
          <w:b/>
          <w:color w:val="auto"/>
          <w:szCs w:val="21"/>
          <w:highlight w:val="none"/>
        </w:rPr>
      </w:pPr>
    </w:p>
    <w:p w14:paraId="2E7D9ED0">
      <w:pPr>
        <w:snapToGrid w:val="0"/>
        <w:spacing w:before="50" w:after="50" w:line="380" w:lineRule="exact"/>
        <w:ind w:right="-817" w:rightChars="-389"/>
        <w:rPr>
          <w:rFonts w:hint="eastAsia" w:ascii="宋体" w:hAnsi="宋体" w:cs="宋体"/>
          <w:b/>
          <w:color w:val="auto"/>
          <w:szCs w:val="21"/>
          <w:highlight w:val="none"/>
        </w:rPr>
      </w:pPr>
    </w:p>
    <w:p w14:paraId="632C3F95">
      <w:pPr>
        <w:snapToGrid w:val="0"/>
        <w:spacing w:before="50" w:after="50" w:line="380" w:lineRule="exact"/>
        <w:ind w:right="-817" w:rightChars="-389"/>
        <w:rPr>
          <w:rFonts w:hint="eastAsia" w:ascii="宋体" w:hAnsi="宋体" w:cs="宋体"/>
          <w:b/>
          <w:color w:val="auto"/>
          <w:szCs w:val="21"/>
          <w:highlight w:val="none"/>
        </w:rPr>
      </w:pPr>
    </w:p>
    <w:p w14:paraId="58B57AD6">
      <w:pPr>
        <w:snapToGrid w:val="0"/>
        <w:spacing w:before="50" w:after="50" w:line="380" w:lineRule="exact"/>
        <w:ind w:right="-817" w:rightChars="-389"/>
        <w:rPr>
          <w:rFonts w:hint="eastAsia" w:ascii="宋体" w:hAnsi="宋体" w:cs="宋体"/>
          <w:b/>
          <w:color w:val="auto"/>
          <w:szCs w:val="21"/>
          <w:highlight w:val="none"/>
        </w:rPr>
      </w:pPr>
    </w:p>
    <w:p w14:paraId="4CD182F8">
      <w:pPr>
        <w:snapToGrid w:val="0"/>
        <w:spacing w:before="50" w:after="50" w:line="380" w:lineRule="exact"/>
        <w:ind w:right="-817" w:rightChars="-389"/>
        <w:rPr>
          <w:rFonts w:hint="eastAsia" w:ascii="宋体" w:hAnsi="宋体" w:cs="宋体"/>
          <w:b/>
          <w:color w:val="auto"/>
          <w:szCs w:val="21"/>
          <w:highlight w:val="none"/>
        </w:rPr>
      </w:pPr>
    </w:p>
    <w:p w14:paraId="3AD1CC54">
      <w:pPr>
        <w:snapToGrid w:val="0"/>
        <w:spacing w:before="50" w:after="50" w:line="380" w:lineRule="exact"/>
        <w:ind w:right="-817" w:rightChars="-389"/>
        <w:rPr>
          <w:rFonts w:hint="eastAsia" w:ascii="宋体" w:hAnsi="宋体" w:cs="宋体"/>
          <w:b/>
          <w:color w:val="auto"/>
          <w:szCs w:val="21"/>
          <w:highlight w:val="none"/>
        </w:rPr>
      </w:pPr>
    </w:p>
    <w:p w14:paraId="2DEE9D40">
      <w:pPr>
        <w:snapToGrid w:val="0"/>
        <w:spacing w:before="50" w:after="50" w:line="380" w:lineRule="exact"/>
        <w:ind w:right="-817" w:rightChars="-389"/>
        <w:rPr>
          <w:rFonts w:hint="eastAsia" w:ascii="宋体" w:hAnsi="宋体" w:cs="宋体"/>
          <w:b/>
          <w:color w:val="auto"/>
          <w:szCs w:val="21"/>
          <w:highlight w:val="none"/>
        </w:rPr>
      </w:pPr>
    </w:p>
    <w:p w14:paraId="78FCEDDC">
      <w:pPr>
        <w:snapToGrid w:val="0"/>
        <w:spacing w:before="50" w:after="50" w:line="380" w:lineRule="exact"/>
        <w:ind w:right="-817" w:rightChars="-389"/>
        <w:rPr>
          <w:rFonts w:hint="eastAsia" w:ascii="宋体" w:hAnsi="宋体" w:cs="宋体"/>
          <w:b/>
          <w:color w:val="auto"/>
          <w:szCs w:val="21"/>
          <w:highlight w:val="none"/>
        </w:rPr>
      </w:pPr>
    </w:p>
    <w:p w14:paraId="714A0CBC">
      <w:pPr>
        <w:snapToGrid w:val="0"/>
        <w:spacing w:before="50" w:after="50" w:line="380" w:lineRule="exact"/>
        <w:ind w:right="-817" w:rightChars="-389"/>
        <w:rPr>
          <w:rFonts w:hint="eastAsia" w:ascii="宋体" w:hAnsi="宋体" w:cs="宋体"/>
          <w:b/>
          <w:color w:val="auto"/>
          <w:szCs w:val="21"/>
          <w:highlight w:val="none"/>
        </w:rPr>
      </w:pPr>
    </w:p>
    <w:p w14:paraId="783760AE">
      <w:pPr>
        <w:snapToGrid w:val="0"/>
        <w:spacing w:before="50" w:after="50" w:line="380" w:lineRule="exact"/>
        <w:ind w:right="-817" w:rightChars="-389"/>
        <w:rPr>
          <w:rFonts w:hint="eastAsia" w:ascii="宋体" w:hAnsi="宋体" w:cs="宋体"/>
          <w:b/>
          <w:color w:val="auto"/>
          <w:szCs w:val="21"/>
          <w:highlight w:val="none"/>
        </w:rPr>
      </w:pPr>
    </w:p>
    <w:p w14:paraId="1A614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8、监狱企业声明函格式</w:t>
      </w:r>
    </w:p>
    <w:p w14:paraId="4AC709AE">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监狱企业声明函</w:t>
      </w:r>
    </w:p>
    <w:p w14:paraId="48CFDD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【非监狱企业的不用提供】</w:t>
      </w:r>
    </w:p>
    <w:p w14:paraId="7CE19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本企业郑重声明，参照《关于政府采购支持监狱企业发展有关间想的通知》(财库[2014]68号）的规定，本企业为监狱企业。</w:t>
      </w:r>
    </w:p>
    <w:p w14:paraId="4FFC78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DE44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14:paraId="627878EA">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3452D314">
      <w:pPr>
        <w:spacing w:line="360" w:lineRule="auto"/>
        <w:rPr>
          <w:rFonts w:hint="eastAsia" w:ascii="宋体" w:hAnsi="宋体" w:cs="宋体"/>
          <w:color w:val="auto"/>
          <w:szCs w:val="21"/>
          <w:highlight w:val="none"/>
        </w:rPr>
      </w:pPr>
    </w:p>
    <w:p w14:paraId="5DFDAE9A">
      <w:pPr>
        <w:spacing w:line="360" w:lineRule="auto"/>
        <w:rPr>
          <w:rFonts w:hint="eastAsia" w:ascii="宋体" w:hAnsi="宋体" w:cs="宋体"/>
          <w:color w:val="auto"/>
          <w:szCs w:val="21"/>
          <w:highlight w:val="none"/>
        </w:rPr>
      </w:pPr>
    </w:p>
    <w:p w14:paraId="5055F4CF">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供应商名称(盖章) :</w:t>
      </w:r>
    </w:p>
    <w:p w14:paraId="2EC3A01C">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7FA5A8DA">
      <w:pPr>
        <w:spacing w:line="360" w:lineRule="auto"/>
        <w:rPr>
          <w:rFonts w:hint="eastAsia" w:ascii="宋体" w:hAnsi="宋体" w:cs="宋体"/>
          <w:color w:val="auto"/>
          <w:szCs w:val="21"/>
          <w:highlight w:val="none"/>
        </w:rPr>
      </w:pPr>
    </w:p>
    <w:p w14:paraId="22A5F96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附相关证明材料</w:t>
      </w:r>
    </w:p>
    <w:p w14:paraId="5F884F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监狱企业参加采购活动时，应当提供由省级以上监狱管理局、戒毒管理局(含新疆生产建设兵团)出具的属于监狱企业的证明文件；</w:t>
      </w:r>
    </w:p>
    <w:p w14:paraId="60AB4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1308A9">
      <w:pPr>
        <w:ind w:firstLine="570"/>
        <w:jc w:val="center"/>
        <w:rPr>
          <w:rFonts w:hint="eastAsia" w:ascii="宋体" w:hAnsi="宋体" w:cs="宋体"/>
          <w:b/>
          <w:color w:val="auto"/>
          <w:szCs w:val="21"/>
          <w:highlight w:val="none"/>
        </w:rPr>
      </w:pPr>
    </w:p>
    <w:p w14:paraId="079818FC">
      <w:pPr>
        <w:keepNext/>
        <w:pageBreakBefore/>
        <w:spacing w:line="360" w:lineRule="auto"/>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二、商务、技术/报价文件格式</w:t>
      </w:r>
    </w:p>
    <w:p w14:paraId="16AF0041">
      <w:pPr>
        <w:ind w:firstLine="570"/>
        <w:rPr>
          <w:rFonts w:hint="eastAsia" w:ascii="宋体" w:hAnsi="宋体" w:cs="宋体"/>
          <w:color w:val="auto"/>
          <w:sz w:val="28"/>
          <w:szCs w:val="28"/>
          <w:highlight w:val="none"/>
        </w:rPr>
      </w:pPr>
    </w:p>
    <w:p w14:paraId="1BA6C5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1、商务、技术文件的封面格式：</w:t>
      </w:r>
    </w:p>
    <w:p w14:paraId="0981B194">
      <w:pPr>
        <w:keepNext/>
        <w:keepLines/>
        <w:spacing w:line="579" w:lineRule="auto"/>
        <w:rPr>
          <w:rFonts w:hint="eastAsia" w:ascii="宋体" w:hAnsi="宋体" w:cs="宋体"/>
          <w:color w:val="auto"/>
          <w:sz w:val="28"/>
          <w:szCs w:val="28"/>
          <w:highlight w:val="none"/>
        </w:rPr>
      </w:pPr>
    </w:p>
    <w:p w14:paraId="357580D0">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响应文件</w:t>
      </w:r>
    </w:p>
    <w:p w14:paraId="4636B9C9">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（商务、技术/报价文件）</w:t>
      </w:r>
    </w:p>
    <w:p w14:paraId="27505EBF">
      <w:pPr>
        <w:ind w:firstLine="570"/>
        <w:jc w:val="center"/>
        <w:rPr>
          <w:rFonts w:hint="eastAsia" w:ascii="宋体" w:hAnsi="宋体" w:cs="宋体"/>
          <w:b/>
          <w:color w:val="auto"/>
          <w:szCs w:val="21"/>
          <w:highlight w:val="none"/>
        </w:rPr>
      </w:pPr>
    </w:p>
    <w:p w14:paraId="4E751E28">
      <w:pPr>
        <w:spacing w:line="800" w:lineRule="exact"/>
        <w:ind w:firstLine="570"/>
        <w:rPr>
          <w:rFonts w:hint="eastAsia" w:ascii="宋体" w:hAnsi="宋体" w:cs="宋体"/>
          <w:color w:val="auto"/>
          <w:szCs w:val="21"/>
          <w:highlight w:val="none"/>
        </w:rPr>
      </w:pPr>
    </w:p>
    <w:p w14:paraId="5E0E599A">
      <w:pPr>
        <w:spacing w:line="800" w:lineRule="exact"/>
        <w:ind w:firstLine="570"/>
        <w:rPr>
          <w:rFonts w:hint="eastAsia" w:ascii="宋体" w:hAnsi="宋体" w:cs="宋体"/>
          <w:color w:val="auto"/>
          <w:szCs w:val="21"/>
          <w:highlight w:val="none"/>
        </w:rPr>
      </w:pPr>
    </w:p>
    <w:p w14:paraId="3DF7EAE5">
      <w:pPr>
        <w:spacing w:line="800" w:lineRule="exact"/>
        <w:ind w:firstLine="570"/>
        <w:rPr>
          <w:rFonts w:hint="eastAsia" w:ascii="宋体" w:hAnsi="宋体" w:cs="宋体"/>
          <w:color w:val="auto"/>
          <w:szCs w:val="21"/>
          <w:highlight w:val="none"/>
        </w:rPr>
      </w:pPr>
    </w:p>
    <w:p w14:paraId="239EF44A">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14:paraId="4929A982">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14:paraId="467B75B5">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14:paraId="6B3F1688">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14:paraId="2B61291A">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14:paraId="42DE9388">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14:paraId="24498E0E">
      <w:pPr>
        <w:keepNext/>
        <w:keepLines/>
        <w:spacing w:line="579" w:lineRule="auto"/>
        <w:rPr>
          <w:rFonts w:hint="eastAsia" w:ascii="宋体" w:hAnsi="宋体" w:cs="宋体"/>
          <w:b/>
          <w:bCs/>
          <w:color w:val="auto"/>
          <w:szCs w:val="21"/>
          <w:highlight w:val="none"/>
        </w:rPr>
      </w:pPr>
    </w:p>
    <w:p w14:paraId="1FBB43E7">
      <w:pPr>
        <w:rPr>
          <w:rFonts w:hint="eastAsia" w:ascii="宋体" w:hAnsi="宋体" w:cs="宋体"/>
          <w:color w:val="auto"/>
          <w:szCs w:val="21"/>
          <w:highlight w:val="none"/>
        </w:rPr>
      </w:pPr>
    </w:p>
    <w:p w14:paraId="76170A49">
      <w:pPr>
        <w:rPr>
          <w:rFonts w:hint="eastAsia" w:ascii="宋体" w:hAnsi="宋体" w:cs="宋体"/>
          <w:color w:val="auto"/>
          <w:szCs w:val="21"/>
          <w:highlight w:val="none"/>
        </w:rPr>
      </w:pPr>
    </w:p>
    <w:p w14:paraId="784FB907">
      <w:pPr>
        <w:ind w:firstLine="570"/>
        <w:rPr>
          <w:rFonts w:hint="eastAsia" w:ascii="宋体" w:hAnsi="宋体" w:cs="宋体"/>
          <w:color w:val="auto"/>
          <w:szCs w:val="21"/>
          <w:highlight w:val="none"/>
        </w:rPr>
      </w:pPr>
    </w:p>
    <w:p w14:paraId="0023A692">
      <w:pPr>
        <w:keepNext/>
        <w:pageBreakBefore/>
        <w:spacing w:line="360" w:lineRule="auto"/>
        <w:rPr>
          <w:rFonts w:hint="eastAsia" w:ascii="宋体" w:hAnsi="宋体" w:cs="宋体"/>
          <w:color w:val="auto"/>
          <w:szCs w:val="21"/>
          <w:highlight w:val="none"/>
        </w:rPr>
      </w:pPr>
      <w:r>
        <w:rPr>
          <w:rFonts w:hint="eastAsia" w:ascii="宋体" w:hAnsi="宋体" w:cs="宋体"/>
          <w:color w:val="auto"/>
          <w:szCs w:val="21"/>
          <w:highlight w:val="none"/>
        </w:rPr>
        <w:t>2、目  录</w:t>
      </w:r>
    </w:p>
    <w:p w14:paraId="191C08D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2.1商务/技术文件 </w:t>
      </w:r>
    </w:p>
    <w:p w14:paraId="39CFA7DC">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法定代表人身份证明书和授权委托书（格式见第六章）；</w:t>
      </w:r>
    </w:p>
    <w:p w14:paraId="158D1CA5">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供应商情况表（格式见第六章）；</w:t>
      </w:r>
    </w:p>
    <w:p w14:paraId="2DEC26F8">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整体思路；</w:t>
      </w:r>
    </w:p>
    <w:p w14:paraId="2A751896">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策划方案；</w:t>
      </w:r>
    </w:p>
    <w:p w14:paraId="4873EC80">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整体组织实施方案；</w:t>
      </w:r>
    </w:p>
    <w:p w14:paraId="26404EE6">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开幕式方案；</w:t>
      </w:r>
    </w:p>
    <w:p w14:paraId="09BD9BCA">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器材使用安全保障方案；</w:t>
      </w:r>
    </w:p>
    <w:p w14:paraId="53111306">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赛事场地布置策划方案；</w:t>
      </w:r>
    </w:p>
    <w:p w14:paraId="20928A23">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媒体宣传推广方案及实施计划；</w:t>
      </w:r>
    </w:p>
    <w:p w14:paraId="219C4935">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医疗救护方案；</w:t>
      </w:r>
    </w:p>
    <w:p w14:paraId="625CA532">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安全风险防控、应急处置方案；</w:t>
      </w:r>
    </w:p>
    <w:p w14:paraId="5EFDD438">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参赛选手招募、服务方案；</w:t>
      </w:r>
    </w:p>
    <w:p w14:paraId="6064AB95">
      <w:pPr>
        <w:numPr>
          <w:ilvl w:val="0"/>
          <w:numId w:val="16"/>
        </w:numPr>
        <w:adjustRightInd w:val="0"/>
        <w:snapToGrid w:val="0"/>
        <w:spacing w:line="360" w:lineRule="exact"/>
        <w:ind w:left="4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后勤保障方案；</w:t>
      </w:r>
    </w:p>
    <w:p w14:paraId="5297EA0D">
      <w:pPr>
        <w:numPr>
          <w:ilvl w:val="0"/>
          <w:numId w:val="16"/>
        </w:numPr>
        <w:adjustRightInd w:val="0"/>
        <w:snapToGrid w:val="0"/>
        <w:spacing w:line="360" w:lineRule="exact"/>
        <w:ind w:left="4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岗位分工方案</w:t>
      </w:r>
    </w:p>
    <w:p w14:paraId="7BBBD64F">
      <w:pPr>
        <w:numPr>
          <w:ilvl w:val="0"/>
          <w:numId w:val="16"/>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重难点分析；</w:t>
      </w:r>
    </w:p>
    <w:p w14:paraId="56EE1A8A">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zh-CN"/>
        </w:rPr>
        <w:t>合理化建议；</w:t>
      </w:r>
    </w:p>
    <w:p w14:paraId="635CD901">
      <w:pPr>
        <w:numPr>
          <w:ilvl w:val="0"/>
          <w:numId w:val="16"/>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团队配置；</w:t>
      </w:r>
    </w:p>
    <w:p w14:paraId="00A249E0">
      <w:pPr>
        <w:numPr>
          <w:ilvl w:val="0"/>
          <w:numId w:val="16"/>
        </w:numPr>
        <w:adjustRightInd w:val="0"/>
        <w:snapToGrid w:val="0"/>
        <w:spacing w:line="360" w:lineRule="exact"/>
        <w:ind w:left="425"/>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企业荣誉</w:t>
      </w:r>
    </w:p>
    <w:p w14:paraId="634BCC9E">
      <w:pPr>
        <w:numPr>
          <w:ilvl w:val="0"/>
          <w:numId w:val="16"/>
        </w:numPr>
        <w:adjustRightInd w:val="0"/>
        <w:snapToGrid w:val="0"/>
        <w:spacing w:line="360" w:lineRule="exact"/>
        <w:ind w:left="425"/>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同类项目（成功案例及业绩）实施情况一览表（格式见附件）；</w:t>
      </w:r>
    </w:p>
    <w:p w14:paraId="0A6FA980">
      <w:pPr>
        <w:numPr>
          <w:ilvl w:val="0"/>
          <w:numId w:val="16"/>
        </w:numPr>
        <w:adjustRightInd w:val="0"/>
        <w:snapToGrid w:val="0"/>
        <w:spacing w:line="360" w:lineRule="exact"/>
        <w:ind w:left="4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技术响应表（格式见第六章）；</w:t>
      </w:r>
    </w:p>
    <w:p w14:paraId="2D06A581">
      <w:pPr>
        <w:numPr>
          <w:ilvl w:val="0"/>
          <w:numId w:val="16"/>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供应商认为需要提供的其他技术资料。</w:t>
      </w:r>
    </w:p>
    <w:p w14:paraId="15C01D8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2.2报价文件包括</w:t>
      </w:r>
    </w:p>
    <w:p w14:paraId="4AE36ECE">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1）初次报价表（格式见附件）；</w:t>
      </w:r>
    </w:p>
    <w:p w14:paraId="7A5D0387">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2）报价明细表（格式见附件）；</w:t>
      </w:r>
    </w:p>
    <w:p w14:paraId="4223CFB6">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p>
    <w:p w14:paraId="1A7144C1">
      <w:pPr>
        <w:spacing w:line="360" w:lineRule="auto"/>
        <w:ind w:firstLine="211" w:firstLineChars="100"/>
        <w:rPr>
          <w:rFonts w:hint="eastAsia" w:ascii="宋体" w:hAnsi="宋体" w:cs="宋体"/>
          <w:color w:val="auto"/>
          <w:szCs w:val="21"/>
          <w:highlight w:val="none"/>
        </w:rPr>
      </w:pPr>
      <w:r>
        <w:rPr>
          <w:rFonts w:hint="eastAsia" w:ascii="宋体" w:hAnsi="宋体" w:cs="宋体"/>
          <w:b/>
          <w:color w:val="auto"/>
          <w:szCs w:val="21"/>
          <w:highlight w:val="none"/>
        </w:rPr>
        <w:t>以上磋商响应文件组成内容中的复印件均须CA签章，提供材料不真实、不完整或伪造证明材料的，后果自负。</w:t>
      </w:r>
    </w:p>
    <w:p w14:paraId="10D2FD8A">
      <w:pPr>
        <w:keepNext/>
        <w:pageBreakBefore/>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3、磋商声明书</w:t>
      </w:r>
    </w:p>
    <w:p w14:paraId="4E573884">
      <w:pPr>
        <w:spacing w:line="360" w:lineRule="auto"/>
        <w:jc w:val="center"/>
        <w:rPr>
          <w:rFonts w:hint="eastAsia" w:ascii="宋体" w:hAnsi="宋体" w:cs="宋体"/>
          <w:b/>
          <w:color w:val="auto"/>
          <w:sz w:val="32"/>
          <w:szCs w:val="32"/>
          <w:highlight w:val="none"/>
        </w:rPr>
      </w:pPr>
      <w:bookmarkStart w:id="168" w:name="_Toc414960388"/>
      <w:r>
        <w:rPr>
          <w:rFonts w:hint="eastAsia" w:ascii="宋体" w:hAnsi="宋体" w:cs="宋体"/>
          <w:b/>
          <w:color w:val="auto"/>
          <w:sz w:val="32"/>
          <w:szCs w:val="32"/>
          <w:highlight w:val="none"/>
        </w:rPr>
        <w:t>磋 商 声 明 书</w:t>
      </w:r>
      <w:bookmarkEnd w:id="168"/>
    </w:p>
    <w:p w14:paraId="6E94E187">
      <w:pPr>
        <w:pStyle w:val="16"/>
        <w:spacing w:line="460" w:lineRule="atLeast"/>
        <w:jc w:val="center"/>
        <w:rPr>
          <w:rFonts w:hint="eastAsia" w:cs="宋体"/>
          <w:color w:val="auto"/>
          <w:sz w:val="21"/>
          <w:szCs w:val="21"/>
          <w:highlight w:val="none"/>
        </w:rPr>
      </w:pPr>
    </w:p>
    <w:p w14:paraId="6EF20065">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168CC2">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68C54E">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项目的磋商，为便于贵方公正、择优地确定成交供应商及其磋商项目的服务，我方就本次磋商有关事项郑重声明如下：</w:t>
      </w:r>
    </w:p>
    <w:p w14:paraId="403DA9F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19DF19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5841FEA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3、我方此次向贵方提供的服务是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E2F8C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4、我方最近三年内的被公开披露或查处的违法违规行为有：</w:t>
      </w:r>
      <w:r>
        <w:rPr>
          <w:rFonts w:hint="eastAsia" w:ascii="宋体" w:hAnsi="宋体" w:cs="宋体"/>
          <w:color w:val="auto"/>
          <w:szCs w:val="21"/>
          <w:highlight w:val="none"/>
          <w:u w:val="single"/>
        </w:rPr>
        <w:t xml:space="preserve">　                </w:t>
      </w:r>
    </w:p>
    <w:p w14:paraId="5065EF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5、我方承诺：最近三年我方无行贿犯罪行为，若我方成交，愿意接受社会监督和检察院调查，若与我方承诺不符，可免除我方成交人资格。                                                  </w:t>
      </w:r>
    </w:p>
    <w:p w14:paraId="64AE0BE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6、以上事项如有虚假或隐瞒，我方愿意承担一切后果和责任。</w:t>
      </w:r>
    </w:p>
    <w:p w14:paraId="718814EA">
      <w:pPr>
        <w:adjustRightInd w:val="0"/>
        <w:snapToGrid w:val="0"/>
        <w:spacing w:line="360" w:lineRule="auto"/>
        <w:ind w:firstLine="420" w:firstLineChars="200"/>
        <w:rPr>
          <w:rFonts w:hint="eastAsia" w:ascii="宋体" w:hAnsi="宋体" w:cs="宋体"/>
          <w:color w:val="auto"/>
          <w:szCs w:val="21"/>
          <w:highlight w:val="none"/>
          <w:u w:val="single"/>
        </w:rPr>
      </w:pPr>
    </w:p>
    <w:p w14:paraId="0B62CD00">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09272FFA">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5DC745E">
      <w:pPr>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34CDC4A5">
      <w:pPr>
        <w:ind w:firstLine="315" w:firstLineChars="150"/>
        <w:rPr>
          <w:rFonts w:hint="eastAsia" w:ascii="宋体" w:hAnsi="宋体" w:cs="宋体"/>
          <w:color w:val="auto"/>
          <w:szCs w:val="21"/>
          <w:highlight w:val="none"/>
        </w:rPr>
      </w:pPr>
    </w:p>
    <w:p w14:paraId="2165D1C4">
      <w:pPr>
        <w:spacing w:line="400" w:lineRule="exact"/>
        <w:jc w:val="left"/>
        <w:rPr>
          <w:rFonts w:hint="eastAsia" w:ascii="宋体" w:hAnsi="宋体" w:cs="宋体"/>
          <w:color w:val="auto"/>
          <w:szCs w:val="21"/>
          <w:highlight w:val="none"/>
        </w:rPr>
      </w:pPr>
    </w:p>
    <w:p w14:paraId="64FD001D">
      <w:pPr>
        <w:spacing w:line="400" w:lineRule="exact"/>
        <w:jc w:val="left"/>
        <w:rPr>
          <w:rFonts w:hint="eastAsia" w:ascii="宋体" w:hAnsi="宋体" w:cs="宋体"/>
          <w:color w:val="auto"/>
          <w:szCs w:val="21"/>
          <w:highlight w:val="none"/>
        </w:rPr>
      </w:pPr>
    </w:p>
    <w:p w14:paraId="12BC0D23">
      <w:pPr>
        <w:spacing w:line="400" w:lineRule="exact"/>
        <w:jc w:val="left"/>
        <w:rPr>
          <w:rFonts w:hint="eastAsia" w:ascii="宋体" w:hAnsi="宋体" w:cs="宋体"/>
          <w:color w:val="auto"/>
          <w:szCs w:val="21"/>
          <w:highlight w:val="none"/>
        </w:rPr>
      </w:pPr>
    </w:p>
    <w:p w14:paraId="5C1DBA3B">
      <w:pPr>
        <w:spacing w:line="400" w:lineRule="exact"/>
        <w:jc w:val="left"/>
        <w:rPr>
          <w:rFonts w:hint="eastAsia" w:ascii="宋体" w:hAnsi="宋体" w:cs="宋体"/>
          <w:color w:val="auto"/>
          <w:szCs w:val="21"/>
          <w:highlight w:val="none"/>
        </w:rPr>
      </w:pPr>
    </w:p>
    <w:p w14:paraId="47A8D007">
      <w:pPr>
        <w:spacing w:line="400" w:lineRule="exact"/>
        <w:jc w:val="left"/>
        <w:rPr>
          <w:rFonts w:hint="eastAsia" w:ascii="宋体" w:hAnsi="宋体" w:cs="宋体"/>
          <w:color w:val="auto"/>
          <w:szCs w:val="21"/>
          <w:highlight w:val="none"/>
        </w:rPr>
      </w:pPr>
    </w:p>
    <w:p w14:paraId="1406E905">
      <w:pPr>
        <w:spacing w:line="400" w:lineRule="exact"/>
        <w:jc w:val="left"/>
        <w:rPr>
          <w:rFonts w:hint="eastAsia" w:ascii="宋体" w:hAnsi="宋体" w:cs="宋体"/>
          <w:color w:val="auto"/>
          <w:szCs w:val="21"/>
          <w:highlight w:val="none"/>
        </w:rPr>
      </w:pPr>
    </w:p>
    <w:p w14:paraId="267F382A">
      <w:pPr>
        <w:spacing w:line="400" w:lineRule="exact"/>
        <w:jc w:val="left"/>
        <w:rPr>
          <w:rFonts w:hint="eastAsia" w:ascii="宋体" w:hAnsi="宋体" w:cs="宋体"/>
          <w:color w:val="auto"/>
          <w:szCs w:val="21"/>
          <w:highlight w:val="none"/>
        </w:rPr>
      </w:pPr>
    </w:p>
    <w:p w14:paraId="31467C6B">
      <w:pPr>
        <w:spacing w:line="400" w:lineRule="exact"/>
        <w:jc w:val="left"/>
        <w:rPr>
          <w:rFonts w:hint="eastAsia" w:ascii="宋体" w:hAnsi="宋体" w:cs="宋体"/>
          <w:color w:val="auto"/>
          <w:szCs w:val="21"/>
          <w:highlight w:val="none"/>
        </w:rPr>
      </w:pPr>
    </w:p>
    <w:p w14:paraId="7C44B6E9">
      <w:pPr>
        <w:spacing w:line="400" w:lineRule="exact"/>
        <w:jc w:val="left"/>
        <w:rPr>
          <w:rFonts w:hint="eastAsia" w:ascii="宋体" w:hAnsi="宋体" w:cs="宋体"/>
          <w:color w:val="auto"/>
          <w:szCs w:val="21"/>
          <w:highlight w:val="none"/>
        </w:rPr>
      </w:pPr>
    </w:p>
    <w:p w14:paraId="0E2921BC">
      <w:pPr>
        <w:spacing w:line="400" w:lineRule="exact"/>
        <w:jc w:val="left"/>
        <w:rPr>
          <w:rFonts w:hint="eastAsia" w:ascii="宋体" w:hAnsi="宋体" w:cs="宋体"/>
          <w:color w:val="auto"/>
          <w:szCs w:val="21"/>
          <w:highlight w:val="none"/>
        </w:rPr>
      </w:pPr>
    </w:p>
    <w:p w14:paraId="74BE651A">
      <w:pPr>
        <w:spacing w:line="400" w:lineRule="exact"/>
        <w:jc w:val="left"/>
        <w:rPr>
          <w:rFonts w:hint="eastAsia" w:ascii="宋体" w:hAnsi="宋体" w:cs="宋体"/>
          <w:color w:val="auto"/>
          <w:szCs w:val="21"/>
          <w:highlight w:val="none"/>
        </w:rPr>
      </w:pPr>
    </w:p>
    <w:p w14:paraId="64A04968">
      <w:pPr>
        <w:spacing w:line="400" w:lineRule="exact"/>
        <w:jc w:val="left"/>
        <w:rPr>
          <w:rFonts w:hint="eastAsia" w:ascii="宋体" w:hAnsi="宋体" w:cs="宋体"/>
          <w:color w:val="auto"/>
          <w:szCs w:val="21"/>
          <w:highlight w:val="none"/>
        </w:rPr>
      </w:pPr>
    </w:p>
    <w:p w14:paraId="477DAF72">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4、初次报价表格式</w:t>
      </w:r>
    </w:p>
    <w:p w14:paraId="0935F15D">
      <w:pPr>
        <w:rPr>
          <w:rFonts w:hint="eastAsia" w:ascii="宋体" w:hAnsi="宋体" w:cs="宋体"/>
          <w:color w:val="auto"/>
          <w:szCs w:val="21"/>
          <w:highlight w:val="none"/>
        </w:rPr>
      </w:pPr>
    </w:p>
    <w:p w14:paraId="57E163CB">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初次报价表</w:t>
      </w:r>
    </w:p>
    <w:p w14:paraId="78615252">
      <w:pPr>
        <w:adjustRightInd w:val="0"/>
        <w:snapToGrid w:val="0"/>
        <w:spacing w:line="360" w:lineRule="auto"/>
        <w:ind w:firstLine="420" w:firstLineChars="200"/>
        <w:rPr>
          <w:rFonts w:hint="eastAsia" w:ascii="宋体" w:hAnsi="宋体" w:cs="宋体"/>
          <w:color w:val="auto"/>
          <w:szCs w:val="21"/>
          <w:highlight w:val="none"/>
        </w:rPr>
      </w:pPr>
    </w:p>
    <w:p w14:paraId="23CDED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14:paraId="3DEA7E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p>
    <w:tbl>
      <w:tblPr>
        <w:tblStyle w:val="31"/>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089"/>
        <w:gridCol w:w="3728"/>
      </w:tblGrid>
      <w:tr w14:paraId="63A7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5" w:type="dxa"/>
            <w:vAlign w:val="center"/>
          </w:tcPr>
          <w:p w14:paraId="1FF1F38F">
            <w:pPr>
              <w:jc w:val="center"/>
              <w:rPr>
                <w:rFonts w:hint="eastAsia" w:ascii="宋体" w:hAnsi="宋体" w:cs="宋体"/>
                <w:color w:val="auto"/>
                <w:highlight w:val="none"/>
              </w:rPr>
            </w:pPr>
            <w:r>
              <w:rPr>
                <w:rFonts w:hint="eastAsia" w:ascii="宋体" w:hAnsi="宋体" w:cs="宋体"/>
                <w:color w:val="auto"/>
                <w:highlight w:val="none"/>
              </w:rPr>
              <w:t>序号</w:t>
            </w:r>
          </w:p>
        </w:tc>
        <w:tc>
          <w:tcPr>
            <w:tcW w:w="4089" w:type="dxa"/>
            <w:vAlign w:val="center"/>
          </w:tcPr>
          <w:p w14:paraId="33C9A163">
            <w:pPr>
              <w:jc w:val="center"/>
              <w:rPr>
                <w:rFonts w:hint="eastAsia" w:ascii="宋体" w:hAnsi="宋体" w:cs="宋体"/>
                <w:color w:val="auto"/>
                <w:highlight w:val="none"/>
              </w:rPr>
            </w:pPr>
            <w:r>
              <w:rPr>
                <w:rFonts w:hint="eastAsia" w:ascii="宋体" w:hAnsi="宋体" w:cs="宋体"/>
                <w:color w:val="auto"/>
                <w:highlight w:val="none"/>
              </w:rPr>
              <w:t>服务名称</w:t>
            </w:r>
          </w:p>
        </w:tc>
        <w:tc>
          <w:tcPr>
            <w:tcW w:w="3728" w:type="dxa"/>
            <w:vAlign w:val="center"/>
          </w:tcPr>
          <w:p w14:paraId="4610C775">
            <w:pPr>
              <w:jc w:val="center"/>
              <w:rPr>
                <w:rFonts w:hint="eastAsia" w:ascii="宋体" w:hAnsi="宋体" w:cs="宋体"/>
                <w:color w:val="auto"/>
                <w:highlight w:val="none"/>
              </w:rPr>
            </w:pPr>
            <w:r>
              <w:rPr>
                <w:rFonts w:hint="eastAsia" w:ascii="宋体" w:hAnsi="宋体" w:cs="宋体"/>
                <w:color w:val="auto"/>
                <w:highlight w:val="none"/>
              </w:rPr>
              <w:t>初次报价（</w:t>
            </w:r>
            <w:r>
              <w:rPr>
                <w:rFonts w:hint="eastAsia" w:ascii="宋体" w:hAnsi="宋体" w:cs="宋体"/>
                <w:color w:val="auto"/>
                <w:highlight w:val="none"/>
                <w:lang w:eastAsia="zh-CN"/>
              </w:rPr>
              <w:t>元</w:t>
            </w:r>
            <w:r>
              <w:rPr>
                <w:rFonts w:hint="eastAsia" w:ascii="宋体" w:hAnsi="宋体" w:cs="宋体"/>
                <w:color w:val="auto"/>
                <w:highlight w:val="none"/>
              </w:rPr>
              <w:t>）</w:t>
            </w:r>
          </w:p>
        </w:tc>
      </w:tr>
      <w:tr w14:paraId="73CA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5" w:type="dxa"/>
            <w:vAlign w:val="center"/>
          </w:tcPr>
          <w:p w14:paraId="1594E0B7">
            <w:pPr>
              <w:jc w:val="center"/>
              <w:rPr>
                <w:rFonts w:hint="eastAsia" w:ascii="宋体" w:hAnsi="宋体" w:cs="宋体"/>
                <w:color w:val="auto"/>
                <w:highlight w:val="none"/>
              </w:rPr>
            </w:pPr>
            <w:r>
              <w:rPr>
                <w:rFonts w:hint="eastAsia" w:ascii="宋体" w:hAnsi="宋体" w:cs="宋体"/>
                <w:color w:val="auto"/>
                <w:highlight w:val="none"/>
              </w:rPr>
              <w:t>1</w:t>
            </w:r>
          </w:p>
        </w:tc>
        <w:tc>
          <w:tcPr>
            <w:tcW w:w="4089" w:type="dxa"/>
            <w:vAlign w:val="center"/>
          </w:tcPr>
          <w:p w14:paraId="5755F22A">
            <w:pPr>
              <w:jc w:val="center"/>
              <w:rPr>
                <w:rFonts w:hint="eastAsia" w:ascii="宋体" w:hAnsi="宋体" w:eastAsia="宋体" w:cs="宋体"/>
                <w:color w:val="auto"/>
                <w:highlight w:val="none"/>
                <w:lang w:eastAsia="zh-CN"/>
              </w:rPr>
            </w:pPr>
            <w:r>
              <w:rPr>
                <w:rFonts w:hint="eastAsia"/>
                <w:color w:val="auto"/>
                <w:highlight w:val="none"/>
                <w:lang w:eastAsia="zh-CN"/>
              </w:rPr>
              <w:t>2025年第六届浙江省户外运动大会赛事服务项目（二次）</w:t>
            </w:r>
          </w:p>
        </w:tc>
        <w:tc>
          <w:tcPr>
            <w:tcW w:w="3728" w:type="dxa"/>
            <w:vAlign w:val="center"/>
          </w:tcPr>
          <w:p w14:paraId="3284A70A">
            <w:pPr>
              <w:rPr>
                <w:rFonts w:hint="eastAsia" w:ascii="宋体" w:hAnsi="宋体" w:eastAsia="宋体" w:cs="宋体"/>
                <w:color w:val="auto"/>
                <w:highlight w:val="none"/>
                <w:lang w:eastAsia="zh-CN"/>
              </w:rPr>
            </w:pPr>
            <w:r>
              <w:rPr>
                <w:rFonts w:hint="eastAsia" w:ascii="宋体" w:hAnsi="宋体" w:cs="宋体"/>
                <w:color w:val="auto"/>
                <w:highlight w:val="none"/>
              </w:rPr>
              <w:t xml:space="preserve">                      </w:t>
            </w:r>
            <w:r>
              <w:rPr>
                <w:rFonts w:hint="eastAsia" w:ascii="宋体" w:hAnsi="宋体" w:cs="宋体"/>
                <w:color w:val="auto"/>
                <w:highlight w:val="none"/>
                <w:lang w:eastAsia="zh-CN"/>
              </w:rPr>
              <w:t>元</w:t>
            </w:r>
          </w:p>
        </w:tc>
      </w:tr>
      <w:tr w14:paraId="6FC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82" w:type="dxa"/>
            <w:gridSpan w:val="3"/>
            <w:vAlign w:val="center"/>
          </w:tcPr>
          <w:p w14:paraId="080B2E08">
            <w:pPr>
              <w:rPr>
                <w:rFonts w:hint="eastAsia" w:ascii="宋体" w:hAnsi="宋体" w:cs="宋体"/>
                <w:color w:val="auto"/>
                <w:highlight w:val="none"/>
              </w:rPr>
            </w:pPr>
            <w:r>
              <w:rPr>
                <w:rFonts w:hint="eastAsia" w:ascii="宋体" w:hAnsi="宋体" w:cs="宋体"/>
                <w:color w:val="auto"/>
                <w:highlight w:val="none"/>
              </w:rPr>
              <w:t>初次报价大写：</w:t>
            </w:r>
            <w:r>
              <w:rPr>
                <w:rFonts w:hint="eastAsia" w:ascii="宋体" w:hAnsi="宋体" w:cs="宋体"/>
                <w:color w:val="auto"/>
                <w:highlight w:val="none"/>
                <w:u w:val="single"/>
              </w:rPr>
              <w:t xml:space="preserve">                </w:t>
            </w:r>
          </w:p>
        </w:tc>
      </w:tr>
    </w:tbl>
    <w:p w14:paraId="144CEB7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71BB32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086C828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2、本项目最终</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应包括人工费</w:t>
      </w:r>
      <w:r>
        <w:rPr>
          <w:rFonts w:hint="eastAsia" w:ascii="宋体" w:hAnsi="宋体" w:cs="宋体"/>
          <w:color w:val="auto"/>
          <w:szCs w:val="21"/>
          <w:highlight w:val="none"/>
          <w:lang w:eastAsia="zh-CN"/>
        </w:rPr>
        <w:t>、</w:t>
      </w:r>
      <w:r>
        <w:rPr>
          <w:rFonts w:hint="eastAsia" w:ascii="宋体" w:hAnsi="宋体" w:cs="宋体"/>
          <w:color w:val="auto"/>
          <w:szCs w:val="21"/>
          <w:highlight w:val="none"/>
        </w:rPr>
        <w:t>差旅费、设备通讯费、保险费、间接费、税金利润、招标代理费等一切费用，凡未列入的均将被认为已包含在报价中。</w:t>
      </w:r>
    </w:p>
    <w:p w14:paraId="3F5045B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▲3、投标文件只允许有一个报价，有选择的报价将不予接受。</w:t>
      </w:r>
    </w:p>
    <w:p w14:paraId="641DC89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初次报价不公开。不提供此表格的将视为没有实质性响应磋商文件。</w:t>
      </w:r>
    </w:p>
    <w:p w14:paraId="2234A0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供应商全称：（盖章）</w:t>
      </w:r>
    </w:p>
    <w:p w14:paraId="1F49782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48E2FD84">
      <w:pPr>
        <w:adjustRightInd w:val="0"/>
        <w:snapToGrid w:val="0"/>
        <w:spacing w:line="360" w:lineRule="auto"/>
        <w:ind w:firstLine="420" w:firstLineChars="200"/>
        <w:rPr>
          <w:rFonts w:hint="eastAsia" w:ascii="宋体" w:hAnsi="宋体" w:cs="宋体"/>
          <w:color w:val="auto"/>
          <w:sz w:val="32"/>
          <w:szCs w:val="32"/>
          <w:highlight w:val="none"/>
        </w:rPr>
      </w:pPr>
      <w:r>
        <w:rPr>
          <w:rFonts w:hint="eastAsia" w:ascii="宋体" w:hAnsi="宋体" w:cs="宋体"/>
          <w:color w:val="auto"/>
          <w:szCs w:val="21"/>
          <w:highlight w:val="none"/>
        </w:rPr>
        <w:t>日期：</w:t>
      </w:r>
    </w:p>
    <w:p w14:paraId="0974B7E6">
      <w:pPr>
        <w:spacing w:line="400" w:lineRule="exact"/>
        <w:rPr>
          <w:rFonts w:hint="eastAsia" w:ascii="宋体" w:hAnsi="宋体" w:cs="宋体"/>
          <w:color w:val="auto"/>
          <w:szCs w:val="21"/>
          <w:highlight w:val="none"/>
        </w:rPr>
      </w:pPr>
    </w:p>
    <w:p w14:paraId="484E7937">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A8AB9CF">
      <w:pPr>
        <w:spacing w:line="400" w:lineRule="exact"/>
        <w:rPr>
          <w:rFonts w:hint="eastAsia" w:ascii="宋体" w:hAnsi="宋体" w:cs="宋体"/>
          <w:color w:val="auto"/>
          <w:szCs w:val="21"/>
          <w:highlight w:val="none"/>
        </w:rPr>
      </w:pPr>
    </w:p>
    <w:p w14:paraId="26A69052">
      <w:pPr>
        <w:spacing w:line="400" w:lineRule="exact"/>
        <w:rPr>
          <w:rFonts w:hint="eastAsia" w:ascii="宋体" w:hAnsi="宋体"/>
          <w:color w:val="auto"/>
          <w:highlight w:val="none"/>
        </w:rPr>
      </w:pPr>
      <w:r>
        <w:rPr>
          <w:rFonts w:hint="eastAsia" w:ascii="宋体" w:hAnsi="宋体" w:cs="宋体"/>
          <w:color w:val="auto"/>
          <w:szCs w:val="21"/>
          <w:highlight w:val="none"/>
        </w:rPr>
        <w:t>5、</w:t>
      </w:r>
      <w:r>
        <w:rPr>
          <w:rFonts w:hint="eastAsia" w:ascii="宋体" w:hAnsi="宋体"/>
          <w:color w:val="auto"/>
          <w:highlight w:val="none"/>
        </w:rPr>
        <w:t>报价明细表：</w:t>
      </w:r>
    </w:p>
    <w:p w14:paraId="6730AE79">
      <w:pPr>
        <w:snapToGrid w:val="0"/>
        <w:spacing w:line="440" w:lineRule="exact"/>
        <w:jc w:val="center"/>
        <w:rPr>
          <w:rFonts w:ascii="宋体"/>
          <w:b/>
          <w:color w:val="auto"/>
          <w:szCs w:val="21"/>
          <w:highlight w:val="none"/>
        </w:rPr>
      </w:pPr>
      <w:bookmarkStart w:id="169" w:name="_Toc293916986"/>
      <w:r>
        <w:rPr>
          <w:rFonts w:hint="eastAsia" w:ascii="宋体"/>
          <w:b/>
          <w:color w:val="auto"/>
          <w:szCs w:val="21"/>
          <w:highlight w:val="none"/>
        </w:rPr>
        <w:t>磋商报价明细表</w:t>
      </w:r>
      <w:bookmarkEnd w:id="169"/>
    </w:p>
    <w:p w14:paraId="020E3F1E">
      <w:pPr>
        <w:snapToGrid w:val="0"/>
        <w:spacing w:line="440" w:lineRule="exact"/>
        <w:rPr>
          <w:rFonts w:ascii="宋体"/>
          <w:color w:val="auto"/>
          <w:szCs w:val="21"/>
          <w:highlight w:val="none"/>
          <w:u w:val="single"/>
        </w:rPr>
      </w:pPr>
      <w:bookmarkStart w:id="170" w:name="_Toc293916987"/>
      <w:r>
        <w:rPr>
          <w:rFonts w:hint="eastAsia" w:ascii="宋体"/>
          <w:color w:val="auto"/>
          <w:szCs w:val="21"/>
          <w:highlight w:val="none"/>
        </w:rPr>
        <w:t>项目名称：</w:t>
      </w:r>
      <w:r>
        <w:rPr>
          <w:rFonts w:hint="eastAsia" w:ascii="宋体"/>
          <w:color w:val="auto"/>
          <w:szCs w:val="21"/>
          <w:highlight w:val="none"/>
          <w:u w:val="single"/>
        </w:rPr>
        <w:t xml:space="preserve">                 </w:t>
      </w:r>
      <w:r>
        <w:rPr>
          <w:rFonts w:hint="eastAsia" w:ascii="宋体"/>
          <w:color w:val="auto"/>
          <w:szCs w:val="21"/>
          <w:highlight w:val="none"/>
        </w:rPr>
        <w:t>项目编号：</w:t>
      </w:r>
      <w:bookmarkEnd w:id="170"/>
      <w:r>
        <w:rPr>
          <w:rFonts w:hint="eastAsia" w:ascii="宋体"/>
          <w:color w:val="auto"/>
          <w:szCs w:val="21"/>
          <w:highlight w:val="none"/>
          <w:u w:val="single"/>
        </w:rPr>
        <w:t xml:space="preserve">                </w:t>
      </w:r>
      <w:r>
        <w:rPr>
          <w:rFonts w:hint="eastAsia" w:ascii="宋体"/>
          <w:color w:val="auto"/>
          <w:szCs w:val="21"/>
          <w:highlight w:val="none"/>
        </w:rPr>
        <w:t>标项：</w:t>
      </w:r>
      <w:r>
        <w:rPr>
          <w:rFonts w:hint="eastAsia" w:ascii="宋体"/>
          <w:color w:val="auto"/>
          <w:szCs w:val="21"/>
          <w:highlight w:val="none"/>
          <w:u w:val="single"/>
        </w:rPr>
        <w:t xml:space="preserve">             </w:t>
      </w:r>
    </w:p>
    <w:p w14:paraId="1E61DD61">
      <w:pPr>
        <w:snapToGrid w:val="0"/>
        <w:spacing w:line="440" w:lineRule="exact"/>
        <w:jc w:val="right"/>
        <w:rPr>
          <w:rFonts w:ascii="宋体"/>
          <w:color w:val="auto"/>
          <w:szCs w:val="21"/>
          <w:highlight w:val="none"/>
        </w:rPr>
      </w:pPr>
      <w:r>
        <w:rPr>
          <w:rFonts w:hint="eastAsia" w:ascii="宋体"/>
          <w:color w:val="auto"/>
          <w:szCs w:val="21"/>
          <w:highlight w:val="none"/>
        </w:rPr>
        <w:t xml:space="preserve">                                         金额单位：人民币（元）</w:t>
      </w:r>
    </w:p>
    <w:tbl>
      <w:tblPr>
        <w:tblStyle w:val="31"/>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066"/>
        <w:gridCol w:w="873"/>
        <w:gridCol w:w="954"/>
        <w:gridCol w:w="1211"/>
        <w:gridCol w:w="1269"/>
      </w:tblGrid>
      <w:tr w14:paraId="3F0E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7685E0C5">
            <w:pPr>
              <w:jc w:val="center"/>
              <w:rPr>
                <w:rFonts w:ascii="宋体"/>
                <w:color w:val="auto"/>
                <w:szCs w:val="21"/>
                <w:highlight w:val="none"/>
              </w:rPr>
            </w:pPr>
            <w:bookmarkStart w:id="171" w:name="_Toc293916989"/>
            <w:r>
              <w:rPr>
                <w:rFonts w:hint="eastAsia" w:ascii="宋体"/>
                <w:color w:val="auto"/>
                <w:szCs w:val="21"/>
                <w:highlight w:val="none"/>
              </w:rPr>
              <w:t>序号</w:t>
            </w:r>
            <w:bookmarkEnd w:id="171"/>
          </w:p>
        </w:tc>
        <w:tc>
          <w:tcPr>
            <w:tcW w:w="4066" w:type="dxa"/>
            <w:vAlign w:val="center"/>
          </w:tcPr>
          <w:p w14:paraId="4EC05AC8">
            <w:pPr>
              <w:jc w:val="center"/>
              <w:rPr>
                <w:rFonts w:ascii="宋体"/>
                <w:color w:val="auto"/>
                <w:szCs w:val="21"/>
                <w:highlight w:val="none"/>
              </w:rPr>
            </w:pPr>
            <w:r>
              <w:rPr>
                <w:rFonts w:hint="eastAsia" w:ascii="宋体"/>
                <w:color w:val="auto"/>
                <w:szCs w:val="21"/>
                <w:highlight w:val="none"/>
              </w:rPr>
              <w:t>服务名称</w:t>
            </w:r>
          </w:p>
        </w:tc>
        <w:tc>
          <w:tcPr>
            <w:tcW w:w="873" w:type="dxa"/>
            <w:vAlign w:val="center"/>
          </w:tcPr>
          <w:p w14:paraId="1A509566">
            <w:pPr>
              <w:jc w:val="center"/>
              <w:rPr>
                <w:rFonts w:ascii="宋体"/>
                <w:color w:val="auto"/>
                <w:szCs w:val="21"/>
                <w:highlight w:val="none"/>
              </w:rPr>
            </w:pPr>
            <w:bookmarkStart w:id="172" w:name="_Toc293916993"/>
            <w:r>
              <w:rPr>
                <w:rFonts w:hint="eastAsia" w:ascii="宋体"/>
                <w:color w:val="auto"/>
                <w:szCs w:val="21"/>
                <w:highlight w:val="none"/>
              </w:rPr>
              <w:t>数量</w:t>
            </w:r>
            <w:bookmarkEnd w:id="172"/>
          </w:p>
        </w:tc>
        <w:tc>
          <w:tcPr>
            <w:tcW w:w="954" w:type="dxa"/>
            <w:vAlign w:val="center"/>
          </w:tcPr>
          <w:p w14:paraId="1AA0D79B">
            <w:pPr>
              <w:jc w:val="center"/>
              <w:rPr>
                <w:rFonts w:ascii="宋体"/>
                <w:color w:val="auto"/>
                <w:szCs w:val="21"/>
                <w:highlight w:val="none"/>
              </w:rPr>
            </w:pPr>
            <w:bookmarkStart w:id="173" w:name="_Toc293916994"/>
            <w:r>
              <w:rPr>
                <w:rFonts w:hint="eastAsia" w:ascii="宋体"/>
                <w:color w:val="auto"/>
                <w:szCs w:val="21"/>
                <w:highlight w:val="none"/>
              </w:rPr>
              <w:t>单价</w:t>
            </w:r>
            <w:bookmarkEnd w:id="173"/>
          </w:p>
        </w:tc>
        <w:tc>
          <w:tcPr>
            <w:tcW w:w="1211" w:type="dxa"/>
            <w:vAlign w:val="center"/>
          </w:tcPr>
          <w:p w14:paraId="1EE68C1B">
            <w:pPr>
              <w:jc w:val="center"/>
              <w:rPr>
                <w:rFonts w:ascii="宋体"/>
                <w:color w:val="auto"/>
                <w:szCs w:val="21"/>
                <w:highlight w:val="none"/>
              </w:rPr>
            </w:pPr>
            <w:r>
              <w:rPr>
                <w:rFonts w:hint="eastAsia" w:ascii="宋体"/>
                <w:color w:val="auto"/>
                <w:szCs w:val="21"/>
                <w:highlight w:val="none"/>
              </w:rPr>
              <w:t>总价</w:t>
            </w:r>
          </w:p>
        </w:tc>
        <w:tc>
          <w:tcPr>
            <w:tcW w:w="1269" w:type="dxa"/>
            <w:vAlign w:val="center"/>
          </w:tcPr>
          <w:p w14:paraId="7390031B">
            <w:pPr>
              <w:jc w:val="center"/>
              <w:rPr>
                <w:rFonts w:ascii="宋体"/>
                <w:color w:val="auto"/>
                <w:szCs w:val="21"/>
                <w:highlight w:val="none"/>
              </w:rPr>
            </w:pPr>
            <w:r>
              <w:rPr>
                <w:rFonts w:hint="eastAsia" w:ascii="宋体"/>
                <w:color w:val="auto"/>
                <w:szCs w:val="21"/>
                <w:highlight w:val="none"/>
              </w:rPr>
              <w:t>备注</w:t>
            </w:r>
          </w:p>
        </w:tc>
      </w:tr>
      <w:tr w14:paraId="360B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713CD612">
            <w:pPr>
              <w:jc w:val="center"/>
              <w:rPr>
                <w:rFonts w:ascii="宋体"/>
                <w:color w:val="auto"/>
                <w:szCs w:val="21"/>
                <w:highlight w:val="none"/>
              </w:rPr>
            </w:pPr>
          </w:p>
        </w:tc>
        <w:tc>
          <w:tcPr>
            <w:tcW w:w="4066" w:type="dxa"/>
            <w:vAlign w:val="center"/>
          </w:tcPr>
          <w:p w14:paraId="18C21781">
            <w:pPr>
              <w:jc w:val="center"/>
              <w:rPr>
                <w:rFonts w:ascii="宋体"/>
                <w:color w:val="auto"/>
                <w:szCs w:val="21"/>
                <w:highlight w:val="none"/>
              </w:rPr>
            </w:pPr>
          </w:p>
        </w:tc>
        <w:tc>
          <w:tcPr>
            <w:tcW w:w="873" w:type="dxa"/>
            <w:vAlign w:val="center"/>
          </w:tcPr>
          <w:p w14:paraId="3F72FBED">
            <w:pPr>
              <w:jc w:val="center"/>
              <w:rPr>
                <w:rFonts w:ascii="宋体"/>
                <w:color w:val="auto"/>
                <w:szCs w:val="21"/>
                <w:highlight w:val="none"/>
              </w:rPr>
            </w:pPr>
          </w:p>
        </w:tc>
        <w:tc>
          <w:tcPr>
            <w:tcW w:w="954" w:type="dxa"/>
            <w:vAlign w:val="center"/>
          </w:tcPr>
          <w:p w14:paraId="5AD2465E">
            <w:pPr>
              <w:jc w:val="center"/>
              <w:rPr>
                <w:rFonts w:ascii="宋体"/>
                <w:color w:val="auto"/>
                <w:szCs w:val="21"/>
                <w:highlight w:val="none"/>
              </w:rPr>
            </w:pPr>
          </w:p>
        </w:tc>
        <w:tc>
          <w:tcPr>
            <w:tcW w:w="1211" w:type="dxa"/>
            <w:vAlign w:val="center"/>
          </w:tcPr>
          <w:p w14:paraId="016486EE">
            <w:pPr>
              <w:jc w:val="center"/>
              <w:rPr>
                <w:rFonts w:ascii="宋体"/>
                <w:color w:val="auto"/>
                <w:szCs w:val="21"/>
                <w:highlight w:val="none"/>
              </w:rPr>
            </w:pPr>
          </w:p>
        </w:tc>
        <w:tc>
          <w:tcPr>
            <w:tcW w:w="1269" w:type="dxa"/>
            <w:vAlign w:val="center"/>
          </w:tcPr>
          <w:p w14:paraId="4A1BFEFE">
            <w:pPr>
              <w:jc w:val="center"/>
              <w:rPr>
                <w:rFonts w:ascii="宋体"/>
                <w:color w:val="auto"/>
                <w:szCs w:val="21"/>
                <w:highlight w:val="none"/>
              </w:rPr>
            </w:pPr>
          </w:p>
        </w:tc>
      </w:tr>
      <w:tr w14:paraId="37D6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7D9C5B33">
            <w:pPr>
              <w:jc w:val="center"/>
              <w:rPr>
                <w:rFonts w:ascii="宋体"/>
                <w:color w:val="auto"/>
                <w:szCs w:val="21"/>
                <w:highlight w:val="none"/>
              </w:rPr>
            </w:pPr>
          </w:p>
        </w:tc>
        <w:tc>
          <w:tcPr>
            <w:tcW w:w="4066" w:type="dxa"/>
            <w:vAlign w:val="center"/>
          </w:tcPr>
          <w:p w14:paraId="285EE2F1">
            <w:pPr>
              <w:jc w:val="center"/>
              <w:rPr>
                <w:rFonts w:ascii="宋体"/>
                <w:color w:val="auto"/>
                <w:szCs w:val="21"/>
                <w:highlight w:val="none"/>
              </w:rPr>
            </w:pPr>
          </w:p>
        </w:tc>
        <w:tc>
          <w:tcPr>
            <w:tcW w:w="873" w:type="dxa"/>
            <w:vAlign w:val="center"/>
          </w:tcPr>
          <w:p w14:paraId="5E90240D">
            <w:pPr>
              <w:jc w:val="center"/>
              <w:rPr>
                <w:rFonts w:ascii="宋体"/>
                <w:color w:val="auto"/>
                <w:szCs w:val="21"/>
                <w:highlight w:val="none"/>
              </w:rPr>
            </w:pPr>
          </w:p>
        </w:tc>
        <w:tc>
          <w:tcPr>
            <w:tcW w:w="954" w:type="dxa"/>
            <w:vAlign w:val="center"/>
          </w:tcPr>
          <w:p w14:paraId="6CD12C0A">
            <w:pPr>
              <w:jc w:val="center"/>
              <w:rPr>
                <w:rFonts w:ascii="宋体"/>
                <w:color w:val="auto"/>
                <w:szCs w:val="21"/>
                <w:highlight w:val="none"/>
              </w:rPr>
            </w:pPr>
          </w:p>
        </w:tc>
        <w:tc>
          <w:tcPr>
            <w:tcW w:w="1211" w:type="dxa"/>
            <w:vAlign w:val="center"/>
          </w:tcPr>
          <w:p w14:paraId="7601B22D">
            <w:pPr>
              <w:jc w:val="center"/>
              <w:rPr>
                <w:rFonts w:ascii="宋体"/>
                <w:color w:val="auto"/>
                <w:szCs w:val="21"/>
                <w:highlight w:val="none"/>
              </w:rPr>
            </w:pPr>
          </w:p>
        </w:tc>
        <w:tc>
          <w:tcPr>
            <w:tcW w:w="1269" w:type="dxa"/>
            <w:vAlign w:val="center"/>
          </w:tcPr>
          <w:p w14:paraId="06B1BE76">
            <w:pPr>
              <w:jc w:val="center"/>
              <w:rPr>
                <w:rFonts w:ascii="宋体"/>
                <w:color w:val="auto"/>
                <w:szCs w:val="21"/>
                <w:highlight w:val="none"/>
              </w:rPr>
            </w:pPr>
          </w:p>
        </w:tc>
      </w:tr>
      <w:tr w14:paraId="358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46916355">
            <w:pPr>
              <w:jc w:val="center"/>
              <w:rPr>
                <w:rFonts w:ascii="宋体"/>
                <w:color w:val="auto"/>
                <w:szCs w:val="21"/>
                <w:highlight w:val="none"/>
              </w:rPr>
            </w:pPr>
          </w:p>
        </w:tc>
        <w:tc>
          <w:tcPr>
            <w:tcW w:w="4066" w:type="dxa"/>
            <w:vAlign w:val="center"/>
          </w:tcPr>
          <w:p w14:paraId="00F4D517">
            <w:pPr>
              <w:jc w:val="center"/>
              <w:rPr>
                <w:rFonts w:ascii="宋体"/>
                <w:color w:val="auto"/>
                <w:szCs w:val="21"/>
                <w:highlight w:val="none"/>
              </w:rPr>
            </w:pPr>
          </w:p>
        </w:tc>
        <w:tc>
          <w:tcPr>
            <w:tcW w:w="873" w:type="dxa"/>
            <w:vAlign w:val="center"/>
          </w:tcPr>
          <w:p w14:paraId="1E1E9DF3">
            <w:pPr>
              <w:jc w:val="center"/>
              <w:rPr>
                <w:rFonts w:ascii="宋体"/>
                <w:color w:val="auto"/>
                <w:szCs w:val="21"/>
                <w:highlight w:val="none"/>
              </w:rPr>
            </w:pPr>
          </w:p>
        </w:tc>
        <w:tc>
          <w:tcPr>
            <w:tcW w:w="954" w:type="dxa"/>
            <w:vAlign w:val="center"/>
          </w:tcPr>
          <w:p w14:paraId="762D381D">
            <w:pPr>
              <w:jc w:val="center"/>
              <w:rPr>
                <w:rFonts w:ascii="宋体"/>
                <w:color w:val="auto"/>
                <w:szCs w:val="21"/>
                <w:highlight w:val="none"/>
              </w:rPr>
            </w:pPr>
          </w:p>
        </w:tc>
        <w:tc>
          <w:tcPr>
            <w:tcW w:w="1211" w:type="dxa"/>
            <w:vAlign w:val="center"/>
          </w:tcPr>
          <w:p w14:paraId="1B0A4F4A">
            <w:pPr>
              <w:jc w:val="center"/>
              <w:rPr>
                <w:rFonts w:ascii="宋体"/>
                <w:color w:val="auto"/>
                <w:szCs w:val="21"/>
                <w:highlight w:val="none"/>
              </w:rPr>
            </w:pPr>
          </w:p>
        </w:tc>
        <w:tc>
          <w:tcPr>
            <w:tcW w:w="1269" w:type="dxa"/>
            <w:vAlign w:val="center"/>
          </w:tcPr>
          <w:p w14:paraId="5B84F291">
            <w:pPr>
              <w:jc w:val="center"/>
              <w:rPr>
                <w:rFonts w:ascii="宋体"/>
                <w:color w:val="auto"/>
                <w:szCs w:val="21"/>
                <w:highlight w:val="none"/>
              </w:rPr>
            </w:pPr>
          </w:p>
        </w:tc>
      </w:tr>
      <w:tr w14:paraId="215A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68BE16CB">
            <w:pPr>
              <w:jc w:val="center"/>
              <w:rPr>
                <w:rFonts w:ascii="宋体"/>
                <w:color w:val="auto"/>
                <w:szCs w:val="21"/>
                <w:highlight w:val="none"/>
              </w:rPr>
            </w:pPr>
          </w:p>
        </w:tc>
        <w:tc>
          <w:tcPr>
            <w:tcW w:w="4066" w:type="dxa"/>
            <w:vAlign w:val="center"/>
          </w:tcPr>
          <w:p w14:paraId="7453384C">
            <w:pPr>
              <w:jc w:val="center"/>
              <w:rPr>
                <w:rFonts w:ascii="宋体"/>
                <w:color w:val="auto"/>
                <w:szCs w:val="21"/>
                <w:highlight w:val="none"/>
              </w:rPr>
            </w:pPr>
          </w:p>
        </w:tc>
        <w:tc>
          <w:tcPr>
            <w:tcW w:w="873" w:type="dxa"/>
            <w:vAlign w:val="center"/>
          </w:tcPr>
          <w:p w14:paraId="6172717B">
            <w:pPr>
              <w:jc w:val="center"/>
              <w:rPr>
                <w:rFonts w:ascii="宋体"/>
                <w:color w:val="auto"/>
                <w:szCs w:val="21"/>
                <w:highlight w:val="none"/>
              </w:rPr>
            </w:pPr>
          </w:p>
        </w:tc>
        <w:tc>
          <w:tcPr>
            <w:tcW w:w="954" w:type="dxa"/>
            <w:vAlign w:val="center"/>
          </w:tcPr>
          <w:p w14:paraId="2A910731">
            <w:pPr>
              <w:jc w:val="center"/>
              <w:rPr>
                <w:rFonts w:ascii="宋体"/>
                <w:color w:val="auto"/>
                <w:szCs w:val="21"/>
                <w:highlight w:val="none"/>
              </w:rPr>
            </w:pPr>
          </w:p>
        </w:tc>
        <w:tc>
          <w:tcPr>
            <w:tcW w:w="1211" w:type="dxa"/>
            <w:vAlign w:val="center"/>
          </w:tcPr>
          <w:p w14:paraId="78A21B58">
            <w:pPr>
              <w:jc w:val="center"/>
              <w:rPr>
                <w:rFonts w:ascii="宋体"/>
                <w:color w:val="auto"/>
                <w:szCs w:val="21"/>
                <w:highlight w:val="none"/>
              </w:rPr>
            </w:pPr>
          </w:p>
        </w:tc>
        <w:tc>
          <w:tcPr>
            <w:tcW w:w="1269" w:type="dxa"/>
            <w:vAlign w:val="center"/>
          </w:tcPr>
          <w:p w14:paraId="26C2C385">
            <w:pPr>
              <w:jc w:val="center"/>
              <w:rPr>
                <w:rFonts w:ascii="宋体"/>
                <w:color w:val="auto"/>
                <w:szCs w:val="21"/>
                <w:highlight w:val="none"/>
              </w:rPr>
            </w:pPr>
          </w:p>
        </w:tc>
      </w:tr>
      <w:tr w14:paraId="74E2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40C8F631">
            <w:pPr>
              <w:jc w:val="center"/>
              <w:rPr>
                <w:rFonts w:ascii="宋体"/>
                <w:color w:val="auto"/>
                <w:szCs w:val="21"/>
                <w:highlight w:val="none"/>
              </w:rPr>
            </w:pPr>
          </w:p>
        </w:tc>
        <w:tc>
          <w:tcPr>
            <w:tcW w:w="4066" w:type="dxa"/>
            <w:vAlign w:val="center"/>
          </w:tcPr>
          <w:p w14:paraId="10D8E4EF">
            <w:pPr>
              <w:jc w:val="center"/>
              <w:rPr>
                <w:rFonts w:ascii="宋体"/>
                <w:color w:val="auto"/>
                <w:szCs w:val="21"/>
                <w:highlight w:val="none"/>
              </w:rPr>
            </w:pPr>
          </w:p>
        </w:tc>
        <w:tc>
          <w:tcPr>
            <w:tcW w:w="873" w:type="dxa"/>
            <w:vAlign w:val="center"/>
          </w:tcPr>
          <w:p w14:paraId="2D2AC4D8">
            <w:pPr>
              <w:jc w:val="center"/>
              <w:rPr>
                <w:rFonts w:ascii="宋体"/>
                <w:color w:val="auto"/>
                <w:szCs w:val="21"/>
                <w:highlight w:val="none"/>
              </w:rPr>
            </w:pPr>
          </w:p>
        </w:tc>
        <w:tc>
          <w:tcPr>
            <w:tcW w:w="954" w:type="dxa"/>
            <w:vAlign w:val="center"/>
          </w:tcPr>
          <w:p w14:paraId="496FF43C">
            <w:pPr>
              <w:jc w:val="center"/>
              <w:rPr>
                <w:rFonts w:ascii="宋体"/>
                <w:color w:val="auto"/>
                <w:szCs w:val="21"/>
                <w:highlight w:val="none"/>
              </w:rPr>
            </w:pPr>
          </w:p>
        </w:tc>
        <w:tc>
          <w:tcPr>
            <w:tcW w:w="1211" w:type="dxa"/>
            <w:vAlign w:val="center"/>
          </w:tcPr>
          <w:p w14:paraId="722FCA6D">
            <w:pPr>
              <w:jc w:val="center"/>
              <w:rPr>
                <w:rFonts w:ascii="宋体"/>
                <w:color w:val="auto"/>
                <w:szCs w:val="21"/>
                <w:highlight w:val="none"/>
              </w:rPr>
            </w:pPr>
          </w:p>
        </w:tc>
        <w:tc>
          <w:tcPr>
            <w:tcW w:w="1269" w:type="dxa"/>
            <w:vAlign w:val="center"/>
          </w:tcPr>
          <w:p w14:paraId="7246474B">
            <w:pPr>
              <w:jc w:val="center"/>
              <w:rPr>
                <w:rFonts w:ascii="宋体"/>
                <w:color w:val="auto"/>
                <w:szCs w:val="21"/>
                <w:highlight w:val="none"/>
              </w:rPr>
            </w:pPr>
          </w:p>
        </w:tc>
      </w:tr>
      <w:tr w14:paraId="520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5A917BF2">
            <w:pPr>
              <w:jc w:val="center"/>
              <w:rPr>
                <w:rFonts w:ascii="宋体"/>
                <w:color w:val="auto"/>
                <w:szCs w:val="21"/>
                <w:highlight w:val="none"/>
              </w:rPr>
            </w:pPr>
          </w:p>
        </w:tc>
        <w:tc>
          <w:tcPr>
            <w:tcW w:w="4066" w:type="dxa"/>
            <w:vAlign w:val="center"/>
          </w:tcPr>
          <w:p w14:paraId="7653AEEE">
            <w:pPr>
              <w:jc w:val="center"/>
              <w:rPr>
                <w:rFonts w:ascii="宋体"/>
                <w:color w:val="auto"/>
                <w:szCs w:val="21"/>
                <w:highlight w:val="none"/>
              </w:rPr>
            </w:pPr>
          </w:p>
        </w:tc>
        <w:tc>
          <w:tcPr>
            <w:tcW w:w="873" w:type="dxa"/>
            <w:vAlign w:val="center"/>
          </w:tcPr>
          <w:p w14:paraId="56C450A5">
            <w:pPr>
              <w:jc w:val="center"/>
              <w:rPr>
                <w:rFonts w:ascii="宋体"/>
                <w:color w:val="auto"/>
                <w:szCs w:val="21"/>
                <w:highlight w:val="none"/>
              </w:rPr>
            </w:pPr>
          </w:p>
        </w:tc>
        <w:tc>
          <w:tcPr>
            <w:tcW w:w="954" w:type="dxa"/>
            <w:vAlign w:val="center"/>
          </w:tcPr>
          <w:p w14:paraId="21C5D68D">
            <w:pPr>
              <w:jc w:val="center"/>
              <w:rPr>
                <w:rFonts w:ascii="宋体"/>
                <w:color w:val="auto"/>
                <w:szCs w:val="21"/>
                <w:highlight w:val="none"/>
              </w:rPr>
            </w:pPr>
          </w:p>
        </w:tc>
        <w:tc>
          <w:tcPr>
            <w:tcW w:w="1211" w:type="dxa"/>
            <w:vAlign w:val="center"/>
          </w:tcPr>
          <w:p w14:paraId="5627F464">
            <w:pPr>
              <w:jc w:val="center"/>
              <w:rPr>
                <w:rFonts w:ascii="宋体"/>
                <w:color w:val="auto"/>
                <w:szCs w:val="21"/>
                <w:highlight w:val="none"/>
              </w:rPr>
            </w:pPr>
          </w:p>
        </w:tc>
        <w:tc>
          <w:tcPr>
            <w:tcW w:w="1269" w:type="dxa"/>
            <w:vAlign w:val="center"/>
          </w:tcPr>
          <w:p w14:paraId="3A5DF5F4">
            <w:pPr>
              <w:jc w:val="center"/>
              <w:rPr>
                <w:rFonts w:ascii="宋体"/>
                <w:color w:val="auto"/>
                <w:szCs w:val="21"/>
                <w:highlight w:val="none"/>
              </w:rPr>
            </w:pPr>
          </w:p>
        </w:tc>
      </w:tr>
      <w:tr w14:paraId="2328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3AD8AC68">
            <w:pPr>
              <w:jc w:val="center"/>
              <w:rPr>
                <w:rFonts w:ascii="宋体"/>
                <w:color w:val="auto"/>
                <w:szCs w:val="21"/>
                <w:highlight w:val="none"/>
              </w:rPr>
            </w:pPr>
          </w:p>
        </w:tc>
        <w:tc>
          <w:tcPr>
            <w:tcW w:w="4066" w:type="dxa"/>
            <w:vAlign w:val="center"/>
          </w:tcPr>
          <w:p w14:paraId="21398F1C">
            <w:pPr>
              <w:jc w:val="center"/>
              <w:rPr>
                <w:rFonts w:ascii="宋体"/>
                <w:color w:val="auto"/>
                <w:szCs w:val="21"/>
                <w:highlight w:val="none"/>
              </w:rPr>
            </w:pPr>
          </w:p>
        </w:tc>
        <w:tc>
          <w:tcPr>
            <w:tcW w:w="873" w:type="dxa"/>
            <w:vAlign w:val="center"/>
          </w:tcPr>
          <w:p w14:paraId="0ED0590C">
            <w:pPr>
              <w:jc w:val="center"/>
              <w:rPr>
                <w:rFonts w:ascii="宋体"/>
                <w:color w:val="auto"/>
                <w:szCs w:val="21"/>
                <w:highlight w:val="none"/>
              </w:rPr>
            </w:pPr>
          </w:p>
        </w:tc>
        <w:tc>
          <w:tcPr>
            <w:tcW w:w="954" w:type="dxa"/>
            <w:vAlign w:val="center"/>
          </w:tcPr>
          <w:p w14:paraId="1242CD5C">
            <w:pPr>
              <w:jc w:val="center"/>
              <w:rPr>
                <w:rFonts w:ascii="宋体"/>
                <w:color w:val="auto"/>
                <w:szCs w:val="21"/>
                <w:highlight w:val="none"/>
              </w:rPr>
            </w:pPr>
          </w:p>
        </w:tc>
        <w:tc>
          <w:tcPr>
            <w:tcW w:w="1211" w:type="dxa"/>
            <w:vAlign w:val="center"/>
          </w:tcPr>
          <w:p w14:paraId="7A16FB78">
            <w:pPr>
              <w:jc w:val="center"/>
              <w:rPr>
                <w:rFonts w:ascii="宋体"/>
                <w:color w:val="auto"/>
                <w:szCs w:val="21"/>
                <w:highlight w:val="none"/>
              </w:rPr>
            </w:pPr>
          </w:p>
        </w:tc>
        <w:tc>
          <w:tcPr>
            <w:tcW w:w="1269" w:type="dxa"/>
            <w:vAlign w:val="center"/>
          </w:tcPr>
          <w:p w14:paraId="6F196210">
            <w:pPr>
              <w:jc w:val="center"/>
              <w:rPr>
                <w:rFonts w:ascii="宋体"/>
                <w:color w:val="auto"/>
                <w:szCs w:val="21"/>
                <w:highlight w:val="none"/>
              </w:rPr>
            </w:pPr>
          </w:p>
        </w:tc>
      </w:tr>
      <w:tr w14:paraId="70F8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557AD03E">
            <w:pPr>
              <w:jc w:val="center"/>
              <w:rPr>
                <w:rFonts w:ascii="宋体"/>
                <w:color w:val="auto"/>
                <w:szCs w:val="21"/>
                <w:highlight w:val="none"/>
              </w:rPr>
            </w:pPr>
          </w:p>
        </w:tc>
        <w:tc>
          <w:tcPr>
            <w:tcW w:w="4066" w:type="dxa"/>
            <w:vAlign w:val="center"/>
          </w:tcPr>
          <w:p w14:paraId="16E5281F">
            <w:pPr>
              <w:jc w:val="center"/>
              <w:rPr>
                <w:rFonts w:ascii="宋体"/>
                <w:color w:val="auto"/>
                <w:szCs w:val="21"/>
                <w:highlight w:val="none"/>
              </w:rPr>
            </w:pPr>
          </w:p>
        </w:tc>
        <w:tc>
          <w:tcPr>
            <w:tcW w:w="873" w:type="dxa"/>
            <w:vAlign w:val="center"/>
          </w:tcPr>
          <w:p w14:paraId="52DDD81E">
            <w:pPr>
              <w:jc w:val="center"/>
              <w:rPr>
                <w:rFonts w:ascii="宋体"/>
                <w:color w:val="auto"/>
                <w:szCs w:val="21"/>
                <w:highlight w:val="none"/>
              </w:rPr>
            </w:pPr>
          </w:p>
        </w:tc>
        <w:tc>
          <w:tcPr>
            <w:tcW w:w="954" w:type="dxa"/>
            <w:vAlign w:val="center"/>
          </w:tcPr>
          <w:p w14:paraId="349BAF81">
            <w:pPr>
              <w:jc w:val="center"/>
              <w:rPr>
                <w:rFonts w:ascii="宋体"/>
                <w:color w:val="auto"/>
                <w:szCs w:val="21"/>
                <w:highlight w:val="none"/>
              </w:rPr>
            </w:pPr>
          </w:p>
        </w:tc>
        <w:tc>
          <w:tcPr>
            <w:tcW w:w="1211" w:type="dxa"/>
            <w:vAlign w:val="center"/>
          </w:tcPr>
          <w:p w14:paraId="4AC7CA22">
            <w:pPr>
              <w:jc w:val="center"/>
              <w:rPr>
                <w:rFonts w:ascii="宋体"/>
                <w:color w:val="auto"/>
                <w:szCs w:val="21"/>
                <w:highlight w:val="none"/>
              </w:rPr>
            </w:pPr>
          </w:p>
        </w:tc>
        <w:tc>
          <w:tcPr>
            <w:tcW w:w="1269" w:type="dxa"/>
            <w:vAlign w:val="center"/>
          </w:tcPr>
          <w:p w14:paraId="3ACA2805">
            <w:pPr>
              <w:jc w:val="center"/>
              <w:rPr>
                <w:rFonts w:ascii="宋体"/>
                <w:color w:val="auto"/>
                <w:szCs w:val="21"/>
                <w:highlight w:val="none"/>
              </w:rPr>
            </w:pPr>
          </w:p>
        </w:tc>
      </w:tr>
      <w:tr w14:paraId="6D73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Align w:val="center"/>
          </w:tcPr>
          <w:p w14:paraId="7DBCBA79">
            <w:pPr>
              <w:jc w:val="center"/>
              <w:rPr>
                <w:rFonts w:ascii="宋体"/>
                <w:color w:val="auto"/>
                <w:szCs w:val="21"/>
                <w:highlight w:val="none"/>
              </w:rPr>
            </w:pPr>
          </w:p>
        </w:tc>
        <w:tc>
          <w:tcPr>
            <w:tcW w:w="4066" w:type="dxa"/>
            <w:vAlign w:val="center"/>
          </w:tcPr>
          <w:p w14:paraId="60500AD1">
            <w:pPr>
              <w:jc w:val="center"/>
              <w:rPr>
                <w:rFonts w:ascii="宋体"/>
                <w:color w:val="auto"/>
                <w:szCs w:val="21"/>
                <w:highlight w:val="none"/>
              </w:rPr>
            </w:pPr>
          </w:p>
        </w:tc>
        <w:tc>
          <w:tcPr>
            <w:tcW w:w="873" w:type="dxa"/>
            <w:vAlign w:val="center"/>
          </w:tcPr>
          <w:p w14:paraId="23CA6A8D">
            <w:pPr>
              <w:jc w:val="center"/>
              <w:rPr>
                <w:rFonts w:ascii="宋体"/>
                <w:color w:val="auto"/>
                <w:szCs w:val="21"/>
                <w:highlight w:val="none"/>
              </w:rPr>
            </w:pPr>
          </w:p>
        </w:tc>
        <w:tc>
          <w:tcPr>
            <w:tcW w:w="954" w:type="dxa"/>
            <w:vAlign w:val="center"/>
          </w:tcPr>
          <w:p w14:paraId="0195CC77">
            <w:pPr>
              <w:jc w:val="center"/>
              <w:rPr>
                <w:rFonts w:ascii="宋体"/>
                <w:color w:val="auto"/>
                <w:szCs w:val="21"/>
                <w:highlight w:val="none"/>
              </w:rPr>
            </w:pPr>
          </w:p>
        </w:tc>
        <w:tc>
          <w:tcPr>
            <w:tcW w:w="1211" w:type="dxa"/>
            <w:vAlign w:val="center"/>
          </w:tcPr>
          <w:p w14:paraId="376C2843">
            <w:pPr>
              <w:jc w:val="center"/>
              <w:rPr>
                <w:rFonts w:ascii="宋体"/>
                <w:color w:val="auto"/>
                <w:szCs w:val="21"/>
                <w:highlight w:val="none"/>
              </w:rPr>
            </w:pPr>
          </w:p>
        </w:tc>
        <w:tc>
          <w:tcPr>
            <w:tcW w:w="1269" w:type="dxa"/>
            <w:vAlign w:val="center"/>
          </w:tcPr>
          <w:p w14:paraId="319E5F11">
            <w:pPr>
              <w:jc w:val="center"/>
              <w:rPr>
                <w:rFonts w:ascii="宋体"/>
                <w:color w:val="auto"/>
                <w:szCs w:val="21"/>
                <w:highlight w:val="none"/>
              </w:rPr>
            </w:pPr>
          </w:p>
        </w:tc>
      </w:tr>
      <w:tr w14:paraId="59B1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894" w:type="dxa"/>
            <w:gridSpan w:val="2"/>
            <w:vAlign w:val="center"/>
          </w:tcPr>
          <w:p w14:paraId="1CAD927B">
            <w:pPr>
              <w:jc w:val="center"/>
              <w:rPr>
                <w:rFonts w:ascii="宋体"/>
                <w:b/>
                <w:color w:val="auto"/>
                <w:szCs w:val="21"/>
                <w:highlight w:val="none"/>
              </w:rPr>
            </w:pPr>
            <w:bookmarkStart w:id="174" w:name="_Toc293917007"/>
            <w:r>
              <w:rPr>
                <w:rFonts w:hint="eastAsia" w:ascii="宋体"/>
                <w:b/>
                <w:color w:val="auto"/>
                <w:szCs w:val="21"/>
                <w:highlight w:val="none"/>
              </w:rPr>
              <w:t>磋商总价（此总价需与初次报价表总价一致）</w:t>
            </w:r>
            <w:bookmarkEnd w:id="174"/>
          </w:p>
        </w:tc>
        <w:tc>
          <w:tcPr>
            <w:tcW w:w="4307" w:type="dxa"/>
            <w:gridSpan w:val="4"/>
            <w:vAlign w:val="center"/>
          </w:tcPr>
          <w:p w14:paraId="4E92BB68">
            <w:pPr>
              <w:jc w:val="center"/>
              <w:rPr>
                <w:rFonts w:ascii="宋体"/>
                <w:color w:val="auto"/>
                <w:szCs w:val="21"/>
                <w:highlight w:val="none"/>
              </w:rPr>
            </w:pPr>
          </w:p>
        </w:tc>
      </w:tr>
    </w:tbl>
    <w:p w14:paraId="1E1B6440">
      <w:pPr>
        <w:pStyle w:val="69"/>
        <w:tabs>
          <w:tab w:val="left" w:pos="1418"/>
        </w:tabs>
        <w:snapToGrid w:val="0"/>
        <w:ind w:firstLine="500" w:firstLineChars="200"/>
        <w:rPr>
          <w:rFonts w:ascii="宋体"/>
          <w:color w:val="auto"/>
          <w:spacing w:val="20"/>
          <w:sz w:val="21"/>
          <w:szCs w:val="21"/>
          <w:highlight w:val="none"/>
        </w:rPr>
      </w:pPr>
    </w:p>
    <w:p w14:paraId="11BD7585">
      <w:pPr>
        <w:pStyle w:val="69"/>
        <w:tabs>
          <w:tab w:val="left" w:pos="1418"/>
        </w:tabs>
        <w:snapToGrid w:val="0"/>
        <w:rPr>
          <w:rFonts w:ascii="宋体"/>
          <w:color w:val="auto"/>
          <w:highlight w:val="none"/>
        </w:rPr>
      </w:pPr>
    </w:p>
    <w:p w14:paraId="7C1ED49F">
      <w:pPr>
        <w:pStyle w:val="69"/>
        <w:tabs>
          <w:tab w:val="left" w:pos="1418"/>
        </w:tabs>
        <w:snapToGrid w:val="0"/>
        <w:spacing w:line="440" w:lineRule="exact"/>
        <w:rPr>
          <w:rFonts w:ascii="宋体"/>
          <w:color w:val="auto"/>
          <w:spacing w:val="20"/>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r>
        <w:rPr>
          <w:rFonts w:hint="eastAsia" w:ascii="宋体"/>
          <w:color w:val="auto"/>
          <w:sz w:val="21"/>
          <w:szCs w:val="21"/>
          <w:highlight w:val="none"/>
        </w:rPr>
        <w:t xml:space="preserve">                    </w:t>
      </w:r>
    </w:p>
    <w:p w14:paraId="486D7C7A">
      <w:pPr>
        <w:snapToGrid w:val="0"/>
        <w:spacing w:line="440" w:lineRule="exact"/>
        <w:rPr>
          <w:rFonts w:ascii="宋体"/>
          <w:color w:val="auto"/>
          <w:szCs w:val="21"/>
          <w:highlight w:val="non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18F75902">
      <w:pPr>
        <w:snapToGrid w:val="0"/>
        <w:spacing w:line="440" w:lineRule="exact"/>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C525F7E">
      <w:pPr>
        <w:spacing w:line="400" w:lineRule="exact"/>
        <w:rPr>
          <w:rFonts w:hint="eastAsia" w:ascii="宋体" w:hAnsi="宋体" w:cs="宋体"/>
          <w:color w:val="auto"/>
          <w:szCs w:val="21"/>
          <w:highlight w:val="none"/>
        </w:rPr>
      </w:pPr>
    </w:p>
    <w:p w14:paraId="324A9D6C">
      <w:pPr>
        <w:spacing w:line="360" w:lineRule="auto"/>
        <w:rPr>
          <w:rFonts w:hint="eastAsia" w:ascii="宋体" w:hAnsi="宋体"/>
          <w:color w:val="auto"/>
          <w:highlight w:val="none"/>
        </w:rPr>
      </w:pPr>
      <w:r>
        <w:rPr>
          <w:rFonts w:hint="eastAsia" w:ascii="宋体" w:hAnsi="宋体"/>
          <w:color w:val="auto"/>
          <w:highlight w:val="none"/>
        </w:rPr>
        <w:t>注：1、本表格仅提供了格式，供应商应根据实际情况自行编制；</w:t>
      </w:r>
    </w:p>
    <w:p w14:paraId="638FD5D4">
      <w:pPr>
        <w:spacing w:line="360" w:lineRule="auto"/>
        <w:ind w:firstLine="432"/>
        <w:rPr>
          <w:rFonts w:hint="eastAsia" w:ascii="宋体" w:hAnsi="宋体" w:cs="宋体"/>
          <w:color w:val="auto"/>
          <w:szCs w:val="21"/>
          <w:highlight w:val="none"/>
        </w:rPr>
      </w:pPr>
      <w:r>
        <w:rPr>
          <w:rFonts w:hint="eastAsia" w:ascii="宋体" w:hAnsi="宋体"/>
          <w:color w:val="auto"/>
          <w:highlight w:val="none"/>
        </w:rPr>
        <w:t>2、最终合计金额必须包括实施本项目所需的一切费用，并与初次报价表中磋商总价相一致。</w:t>
      </w:r>
    </w:p>
    <w:p w14:paraId="6B23D9E3">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6、供应商的情况一览表</w:t>
      </w:r>
    </w:p>
    <w:p w14:paraId="0B7A3AEF">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bCs/>
          <w:color w:val="auto"/>
          <w:kern w:val="0"/>
          <w:sz w:val="32"/>
          <w:szCs w:val="32"/>
          <w:highlight w:val="none"/>
        </w:rPr>
        <w:t>供应商</w:t>
      </w:r>
      <w:r>
        <w:rPr>
          <w:rFonts w:hint="eastAsia" w:ascii="宋体" w:hAnsi="宋体" w:cs="宋体"/>
          <w:b/>
          <w:color w:val="auto"/>
          <w:sz w:val="32"/>
          <w:szCs w:val="32"/>
          <w:highlight w:val="none"/>
        </w:rPr>
        <w:t>情况一览表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91"/>
        <w:gridCol w:w="1839"/>
        <w:gridCol w:w="1985"/>
        <w:gridCol w:w="1879"/>
        <w:gridCol w:w="2532"/>
      </w:tblGrid>
      <w:tr w14:paraId="3BB8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0E8C646C">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公司名称</w:t>
            </w:r>
          </w:p>
        </w:tc>
        <w:tc>
          <w:tcPr>
            <w:tcW w:w="3246" w:type="pct"/>
            <w:gridSpan w:val="3"/>
            <w:vAlign w:val="center"/>
          </w:tcPr>
          <w:p w14:paraId="61789013">
            <w:pPr>
              <w:spacing w:line="240" w:lineRule="atLeast"/>
              <w:rPr>
                <w:rFonts w:hint="eastAsia" w:ascii="宋体" w:hAnsi="宋体" w:cs="宋体"/>
                <w:color w:val="auto"/>
                <w:szCs w:val="21"/>
                <w:highlight w:val="none"/>
              </w:rPr>
            </w:pPr>
          </w:p>
        </w:tc>
      </w:tr>
      <w:tr w14:paraId="4E2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2C1675BB">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3246" w:type="pct"/>
            <w:gridSpan w:val="3"/>
            <w:vAlign w:val="center"/>
          </w:tcPr>
          <w:p w14:paraId="54C63F7D">
            <w:pPr>
              <w:spacing w:line="240" w:lineRule="atLeast"/>
              <w:rPr>
                <w:rFonts w:hint="eastAsia" w:ascii="宋体" w:hAnsi="宋体" w:cs="宋体"/>
                <w:color w:val="auto"/>
                <w:szCs w:val="21"/>
                <w:highlight w:val="none"/>
              </w:rPr>
            </w:pPr>
          </w:p>
        </w:tc>
      </w:tr>
      <w:tr w14:paraId="2201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6868EEB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地址、邮编</w:t>
            </w:r>
          </w:p>
        </w:tc>
        <w:tc>
          <w:tcPr>
            <w:tcW w:w="3246" w:type="pct"/>
            <w:gridSpan w:val="3"/>
            <w:vAlign w:val="center"/>
          </w:tcPr>
          <w:p w14:paraId="5F2AD8F5">
            <w:pPr>
              <w:spacing w:line="240" w:lineRule="atLeast"/>
              <w:rPr>
                <w:rFonts w:hint="eastAsia" w:ascii="宋体" w:hAnsi="宋体" w:cs="宋体"/>
                <w:color w:val="auto"/>
                <w:szCs w:val="21"/>
                <w:highlight w:val="none"/>
              </w:rPr>
            </w:pPr>
          </w:p>
        </w:tc>
      </w:tr>
      <w:tr w14:paraId="6EB8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0D591E0E">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主要业务范围</w:t>
            </w:r>
          </w:p>
        </w:tc>
        <w:tc>
          <w:tcPr>
            <w:tcW w:w="3246" w:type="pct"/>
            <w:gridSpan w:val="3"/>
            <w:vAlign w:val="center"/>
          </w:tcPr>
          <w:p w14:paraId="06B46A0B">
            <w:pPr>
              <w:spacing w:line="240" w:lineRule="atLeast"/>
              <w:rPr>
                <w:rFonts w:hint="eastAsia" w:ascii="宋体" w:hAnsi="宋体" w:cs="宋体"/>
                <w:color w:val="auto"/>
                <w:szCs w:val="21"/>
                <w:highlight w:val="none"/>
              </w:rPr>
            </w:pPr>
          </w:p>
        </w:tc>
      </w:tr>
      <w:tr w14:paraId="67F4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58AB2D9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企业性质</w:t>
            </w:r>
          </w:p>
        </w:tc>
        <w:tc>
          <w:tcPr>
            <w:tcW w:w="3246" w:type="pct"/>
            <w:gridSpan w:val="3"/>
            <w:vAlign w:val="center"/>
          </w:tcPr>
          <w:p w14:paraId="342AD846">
            <w:pPr>
              <w:spacing w:line="240" w:lineRule="atLeast"/>
              <w:rPr>
                <w:rFonts w:hint="eastAsia" w:ascii="宋体" w:hAnsi="宋体" w:cs="宋体"/>
                <w:color w:val="auto"/>
                <w:szCs w:val="21"/>
                <w:highlight w:val="none"/>
              </w:rPr>
            </w:pPr>
          </w:p>
        </w:tc>
      </w:tr>
      <w:tr w14:paraId="22E0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2AC45C4A">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3246" w:type="pct"/>
            <w:gridSpan w:val="3"/>
            <w:vAlign w:val="center"/>
          </w:tcPr>
          <w:p w14:paraId="248B46D7">
            <w:pPr>
              <w:spacing w:line="240" w:lineRule="atLeast"/>
              <w:rPr>
                <w:rFonts w:hint="eastAsia" w:ascii="宋体" w:hAnsi="宋体" w:cs="宋体"/>
                <w:color w:val="auto"/>
                <w:szCs w:val="21"/>
                <w:highlight w:val="none"/>
              </w:rPr>
            </w:pPr>
          </w:p>
        </w:tc>
      </w:tr>
      <w:tr w14:paraId="361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vAlign w:val="center"/>
          </w:tcPr>
          <w:p w14:paraId="3E4F5D1C">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生产经营场所规模（平方）</w:t>
            </w:r>
          </w:p>
        </w:tc>
        <w:tc>
          <w:tcPr>
            <w:tcW w:w="3246" w:type="pct"/>
            <w:gridSpan w:val="3"/>
            <w:vAlign w:val="center"/>
          </w:tcPr>
          <w:p w14:paraId="38715EED">
            <w:pPr>
              <w:spacing w:line="240" w:lineRule="atLeast"/>
              <w:rPr>
                <w:rFonts w:hint="eastAsia" w:ascii="宋体" w:hAnsi="宋体" w:cs="宋体"/>
                <w:color w:val="auto"/>
                <w:szCs w:val="21"/>
                <w:highlight w:val="none"/>
              </w:rPr>
            </w:pPr>
          </w:p>
        </w:tc>
      </w:tr>
      <w:tr w14:paraId="6C14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vAlign w:val="center"/>
          </w:tcPr>
          <w:p w14:paraId="529538C4">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公司领导班子构成情况</w:t>
            </w:r>
          </w:p>
        </w:tc>
      </w:tr>
      <w:tr w14:paraId="3A89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Align w:val="center"/>
          </w:tcPr>
          <w:p w14:paraId="57BA2ECD">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法人代表</w:t>
            </w:r>
          </w:p>
        </w:tc>
        <w:tc>
          <w:tcPr>
            <w:tcW w:w="933" w:type="pct"/>
            <w:vAlign w:val="center"/>
          </w:tcPr>
          <w:p w14:paraId="3AD067BD">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公司经理</w:t>
            </w:r>
          </w:p>
        </w:tc>
        <w:tc>
          <w:tcPr>
            <w:tcW w:w="1008" w:type="pct"/>
            <w:vAlign w:val="center"/>
          </w:tcPr>
          <w:p w14:paraId="73D158B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总工程师</w:t>
            </w:r>
          </w:p>
        </w:tc>
        <w:tc>
          <w:tcPr>
            <w:tcW w:w="954" w:type="pct"/>
            <w:vAlign w:val="center"/>
          </w:tcPr>
          <w:p w14:paraId="44DC7ABB">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总经济师</w:t>
            </w:r>
          </w:p>
        </w:tc>
        <w:tc>
          <w:tcPr>
            <w:tcW w:w="1283" w:type="pct"/>
            <w:vAlign w:val="center"/>
          </w:tcPr>
          <w:p w14:paraId="530D3A1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总会计师</w:t>
            </w:r>
          </w:p>
        </w:tc>
      </w:tr>
      <w:tr w14:paraId="1A68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Align w:val="center"/>
          </w:tcPr>
          <w:p w14:paraId="21C86372">
            <w:pPr>
              <w:spacing w:line="240" w:lineRule="atLeast"/>
              <w:rPr>
                <w:rFonts w:hint="eastAsia" w:ascii="宋体" w:hAnsi="宋体" w:cs="宋体"/>
                <w:color w:val="auto"/>
                <w:szCs w:val="21"/>
                <w:highlight w:val="none"/>
              </w:rPr>
            </w:pPr>
          </w:p>
        </w:tc>
        <w:tc>
          <w:tcPr>
            <w:tcW w:w="933" w:type="pct"/>
            <w:vAlign w:val="center"/>
          </w:tcPr>
          <w:p w14:paraId="76AEA0D6">
            <w:pPr>
              <w:spacing w:line="240" w:lineRule="atLeast"/>
              <w:rPr>
                <w:rFonts w:hint="eastAsia" w:ascii="宋体" w:hAnsi="宋体" w:cs="宋体"/>
                <w:color w:val="auto"/>
                <w:szCs w:val="21"/>
                <w:highlight w:val="none"/>
              </w:rPr>
            </w:pPr>
          </w:p>
        </w:tc>
        <w:tc>
          <w:tcPr>
            <w:tcW w:w="1008" w:type="pct"/>
            <w:vAlign w:val="center"/>
          </w:tcPr>
          <w:p w14:paraId="23E15439">
            <w:pPr>
              <w:spacing w:line="240" w:lineRule="atLeast"/>
              <w:rPr>
                <w:rFonts w:hint="eastAsia" w:ascii="宋体" w:hAnsi="宋体" w:cs="宋体"/>
                <w:color w:val="auto"/>
                <w:szCs w:val="21"/>
                <w:highlight w:val="none"/>
              </w:rPr>
            </w:pPr>
          </w:p>
        </w:tc>
        <w:tc>
          <w:tcPr>
            <w:tcW w:w="954" w:type="pct"/>
            <w:vAlign w:val="center"/>
          </w:tcPr>
          <w:p w14:paraId="591148F6">
            <w:pPr>
              <w:spacing w:line="240" w:lineRule="atLeast"/>
              <w:rPr>
                <w:rFonts w:hint="eastAsia" w:ascii="宋体" w:hAnsi="宋体" w:cs="宋体"/>
                <w:color w:val="auto"/>
                <w:szCs w:val="21"/>
                <w:highlight w:val="none"/>
              </w:rPr>
            </w:pPr>
          </w:p>
        </w:tc>
        <w:tc>
          <w:tcPr>
            <w:tcW w:w="1283" w:type="pct"/>
            <w:vAlign w:val="center"/>
          </w:tcPr>
          <w:p w14:paraId="713F90F9">
            <w:pPr>
              <w:spacing w:line="240" w:lineRule="atLeast"/>
              <w:rPr>
                <w:rFonts w:hint="eastAsia" w:ascii="宋体" w:hAnsi="宋体" w:cs="宋体"/>
                <w:color w:val="auto"/>
                <w:szCs w:val="21"/>
                <w:highlight w:val="none"/>
              </w:rPr>
            </w:pPr>
          </w:p>
        </w:tc>
      </w:tr>
      <w:tr w14:paraId="6BF8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vAlign w:val="center"/>
          </w:tcPr>
          <w:p w14:paraId="500F1E34">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公司人员职称构成情况</w:t>
            </w:r>
          </w:p>
        </w:tc>
      </w:tr>
      <w:tr w14:paraId="4C59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vAlign w:val="center"/>
          </w:tcPr>
          <w:p w14:paraId="72C2B488">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人员总数（人）</w:t>
            </w:r>
          </w:p>
        </w:tc>
        <w:tc>
          <w:tcPr>
            <w:tcW w:w="933" w:type="pct"/>
            <w:vAlign w:val="center"/>
          </w:tcPr>
          <w:p w14:paraId="61CC3E31">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高级职称</w:t>
            </w:r>
          </w:p>
        </w:tc>
        <w:tc>
          <w:tcPr>
            <w:tcW w:w="1008" w:type="pct"/>
            <w:vAlign w:val="center"/>
          </w:tcPr>
          <w:p w14:paraId="7143C6B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中级职称</w:t>
            </w:r>
          </w:p>
        </w:tc>
        <w:tc>
          <w:tcPr>
            <w:tcW w:w="954" w:type="pct"/>
            <w:vAlign w:val="center"/>
          </w:tcPr>
          <w:p w14:paraId="28002CEB">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初级职称</w:t>
            </w:r>
          </w:p>
        </w:tc>
        <w:tc>
          <w:tcPr>
            <w:tcW w:w="1283" w:type="pct"/>
            <w:vAlign w:val="center"/>
          </w:tcPr>
          <w:p w14:paraId="15B7018F">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78BA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vAlign w:val="center"/>
          </w:tcPr>
          <w:p w14:paraId="16CA8C7C">
            <w:pPr>
              <w:spacing w:line="240" w:lineRule="atLeast"/>
              <w:rPr>
                <w:rFonts w:hint="eastAsia" w:ascii="宋体" w:hAnsi="宋体" w:cs="宋体"/>
                <w:color w:val="auto"/>
                <w:szCs w:val="21"/>
                <w:highlight w:val="none"/>
              </w:rPr>
            </w:pPr>
          </w:p>
        </w:tc>
        <w:tc>
          <w:tcPr>
            <w:tcW w:w="933" w:type="pct"/>
            <w:vAlign w:val="center"/>
          </w:tcPr>
          <w:p w14:paraId="1EFB59CC">
            <w:pPr>
              <w:spacing w:line="240" w:lineRule="atLeast"/>
              <w:rPr>
                <w:rFonts w:hint="eastAsia" w:ascii="宋体" w:hAnsi="宋体" w:cs="宋体"/>
                <w:color w:val="auto"/>
                <w:szCs w:val="21"/>
                <w:highlight w:val="none"/>
              </w:rPr>
            </w:pPr>
          </w:p>
        </w:tc>
        <w:tc>
          <w:tcPr>
            <w:tcW w:w="1008" w:type="pct"/>
            <w:vAlign w:val="center"/>
          </w:tcPr>
          <w:p w14:paraId="5B475B6D">
            <w:pPr>
              <w:spacing w:line="240" w:lineRule="atLeast"/>
              <w:rPr>
                <w:rFonts w:hint="eastAsia" w:ascii="宋体" w:hAnsi="宋体" w:cs="宋体"/>
                <w:color w:val="auto"/>
                <w:szCs w:val="21"/>
                <w:highlight w:val="none"/>
              </w:rPr>
            </w:pPr>
          </w:p>
        </w:tc>
        <w:tc>
          <w:tcPr>
            <w:tcW w:w="954" w:type="pct"/>
            <w:vAlign w:val="center"/>
          </w:tcPr>
          <w:p w14:paraId="06F0A0FB">
            <w:pPr>
              <w:spacing w:line="240" w:lineRule="atLeast"/>
              <w:rPr>
                <w:rFonts w:hint="eastAsia" w:ascii="宋体" w:hAnsi="宋体" w:cs="宋体"/>
                <w:color w:val="auto"/>
                <w:szCs w:val="21"/>
                <w:highlight w:val="none"/>
              </w:rPr>
            </w:pPr>
          </w:p>
        </w:tc>
        <w:tc>
          <w:tcPr>
            <w:tcW w:w="1283" w:type="pct"/>
            <w:vAlign w:val="center"/>
          </w:tcPr>
          <w:p w14:paraId="55A1643C">
            <w:pPr>
              <w:spacing w:line="240" w:lineRule="atLeast"/>
              <w:rPr>
                <w:rFonts w:hint="eastAsia" w:ascii="宋体" w:hAnsi="宋体" w:cs="宋体"/>
                <w:color w:val="auto"/>
                <w:szCs w:val="21"/>
                <w:highlight w:val="none"/>
              </w:rPr>
            </w:pPr>
          </w:p>
        </w:tc>
      </w:tr>
      <w:tr w14:paraId="7A45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vAlign w:val="center"/>
          </w:tcPr>
          <w:p w14:paraId="25A4D9E4">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人员构成（%）</w:t>
            </w:r>
          </w:p>
        </w:tc>
        <w:tc>
          <w:tcPr>
            <w:tcW w:w="933" w:type="pct"/>
            <w:vAlign w:val="center"/>
          </w:tcPr>
          <w:p w14:paraId="0F589DA2">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管理人员</w:t>
            </w:r>
          </w:p>
        </w:tc>
        <w:tc>
          <w:tcPr>
            <w:tcW w:w="1008" w:type="pct"/>
            <w:vAlign w:val="center"/>
          </w:tcPr>
          <w:p w14:paraId="5C6FBDDE">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技术人员</w:t>
            </w:r>
          </w:p>
        </w:tc>
        <w:tc>
          <w:tcPr>
            <w:tcW w:w="954" w:type="pct"/>
            <w:vAlign w:val="center"/>
          </w:tcPr>
          <w:p w14:paraId="709CB3AE">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后勤人员</w:t>
            </w:r>
          </w:p>
        </w:tc>
        <w:tc>
          <w:tcPr>
            <w:tcW w:w="1283" w:type="pct"/>
            <w:vAlign w:val="center"/>
          </w:tcPr>
          <w:p w14:paraId="1963A96B">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21A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vAlign w:val="center"/>
          </w:tcPr>
          <w:p w14:paraId="79BF699F">
            <w:pPr>
              <w:spacing w:line="240" w:lineRule="atLeast"/>
              <w:rPr>
                <w:rFonts w:hint="eastAsia" w:ascii="宋体" w:hAnsi="宋体" w:cs="宋体"/>
                <w:color w:val="auto"/>
                <w:szCs w:val="21"/>
                <w:highlight w:val="none"/>
              </w:rPr>
            </w:pPr>
          </w:p>
        </w:tc>
        <w:tc>
          <w:tcPr>
            <w:tcW w:w="933" w:type="pct"/>
            <w:vAlign w:val="center"/>
          </w:tcPr>
          <w:p w14:paraId="01661613">
            <w:pPr>
              <w:spacing w:line="240" w:lineRule="atLeast"/>
              <w:rPr>
                <w:rFonts w:hint="eastAsia" w:ascii="宋体" w:hAnsi="宋体" w:cs="宋体"/>
                <w:color w:val="auto"/>
                <w:szCs w:val="21"/>
                <w:highlight w:val="none"/>
              </w:rPr>
            </w:pPr>
          </w:p>
        </w:tc>
        <w:tc>
          <w:tcPr>
            <w:tcW w:w="1008" w:type="pct"/>
            <w:vAlign w:val="center"/>
          </w:tcPr>
          <w:p w14:paraId="0F224479">
            <w:pPr>
              <w:spacing w:line="240" w:lineRule="atLeast"/>
              <w:rPr>
                <w:rFonts w:hint="eastAsia" w:ascii="宋体" w:hAnsi="宋体" w:cs="宋体"/>
                <w:color w:val="auto"/>
                <w:szCs w:val="21"/>
                <w:highlight w:val="none"/>
              </w:rPr>
            </w:pPr>
          </w:p>
        </w:tc>
        <w:tc>
          <w:tcPr>
            <w:tcW w:w="954" w:type="pct"/>
            <w:vAlign w:val="center"/>
          </w:tcPr>
          <w:p w14:paraId="7FBC7E3A">
            <w:pPr>
              <w:spacing w:line="240" w:lineRule="atLeast"/>
              <w:rPr>
                <w:rFonts w:hint="eastAsia" w:ascii="宋体" w:hAnsi="宋体" w:cs="宋体"/>
                <w:color w:val="auto"/>
                <w:szCs w:val="21"/>
                <w:highlight w:val="none"/>
              </w:rPr>
            </w:pPr>
          </w:p>
        </w:tc>
        <w:tc>
          <w:tcPr>
            <w:tcW w:w="1283" w:type="pct"/>
            <w:vAlign w:val="center"/>
          </w:tcPr>
          <w:p w14:paraId="64EDA2F4">
            <w:pPr>
              <w:spacing w:line="240" w:lineRule="atLeast"/>
              <w:rPr>
                <w:rFonts w:hint="eastAsia" w:ascii="宋体" w:hAnsi="宋体" w:cs="宋体"/>
                <w:color w:val="auto"/>
                <w:szCs w:val="21"/>
                <w:highlight w:val="none"/>
              </w:rPr>
            </w:pPr>
          </w:p>
        </w:tc>
      </w:tr>
      <w:tr w14:paraId="301F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vAlign w:val="center"/>
          </w:tcPr>
          <w:p w14:paraId="42F6C272">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上年度末资产及负债情况</w:t>
            </w:r>
          </w:p>
        </w:tc>
        <w:tc>
          <w:tcPr>
            <w:tcW w:w="933" w:type="pct"/>
            <w:vAlign w:val="center"/>
          </w:tcPr>
          <w:p w14:paraId="0F83EF68">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总资产</w:t>
            </w:r>
          </w:p>
        </w:tc>
        <w:tc>
          <w:tcPr>
            <w:tcW w:w="1008" w:type="pct"/>
            <w:vAlign w:val="center"/>
          </w:tcPr>
          <w:p w14:paraId="1E47D03C">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固定资产净额</w:t>
            </w:r>
          </w:p>
        </w:tc>
        <w:tc>
          <w:tcPr>
            <w:tcW w:w="954" w:type="pct"/>
            <w:vAlign w:val="center"/>
          </w:tcPr>
          <w:p w14:paraId="6289BFC5">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流动资产</w:t>
            </w:r>
          </w:p>
        </w:tc>
        <w:tc>
          <w:tcPr>
            <w:tcW w:w="1283" w:type="pct"/>
            <w:vAlign w:val="center"/>
          </w:tcPr>
          <w:p w14:paraId="46693B37">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资产负债</w:t>
            </w:r>
          </w:p>
        </w:tc>
      </w:tr>
      <w:tr w14:paraId="40C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vAlign w:val="center"/>
          </w:tcPr>
          <w:p w14:paraId="4663CD48">
            <w:pPr>
              <w:spacing w:line="240" w:lineRule="atLeast"/>
              <w:rPr>
                <w:rFonts w:hint="eastAsia" w:ascii="宋体" w:hAnsi="宋体" w:cs="宋体"/>
                <w:color w:val="auto"/>
                <w:szCs w:val="21"/>
                <w:highlight w:val="none"/>
              </w:rPr>
            </w:pPr>
          </w:p>
        </w:tc>
        <w:tc>
          <w:tcPr>
            <w:tcW w:w="933" w:type="pct"/>
            <w:vAlign w:val="center"/>
          </w:tcPr>
          <w:p w14:paraId="75E9EF75">
            <w:pPr>
              <w:spacing w:line="240" w:lineRule="atLeast"/>
              <w:rPr>
                <w:rFonts w:hint="eastAsia" w:ascii="宋体" w:hAnsi="宋体" w:cs="宋体"/>
                <w:color w:val="auto"/>
                <w:szCs w:val="21"/>
                <w:highlight w:val="none"/>
              </w:rPr>
            </w:pPr>
          </w:p>
        </w:tc>
        <w:tc>
          <w:tcPr>
            <w:tcW w:w="1008" w:type="pct"/>
            <w:vAlign w:val="center"/>
          </w:tcPr>
          <w:p w14:paraId="28300801">
            <w:pPr>
              <w:spacing w:line="240" w:lineRule="atLeast"/>
              <w:rPr>
                <w:rFonts w:hint="eastAsia" w:ascii="宋体" w:hAnsi="宋体" w:cs="宋体"/>
                <w:color w:val="auto"/>
                <w:szCs w:val="21"/>
                <w:highlight w:val="none"/>
              </w:rPr>
            </w:pPr>
          </w:p>
        </w:tc>
        <w:tc>
          <w:tcPr>
            <w:tcW w:w="954" w:type="pct"/>
            <w:vAlign w:val="center"/>
          </w:tcPr>
          <w:p w14:paraId="000DCA33">
            <w:pPr>
              <w:spacing w:line="240" w:lineRule="atLeast"/>
              <w:rPr>
                <w:rFonts w:hint="eastAsia" w:ascii="宋体" w:hAnsi="宋体" w:cs="宋体"/>
                <w:color w:val="auto"/>
                <w:szCs w:val="21"/>
                <w:highlight w:val="none"/>
              </w:rPr>
            </w:pPr>
          </w:p>
        </w:tc>
        <w:tc>
          <w:tcPr>
            <w:tcW w:w="1283" w:type="pct"/>
            <w:vAlign w:val="center"/>
          </w:tcPr>
          <w:p w14:paraId="6B32F47B">
            <w:pPr>
              <w:spacing w:line="240" w:lineRule="atLeast"/>
              <w:rPr>
                <w:rFonts w:hint="eastAsia" w:ascii="宋体" w:hAnsi="宋体" w:cs="宋体"/>
                <w:color w:val="auto"/>
                <w:szCs w:val="21"/>
                <w:highlight w:val="none"/>
              </w:rPr>
            </w:pPr>
          </w:p>
        </w:tc>
      </w:tr>
      <w:tr w14:paraId="61F1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214" w:type="pct"/>
            <w:vAlign w:val="center"/>
          </w:tcPr>
          <w:p w14:paraId="6A492799">
            <w:pPr>
              <w:rPr>
                <w:rFonts w:hint="eastAsia" w:ascii="宋体" w:hAnsi="宋体" w:cs="宋体"/>
                <w:color w:val="auto"/>
                <w:szCs w:val="21"/>
                <w:highlight w:val="none"/>
              </w:rPr>
            </w:pPr>
            <w:r>
              <w:rPr>
                <w:rFonts w:hint="eastAsia" w:ascii="宋体" w:hAnsi="宋体" w:cs="宋体"/>
                <w:color w:val="auto"/>
                <w:szCs w:val="21"/>
                <w:highlight w:val="none"/>
              </w:rPr>
              <w:t>企业概况</w:t>
            </w:r>
          </w:p>
        </w:tc>
        <w:tc>
          <w:tcPr>
            <w:tcW w:w="4785" w:type="pct"/>
            <w:gridSpan w:val="5"/>
            <w:vAlign w:val="center"/>
          </w:tcPr>
          <w:p w14:paraId="426BB4CC">
            <w:pPr>
              <w:rPr>
                <w:rFonts w:hint="eastAsia" w:ascii="宋体" w:hAnsi="宋体" w:cs="宋体"/>
                <w:color w:val="auto"/>
                <w:szCs w:val="21"/>
                <w:highlight w:val="none"/>
              </w:rPr>
            </w:pPr>
          </w:p>
        </w:tc>
      </w:tr>
    </w:tbl>
    <w:p w14:paraId="41D178D2">
      <w:pPr>
        <w:adjustRightInd w:val="0"/>
        <w:snapToGrid w:val="0"/>
        <w:spacing w:line="360" w:lineRule="auto"/>
        <w:rPr>
          <w:rFonts w:hint="eastAsia" w:ascii="宋体" w:hAnsi="宋体" w:cs="宋体"/>
          <w:color w:val="auto"/>
          <w:szCs w:val="21"/>
          <w:highlight w:val="none"/>
        </w:rPr>
      </w:pPr>
    </w:p>
    <w:p w14:paraId="410CCF50">
      <w:pPr>
        <w:adjustRightInd w:val="0"/>
        <w:snapToGrid w:val="0"/>
        <w:spacing w:line="360" w:lineRule="auto"/>
        <w:ind w:firstLine="30"/>
        <w:rPr>
          <w:rFonts w:hint="eastAsia" w:ascii="宋体" w:hAnsi="宋体" w:cs="宋体"/>
          <w:color w:val="auto"/>
          <w:szCs w:val="21"/>
          <w:highlight w:val="none"/>
        </w:rPr>
      </w:pPr>
      <w:r>
        <w:rPr>
          <w:rFonts w:hint="eastAsia" w:ascii="宋体" w:hAnsi="宋体" w:cs="宋体"/>
          <w:bCs/>
          <w:color w:val="auto"/>
          <w:kern w:val="0"/>
          <w:szCs w:val="21"/>
          <w:highlight w:val="none"/>
        </w:rPr>
        <w:t>供应商全称</w:t>
      </w:r>
      <w:r>
        <w:rPr>
          <w:rFonts w:hint="eastAsia" w:ascii="宋体" w:hAnsi="宋体" w:cs="宋体"/>
          <w:color w:val="auto"/>
          <w:szCs w:val="21"/>
          <w:highlight w:val="none"/>
        </w:rPr>
        <w:t>：（公章）</w:t>
      </w:r>
    </w:p>
    <w:p w14:paraId="66C915E8">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2F3A207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6531A076">
      <w:pPr>
        <w:pStyle w:val="18"/>
        <w:ind w:left="0" w:leftChars="0"/>
        <w:rPr>
          <w:rFonts w:hint="eastAsia" w:ascii="宋体" w:hAnsi="宋体" w:cs="宋体"/>
          <w:color w:val="auto"/>
          <w:szCs w:val="21"/>
          <w:highlight w:val="none"/>
        </w:rPr>
      </w:pPr>
      <w:r>
        <w:rPr>
          <w:rFonts w:hint="eastAsia" w:ascii="宋体" w:hAnsi="宋体" w:cs="宋体"/>
          <w:color w:val="auto"/>
          <w:szCs w:val="21"/>
          <w:highlight w:val="none"/>
        </w:rPr>
        <w:t>说明：本表格可视情形添加或删减。除表格外，可另附文字、图片等情况加以说明。</w:t>
      </w:r>
    </w:p>
    <w:p w14:paraId="034EC4F4">
      <w:pPr>
        <w:autoSpaceDE w:val="0"/>
        <w:autoSpaceDN w:val="0"/>
        <w:snapToGrid w:val="0"/>
        <w:spacing w:line="420" w:lineRule="exact"/>
        <w:textAlignment w:val="bottom"/>
        <w:rPr>
          <w:rFonts w:hint="eastAsia" w:ascii="宋体" w:hAnsi="宋体" w:cs="宋体"/>
          <w:b/>
          <w:color w:val="auto"/>
          <w:szCs w:val="21"/>
          <w:highlight w:val="none"/>
        </w:rPr>
      </w:pPr>
    </w:p>
    <w:p w14:paraId="7E45BFD6">
      <w:pPr>
        <w:spacing w:line="400" w:lineRule="exact"/>
        <w:jc w:val="left"/>
        <w:rPr>
          <w:rFonts w:hint="eastAsia" w:ascii="宋体" w:hAnsi="宋体" w:cs="宋体"/>
          <w:color w:val="auto"/>
          <w:szCs w:val="21"/>
          <w:highlight w:val="none"/>
        </w:rPr>
      </w:pPr>
    </w:p>
    <w:p w14:paraId="781C4049">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7、商务响应表</w:t>
      </w:r>
    </w:p>
    <w:p w14:paraId="2F37935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 务 响 应 表</w:t>
      </w:r>
    </w:p>
    <w:p w14:paraId="6EC3508B">
      <w:pPr>
        <w:spacing w:line="360" w:lineRule="auto"/>
        <w:jc w:val="center"/>
        <w:rPr>
          <w:rFonts w:hint="eastAsia" w:ascii="宋体" w:hAnsi="宋体" w:cs="宋体"/>
          <w:bCs/>
          <w:color w:val="auto"/>
          <w:szCs w:val="21"/>
          <w:highlight w:val="none"/>
        </w:rPr>
      </w:pPr>
    </w:p>
    <w:p w14:paraId="7E802EA2">
      <w:pPr>
        <w:spacing w:after="156" w:afterLines="50"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1"/>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830"/>
        <w:gridCol w:w="1185"/>
        <w:gridCol w:w="1065"/>
      </w:tblGrid>
      <w:tr w14:paraId="0DF3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04" w:type="dxa"/>
            <w:vAlign w:val="center"/>
          </w:tcPr>
          <w:p w14:paraId="485B94DA">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项目</w:t>
            </w:r>
          </w:p>
        </w:tc>
        <w:tc>
          <w:tcPr>
            <w:tcW w:w="4830" w:type="dxa"/>
            <w:vAlign w:val="center"/>
          </w:tcPr>
          <w:p w14:paraId="191F0880">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采购文件要求</w:t>
            </w:r>
          </w:p>
        </w:tc>
        <w:tc>
          <w:tcPr>
            <w:tcW w:w="1185" w:type="dxa"/>
            <w:vAlign w:val="center"/>
          </w:tcPr>
          <w:p w14:paraId="0F03C9CD">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是否响应</w:t>
            </w:r>
          </w:p>
        </w:tc>
        <w:tc>
          <w:tcPr>
            <w:tcW w:w="1065" w:type="dxa"/>
            <w:vAlign w:val="center"/>
          </w:tcPr>
          <w:p w14:paraId="0314837D">
            <w:pPr>
              <w:widowControl/>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承诺或说明</w:t>
            </w:r>
          </w:p>
        </w:tc>
      </w:tr>
      <w:tr w14:paraId="37E2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1304" w:type="dxa"/>
            <w:vAlign w:val="center"/>
          </w:tcPr>
          <w:p w14:paraId="053DE301">
            <w:pPr>
              <w:spacing w:line="320" w:lineRule="exact"/>
              <w:rPr>
                <w:rFonts w:hint="eastAsia" w:ascii="宋体" w:hAnsi="宋体" w:cs="宋体"/>
                <w:color w:val="auto"/>
                <w:highlight w:val="none"/>
              </w:rPr>
            </w:pPr>
            <w:r>
              <w:rPr>
                <w:rFonts w:hint="eastAsia" w:ascii="宋体" w:hAnsi="宋体" w:cs="宋体"/>
                <w:color w:val="auto"/>
                <w:highlight w:val="none"/>
              </w:rPr>
              <w:t>服务期限</w:t>
            </w:r>
          </w:p>
        </w:tc>
        <w:tc>
          <w:tcPr>
            <w:tcW w:w="4830" w:type="dxa"/>
            <w:vAlign w:val="center"/>
          </w:tcPr>
          <w:p w14:paraId="7DC2BD20">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eastAsia="zh-Hans"/>
              </w:rPr>
              <w:t>合同签订之日起至</w:t>
            </w:r>
            <w:r>
              <w:rPr>
                <w:rFonts w:hint="eastAsia" w:ascii="宋体" w:hAnsi="宋体" w:cs="宋体"/>
                <w:color w:val="auto"/>
                <w:sz w:val="21"/>
                <w:szCs w:val="21"/>
                <w:highlight w:val="none"/>
                <w:lang w:eastAsia="zh-CN"/>
              </w:rPr>
              <w:t>2025年第六届浙江省户外运动大会</w:t>
            </w:r>
            <w:r>
              <w:rPr>
                <w:rFonts w:hint="eastAsia" w:ascii="宋体" w:hAnsi="宋体" w:cs="宋体"/>
                <w:color w:val="auto"/>
                <w:sz w:val="21"/>
                <w:szCs w:val="21"/>
                <w:highlight w:val="none"/>
                <w:lang w:eastAsia="zh-Hans"/>
              </w:rPr>
              <w:t>活动全部</w:t>
            </w:r>
            <w:r>
              <w:rPr>
                <w:rFonts w:hint="eastAsia" w:ascii="宋体" w:hAnsi="宋体" w:cs="宋体"/>
                <w:color w:val="auto"/>
                <w:sz w:val="21"/>
                <w:szCs w:val="21"/>
                <w:highlight w:val="none"/>
              </w:rPr>
              <w:t>结束，以及款项结清为止</w:t>
            </w:r>
            <w:r>
              <w:rPr>
                <w:rFonts w:hint="eastAsia" w:ascii="宋体" w:hAnsi="宋体" w:cs="宋体"/>
                <w:color w:val="auto"/>
                <w:sz w:val="21"/>
                <w:szCs w:val="21"/>
                <w:highlight w:val="none"/>
                <w:lang w:eastAsia="zh-CN"/>
              </w:rPr>
              <w:t>。</w:t>
            </w:r>
          </w:p>
        </w:tc>
        <w:tc>
          <w:tcPr>
            <w:tcW w:w="1185" w:type="dxa"/>
            <w:vAlign w:val="center"/>
          </w:tcPr>
          <w:p w14:paraId="27153D12">
            <w:pPr>
              <w:adjustRightInd w:val="0"/>
              <w:spacing w:line="320" w:lineRule="exact"/>
              <w:jc w:val="left"/>
              <w:rPr>
                <w:rFonts w:hint="eastAsia" w:ascii="宋体" w:hAnsi="宋体" w:cs="宋体"/>
                <w:color w:val="auto"/>
                <w:kern w:val="0"/>
                <w:highlight w:val="none"/>
              </w:rPr>
            </w:pPr>
          </w:p>
        </w:tc>
        <w:tc>
          <w:tcPr>
            <w:tcW w:w="1065" w:type="dxa"/>
            <w:vAlign w:val="center"/>
          </w:tcPr>
          <w:p w14:paraId="5123467D">
            <w:pPr>
              <w:widowControl/>
              <w:adjustRightInd w:val="0"/>
              <w:spacing w:line="320" w:lineRule="exact"/>
              <w:jc w:val="left"/>
              <w:rPr>
                <w:rFonts w:hint="eastAsia" w:ascii="宋体" w:hAnsi="宋体" w:cs="宋体"/>
                <w:color w:val="auto"/>
                <w:kern w:val="0"/>
                <w:highlight w:val="none"/>
              </w:rPr>
            </w:pPr>
          </w:p>
        </w:tc>
      </w:tr>
      <w:tr w14:paraId="6869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trPr>
        <w:tc>
          <w:tcPr>
            <w:tcW w:w="1304" w:type="dxa"/>
            <w:vAlign w:val="center"/>
          </w:tcPr>
          <w:p w14:paraId="4D5D7594">
            <w:pPr>
              <w:spacing w:line="320" w:lineRule="exact"/>
              <w:rPr>
                <w:rFonts w:hint="eastAsia" w:ascii="宋体" w:hAnsi="宋体" w:cs="宋体"/>
                <w:color w:val="auto"/>
                <w:highlight w:val="none"/>
              </w:rPr>
            </w:pPr>
            <w:r>
              <w:rPr>
                <w:rFonts w:hint="eastAsia" w:ascii="宋体" w:hAnsi="宋体" w:cs="宋体"/>
                <w:color w:val="auto"/>
                <w:highlight w:val="none"/>
              </w:rPr>
              <w:t>付款方式</w:t>
            </w:r>
          </w:p>
        </w:tc>
        <w:tc>
          <w:tcPr>
            <w:tcW w:w="4830" w:type="dxa"/>
            <w:vAlign w:val="center"/>
          </w:tcPr>
          <w:p w14:paraId="1A933E35">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①首付款：合同生效以及具备实施条件后</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 xml:space="preserve">个工作日由甲方向乙方支付合同总价的 40%预付款； </w:t>
            </w:r>
          </w:p>
          <w:p w14:paraId="473C1F1C">
            <w:pPr>
              <w:pStyle w:val="62"/>
              <w:numPr>
                <w:ilvl w:val="0"/>
                <w:numId w:val="0"/>
              </w:numPr>
              <w:adjustRightInd/>
              <w:spacing w:line="360" w:lineRule="auto"/>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②实施款：乙方全部履约完毕后</w:t>
            </w:r>
            <w:r>
              <w:rPr>
                <w:rFonts w:hint="eastAsia" w:ascii="宋体" w:hAnsi="宋体" w:cs="宋体"/>
                <w:color w:val="auto"/>
                <w:kern w:val="2"/>
                <w:sz w:val="21"/>
                <w:szCs w:val="21"/>
                <w:highlight w:val="none"/>
                <w:lang w:val="en-US" w:eastAsia="zh-CN" w:bidi="ar-SA"/>
              </w:rPr>
              <w:t>且审计合格后，以审计报告价格为准，</w:t>
            </w:r>
            <w:r>
              <w:rPr>
                <w:rFonts w:hint="eastAsia" w:ascii="宋体" w:hAnsi="宋体" w:eastAsia="宋体" w:cs="宋体"/>
                <w:color w:val="auto"/>
                <w:kern w:val="2"/>
                <w:sz w:val="21"/>
                <w:szCs w:val="21"/>
                <w:highlight w:val="none"/>
                <w:lang w:val="en-US" w:eastAsia="zh-CN" w:bidi="ar-SA"/>
              </w:rPr>
              <w:t>经甲方确认后</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个工作日内支付</w:t>
            </w:r>
            <w:r>
              <w:rPr>
                <w:rFonts w:hint="eastAsia" w:ascii="宋体" w:hAnsi="宋体" w:cs="宋体"/>
                <w:color w:val="auto"/>
                <w:kern w:val="2"/>
                <w:sz w:val="21"/>
                <w:szCs w:val="21"/>
                <w:highlight w:val="none"/>
                <w:lang w:val="en-US" w:eastAsia="zh-CN" w:bidi="ar-SA"/>
              </w:rPr>
              <w:t>剩余</w:t>
            </w:r>
            <w:r>
              <w:rPr>
                <w:rFonts w:hint="eastAsia" w:ascii="宋体" w:hAnsi="宋体" w:eastAsia="宋体" w:cs="宋体"/>
                <w:color w:val="auto"/>
                <w:kern w:val="2"/>
                <w:sz w:val="21"/>
                <w:szCs w:val="21"/>
                <w:highlight w:val="none"/>
                <w:lang w:val="en-US" w:eastAsia="zh-CN" w:bidi="ar-SA"/>
              </w:rPr>
              <w:t>款项。</w:t>
            </w:r>
          </w:p>
          <w:p w14:paraId="12CAB4AE">
            <w:pPr>
              <w:pStyle w:val="62"/>
              <w:numPr>
                <w:ilvl w:val="0"/>
                <w:numId w:val="0"/>
              </w:numPr>
              <w:adjustRightInd/>
              <w:spacing w:line="360" w:lineRule="auto"/>
              <w:ind w:firstLine="840" w:firstLineChars="400"/>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 xml:space="preserve">③结算款项时，乙方根据甲方要求开具符合规范的发票。 </w:t>
            </w:r>
          </w:p>
        </w:tc>
        <w:tc>
          <w:tcPr>
            <w:tcW w:w="1185" w:type="dxa"/>
            <w:vAlign w:val="center"/>
          </w:tcPr>
          <w:p w14:paraId="3EA63B8C">
            <w:pPr>
              <w:adjustRightInd w:val="0"/>
              <w:spacing w:line="320" w:lineRule="exact"/>
              <w:jc w:val="left"/>
              <w:rPr>
                <w:rFonts w:hint="eastAsia" w:ascii="宋体" w:hAnsi="宋体" w:cs="宋体"/>
                <w:color w:val="auto"/>
                <w:kern w:val="0"/>
                <w:highlight w:val="none"/>
              </w:rPr>
            </w:pPr>
          </w:p>
        </w:tc>
        <w:tc>
          <w:tcPr>
            <w:tcW w:w="1065" w:type="dxa"/>
            <w:vAlign w:val="center"/>
          </w:tcPr>
          <w:p w14:paraId="6D0CB81F">
            <w:pPr>
              <w:widowControl/>
              <w:adjustRightInd w:val="0"/>
              <w:spacing w:line="320" w:lineRule="exact"/>
              <w:jc w:val="left"/>
              <w:rPr>
                <w:rFonts w:hint="eastAsia" w:ascii="宋体" w:hAnsi="宋体" w:cs="宋体"/>
                <w:color w:val="auto"/>
                <w:kern w:val="0"/>
                <w:highlight w:val="none"/>
              </w:rPr>
            </w:pPr>
          </w:p>
        </w:tc>
      </w:tr>
      <w:tr w14:paraId="1B8B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04" w:type="dxa"/>
            <w:vAlign w:val="center"/>
          </w:tcPr>
          <w:p w14:paraId="197CAD15">
            <w:pPr>
              <w:spacing w:line="320" w:lineRule="exact"/>
              <w:rPr>
                <w:rFonts w:hint="eastAsia" w:ascii="宋体" w:hAnsi="宋体" w:cs="宋体"/>
                <w:color w:val="auto"/>
                <w:highlight w:val="none"/>
              </w:rPr>
            </w:pPr>
            <w:r>
              <w:rPr>
                <w:rFonts w:hint="eastAsia" w:ascii="宋体" w:hAnsi="宋体" w:cs="宋体"/>
                <w:color w:val="auto"/>
                <w:highlight w:val="none"/>
              </w:rPr>
              <w:t>安全责任要求</w:t>
            </w:r>
          </w:p>
        </w:tc>
        <w:tc>
          <w:tcPr>
            <w:tcW w:w="4830" w:type="dxa"/>
            <w:vAlign w:val="center"/>
          </w:tcPr>
          <w:p w14:paraId="2D11400B">
            <w:pPr>
              <w:pStyle w:val="9"/>
              <w:spacing w:line="3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应自行承担项目</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过程中的安全责任，采购人及使用单位在任何情况下均不承担因此产生的任何法律责任和经济责任。</w:t>
            </w:r>
          </w:p>
        </w:tc>
        <w:tc>
          <w:tcPr>
            <w:tcW w:w="1185" w:type="dxa"/>
            <w:vAlign w:val="center"/>
          </w:tcPr>
          <w:p w14:paraId="5942FFC9">
            <w:pPr>
              <w:adjustRightInd w:val="0"/>
              <w:snapToGrid w:val="0"/>
              <w:spacing w:line="300" w:lineRule="exact"/>
              <w:jc w:val="center"/>
              <w:rPr>
                <w:rFonts w:hint="eastAsia" w:ascii="宋体" w:hAnsi="宋体" w:cs="宋体"/>
                <w:bCs/>
                <w:color w:val="auto"/>
                <w:highlight w:val="none"/>
              </w:rPr>
            </w:pPr>
          </w:p>
        </w:tc>
        <w:tc>
          <w:tcPr>
            <w:tcW w:w="1065" w:type="dxa"/>
            <w:vAlign w:val="center"/>
          </w:tcPr>
          <w:p w14:paraId="2E385012">
            <w:pPr>
              <w:widowControl/>
              <w:spacing w:line="300" w:lineRule="exact"/>
              <w:jc w:val="left"/>
              <w:rPr>
                <w:rFonts w:hint="eastAsia" w:ascii="宋体" w:hAnsi="宋体" w:cs="宋体"/>
                <w:bCs/>
                <w:color w:val="auto"/>
                <w:highlight w:val="none"/>
              </w:rPr>
            </w:pPr>
          </w:p>
        </w:tc>
      </w:tr>
    </w:tbl>
    <w:p w14:paraId="3429F7DA">
      <w:pPr>
        <w:spacing w:line="340" w:lineRule="exact"/>
        <w:jc w:val="left"/>
        <w:rPr>
          <w:rFonts w:hint="eastAsia" w:ascii="宋体" w:hAnsi="宋体" w:cs="宋体"/>
          <w:color w:val="auto"/>
          <w:highlight w:val="none"/>
        </w:rPr>
      </w:pPr>
      <w:r>
        <w:rPr>
          <w:rFonts w:hint="eastAsia" w:ascii="宋体" w:hAnsi="宋体" w:cs="宋体"/>
          <w:color w:val="auto"/>
          <w:highlight w:val="none"/>
        </w:rPr>
        <w:t>供应商（盖章）：</w:t>
      </w:r>
    </w:p>
    <w:p w14:paraId="4201497B">
      <w:pPr>
        <w:spacing w:before="156" w:beforeLines="50" w:after="156" w:afterLines="50" w:line="300" w:lineRule="exact"/>
        <w:jc w:val="left"/>
        <w:rPr>
          <w:rFonts w:hint="eastAsia" w:ascii="宋体" w:hAnsi="宋体" w:cs="宋体"/>
          <w:color w:val="auto"/>
          <w:highlight w:val="none"/>
        </w:rPr>
      </w:pPr>
      <w:r>
        <w:rPr>
          <w:rFonts w:hint="eastAsia" w:ascii="宋体" w:hAnsi="宋体" w:cs="宋体"/>
          <w:color w:val="auto"/>
          <w:highlight w:val="none"/>
        </w:rPr>
        <w:t>授权代表（签字或盖章）：</w:t>
      </w:r>
    </w:p>
    <w:p w14:paraId="11347A31">
      <w:pPr>
        <w:pStyle w:val="16"/>
        <w:spacing w:before="159" w:after="159" w:line="300" w:lineRule="exact"/>
        <w:rPr>
          <w:rFonts w:hint="eastAsia" w:cs="宋体"/>
          <w:color w:val="auto"/>
          <w:highlight w:val="none"/>
        </w:rPr>
      </w:pPr>
      <w:r>
        <w:rPr>
          <w:rFonts w:hint="eastAsia" w:cs="宋体"/>
          <w:color w:val="auto"/>
          <w:sz w:val="21"/>
          <w:highlight w:val="none"/>
        </w:rPr>
        <w:t xml:space="preserve">日   期：     </w:t>
      </w:r>
      <w:r>
        <w:rPr>
          <w:rFonts w:hint="eastAsia" w:cs="宋体"/>
          <w:color w:val="auto"/>
          <w:highlight w:val="none"/>
        </w:rPr>
        <w:t xml:space="preserve">   </w:t>
      </w:r>
    </w:p>
    <w:p w14:paraId="1BD47F87">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w:t>
      </w:r>
      <w:r>
        <w:rPr>
          <w:rFonts w:hint="eastAsia" w:ascii="宋体" w:hAnsi="宋体" w:cs="宋体"/>
          <w:b/>
          <w:color w:val="auto"/>
          <w:highlight w:val="none"/>
        </w:rPr>
        <w:t>不填写视同完全响应磋商文件要求</w:t>
      </w:r>
      <w:r>
        <w:rPr>
          <w:rFonts w:hint="eastAsia" w:ascii="宋体" w:hAnsi="宋体" w:cs="宋体"/>
          <w:bCs/>
          <w:color w:val="auto"/>
          <w:highlight w:val="none"/>
        </w:rPr>
        <w:t>。</w:t>
      </w:r>
      <w:r>
        <w:rPr>
          <w:rFonts w:hint="eastAsia" w:ascii="宋体" w:hAnsi="宋体" w:cs="宋体"/>
          <w:color w:val="auto"/>
          <w:highlight w:val="none"/>
        </w:rPr>
        <w:t>此表可在不改变格式的情况下可自行制作。</w:t>
      </w:r>
    </w:p>
    <w:p w14:paraId="1A4A08F0">
      <w:pPr>
        <w:spacing w:line="340" w:lineRule="exact"/>
        <w:ind w:firstLine="630" w:firstLineChars="300"/>
        <w:rPr>
          <w:rFonts w:hint="eastAsia" w:ascii="宋体" w:hAnsi="宋体" w:cs="宋体"/>
          <w:color w:val="auto"/>
          <w:highlight w:val="none"/>
        </w:rPr>
      </w:pPr>
      <w:r>
        <w:rPr>
          <w:rFonts w:hint="eastAsia" w:ascii="宋体" w:hAnsi="宋体" w:cs="宋体"/>
          <w:color w:val="auto"/>
          <w:highlight w:val="none"/>
        </w:rPr>
        <w:t>2、备注栏填正偏离、负偏离或无偏离。</w:t>
      </w:r>
    </w:p>
    <w:p w14:paraId="2D92C75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F330B20">
      <w:pPr>
        <w:spacing w:line="360" w:lineRule="auto"/>
        <w:rPr>
          <w:rFonts w:hint="eastAsia" w:ascii="宋体" w:hAnsi="宋体" w:cs="宋体"/>
          <w:b/>
          <w:color w:val="auto"/>
          <w:szCs w:val="21"/>
          <w:highlight w:val="none"/>
        </w:rPr>
      </w:pPr>
    </w:p>
    <w:p w14:paraId="78620EB5">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8、项目负责人情况表：</w:t>
      </w:r>
    </w:p>
    <w:p w14:paraId="7F4DB36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651"/>
        <w:gridCol w:w="1570"/>
        <w:gridCol w:w="1702"/>
        <w:gridCol w:w="1704"/>
        <w:gridCol w:w="1716"/>
      </w:tblGrid>
      <w:tr w14:paraId="3F59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5" w:type="pct"/>
            <w:vAlign w:val="center"/>
          </w:tcPr>
          <w:p w14:paraId="00E3BA10">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37" w:type="pct"/>
            <w:vAlign w:val="center"/>
          </w:tcPr>
          <w:p w14:paraId="13CE1701">
            <w:pPr>
              <w:spacing w:line="480" w:lineRule="exact"/>
              <w:ind w:firstLine="420" w:firstLineChars="200"/>
              <w:jc w:val="left"/>
              <w:rPr>
                <w:rFonts w:hint="eastAsia" w:ascii="宋体" w:hAnsi="宋体" w:cs="宋体"/>
                <w:color w:val="auto"/>
                <w:szCs w:val="21"/>
                <w:highlight w:val="none"/>
              </w:rPr>
            </w:pPr>
          </w:p>
        </w:tc>
        <w:tc>
          <w:tcPr>
            <w:tcW w:w="797" w:type="pct"/>
            <w:vAlign w:val="center"/>
          </w:tcPr>
          <w:p w14:paraId="6A607EBE">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864" w:type="pct"/>
            <w:vAlign w:val="center"/>
          </w:tcPr>
          <w:p w14:paraId="4454061F">
            <w:pPr>
              <w:spacing w:line="480" w:lineRule="exact"/>
              <w:ind w:firstLine="420" w:firstLineChars="200"/>
              <w:jc w:val="left"/>
              <w:rPr>
                <w:rFonts w:hint="eastAsia" w:ascii="宋体" w:hAnsi="宋体" w:cs="宋体"/>
                <w:color w:val="auto"/>
                <w:szCs w:val="21"/>
                <w:highlight w:val="none"/>
              </w:rPr>
            </w:pPr>
          </w:p>
        </w:tc>
        <w:tc>
          <w:tcPr>
            <w:tcW w:w="865" w:type="pct"/>
            <w:vAlign w:val="center"/>
          </w:tcPr>
          <w:p w14:paraId="1C794940">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868" w:type="pct"/>
            <w:vAlign w:val="center"/>
          </w:tcPr>
          <w:p w14:paraId="2AF4F7B9">
            <w:pPr>
              <w:spacing w:line="480" w:lineRule="exact"/>
              <w:ind w:firstLine="420" w:firstLineChars="200"/>
              <w:jc w:val="left"/>
              <w:rPr>
                <w:rFonts w:hint="eastAsia" w:ascii="宋体" w:hAnsi="宋体" w:cs="宋体"/>
                <w:color w:val="auto"/>
                <w:szCs w:val="21"/>
                <w:highlight w:val="none"/>
              </w:rPr>
            </w:pPr>
          </w:p>
        </w:tc>
      </w:tr>
      <w:tr w14:paraId="4DA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5" w:type="pct"/>
          </w:tcPr>
          <w:p w14:paraId="6715E2E5">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文化程度</w:t>
            </w:r>
          </w:p>
        </w:tc>
        <w:tc>
          <w:tcPr>
            <w:tcW w:w="837" w:type="pct"/>
            <w:vAlign w:val="center"/>
          </w:tcPr>
          <w:p w14:paraId="2CB1ECD5">
            <w:pPr>
              <w:spacing w:line="480" w:lineRule="exact"/>
              <w:ind w:firstLine="420" w:firstLineChars="200"/>
              <w:jc w:val="left"/>
              <w:rPr>
                <w:rFonts w:hint="eastAsia" w:ascii="宋体" w:hAnsi="宋体" w:cs="宋体"/>
                <w:color w:val="auto"/>
                <w:szCs w:val="21"/>
                <w:highlight w:val="none"/>
              </w:rPr>
            </w:pPr>
          </w:p>
        </w:tc>
        <w:tc>
          <w:tcPr>
            <w:tcW w:w="797" w:type="pct"/>
            <w:vAlign w:val="center"/>
          </w:tcPr>
          <w:p w14:paraId="4DD2FC76">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864" w:type="pct"/>
            <w:vAlign w:val="center"/>
          </w:tcPr>
          <w:p w14:paraId="013B9718">
            <w:pPr>
              <w:spacing w:line="480" w:lineRule="exact"/>
              <w:ind w:firstLine="420" w:firstLineChars="200"/>
              <w:jc w:val="left"/>
              <w:rPr>
                <w:rFonts w:hint="eastAsia" w:ascii="宋体" w:hAnsi="宋体" w:cs="宋体"/>
                <w:color w:val="auto"/>
                <w:szCs w:val="21"/>
                <w:highlight w:val="none"/>
              </w:rPr>
            </w:pPr>
          </w:p>
        </w:tc>
        <w:tc>
          <w:tcPr>
            <w:tcW w:w="865" w:type="pct"/>
            <w:vAlign w:val="center"/>
          </w:tcPr>
          <w:p w14:paraId="5521F7CC">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68" w:type="pct"/>
            <w:vAlign w:val="center"/>
          </w:tcPr>
          <w:p w14:paraId="53128A17">
            <w:pPr>
              <w:spacing w:line="480" w:lineRule="exact"/>
              <w:ind w:firstLine="420" w:firstLineChars="200"/>
              <w:jc w:val="left"/>
              <w:rPr>
                <w:rFonts w:hint="eastAsia" w:ascii="宋体" w:hAnsi="宋体" w:cs="宋体"/>
                <w:color w:val="auto"/>
                <w:szCs w:val="21"/>
                <w:highlight w:val="none"/>
              </w:rPr>
            </w:pPr>
          </w:p>
        </w:tc>
      </w:tr>
      <w:tr w14:paraId="6976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5" w:type="pct"/>
            <w:vAlign w:val="center"/>
          </w:tcPr>
          <w:p w14:paraId="266CE49D">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837" w:type="pct"/>
            <w:vAlign w:val="center"/>
          </w:tcPr>
          <w:p w14:paraId="63AD7DC9">
            <w:pPr>
              <w:spacing w:line="480" w:lineRule="exact"/>
              <w:ind w:firstLine="420" w:firstLineChars="200"/>
              <w:jc w:val="left"/>
              <w:rPr>
                <w:rFonts w:hint="eastAsia" w:ascii="宋体" w:hAnsi="宋体" w:cs="宋体"/>
                <w:color w:val="auto"/>
                <w:szCs w:val="21"/>
                <w:highlight w:val="none"/>
              </w:rPr>
            </w:pPr>
          </w:p>
        </w:tc>
        <w:tc>
          <w:tcPr>
            <w:tcW w:w="797" w:type="pct"/>
            <w:vAlign w:val="center"/>
          </w:tcPr>
          <w:p w14:paraId="54B76F50">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专业年限</w:t>
            </w:r>
          </w:p>
        </w:tc>
        <w:tc>
          <w:tcPr>
            <w:tcW w:w="864" w:type="pct"/>
            <w:vAlign w:val="center"/>
          </w:tcPr>
          <w:p w14:paraId="7BC3D611">
            <w:pPr>
              <w:spacing w:line="480" w:lineRule="exact"/>
              <w:ind w:firstLine="420" w:firstLineChars="200"/>
              <w:jc w:val="left"/>
              <w:rPr>
                <w:rFonts w:hint="eastAsia" w:ascii="宋体" w:hAnsi="宋体" w:cs="宋体"/>
                <w:color w:val="auto"/>
                <w:szCs w:val="21"/>
                <w:highlight w:val="none"/>
              </w:rPr>
            </w:pPr>
          </w:p>
        </w:tc>
        <w:tc>
          <w:tcPr>
            <w:tcW w:w="865" w:type="pct"/>
            <w:vAlign w:val="center"/>
          </w:tcPr>
          <w:p w14:paraId="79EE8D22">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868" w:type="pct"/>
            <w:vAlign w:val="center"/>
          </w:tcPr>
          <w:p w14:paraId="26040189">
            <w:pPr>
              <w:spacing w:line="480" w:lineRule="exact"/>
              <w:ind w:firstLine="420" w:firstLineChars="200"/>
              <w:jc w:val="left"/>
              <w:rPr>
                <w:rFonts w:hint="eastAsia" w:ascii="宋体" w:hAnsi="宋体" w:cs="宋体"/>
                <w:color w:val="auto"/>
                <w:szCs w:val="21"/>
                <w:highlight w:val="none"/>
              </w:rPr>
            </w:pPr>
          </w:p>
        </w:tc>
      </w:tr>
      <w:tr w14:paraId="627E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3" w:type="pct"/>
            <w:gridSpan w:val="2"/>
            <w:vAlign w:val="center"/>
          </w:tcPr>
          <w:p w14:paraId="3BEF6427">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拟在本项目中担任的岗位职务</w:t>
            </w:r>
          </w:p>
        </w:tc>
        <w:tc>
          <w:tcPr>
            <w:tcW w:w="797" w:type="pct"/>
            <w:vAlign w:val="center"/>
          </w:tcPr>
          <w:p w14:paraId="266B9456">
            <w:pPr>
              <w:spacing w:line="480" w:lineRule="exact"/>
              <w:ind w:firstLine="420" w:firstLineChars="200"/>
              <w:jc w:val="left"/>
              <w:rPr>
                <w:rFonts w:hint="eastAsia" w:ascii="宋体" w:hAnsi="宋体" w:cs="宋体"/>
                <w:color w:val="auto"/>
                <w:szCs w:val="21"/>
                <w:highlight w:val="none"/>
              </w:rPr>
            </w:pPr>
          </w:p>
        </w:tc>
        <w:tc>
          <w:tcPr>
            <w:tcW w:w="864" w:type="pct"/>
            <w:vAlign w:val="center"/>
          </w:tcPr>
          <w:p w14:paraId="43C5E631">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通讯地址</w:t>
            </w:r>
          </w:p>
        </w:tc>
        <w:tc>
          <w:tcPr>
            <w:tcW w:w="1733" w:type="pct"/>
            <w:gridSpan w:val="2"/>
            <w:vAlign w:val="center"/>
          </w:tcPr>
          <w:p w14:paraId="0E9FE131">
            <w:pPr>
              <w:spacing w:line="480" w:lineRule="exact"/>
              <w:ind w:firstLine="420" w:firstLineChars="200"/>
              <w:jc w:val="left"/>
              <w:rPr>
                <w:rFonts w:hint="eastAsia" w:ascii="宋体" w:hAnsi="宋体" w:cs="宋体"/>
                <w:color w:val="auto"/>
                <w:szCs w:val="21"/>
                <w:highlight w:val="none"/>
              </w:rPr>
            </w:pPr>
          </w:p>
        </w:tc>
      </w:tr>
      <w:tr w14:paraId="1938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vAlign w:val="center"/>
          </w:tcPr>
          <w:p w14:paraId="32C0F3B7">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06DC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vAlign w:val="center"/>
          </w:tcPr>
          <w:p w14:paraId="261E8D4B">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1B6B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000" w:type="pct"/>
            <w:gridSpan w:val="6"/>
          </w:tcPr>
          <w:p w14:paraId="566CFA03">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实施地点</w:t>
            </w:r>
          </w:p>
        </w:tc>
      </w:tr>
      <w:tr w14:paraId="7B42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000" w:type="pct"/>
            <w:gridSpan w:val="6"/>
          </w:tcPr>
          <w:p w14:paraId="68752CC9">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项目时间</w:t>
            </w:r>
          </w:p>
        </w:tc>
      </w:tr>
      <w:tr w14:paraId="5F55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00" w:type="pct"/>
            <w:gridSpan w:val="6"/>
          </w:tcPr>
          <w:p w14:paraId="0DC76F67">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4AB7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5000" w:type="pct"/>
            <w:gridSpan w:val="6"/>
          </w:tcPr>
          <w:p w14:paraId="08426A9F">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其他情况</w:t>
            </w:r>
          </w:p>
        </w:tc>
      </w:tr>
    </w:tbl>
    <w:p w14:paraId="0C59210F">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0703C618">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6F26DA3D">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36E591C9">
      <w:pPr>
        <w:spacing w:line="480" w:lineRule="exact"/>
        <w:ind w:firstLine="420" w:firstLineChars="200"/>
        <w:rPr>
          <w:rFonts w:hint="eastAsia" w:ascii="宋体" w:hAnsi="宋体" w:cs="宋体"/>
          <w:color w:val="auto"/>
          <w:szCs w:val="21"/>
          <w:highlight w:val="none"/>
        </w:rPr>
      </w:pPr>
    </w:p>
    <w:p w14:paraId="53CC3E11">
      <w:pPr>
        <w:spacing w:line="4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注：表格如不符合本单位情况，可稍作修改，行数不够可自行添加。</w:t>
      </w:r>
    </w:p>
    <w:p w14:paraId="422FB220">
      <w:pPr>
        <w:spacing w:line="400" w:lineRule="exact"/>
        <w:jc w:val="left"/>
        <w:rPr>
          <w:rFonts w:hint="eastAsia" w:ascii="宋体" w:hAnsi="宋体" w:cs="宋体"/>
          <w:color w:val="auto"/>
          <w:szCs w:val="21"/>
          <w:highlight w:val="none"/>
        </w:rPr>
      </w:pPr>
    </w:p>
    <w:p w14:paraId="6E992196">
      <w:pPr>
        <w:spacing w:line="400" w:lineRule="exact"/>
        <w:jc w:val="left"/>
        <w:rPr>
          <w:rFonts w:hint="eastAsia" w:ascii="宋体" w:hAnsi="宋体" w:cs="宋体"/>
          <w:color w:val="auto"/>
          <w:szCs w:val="21"/>
          <w:highlight w:val="none"/>
        </w:rPr>
      </w:pPr>
    </w:p>
    <w:p w14:paraId="200B18F9">
      <w:pPr>
        <w:spacing w:line="400" w:lineRule="exact"/>
        <w:jc w:val="left"/>
        <w:rPr>
          <w:rFonts w:hint="eastAsia" w:ascii="宋体" w:hAnsi="宋体" w:cs="宋体"/>
          <w:color w:val="auto"/>
          <w:szCs w:val="21"/>
          <w:highlight w:val="none"/>
        </w:rPr>
      </w:pPr>
    </w:p>
    <w:p w14:paraId="0ED77C15">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9、项目实施人员一览表格式：</w:t>
      </w:r>
    </w:p>
    <w:p w14:paraId="016D1A1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项目实施人员一览表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6"/>
        <w:gridCol w:w="1764"/>
        <w:gridCol w:w="1334"/>
        <w:gridCol w:w="2674"/>
        <w:gridCol w:w="1948"/>
      </w:tblGrid>
      <w:tr w14:paraId="7735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540" w:type="pct"/>
            <w:vAlign w:val="center"/>
          </w:tcPr>
          <w:p w14:paraId="068C690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41" w:type="pct"/>
            <w:vAlign w:val="center"/>
          </w:tcPr>
          <w:p w14:paraId="5BC171D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95" w:type="pct"/>
            <w:vAlign w:val="center"/>
          </w:tcPr>
          <w:p w14:paraId="383433F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677" w:type="pct"/>
            <w:vAlign w:val="center"/>
          </w:tcPr>
          <w:p w14:paraId="680724E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1357" w:type="pct"/>
            <w:vAlign w:val="center"/>
          </w:tcPr>
          <w:p w14:paraId="24251C2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c>
          <w:tcPr>
            <w:tcW w:w="988" w:type="pct"/>
            <w:vAlign w:val="center"/>
          </w:tcPr>
          <w:p w14:paraId="23D508A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社保证明</w:t>
            </w:r>
          </w:p>
        </w:tc>
      </w:tr>
      <w:tr w14:paraId="6F48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24CF1FD7">
            <w:pPr>
              <w:spacing w:line="360" w:lineRule="exact"/>
              <w:jc w:val="center"/>
              <w:rPr>
                <w:rFonts w:hint="eastAsia" w:ascii="宋体" w:hAnsi="宋体" w:cs="宋体"/>
                <w:color w:val="auto"/>
                <w:szCs w:val="21"/>
                <w:highlight w:val="none"/>
              </w:rPr>
            </w:pPr>
          </w:p>
        </w:tc>
        <w:tc>
          <w:tcPr>
            <w:tcW w:w="541" w:type="pct"/>
            <w:vAlign w:val="center"/>
          </w:tcPr>
          <w:p w14:paraId="1AA728A9">
            <w:pPr>
              <w:spacing w:line="360" w:lineRule="exact"/>
              <w:jc w:val="center"/>
              <w:rPr>
                <w:rFonts w:hint="eastAsia" w:ascii="宋体" w:hAnsi="宋体" w:cs="宋体"/>
                <w:color w:val="auto"/>
                <w:szCs w:val="21"/>
                <w:highlight w:val="none"/>
              </w:rPr>
            </w:pPr>
          </w:p>
        </w:tc>
        <w:tc>
          <w:tcPr>
            <w:tcW w:w="895" w:type="pct"/>
            <w:vAlign w:val="center"/>
          </w:tcPr>
          <w:p w14:paraId="76277F87">
            <w:pPr>
              <w:spacing w:line="360" w:lineRule="exact"/>
              <w:jc w:val="center"/>
              <w:rPr>
                <w:rFonts w:hint="eastAsia" w:ascii="宋体" w:hAnsi="宋体" w:cs="宋体"/>
                <w:color w:val="auto"/>
                <w:szCs w:val="21"/>
                <w:highlight w:val="none"/>
              </w:rPr>
            </w:pPr>
          </w:p>
        </w:tc>
        <w:tc>
          <w:tcPr>
            <w:tcW w:w="677" w:type="pct"/>
            <w:vAlign w:val="center"/>
          </w:tcPr>
          <w:p w14:paraId="326F4869">
            <w:pPr>
              <w:spacing w:line="360" w:lineRule="exact"/>
              <w:jc w:val="center"/>
              <w:rPr>
                <w:rFonts w:hint="eastAsia" w:ascii="宋体" w:hAnsi="宋体" w:cs="宋体"/>
                <w:color w:val="auto"/>
                <w:szCs w:val="21"/>
                <w:highlight w:val="none"/>
              </w:rPr>
            </w:pPr>
          </w:p>
        </w:tc>
        <w:tc>
          <w:tcPr>
            <w:tcW w:w="1357" w:type="pct"/>
            <w:vAlign w:val="center"/>
          </w:tcPr>
          <w:p w14:paraId="7E24699E">
            <w:pPr>
              <w:spacing w:line="360" w:lineRule="exact"/>
              <w:jc w:val="center"/>
              <w:rPr>
                <w:rFonts w:hint="eastAsia" w:ascii="宋体" w:hAnsi="宋体" w:cs="宋体"/>
                <w:color w:val="auto"/>
                <w:szCs w:val="21"/>
                <w:highlight w:val="none"/>
              </w:rPr>
            </w:pPr>
          </w:p>
        </w:tc>
        <w:tc>
          <w:tcPr>
            <w:tcW w:w="988" w:type="pct"/>
            <w:vAlign w:val="center"/>
          </w:tcPr>
          <w:p w14:paraId="1936385E">
            <w:pPr>
              <w:spacing w:line="360" w:lineRule="exact"/>
              <w:jc w:val="center"/>
              <w:rPr>
                <w:rFonts w:hint="eastAsia" w:ascii="宋体" w:hAnsi="宋体" w:cs="宋体"/>
                <w:color w:val="auto"/>
                <w:szCs w:val="21"/>
                <w:highlight w:val="none"/>
              </w:rPr>
            </w:pPr>
          </w:p>
        </w:tc>
      </w:tr>
      <w:tr w14:paraId="531F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5F73A00D">
            <w:pPr>
              <w:spacing w:line="360" w:lineRule="exact"/>
              <w:jc w:val="center"/>
              <w:rPr>
                <w:rFonts w:hint="eastAsia" w:ascii="宋体" w:hAnsi="宋体" w:cs="宋体"/>
                <w:color w:val="auto"/>
                <w:szCs w:val="21"/>
                <w:highlight w:val="none"/>
              </w:rPr>
            </w:pPr>
          </w:p>
        </w:tc>
        <w:tc>
          <w:tcPr>
            <w:tcW w:w="541" w:type="pct"/>
            <w:vAlign w:val="center"/>
          </w:tcPr>
          <w:p w14:paraId="7B64B5EB">
            <w:pPr>
              <w:spacing w:line="360" w:lineRule="exact"/>
              <w:jc w:val="center"/>
              <w:rPr>
                <w:rFonts w:hint="eastAsia" w:ascii="宋体" w:hAnsi="宋体" w:cs="宋体"/>
                <w:color w:val="auto"/>
                <w:szCs w:val="21"/>
                <w:highlight w:val="none"/>
              </w:rPr>
            </w:pPr>
          </w:p>
        </w:tc>
        <w:tc>
          <w:tcPr>
            <w:tcW w:w="895" w:type="pct"/>
            <w:vAlign w:val="center"/>
          </w:tcPr>
          <w:p w14:paraId="71EC0AC1">
            <w:pPr>
              <w:spacing w:line="360" w:lineRule="exact"/>
              <w:jc w:val="center"/>
              <w:rPr>
                <w:rFonts w:hint="eastAsia" w:ascii="宋体" w:hAnsi="宋体" w:cs="宋体"/>
                <w:color w:val="auto"/>
                <w:szCs w:val="21"/>
                <w:highlight w:val="none"/>
              </w:rPr>
            </w:pPr>
          </w:p>
        </w:tc>
        <w:tc>
          <w:tcPr>
            <w:tcW w:w="677" w:type="pct"/>
            <w:vAlign w:val="center"/>
          </w:tcPr>
          <w:p w14:paraId="73989B6A">
            <w:pPr>
              <w:spacing w:line="360" w:lineRule="exact"/>
              <w:jc w:val="center"/>
              <w:rPr>
                <w:rFonts w:hint="eastAsia" w:ascii="宋体" w:hAnsi="宋体" w:cs="宋体"/>
                <w:color w:val="auto"/>
                <w:szCs w:val="21"/>
                <w:highlight w:val="none"/>
              </w:rPr>
            </w:pPr>
          </w:p>
        </w:tc>
        <w:tc>
          <w:tcPr>
            <w:tcW w:w="1357" w:type="pct"/>
            <w:vAlign w:val="center"/>
          </w:tcPr>
          <w:p w14:paraId="16EFF200">
            <w:pPr>
              <w:spacing w:line="360" w:lineRule="exact"/>
              <w:jc w:val="center"/>
              <w:rPr>
                <w:rFonts w:hint="eastAsia" w:ascii="宋体" w:hAnsi="宋体" w:cs="宋体"/>
                <w:color w:val="auto"/>
                <w:szCs w:val="21"/>
                <w:highlight w:val="none"/>
              </w:rPr>
            </w:pPr>
          </w:p>
        </w:tc>
        <w:tc>
          <w:tcPr>
            <w:tcW w:w="988" w:type="pct"/>
            <w:vAlign w:val="center"/>
          </w:tcPr>
          <w:p w14:paraId="12522DF1">
            <w:pPr>
              <w:spacing w:line="360" w:lineRule="exact"/>
              <w:jc w:val="center"/>
              <w:rPr>
                <w:rFonts w:hint="eastAsia" w:ascii="宋体" w:hAnsi="宋体" w:cs="宋体"/>
                <w:color w:val="auto"/>
                <w:szCs w:val="21"/>
                <w:highlight w:val="none"/>
              </w:rPr>
            </w:pPr>
          </w:p>
        </w:tc>
      </w:tr>
      <w:tr w14:paraId="3B21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38819BE4">
            <w:pPr>
              <w:spacing w:line="360" w:lineRule="exact"/>
              <w:jc w:val="center"/>
              <w:rPr>
                <w:rFonts w:hint="eastAsia" w:ascii="宋体" w:hAnsi="宋体" w:cs="宋体"/>
                <w:color w:val="auto"/>
                <w:szCs w:val="21"/>
                <w:highlight w:val="none"/>
              </w:rPr>
            </w:pPr>
          </w:p>
        </w:tc>
        <w:tc>
          <w:tcPr>
            <w:tcW w:w="541" w:type="pct"/>
            <w:vAlign w:val="center"/>
          </w:tcPr>
          <w:p w14:paraId="4BC76B7F">
            <w:pPr>
              <w:spacing w:line="360" w:lineRule="exact"/>
              <w:jc w:val="center"/>
              <w:rPr>
                <w:rFonts w:hint="eastAsia" w:ascii="宋体" w:hAnsi="宋体" w:cs="宋体"/>
                <w:color w:val="auto"/>
                <w:szCs w:val="21"/>
                <w:highlight w:val="none"/>
              </w:rPr>
            </w:pPr>
          </w:p>
        </w:tc>
        <w:tc>
          <w:tcPr>
            <w:tcW w:w="895" w:type="pct"/>
            <w:vAlign w:val="center"/>
          </w:tcPr>
          <w:p w14:paraId="2EC36FE8">
            <w:pPr>
              <w:spacing w:line="360" w:lineRule="exact"/>
              <w:jc w:val="center"/>
              <w:rPr>
                <w:rFonts w:hint="eastAsia" w:ascii="宋体" w:hAnsi="宋体" w:cs="宋体"/>
                <w:color w:val="auto"/>
                <w:szCs w:val="21"/>
                <w:highlight w:val="none"/>
              </w:rPr>
            </w:pPr>
          </w:p>
        </w:tc>
        <w:tc>
          <w:tcPr>
            <w:tcW w:w="677" w:type="pct"/>
            <w:vAlign w:val="center"/>
          </w:tcPr>
          <w:p w14:paraId="5A30EB8B">
            <w:pPr>
              <w:spacing w:line="360" w:lineRule="exact"/>
              <w:jc w:val="center"/>
              <w:rPr>
                <w:rFonts w:hint="eastAsia" w:ascii="宋体" w:hAnsi="宋体" w:cs="宋体"/>
                <w:color w:val="auto"/>
                <w:szCs w:val="21"/>
                <w:highlight w:val="none"/>
              </w:rPr>
            </w:pPr>
          </w:p>
        </w:tc>
        <w:tc>
          <w:tcPr>
            <w:tcW w:w="1357" w:type="pct"/>
            <w:vAlign w:val="center"/>
          </w:tcPr>
          <w:p w14:paraId="66077DB6">
            <w:pPr>
              <w:spacing w:line="360" w:lineRule="exact"/>
              <w:jc w:val="center"/>
              <w:rPr>
                <w:rFonts w:hint="eastAsia" w:ascii="宋体" w:hAnsi="宋体" w:cs="宋体"/>
                <w:color w:val="auto"/>
                <w:szCs w:val="21"/>
                <w:highlight w:val="none"/>
              </w:rPr>
            </w:pPr>
          </w:p>
        </w:tc>
        <w:tc>
          <w:tcPr>
            <w:tcW w:w="988" w:type="pct"/>
            <w:vAlign w:val="center"/>
          </w:tcPr>
          <w:p w14:paraId="19732E80">
            <w:pPr>
              <w:spacing w:line="360" w:lineRule="exact"/>
              <w:jc w:val="center"/>
              <w:rPr>
                <w:rFonts w:hint="eastAsia" w:ascii="宋体" w:hAnsi="宋体" w:cs="宋体"/>
                <w:color w:val="auto"/>
                <w:szCs w:val="21"/>
                <w:highlight w:val="none"/>
              </w:rPr>
            </w:pPr>
          </w:p>
        </w:tc>
      </w:tr>
      <w:tr w14:paraId="100E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4FBD27DB">
            <w:pPr>
              <w:spacing w:line="360" w:lineRule="exact"/>
              <w:jc w:val="center"/>
              <w:rPr>
                <w:rFonts w:hint="eastAsia" w:ascii="宋体" w:hAnsi="宋体" w:cs="宋体"/>
                <w:color w:val="auto"/>
                <w:szCs w:val="21"/>
                <w:highlight w:val="none"/>
              </w:rPr>
            </w:pPr>
          </w:p>
        </w:tc>
        <w:tc>
          <w:tcPr>
            <w:tcW w:w="541" w:type="pct"/>
            <w:vAlign w:val="center"/>
          </w:tcPr>
          <w:p w14:paraId="02EBBF8C">
            <w:pPr>
              <w:spacing w:line="360" w:lineRule="exact"/>
              <w:jc w:val="center"/>
              <w:rPr>
                <w:rFonts w:hint="eastAsia" w:ascii="宋体" w:hAnsi="宋体" w:cs="宋体"/>
                <w:color w:val="auto"/>
                <w:szCs w:val="21"/>
                <w:highlight w:val="none"/>
              </w:rPr>
            </w:pPr>
          </w:p>
        </w:tc>
        <w:tc>
          <w:tcPr>
            <w:tcW w:w="895" w:type="pct"/>
            <w:vAlign w:val="center"/>
          </w:tcPr>
          <w:p w14:paraId="522CF48F">
            <w:pPr>
              <w:spacing w:line="360" w:lineRule="exact"/>
              <w:jc w:val="center"/>
              <w:rPr>
                <w:rFonts w:hint="eastAsia" w:ascii="宋体" w:hAnsi="宋体" w:cs="宋体"/>
                <w:color w:val="auto"/>
                <w:szCs w:val="21"/>
                <w:highlight w:val="none"/>
              </w:rPr>
            </w:pPr>
          </w:p>
        </w:tc>
        <w:tc>
          <w:tcPr>
            <w:tcW w:w="677" w:type="pct"/>
            <w:vAlign w:val="center"/>
          </w:tcPr>
          <w:p w14:paraId="0B10B5C2">
            <w:pPr>
              <w:spacing w:line="360" w:lineRule="exact"/>
              <w:jc w:val="center"/>
              <w:rPr>
                <w:rFonts w:hint="eastAsia" w:ascii="宋体" w:hAnsi="宋体" w:cs="宋体"/>
                <w:color w:val="auto"/>
                <w:szCs w:val="21"/>
                <w:highlight w:val="none"/>
              </w:rPr>
            </w:pPr>
          </w:p>
        </w:tc>
        <w:tc>
          <w:tcPr>
            <w:tcW w:w="1357" w:type="pct"/>
            <w:vAlign w:val="center"/>
          </w:tcPr>
          <w:p w14:paraId="285DDD38">
            <w:pPr>
              <w:spacing w:line="360" w:lineRule="exact"/>
              <w:jc w:val="center"/>
              <w:rPr>
                <w:rFonts w:hint="eastAsia" w:ascii="宋体" w:hAnsi="宋体" w:cs="宋体"/>
                <w:color w:val="auto"/>
                <w:szCs w:val="21"/>
                <w:highlight w:val="none"/>
              </w:rPr>
            </w:pPr>
          </w:p>
        </w:tc>
        <w:tc>
          <w:tcPr>
            <w:tcW w:w="988" w:type="pct"/>
            <w:vAlign w:val="center"/>
          </w:tcPr>
          <w:p w14:paraId="1369DF97">
            <w:pPr>
              <w:spacing w:line="360" w:lineRule="exact"/>
              <w:jc w:val="center"/>
              <w:rPr>
                <w:rFonts w:hint="eastAsia" w:ascii="宋体" w:hAnsi="宋体" w:cs="宋体"/>
                <w:color w:val="auto"/>
                <w:szCs w:val="21"/>
                <w:highlight w:val="none"/>
              </w:rPr>
            </w:pPr>
          </w:p>
        </w:tc>
      </w:tr>
      <w:tr w14:paraId="7336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550A5530">
            <w:pPr>
              <w:spacing w:line="360" w:lineRule="exact"/>
              <w:jc w:val="center"/>
              <w:rPr>
                <w:rFonts w:hint="eastAsia" w:ascii="宋体" w:hAnsi="宋体" w:cs="宋体"/>
                <w:color w:val="auto"/>
                <w:szCs w:val="21"/>
                <w:highlight w:val="none"/>
              </w:rPr>
            </w:pPr>
          </w:p>
        </w:tc>
        <w:tc>
          <w:tcPr>
            <w:tcW w:w="541" w:type="pct"/>
            <w:vAlign w:val="center"/>
          </w:tcPr>
          <w:p w14:paraId="298E6D74">
            <w:pPr>
              <w:spacing w:line="360" w:lineRule="exact"/>
              <w:jc w:val="center"/>
              <w:rPr>
                <w:rFonts w:hint="eastAsia" w:ascii="宋体" w:hAnsi="宋体" w:cs="宋体"/>
                <w:color w:val="auto"/>
                <w:szCs w:val="21"/>
                <w:highlight w:val="none"/>
              </w:rPr>
            </w:pPr>
          </w:p>
        </w:tc>
        <w:tc>
          <w:tcPr>
            <w:tcW w:w="895" w:type="pct"/>
            <w:vAlign w:val="center"/>
          </w:tcPr>
          <w:p w14:paraId="32D367DC">
            <w:pPr>
              <w:spacing w:line="360" w:lineRule="exact"/>
              <w:jc w:val="center"/>
              <w:rPr>
                <w:rFonts w:hint="eastAsia" w:ascii="宋体" w:hAnsi="宋体" w:cs="宋体"/>
                <w:color w:val="auto"/>
                <w:szCs w:val="21"/>
                <w:highlight w:val="none"/>
              </w:rPr>
            </w:pPr>
          </w:p>
        </w:tc>
        <w:tc>
          <w:tcPr>
            <w:tcW w:w="677" w:type="pct"/>
            <w:vAlign w:val="center"/>
          </w:tcPr>
          <w:p w14:paraId="5C745808">
            <w:pPr>
              <w:spacing w:line="360" w:lineRule="exact"/>
              <w:jc w:val="center"/>
              <w:rPr>
                <w:rFonts w:hint="eastAsia" w:ascii="宋体" w:hAnsi="宋体" w:cs="宋体"/>
                <w:color w:val="auto"/>
                <w:szCs w:val="21"/>
                <w:highlight w:val="none"/>
              </w:rPr>
            </w:pPr>
          </w:p>
        </w:tc>
        <w:tc>
          <w:tcPr>
            <w:tcW w:w="1357" w:type="pct"/>
            <w:vAlign w:val="center"/>
          </w:tcPr>
          <w:p w14:paraId="60AAFC11">
            <w:pPr>
              <w:spacing w:line="360" w:lineRule="exact"/>
              <w:jc w:val="center"/>
              <w:rPr>
                <w:rFonts w:hint="eastAsia" w:ascii="宋体" w:hAnsi="宋体" w:cs="宋体"/>
                <w:color w:val="auto"/>
                <w:szCs w:val="21"/>
                <w:highlight w:val="none"/>
              </w:rPr>
            </w:pPr>
          </w:p>
        </w:tc>
        <w:tc>
          <w:tcPr>
            <w:tcW w:w="988" w:type="pct"/>
            <w:vAlign w:val="center"/>
          </w:tcPr>
          <w:p w14:paraId="18B01D33">
            <w:pPr>
              <w:spacing w:line="360" w:lineRule="exact"/>
              <w:jc w:val="center"/>
              <w:rPr>
                <w:rFonts w:hint="eastAsia" w:ascii="宋体" w:hAnsi="宋体" w:cs="宋体"/>
                <w:color w:val="auto"/>
                <w:szCs w:val="21"/>
                <w:highlight w:val="none"/>
              </w:rPr>
            </w:pPr>
          </w:p>
        </w:tc>
      </w:tr>
      <w:tr w14:paraId="23C7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2D35E558">
            <w:pPr>
              <w:spacing w:line="360" w:lineRule="exact"/>
              <w:jc w:val="center"/>
              <w:rPr>
                <w:rFonts w:hint="eastAsia" w:ascii="宋体" w:hAnsi="宋体" w:cs="宋体"/>
                <w:color w:val="auto"/>
                <w:szCs w:val="21"/>
                <w:highlight w:val="none"/>
              </w:rPr>
            </w:pPr>
          </w:p>
        </w:tc>
        <w:tc>
          <w:tcPr>
            <w:tcW w:w="541" w:type="pct"/>
            <w:vAlign w:val="center"/>
          </w:tcPr>
          <w:p w14:paraId="74412626">
            <w:pPr>
              <w:spacing w:line="360" w:lineRule="exact"/>
              <w:jc w:val="center"/>
              <w:rPr>
                <w:rFonts w:hint="eastAsia" w:ascii="宋体" w:hAnsi="宋体" w:cs="宋体"/>
                <w:color w:val="auto"/>
                <w:szCs w:val="21"/>
                <w:highlight w:val="none"/>
              </w:rPr>
            </w:pPr>
          </w:p>
        </w:tc>
        <w:tc>
          <w:tcPr>
            <w:tcW w:w="895" w:type="pct"/>
            <w:vAlign w:val="center"/>
          </w:tcPr>
          <w:p w14:paraId="302E5207">
            <w:pPr>
              <w:spacing w:line="360" w:lineRule="exact"/>
              <w:jc w:val="center"/>
              <w:rPr>
                <w:rFonts w:hint="eastAsia" w:ascii="宋体" w:hAnsi="宋体" w:cs="宋体"/>
                <w:color w:val="auto"/>
                <w:szCs w:val="21"/>
                <w:highlight w:val="none"/>
              </w:rPr>
            </w:pPr>
          </w:p>
        </w:tc>
        <w:tc>
          <w:tcPr>
            <w:tcW w:w="677" w:type="pct"/>
            <w:vAlign w:val="center"/>
          </w:tcPr>
          <w:p w14:paraId="658BD4BF">
            <w:pPr>
              <w:spacing w:line="360" w:lineRule="exact"/>
              <w:jc w:val="center"/>
              <w:rPr>
                <w:rFonts w:hint="eastAsia" w:ascii="宋体" w:hAnsi="宋体" w:cs="宋体"/>
                <w:color w:val="auto"/>
                <w:szCs w:val="21"/>
                <w:highlight w:val="none"/>
              </w:rPr>
            </w:pPr>
          </w:p>
        </w:tc>
        <w:tc>
          <w:tcPr>
            <w:tcW w:w="1357" w:type="pct"/>
            <w:vAlign w:val="center"/>
          </w:tcPr>
          <w:p w14:paraId="16DEACEF">
            <w:pPr>
              <w:spacing w:line="360" w:lineRule="exact"/>
              <w:jc w:val="center"/>
              <w:rPr>
                <w:rFonts w:hint="eastAsia" w:ascii="宋体" w:hAnsi="宋体" w:cs="宋体"/>
                <w:color w:val="auto"/>
                <w:szCs w:val="21"/>
                <w:highlight w:val="none"/>
              </w:rPr>
            </w:pPr>
          </w:p>
        </w:tc>
        <w:tc>
          <w:tcPr>
            <w:tcW w:w="988" w:type="pct"/>
            <w:vAlign w:val="center"/>
          </w:tcPr>
          <w:p w14:paraId="17ABCD99">
            <w:pPr>
              <w:spacing w:line="360" w:lineRule="exact"/>
              <w:jc w:val="center"/>
              <w:rPr>
                <w:rFonts w:hint="eastAsia" w:ascii="宋体" w:hAnsi="宋体" w:cs="宋体"/>
                <w:color w:val="auto"/>
                <w:szCs w:val="21"/>
                <w:highlight w:val="none"/>
              </w:rPr>
            </w:pPr>
          </w:p>
        </w:tc>
      </w:tr>
      <w:tr w14:paraId="20A8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52DD3564">
            <w:pPr>
              <w:spacing w:line="360" w:lineRule="exact"/>
              <w:jc w:val="center"/>
              <w:rPr>
                <w:rFonts w:hint="eastAsia" w:ascii="宋体" w:hAnsi="宋体" w:cs="宋体"/>
                <w:color w:val="auto"/>
                <w:szCs w:val="21"/>
                <w:highlight w:val="none"/>
              </w:rPr>
            </w:pPr>
          </w:p>
        </w:tc>
        <w:tc>
          <w:tcPr>
            <w:tcW w:w="541" w:type="pct"/>
            <w:vAlign w:val="center"/>
          </w:tcPr>
          <w:p w14:paraId="7D09035C">
            <w:pPr>
              <w:spacing w:line="360" w:lineRule="exact"/>
              <w:jc w:val="center"/>
              <w:rPr>
                <w:rFonts w:hint="eastAsia" w:ascii="宋体" w:hAnsi="宋体" w:cs="宋体"/>
                <w:color w:val="auto"/>
                <w:szCs w:val="21"/>
                <w:highlight w:val="none"/>
              </w:rPr>
            </w:pPr>
          </w:p>
        </w:tc>
        <w:tc>
          <w:tcPr>
            <w:tcW w:w="895" w:type="pct"/>
            <w:vAlign w:val="center"/>
          </w:tcPr>
          <w:p w14:paraId="2593F82A">
            <w:pPr>
              <w:spacing w:line="360" w:lineRule="exact"/>
              <w:jc w:val="center"/>
              <w:rPr>
                <w:rFonts w:hint="eastAsia" w:ascii="宋体" w:hAnsi="宋体" w:cs="宋体"/>
                <w:color w:val="auto"/>
                <w:szCs w:val="21"/>
                <w:highlight w:val="none"/>
              </w:rPr>
            </w:pPr>
          </w:p>
        </w:tc>
        <w:tc>
          <w:tcPr>
            <w:tcW w:w="677" w:type="pct"/>
            <w:vAlign w:val="center"/>
          </w:tcPr>
          <w:p w14:paraId="4586BC73">
            <w:pPr>
              <w:spacing w:line="360" w:lineRule="exact"/>
              <w:jc w:val="center"/>
              <w:rPr>
                <w:rFonts w:hint="eastAsia" w:ascii="宋体" w:hAnsi="宋体" w:cs="宋体"/>
                <w:color w:val="auto"/>
                <w:szCs w:val="21"/>
                <w:highlight w:val="none"/>
              </w:rPr>
            </w:pPr>
          </w:p>
        </w:tc>
        <w:tc>
          <w:tcPr>
            <w:tcW w:w="1357" w:type="pct"/>
            <w:vAlign w:val="center"/>
          </w:tcPr>
          <w:p w14:paraId="75C8CC35">
            <w:pPr>
              <w:spacing w:line="360" w:lineRule="exact"/>
              <w:jc w:val="center"/>
              <w:rPr>
                <w:rFonts w:hint="eastAsia" w:ascii="宋体" w:hAnsi="宋体" w:cs="宋体"/>
                <w:color w:val="auto"/>
                <w:szCs w:val="21"/>
                <w:highlight w:val="none"/>
              </w:rPr>
            </w:pPr>
          </w:p>
        </w:tc>
        <w:tc>
          <w:tcPr>
            <w:tcW w:w="988" w:type="pct"/>
            <w:vAlign w:val="center"/>
          </w:tcPr>
          <w:p w14:paraId="6A1C93B4">
            <w:pPr>
              <w:spacing w:line="360" w:lineRule="exact"/>
              <w:jc w:val="center"/>
              <w:rPr>
                <w:rFonts w:hint="eastAsia" w:ascii="宋体" w:hAnsi="宋体" w:cs="宋体"/>
                <w:color w:val="auto"/>
                <w:szCs w:val="21"/>
                <w:highlight w:val="none"/>
              </w:rPr>
            </w:pPr>
          </w:p>
        </w:tc>
      </w:tr>
      <w:tr w14:paraId="0F21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1126EE35">
            <w:pPr>
              <w:spacing w:line="360" w:lineRule="exact"/>
              <w:jc w:val="center"/>
              <w:rPr>
                <w:rFonts w:hint="eastAsia" w:ascii="宋体" w:hAnsi="宋体" w:cs="宋体"/>
                <w:color w:val="auto"/>
                <w:szCs w:val="21"/>
                <w:highlight w:val="none"/>
              </w:rPr>
            </w:pPr>
          </w:p>
        </w:tc>
        <w:tc>
          <w:tcPr>
            <w:tcW w:w="541" w:type="pct"/>
            <w:vAlign w:val="center"/>
          </w:tcPr>
          <w:p w14:paraId="2F2BC432">
            <w:pPr>
              <w:spacing w:line="360" w:lineRule="exact"/>
              <w:jc w:val="center"/>
              <w:rPr>
                <w:rFonts w:hint="eastAsia" w:ascii="宋体" w:hAnsi="宋体" w:cs="宋体"/>
                <w:color w:val="auto"/>
                <w:szCs w:val="21"/>
                <w:highlight w:val="none"/>
              </w:rPr>
            </w:pPr>
          </w:p>
        </w:tc>
        <w:tc>
          <w:tcPr>
            <w:tcW w:w="895" w:type="pct"/>
            <w:vAlign w:val="center"/>
          </w:tcPr>
          <w:p w14:paraId="177967CF">
            <w:pPr>
              <w:spacing w:line="360" w:lineRule="exact"/>
              <w:jc w:val="center"/>
              <w:rPr>
                <w:rFonts w:hint="eastAsia" w:ascii="宋体" w:hAnsi="宋体" w:cs="宋体"/>
                <w:color w:val="auto"/>
                <w:szCs w:val="21"/>
                <w:highlight w:val="none"/>
              </w:rPr>
            </w:pPr>
          </w:p>
        </w:tc>
        <w:tc>
          <w:tcPr>
            <w:tcW w:w="677" w:type="pct"/>
            <w:vAlign w:val="center"/>
          </w:tcPr>
          <w:p w14:paraId="2444D88F">
            <w:pPr>
              <w:spacing w:line="360" w:lineRule="exact"/>
              <w:jc w:val="center"/>
              <w:rPr>
                <w:rFonts w:hint="eastAsia" w:ascii="宋体" w:hAnsi="宋体" w:cs="宋体"/>
                <w:color w:val="auto"/>
                <w:szCs w:val="21"/>
                <w:highlight w:val="none"/>
              </w:rPr>
            </w:pPr>
          </w:p>
        </w:tc>
        <w:tc>
          <w:tcPr>
            <w:tcW w:w="1357" w:type="pct"/>
            <w:vAlign w:val="center"/>
          </w:tcPr>
          <w:p w14:paraId="24B60E7C">
            <w:pPr>
              <w:spacing w:line="360" w:lineRule="exact"/>
              <w:jc w:val="center"/>
              <w:rPr>
                <w:rFonts w:hint="eastAsia" w:ascii="宋体" w:hAnsi="宋体" w:cs="宋体"/>
                <w:color w:val="auto"/>
                <w:szCs w:val="21"/>
                <w:highlight w:val="none"/>
              </w:rPr>
            </w:pPr>
          </w:p>
        </w:tc>
        <w:tc>
          <w:tcPr>
            <w:tcW w:w="988" w:type="pct"/>
            <w:vAlign w:val="center"/>
          </w:tcPr>
          <w:p w14:paraId="19E0A9C3">
            <w:pPr>
              <w:spacing w:line="360" w:lineRule="exact"/>
              <w:jc w:val="center"/>
              <w:rPr>
                <w:rFonts w:hint="eastAsia" w:ascii="宋体" w:hAnsi="宋体" w:cs="宋体"/>
                <w:color w:val="auto"/>
                <w:szCs w:val="21"/>
                <w:highlight w:val="none"/>
              </w:rPr>
            </w:pPr>
          </w:p>
        </w:tc>
      </w:tr>
      <w:tr w14:paraId="4741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1CE44DA5">
            <w:pPr>
              <w:spacing w:line="360" w:lineRule="exact"/>
              <w:jc w:val="center"/>
              <w:rPr>
                <w:rFonts w:hint="eastAsia" w:ascii="宋体" w:hAnsi="宋体" w:cs="宋体"/>
                <w:color w:val="auto"/>
                <w:szCs w:val="21"/>
                <w:highlight w:val="none"/>
              </w:rPr>
            </w:pPr>
          </w:p>
        </w:tc>
        <w:tc>
          <w:tcPr>
            <w:tcW w:w="541" w:type="pct"/>
            <w:vAlign w:val="center"/>
          </w:tcPr>
          <w:p w14:paraId="75B53B96">
            <w:pPr>
              <w:spacing w:line="360" w:lineRule="exact"/>
              <w:jc w:val="center"/>
              <w:rPr>
                <w:rFonts w:hint="eastAsia" w:ascii="宋体" w:hAnsi="宋体" w:cs="宋体"/>
                <w:color w:val="auto"/>
                <w:szCs w:val="21"/>
                <w:highlight w:val="none"/>
              </w:rPr>
            </w:pPr>
          </w:p>
        </w:tc>
        <w:tc>
          <w:tcPr>
            <w:tcW w:w="895" w:type="pct"/>
            <w:vAlign w:val="center"/>
          </w:tcPr>
          <w:p w14:paraId="0235911D">
            <w:pPr>
              <w:spacing w:line="360" w:lineRule="exact"/>
              <w:jc w:val="center"/>
              <w:rPr>
                <w:rFonts w:hint="eastAsia" w:ascii="宋体" w:hAnsi="宋体" w:cs="宋体"/>
                <w:color w:val="auto"/>
                <w:szCs w:val="21"/>
                <w:highlight w:val="none"/>
              </w:rPr>
            </w:pPr>
          </w:p>
        </w:tc>
        <w:tc>
          <w:tcPr>
            <w:tcW w:w="677" w:type="pct"/>
            <w:vAlign w:val="center"/>
          </w:tcPr>
          <w:p w14:paraId="3D302CEE">
            <w:pPr>
              <w:spacing w:line="360" w:lineRule="exact"/>
              <w:jc w:val="center"/>
              <w:rPr>
                <w:rFonts w:hint="eastAsia" w:ascii="宋体" w:hAnsi="宋体" w:cs="宋体"/>
                <w:color w:val="auto"/>
                <w:szCs w:val="21"/>
                <w:highlight w:val="none"/>
              </w:rPr>
            </w:pPr>
          </w:p>
        </w:tc>
        <w:tc>
          <w:tcPr>
            <w:tcW w:w="1357" w:type="pct"/>
            <w:vAlign w:val="center"/>
          </w:tcPr>
          <w:p w14:paraId="4112E804">
            <w:pPr>
              <w:spacing w:line="360" w:lineRule="exact"/>
              <w:jc w:val="center"/>
              <w:rPr>
                <w:rFonts w:hint="eastAsia" w:ascii="宋体" w:hAnsi="宋体" w:cs="宋体"/>
                <w:color w:val="auto"/>
                <w:szCs w:val="21"/>
                <w:highlight w:val="none"/>
              </w:rPr>
            </w:pPr>
          </w:p>
        </w:tc>
        <w:tc>
          <w:tcPr>
            <w:tcW w:w="988" w:type="pct"/>
            <w:vAlign w:val="center"/>
          </w:tcPr>
          <w:p w14:paraId="0B75384F">
            <w:pPr>
              <w:spacing w:line="360" w:lineRule="exact"/>
              <w:jc w:val="center"/>
              <w:rPr>
                <w:rFonts w:hint="eastAsia" w:ascii="宋体" w:hAnsi="宋体" w:cs="宋体"/>
                <w:color w:val="auto"/>
                <w:szCs w:val="21"/>
                <w:highlight w:val="none"/>
              </w:rPr>
            </w:pPr>
          </w:p>
        </w:tc>
      </w:tr>
      <w:tr w14:paraId="2459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4F4C9416">
            <w:pPr>
              <w:spacing w:line="360" w:lineRule="exact"/>
              <w:jc w:val="center"/>
              <w:rPr>
                <w:rFonts w:hint="eastAsia" w:ascii="宋体" w:hAnsi="宋体" w:cs="宋体"/>
                <w:color w:val="auto"/>
                <w:szCs w:val="21"/>
                <w:highlight w:val="none"/>
              </w:rPr>
            </w:pPr>
          </w:p>
        </w:tc>
        <w:tc>
          <w:tcPr>
            <w:tcW w:w="541" w:type="pct"/>
            <w:vAlign w:val="center"/>
          </w:tcPr>
          <w:p w14:paraId="6F09CBC6">
            <w:pPr>
              <w:spacing w:line="360" w:lineRule="exact"/>
              <w:jc w:val="center"/>
              <w:rPr>
                <w:rFonts w:hint="eastAsia" w:ascii="宋体" w:hAnsi="宋体" w:cs="宋体"/>
                <w:color w:val="auto"/>
                <w:szCs w:val="21"/>
                <w:highlight w:val="none"/>
              </w:rPr>
            </w:pPr>
          </w:p>
        </w:tc>
        <w:tc>
          <w:tcPr>
            <w:tcW w:w="895" w:type="pct"/>
            <w:vAlign w:val="center"/>
          </w:tcPr>
          <w:p w14:paraId="4F4B4F7B">
            <w:pPr>
              <w:spacing w:line="360" w:lineRule="exact"/>
              <w:jc w:val="center"/>
              <w:rPr>
                <w:rFonts w:hint="eastAsia" w:ascii="宋体" w:hAnsi="宋体" w:cs="宋体"/>
                <w:color w:val="auto"/>
                <w:szCs w:val="21"/>
                <w:highlight w:val="none"/>
              </w:rPr>
            </w:pPr>
          </w:p>
        </w:tc>
        <w:tc>
          <w:tcPr>
            <w:tcW w:w="677" w:type="pct"/>
            <w:vAlign w:val="center"/>
          </w:tcPr>
          <w:p w14:paraId="75F713E7">
            <w:pPr>
              <w:spacing w:line="360" w:lineRule="exact"/>
              <w:jc w:val="center"/>
              <w:rPr>
                <w:rFonts w:hint="eastAsia" w:ascii="宋体" w:hAnsi="宋体" w:cs="宋体"/>
                <w:color w:val="auto"/>
                <w:szCs w:val="21"/>
                <w:highlight w:val="none"/>
              </w:rPr>
            </w:pPr>
          </w:p>
        </w:tc>
        <w:tc>
          <w:tcPr>
            <w:tcW w:w="1357" w:type="pct"/>
            <w:vAlign w:val="center"/>
          </w:tcPr>
          <w:p w14:paraId="2BDAEDA4">
            <w:pPr>
              <w:spacing w:line="360" w:lineRule="exact"/>
              <w:jc w:val="center"/>
              <w:rPr>
                <w:rFonts w:hint="eastAsia" w:ascii="宋体" w:hAnsi="宋体" w:cs="宋体"/>
                <w:color w:val="auto"/>
                <w:szCs w:val="21"/>
                <w:highlight w:val="none"/>
              </w:rPr>
            </w:pPr>
          </w:p>
        </w:tc>
        <w:tc>
          <w:tcPr>
            <w:tcW w:w="988" w:type="pct"/>
            <w:vAlign w:val="center"/>
          </w:tcPr>
          <w:p w14:paraId="5BCCD70C">
            <w:pPr>
              <w:spacing w:line="360" w:lineRule="exact"/>
              <w:jc w:val="center"/>
              <w:rPr>
                <w:rFonts w:hint="eastAsia" w:ascii="宋体" w:hAnsi="宋体" w:cs="宋体"/>
                <w:color w:val="auto"/>
                <w:szCs w:val="21"/>
                <w:highlight w:val="none"/>
              </w:rPr>
            </w:pPr>
          </w:p>
        </w:tc>
      </w:tr>
      <w:tr w14:paraId="21EF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45C1D9CB">
            <w:pPr>
              <w:spacing w:line="360" w:lineRule="exact"/>
              <w:jc w:val="center"/>
              <w:rPr>
                <w:rFonts w:hint="eastAsia" w:ascii="宋体" w:hAnsi="宋体" w:cs="宋体"/>
                <w:color w:val="auto"/>
                <w:szCs w:val="21"/>
                <w:highlight w:val="none"/>
              </w:rPr>
            </w:pPr>
          </w:p>
        </w:tc>
        <w:tc>
          <w:tcPr>
            <w:tcW w:w="541" w:type="pct"/>
            <w:vAlign w:val="center"/>
          </w:tcPr>
          <w:p w14:paraId="57A44F67">
            <w:pPr>
              <w:spacing w:line="360" w:lineRule="exact"/>
              <w:jc w:val="center"/>
              <w:rPr>
                <w:rFonts w:hint="eastAsia" w:ascii="宋体" w:hAnsi="宋体" w:cs="宋体"/>
                <w:color w:val="auto"/>
                <w:szCs w:val="21"/>
                <w:highlight w:val="none"/>
              </w:rPr>
            </w:pPr>
          </w:p>
        </w:tc>
        <w:tc>
          <w:tcPr>
            <w:tcW w:w="895" w:type="pct"/>
            <w:vAlign w:val="center"/>
          </w:tcPr>
          <w:p w14:paraId="05199767">
            <w:pPr>
              <w:spacing w:line="360" w:lineRule="exact"/>
              <w:jc w:val="center"/>
              <w:rPr>
                <w:rFonts w:hint="eastAsia" w:ascii="宋体" w:hAnsi="宋体" w:cs="宋体"/>
                <w:color w:val="auto"/>
                <w:szCs w:val="21"/>
                <w:highlight w:val="none"/>
              </w:rPr>
            </w:pPr>
          </w:p>
        </w:tc>
        <w:tc>
          <w:tcPr>
            <w:tcW w:w="677" w:type="pct"/>
            <w:vAlign w:val="center"/>
          </w:tcPr>
          <w:p w14:paraId="4BE54139">
            <w:pPr>
              <w:spacing w:line="360" w:lineRule="exact"/>
              <w:jc w:val="center"/>
              <w:rPr>
                <w:rFonts w:hint="eastAsia" w:ascii="宋体" w:hAnsi="宋体" w:cs="宋体"/>
                <w:color w:val="auto"/>
                <w:szCs w:val="21"/>
                <w:highlight w:val="none"/>
              </w:rPr>
            </w:pPr>
          </w:p>
        </w:tc>
        <w:tc>
          <w:tcPr>
            <w:tcW w:w="1357" w:type="pct"/>
            <w:vAlign w:val="center"/>
          </w:tcPr>
          <w:p w14:paraId="1D3E2647">
            <w:pPr>
              <w:spacing w:line="360" w:lineRule="exact"/>
              <w:jc w:val="center"/>
              <w:rPr>
                <w:rFonts w:hint="eastAsia" w:ascii="宋体" w:hAnsi="宋体" w:cs="宋体"/>
                <w:color w:val="auto"/>
                <w:szCs w:val="21"/>
                <w:highlight w:val="none"/>
              </w:rPr>
            </w:pPr>
          </w:p>
        </w:tc>
        <w:tc>
          <w:tcPr>
            <w:tcW w:w="988" w:type="pct"/>
            <w:vAlign w:val="center"/>
          </w:tcPr>
          <w:p w14:paraId="0D500D58">
            <w:pPr>
              <w:spacing w:line="360" w:lineRule="exact"/>
              <w:jc w:val="center"/>
              <w:rPr>
                <w:rFonts w:hint="eastAsia" w:ascii="宋体" w:hAnsi="宋体" w:cs="宋体"/>
                <w:color w:val="auto"/>
                <w:szCs w:val="21"/>
                <w:highlight w:val="none"/>
              </w:rPr>
            </w:pPr>
          </w:p>
        </w:tc>
      </w:tr>
      <w:tr w14:paraId="6E09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vAlign w:val="center"/>
          </w:tcPr>
          <w:p w14:paraId="70FF695B">
            <w:pPr>
              <w:spacing w:line="360" w:lineRule="exact"/>
              <w:jc w:val="center"/>
              <w:rPr>
                <w:rFonts w:hint="eastAsia" w:ascii="宋体" w:hAnsi="宋体" w:cs="宋体"/>
                <w:color w:val="auto"/>
                <w:szCs w:val="21"/>
                <w:highlight w:val="none"/>
              </w:rPr>
            </w:pPr>
          </w:p>
        </w:tc>
        <w:tc>
          <w:tcPr>
            <w:tcW w:w="541" w:type="pct"/>
            <w:vAlign w:val="center"/>
          </w:tcPr>
          <w:p w14:paraId="7970D534">
            <w:pPr>
              <w:spacing w:line="360" w:lineRule="exact"/>
              <w:jc w:val="center"/>
              <w:rPr>
                <w:rFonts w:hint="eastAsia" w:ascii="宋体" w:hAnsi="宋体" w:cs="宋体"/>
                <w:color w:val="auto"/>
                <w:szCs w:val="21"/>
                <w:highlight w:val="none"/>
              </w:rPr>
            </w:pPr>
          </w:p>
        </w:tc>
        <w:tc>
          <w:tcPr>
            <w:tcW w:w="895" w:type="pct"/>
            <w:vAlign w:val="center"/>
          </w:tcPr>
          <w:p w14:paraId="23A2686E">
            <w:pPr>
              <w:spacing w:line="360" w:lineRule="exact"/>
              <w:jc w:val="center"/>
              <w:rPr>
                <w:rFonts w:hint="eastAsia" w:ascii="宋体" w:hAnsi="宋体" w:cs="宋体"/>
                <w:color w:val="auto"/>
                <w:szCs w:val="21"/>
                <w:highlight w:val="none"/>
              </w:rPr>
            </w:pPr>
          </w:p>
        </w:tc>
        <w:tc>
          <w:tcPr>
            <w:tcW w:w="677" w:type="pct"/>
            <w:vAlign w:val="center"/>
          </w:tcPr>
          <w:p w14:paraId="44EBE157">
            <w:pPr>
              <w:spacing w:line="360" w:lineRule="exact"/>
              <w:jc w:val="center"/>
              <w:rPr>
                <w:rFonts w:hint="eastAsia" w:ascii="宋体" w:hAnsi="宋体" w:cs="宋体"/>
                <w:color w:val="auto"/>
                <w:szCs w:val="21"/>
                <w:highlight w:val="none"/>
              </w:rPr>
            </w:pPr>
          </w:p>
        </w:tc>
        <w:tc>
          <w:tcPr>
            <w:tcW w:w="1357" w:type="pct"/>
            <w:vAlign w:val="center"/>
          </w:tcPr>
          <w:p w14:paraId="50EAA146">
            <w:pPr>
              <w:spacing w:line="360" w:lineRule="exact"/>
              <w:jc w:val="center"/>
              <w:rPr>
                <w:rFonts w:hint="eastAsia" w:ascii="宋体" w:hAnsi="宋体" w:cs="宋体"/>
                <w:color w:val="auto"/>
                <w:szCs w:val="21"/>
                <w:highlight w:val="none"/>
              </w:rPr>
            </w:pPr>
          </w:p>
        </w:tc>
        <w:tc>
          <w:tcPr>
            <w:tcW w:w="988" w:type="pct"/>
            <w:vAlign w:val="center"/>
          </w:tcPr>
          <w:p w14:paraId="0C1C0E9B">
            <w:pPr>
              <w:spacing w:line="360" w:lineRule="exact"/>
              <w:jc w:val="center"/>
              <w:rPr>
                <w:rFonts w:hint="eastAsia" w:ascii="宋体" w:hAnsi="宋体" w:cs="宋体"/>
                <w:color w:val="auto"/>
                <w:szCs w:val="21"/>
                <w:highlight w:val="none"/>
              </w:rPr>
            </w:pPr>
          </w:p>
        </w:tc>
      </w:tr>
    </w:tbl>
    <w:p w14:paraId="40DCF821">
      <w:pPr>
        <w:snapToGrid w:val="0"/>
        <w:spacing w:before="156" w:beforeLines="50" w:after="156"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注：在填写时，如本表格不适合投标单位的实际情况，可根据本表格式自行划表填写。</w:t>
      </w:r>
    </w:p>
    <w:p w14:paraId="31C07282">
      <w:pPr>
        <w:snapToGrid w:val="0"/>
        <w:spacing w:before="50" w:after="156" w:afterLines="50" w:line="360" w:lineRule="auto"/>
        <w:jc w:val="left"/>
        <w:rPr>
          <w:rFonts w:hint="eastAsia" w:ascii="宋体" w:hAnsi="宋体" w:cs="宋体"/>
          <w:color w:val="auto"/>
          <w:szCs w:val="21"/>
          <w:highlight w:val="none"/>
        </w:rPr>
      </w:pPr>
    </w:p>
    <w:p w14:paraId="12214703">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36218515">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33AD1EB1">
      <w:pPr>
        <w:adjustRightInd w:val="0"/>
        <w:snapToGrid w:val="0"/>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日期：</w:t>
      </w:r>
    </w:p>
    <w:p w14:paraId="39B310F4">
      <w:pPr>
        <w:adjustRightInd w:val="0"/>
        <w:snapToGrid w:val="0"/>
        <w:spacing w:before="156" w:beforeLines="50" w:after="156" w:afterLines="50" w:line="500" w:lineRule="exact"/>
        <w:rPr>
          <w:rFonts w:hint="eastAsia" w:ascii="宋体" w:hAnsi="宋体" w:cs="宋体"/>
          <w:b/>
          <w:color w:val="auto"/>
          <w:szCs w:val="21"/>
          <w:highlight w:val="none"/>
        </w:rPr>
      </w:pPr>
    </w:p>
    <w:p w14:paraId="23D0A6F1">
      <w:pPr>
        <w:spacing w:line="400" w:lineRule="exact"/>
        <w:jc w:val="left"/>
        <w:rPr>
          <w:rFonts w:hint="eastAsia" w:ascii="宋体" w:hAnsi="宋体" w:cs="宋体"/>
          <w:color w:val="auto"/>
          <w:szCs w:val="21"/>
          <w:highlight w:val="none"/>
        </w:rPr>
      </w:pPr>
    </w:p>
    <w:p w14:paraId="1F04B708">
      <w:pPr>
        <w:spacing w:line="400" w:lineRule="exact"/>
        <w:jc w:val="left"/>
        <w:rPr>
          <w:rFonts w:hint="eastAsia" w:ascii="宋体" w:hAnsi="宋体" w:cs="宋体"/>
          <w:color w:val="auto"/>
          <w:szCs w:val="21"/>
          <w:highlight w:val="none"/>
        </w:rPr>
      </w:pPr>
    </w:p>
    <w:p w14:paraId="04276C0A">
      <w:pPr>
        <w:spacing w:line="400" w:lineRule="exact"/>
        <w:jc w:val="left"/>
        <w:rPr>
          <w:rFonts w:hint="eastAsia" w:ascii="宋体" w:hAnsi="宋体" w:cs="宋体"/>
          <w:color w:val="auto"/>
          <w:szCs w:val="21"/>
          <w:highlight w:val="none"/>
        </w:rPr>
      </w:pPr>
    </w:p>
    <w:p w14:paraId="7D83F027">
      <w:pPr>
        <w:spacing w:line="400" w:lineRule="exact"/>
        <w:jc w:val="left"/>
        <w:rPr>
          <w:rFonts w:hint="eastAsia" w:ascii="宋体" w:hAnsi="宋体" w:cs="宋体"/>
          <w:color w:val="auto"/>
          <w:szCs w:val="21"/>
          <w:highlight w:val="none"/>
        </w:rPr>
      </w:pPr>
    </w:p>
    <w:p w14:paraId="5BA466B7">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10、供应商同类项目实施情况一览表</w:t>
      </w:r>
    </w:p>
    <w:p w14:paraId="1A27A2D8">
      <w:pPr>
        <w:spacing w:line="400" w:lineRule="exact"/>
        <w:jc w:val="center"/>
        <w:rPr>
          <w:rFonts w:hint="eastAsia" w:ascii="宋体" w:hAnsi="宋体" w:cs="宋体"/>
          <w:color w:val="auto"/>
          <w:szCs w:val="21"/>
          <w:highlight w:val="none"/>
        </w:rPr>
      </w:pPr>
    </w:p>
    <w:p w14:paraId="07168E6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供应商同类项目实施情况一览表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00"/>
        <w:gridCol w:w="2170"/>
        <w:gridCol w:w="2568"/>
        <w:gridCol w:w="2412"/>
      </w:tblGrid>
      <w:tr w14:paraId="4E8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06" w:type="pct"/>
            <w:vAlign w:val="center"/>
          </w:tcPr>
          <w:p w14:paraId="57E9089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64" w:type="pct"/>
            <w:vAlign w:val="center"/>
          </w:tcPr>
          <w:p w14:paraId="5DC030B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01" w:type="pct"/>
            <w:vAlign w:val="center"/>
          </w:tcPr>
          <w:p w14:paraId="503860D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项目实施时间</w:t>
            </w:r>
          </w:p>
        </w:tc>
        <w:tc>
          <w:tcPr>
            <w:tcW w:w="1303" w:type="pct"/>
            <w:vAlign w:val="center"/>
          </w:tcPr>
          <w:p w14:paraId="3092DBF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项目单位名称</w:t>
            </w:r>
          </w:p>
          <w:p w14:paraId="33FD705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地址及联系方式</w:t>
            </w:r>
          </w:p>
        </w:tc>
        <w:tc>
          <w:tcPr>
            <w:tcW w:w="1223" w:type="pct"/>
            <w:vAlign w:val="center"/>
          </w:tcPr>
          <w:p w14:paraId="7DDBFA8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项目合同金额（单位：万元）</w:t>
            </w:r>
          </w:p>
        </w:tc>
      </w:tr>
      <w:tr w14:paraId="206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43C2BCDD">
            <w:pPr>
              <w:spacing w:line="360" w:lineRule="exact"/>
              <w:jc w:val="center"/>
              <w:rPr>
                <w:rFonts w:hint="eastAsia" w:ascii="宋体" w:hAnsi="宋体" w:cs="宋体"/>
                <w:color w:val="auto"/>
                <w:szCs w:val="21"/>
                <w:highlight w:val="none"/>
              </w:rPr>
            </w:pPr>
          </w:p>
        </w:tc>
        <w:tc>
          <w:tcPr>
            <w:tcW w:w="964" w:type="pct"/>
            <w:vAlign w:val="center"/>
          </w:tcPr>
          <w:p w14:paraId="7EAE7503">
            <w:pPr>
              <w:spacing w:line="360" w:lineRule="exact"/>
              <w:jc w:val="center"/>
              <w:rPr>
                <w:rFonts w:hint="eastAsia" w:ascii="宋体" w:hAnsi="宋体" w:cs="宋体"/>
                <w:color w:val="auto"/>
                <w:szCs w:val="21"/>
                <w:highlight w:val="none"/>
              </w:rPr>
            </w:pPr>
          </w:p>
        </w:tc>
        <w:tc>
          <w:tcPr>
            <w:tcW w:w="1101" w:type="pct"/>
            <w:vAlign w:val="center"/>
          </w:tcPr>
          <w:p w14:paraId="2C520338">
            <w:pPr>
              <w:spacing w:line="360" w:lineRule="exact"/>
              <w:jc w:val="center"/>
              <w:rPr>
                <w:rFonts w:hint="eastAsia" w:ascii="宋体" w:hAnsi="宋体" w:cs="宋体"/>
                <w:color w:val="auto"/>
                <w:szCs w:val="21"/>
                <w:highlight w:val="none"/>
              </w:rPr>
            </w:pPr>
          </w:p>
        </w:tc>
        <w:tc>
          <w:tcPr>
            <w:tcW w:w="1303" w:type="pct"/>
            <w:vAlign w:val="center"/>
          </w:tcPr>
          <w:p w14:paraId="5093E1A1">
            <w:pPr>
              <w:spacing w:line="360" w:lineRule="exact"/>
              <w:jc w:val="center"/>
              <w:rPr>
                <w:rFonts w:hint="eastAsia" w:ascii="宋体" w:hAnsi="宋体" w:cs="宋体"/>
                <w:color w:val="auto"/>
                <w:szCs w:val="21"/>
                <w:highlight w:val="none"/>
              </w:rPr>
            </w:pPr>
          </w:p>
        </w:tc>
        <w:tc>
          <w:tcPr>
            <w:tcW w:w="1223" w:type="pct"/>
            <w:vAlign w:val="center"/>
          </w:tcPr>
          <w:p w14:paraId="57399AF9">
            <w:pPr>
              <w:spacing w:line="360" w:lineRule="exact"/>
              <w:jc w:val="center"/>
              <w:rPr>
                <w:rFonts w:hint="eastAsia" w:ascii="宋体" w:hAnsi="宋体" w:cs="宋体"/>
                <w:color w:val="auto"/>
                <w:szCs w:val="21"/>
                <w:highlight w:val="none"/>
              </w:rPr>
            </w:pPr>
          </w:p>
        </w:tc>
      </w:tr>
      <w:tr w14:paraId="4E0C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4E7B1073">
            <w:pPr>
              <w:spacing w:line="360" w:lineRule="exact"/>
              <w:jc w:val="center"/>
              <w:rPr>
                <w:rFonts w:hint="eastAsia" w:ascii="宋体" w:hAnsi="宋体" w:cs="宋体"/>
                <w:color w:val="auto"/>
                <w:szCs w:val="21"/>
                <w:highlight w:val="none"/>
              </w:rPr>
            </w:pPr>
          </w:p>
        </w:tc>
        <w:tc>
          <w:tcPr>
            <w:tcW w:w="964" w:type="pct"/>
            <w:vAlign w:val="center"/>
          </w:tcPr>
          <w:p w14:paraId="10065BC6">
            <w:pPr>
              <w:spacing w:line="360" w:lineRule="exact"/>
              <w:jc w:val="center"/>
              <w:rPr>
                <w:rFonts w:hint="eastAsia" w:ascii="宋体" w:hAnsi="宋体" w:cs="宋体"/>
                <w:color w:val="auto"/>
                <w:szCs w:val="21"/>
                <w:highlight w:val="none"/>
              </w:rPr>
            </w:pPr>
          </w:p>
        </w:tc>
        <w:tc>
          <w:tcPr>
            <w:tcW w:w="1101" w:type="pct"/>
            <w:vAlign w:val="center"/>
          </w:tcPr>
          <w:p w14:paraId="0C9F2330">
            <w:pPr>
              <w:spacing w:line="360" w:lineRule="exact"/>
              <w:jc w:val="center"/>
              <w:rPr>
                <w:rFonts w:hint="eastAsia" w:ascii="宋体" w:hAnsi="宋体" w:cs="宋体"/>
                <w:color w:val="auto"/>
                <w:szCs w:val="21"/>
                <w:highlight w:val="none"/>
              </w:rPr>
            </w:pPr>
          </w:p>
        </w:tc>
        <w:tc>
          <w:tcPr>
            <w:tcW w:w="1303" w:type="pct"/>
            <w:vAlign w:val="center"/>
          </w:tcPr>
          <w:p w14:paraId="77E5E135">
            <w:pPr>
              <w:spacing w:line="360" w:lineRule="exact"/>
              <w:jc w:val="center"/>
              <w:rPr>
                <w:rFonts w:hint="eastAsia" w:ascii="宋体" w:hAnsi="宋体" w:cs="宋体"/>
                <w:color w:val="auto"/>
                <w:szCs w:val="21"/>
                <w:highlight w:val="none"/>
              </w:rPr>
            </w:pPr>
          </w:p>
        </w:tc>
        <w:tc>
          <w:tcPr>
            <w:tcW w:w="1223" w:type="pct"/>
            <w:vAlign w:val="center"/>
          </w:tcPr>
          <w:p w14:paraId="323F7ED4">
            <w:pPr>
              <w:spacing w:line="360" w:lineRule="exact"/>
              <w:jc w:val="center"/>
              <w:rPr>
                <w:rFonts w:hint="eastAsia" w:ascii="宋体" w:hAnsi="宋体" w:cs="宋体"/>
                <w:color w:val="auto"/>
                <w:szCs w:val="21"/>
                <w:highlight w:val="none"/>
              </w:rPr>
            </w:pPr>
          </w:p>
        </w:tc>
      </w:tr>
      <w:tr w14:paraId="215D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40FB36F9">
            <w:pPr>
              <w:spacing w:line="360" w:lineRule="exact"/>
              <w:jc w:val="center"/>
              <w:rPr>
                <w:rFonts w:hint="eastAsia" w:ascii="宋体" w:hAnsi="宋体" w:cs="宋体"/>
                <w:color w:val="auto"/>
                <w:szCs w:val="21"/>
                <w:highlight w:val="none"/>
              </w:rPr>
            </w:pPr>
          </w:p>
        </w:tc>
        <w:tc>
          <w:tcPr>
            <w:tcW w:w="964" w:type="pct"/>
            <w:vAlign w:val="center"/>
          </w:tcPr>
          <w:p w14:paraId="4C9DF310">
            <w:pPr>
              <w:spacing w:line="360" w:lineRule="exact"/>
              <w:jc w:val="center"/>
              <w:rPr>
                <w:rFonts w:hint="eastAsia" w:ascii="宋体" w:hAnsi="宋体" w:cs="宋体"/>
                <w:color w:val="auto"/>
                <w:szCs w:val="21"/>
                <w:highlight w:val="none"/>
              </w:rPr>
            </w:pPr>
          </w:p>
        </w:tc>
        <w:tc>
          <w:tcPr>
            <w:tcW w:w="1101" w:type="pct"/>
            <w:vAlign w:val="center"/>
          </w:tcPr>
          <w:p w14:paraId="0DAFC4C1">
            <w:pPr>
              <w:spacing w:line="360" w:lineRule="exact"/>
              <w:jc w:val="center"/>
              <w:rPr>
                <w:rFonts w:hint="eastAsia" w:ascii="宋体" w:hAnsi="宋体" w:cs="宋体"/>
                <w:color w:val="auto"/>
                <w:szCs w:val="21"/>
                <w:highlight w:val="none"/>
              </w:rPr>
            </w:pPr>
          </w:p>
        </w:tc>
        <w:tc>
          <w:tcPr>
            <w:tcW w:w="1303" w:type="pct"/>
            <w:vAlign w:val="center"/>
          </w:tcPr>
          <w:p w14:paraId="0F4A07D0">
            <w:pPr>
              <w:spacing w:line="360" w:lineRule="exact"/>
              <w:jc w:val="center"/>
              <w:rPr>
                <w:rFonts w:hint="eastAsia" w:ascii="宋体" w:hAnsi="宋体" w:cs="宋体"/>
                <w:color w:val="auto"/>
                <w:szCs w:val="21"/>
                <w:highlight w:val="none"/>
              </w:rPr>
            </w:pPr>
          </w:p>
        </w:tc>
        <w:tc>
          <w:tcPr>
            <w:tcW w:w="1223" w:type="pct"/>
            <w:vAlign w:val="center"/>
          </w:tcPr>
          <w:p w14:paraId="181F7681">
            <w:pPr>
              <w:spacing w:line="360" w:lineRule="exact"/>
              <w:jc w:val="center"/>
              <w:rPr>
                <w:rFonts w:hint="eastAsia" w:ascii="宋体" w:hAnsi="宋体" w:cs="宋体"/>
                <w:color w:val="auto"/>
                <w:szCs w:val="21"/>
                <w:highlight w:val="none"/>
              </w:rPr>
            </w:pPr>
          </w:p>
        </w:tc>
      </w:tr>
      <w:tr w14:paraId="5C09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11514093">
            <w:pPr>
              <w:spacing w:line="360" w:lineRule="exact"/>
              <w:jc w:val="center"/>
              <w:rPr>
                <w:rFonts w:hint="eastAsia" w:ascii="宋体" w:hAnsi="宋体" w:cs="宋体"/>
                <w:color w:val="auto"/>
                <w:szCs w:val="21"/>
                <w:highlight w:val="none"/>
              </w:rPr>
            </w:pPr>
          </w:p>
        </w:tc>
        <w:tc>
          <w:tcPr>
            <w:tcW w:w="964" w:type="pct"/>
            <w:vAlign w:val="center"/>
          </w:tcPr>
          <w:p w14:paraId="061ECB7C">
            <w:pPr>
              <w:spacing w:line="360" w:lineRule="exact"/>
              <w:jc w:val="center"/>
              <w:rPr>
                <w:rFonts w:hint="eastAsia" w:ascii="宋体" w:hAnsi="宋体" w:cs="宋体"/>
                <w:color w:val="auto"/>
                <w:szCs w:val="21"/>
                <w:highlight w:val="none"/>
              </w:rPr>
            </w:pPr>
          </w:p>
        </w:tc>
        <w:tc>
          <w:tcPr>
            <w:tcW w:w="1101" w:type="pct"/>
            <w:vAlign w:val="center"/>
          </w:tcPr>
          <w:p w14:paraId="0C2A9C74">
            <w:pPr>
              <w:spacing w:line="360" w:lineRule="exact"/>
              <w:jc w:val="center"/>
              <w:rPr>
                <w:rFonts w:hint="eastAsia" w:ascii="宋体" w:hAnsi="宋体" w:cs="宋体"/>
                <w:color w:val="auto"/>
                <w:szCs w:val="21"/>
                <w:highlight w:val="none"/>
              </w:rPr>
            </w:pPr>
          </w:p>
        </w:tc>
        <w:tc>
          <w:tcPr>
            <w:tcW w:w="1303" w:type="pct"/>
            <w:vAlign w:val="center"/>
          </w:tcPr>
          <w:p w14:paraId="1041A730">
            <w:pPr>
              <w:spacing w:line="360" w:lineRule="exact"/>
              <w:jc w:val="center"/>
              <w:rPr>
                <w:rFonts w:hint="eastAsia" w:ascii="宋体" w:hAnsi="宋体" w:cs="宋体"/>
                <w:color w:val="auto"/>
                <w:szCs w:val="21"/>
                <w:highlight w:val="none"/>
              </w:rPr>
            </w:pPr>
          </w:p>
        </w:tc>
        <w:tc>
          <w:tcPr>
            <w:tcW w:w="1223" w:type="pct"/>
            <w:vAlign w:val="center"/>
          </w:tcPr>
          <w:p w14:paraId="196A77DC">
            <w:pPr>
              <w:spacing w:line="360" w:lineRule="exact"/>
              <w:jc w:val="center"/>
              <w:rPr>
                <w:rFonts w:hint="eastAsia" w:ascii="宋体" w:hAnsi="宋体" w:cs="宋体"/>
                <w:color w:val="auto"/>
                <w:szCs w:val="21"/>
                <w:highlight w:val="none"/>
              </w:rPr>
            </w:pPr>
          </w:p>
        </w:tc>
      </w:tr>
      <w:tr w14:paraId="54B2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32ED7F2E">
            <w:pPr>
              <w:spacing w:line="360" w:lineRule="exact"/>
              <w:jc w:val="center"/>
              <w:rPr>
                <w:rFonts w:hint="eastAsia" w:ascii="宋体" w:hAnsi="宋体" w:cs="宋体"/>
                <w:color w:val="auto"/>
                <w:szCs w:val="21"/>
                <w:highlight w:val="none"/>
              </w:rPr>
            </w:pPr>
          </w:p>
        </w:tc>
        <w:tc>
          <w:tcPr>
            <w:tcW w:w="964" w:type="pct"/>
            <w:vAlign w:val="center"/>
          </w:tcPr>
          <w:p w14:paraId="4A7D6495">
            <w:pPr>
              <w:spacing w:line="360" w:lineRule="exact"/>
              <w:jc w:val="center"/>
              <w:rPr>
                <w:rFonts w:hint="eastAsia" w:ascii="宋体" w:hAnsi="宋体" w:cs="宋体"/>
                <w:color w:val="auto"/>
                <w:szCs w:val="21"/>
                <w:highlight w:val="none"/>
              </w:rPr>
            </w:pPr>
          </w:p>
        </w:tc>
        <w:tc>
          <w:tcPr>
            <w:tcW w:w="1101" w:type="pct"/>
            <w:vAlign w:val="center"/>
          </w:tcPr>
          <w:p w14:paraId="04C76E4E">
            <w:pPr>
              <w:spacing w:line="360" w:lineRule="exact"/>
              <w:jc w:val="center"/>
              <w:rPr>
                <w:rFonts w:hint="eastAsia" w:ascii="宋体" w:hAnsi="宋体" w:cs="宋体"/>
                <w:color w:val="auto"/>
                <w:szCs w:val="21"/>
                <w:highlight w:val="none"/>
              </w:rPr>
            </w:pPr>
          </w:p>
        </w:tc>
        <w:tc>
          <w:tcPr>
            <w:tcW w:w="1303" w:type="pct"/>
            <w:vAlign w:val="center"/>
          </w:tcPr>
          <w:p w14:paraId="33F9FF75">
            <w:pPr>
              <w:spacing w:line="360" w:lineRule="exact"/>
              <w:jc w:val="center"/>
              <w:rPr>
                <w:rFonts w:hint="eastAsia" w:ascii="宋体" w:hAnsi="宋体" w:cs="宋体"/>
                <w:color w:val="auto"/>
                <w:szCs w:val="21"/>
                <w:highlight w:val="none"/>
              </w:rPr>
            </w:pPr>
          </w:p>
        </w:tc>
        <w:tc>
          <w:tcPr>
            <w:tcW w:w="1223" w:type="pct"/>
            <w:vAlign w:val="center"/>
          </w:tcPr>
          <w:p w14:paraId="4EE57A07">
            <w:pPr>
              <w:spacing w:line="360" w:lineRule="exact"/>
              <w:jc w:val="center"/>
              <w:rPr>
                <w:rFonts w:hint="eastAsia" w:ascii="宋体" w:hAnsi="宋体" w:cs="宋体"/>
                <w:color w:val="auto"/>
                <w:szCs w:val="21"/>
                <w:highlight w:val="none"/>
              </w:rPr>
            </w:pPr>
          </w:p>
        </w:tc>
      </w:tr>
      <w:tr w14:paraId="0CE4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4DB6C55A">
            <w:pPr>
              <w:spacing w:line="360" w:lineRule="exact"/>
              <w:jc w:val="center"/>
              <w:rPr>
                <w:rFonts w:hint="eastAsia" w:ascii="宋体" w:hAnsi="宋体" w:cs="宋体"/>
                <w:color w:val="auto"/>
                <w:szCs w:val="21"/>
                <w:highlight w:val="none"/>
              </w:rPr>
            </w:pPr>
          </w:p>
        </w:tc>
        <w:tc>
          <w:tcPr>
            <w:tcW w:w="964" w:type="pct"/>
            <w:vAlign w:val="center"/>
          </w:tcPr>
          <w:p w14:paraId="11B378EF">
            <w:pPr>
              <w:spacing w:line="360" w:lineRule="exact"/>
              <w:jc w:val="center"/>
              <w:rPr>
                <w:rFonts w:hint="eastAsia" w:ascii="宋体" w:hAnsi="宋体" w:cs="宋体"/>
                <w:color w:val="auto"/>
                <w:szCs w:val="21"/>
                <w:highlight w:val="none"/>
              </w:rPr>
            </w:pPr>
          </w:p>
        </w:tc>
        <w:tc>
          <w:tcPr>
            <w:tcW w:w="1101" w:type="pct"/>
            <w:vAlign w:val="center"/>
          </w:tcPr>
          <w:p w14:paraId="1F23ABC6">
            <w:pPr>
              <w:spacing w:line="360" w:lineRule="exact"/>
              <w:jc w:val="center"/>
              <w:rPr>
                <w:rFonts w:hint="eastAsia" w:ascii="宋体" w:hAnsi="宋体" w:cs="宋体"/>
                <w:color w:val="auto"/>
                <w:szCs w:val="21"/>
                <w:highlight w:val="none"/>
              </w:rPr>
            </w:pPr>
          </w:p>
        </w:tc>
        <w:tc>
          <w:tcPr>
            <w:tcW w:w="1303" w:type="pct"/>
            <w:vAlign w:val="center"/>
          </w:tcPr>
          <w:p w14:paraId="5E1C6D6B">
            <w:pPr>
              <w:spacing w:line="360" w:lineRule="exact"/>
              <w:jc w:val="center"/>
              <w:rPr>
                <w:rFonts w:hint="eastAsia" w:ascii="宋体" w:hAnsi="宋体" w:cs="宋体"/>
                <w:color w:val="auto"/>
                <w:szCs w:val="21"/>
                <w:highlight w:val="none"/>
              </w:rPr>
            </w:pPr>
          </w:p>
        </w:tc>
        <w:tc>
          <w:tcPr>
            <w:tcW w:w="1223" w:type="pct"/>
            <w:vAlign w:val="center"/>
          </w:tcPr>
          <w:p w14:paraId="2AE349E7">
            <w:pPr>
              <w:spacing w:line="360" w:lineRule="exact"/>
              <w:jc w:val="center"/>
              <w:rPr>
                <w:rFonts w:hint="eastAsia" w:ascii="宋体" w:hAnsi="宋体" w:cs="宋体"/>
                <w:color w:val="auto"/>
                <w:szCs w:val="21"/>
                <w:highlight w:val="none"/>
              </w:rPr>
            </w:pPr>
          </w:p>
        </w:tc>
      </w:tr>
      <w:tr w14:paraId="1F66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3CE2D778">
            <w:pPr>
              <w:spacing w:line="360" w:lineRule="exact"/>
              <w:jc w:val="center"/>
              <w:rPr>
                <w:rFonts w:hint="eastAsia" w:ascii="宋体" w:hAnsi="宋体" w:cs="宋体"/>
                <w:color w:val="auto"/>
                <w:szCs w:val="21"/>
                <w:highlight w:val="none"/>
              </w:rPr>
            </w:pPr>
          </w:p>
        </w:tc>
        <w:tc>
          <w:tcPr>
            <w:tcW w:w="964" w:type="pct"/>
            <w:vAlign w:val="center"/>
          </w:tcPr>
          <w:p w14:paraId="1F5E35B5">
            <w:pPr>
              <w:spacing w:line="360" w:lineRule="exact"/>
              <w:jc w:val="center"/>
              <w:rPr>
                <w:rFonts w:hint="eastAsia" w:ascii="宋体" w:hAnsi="宋体" w:cs="宋体"/>
                <w:color w:val="auto"/>
                <w:szCs w:val="21"/>
                <w:highlight w:val="none"/>
              </w:rPr>
            </w:pPr>
          </w:p>
        </w:tc>
        <w:tc>
          <w:tcPr>
            <w:tcW w:w="1101" w:type="pct"/>
            <w:vAlign w:val="center"/>
          </w:tcPr>
          <w:p w14:paraId="4C9651BD">
            <w:pPr>
              <w:spacing w:line="360" w:lineRule="exact"/>
              <w:jc w:val="center"/>
              <w:rPr>
                <w:rFonts w:hint="eastAsia" w:ascii="宋体" w:hAnsi="宋体" w:cs="宋体"/>
                <w:color w:val="auto"/>
                <w:szCs w:val="21"/>
                <w:highlight w:val="none"/>
              </w:rPr>
            </w:pPr>
          </w:p>
        </w:tc>
        <w:tc>
          <w:tcPr>
            <w:tcW w:w="1303" w:type="pct"/>
            <w:vAlign w:val="center"/>
          </w:tcPr>
          <w:p w14:paraId="0FC9CD1C">
            <w:pPr>
              <w:spacing w:line="360" w:lineRule="exact"/>
              <w:jc w:val="center"/>
              <w:rPr>
                <w:rFonts w:hint="eastAsia" w:ascii="宋体" w:hAnsi="宋体" w:cs="宋体"/>
                <w:color w:val="auto"/>
                <w:szCs w:val="21"/>
                <w:highlight w:val="none"/>
              </w:rPr>
            </w:pPr>
          </w:p>
        </w:tc>
        <w:tc>
          <w:tcPr>
            <w:tcW w:w="1223" w:type="pct"/>
            <w:vAlign w:val="center"/>
          </w:tcPr>
          <w:p w14:paraId="3902B9D9">
            <w:pPr>
              <w:spacing w:line="360" w:lineRule="exact"/>
              <w:jc w:val="center"/>
              <w:rPr>
                <w:rFonts w:hint="eastAsia" w:ascii="宋体" w:hAnsi="宋体" w:cs="宋体"/>
                <w:color w:val="auto"/>
                <w:szCs w:val="21"/>
                <w:highlight w:val="none"/>
              </w:rPr>
            </w:pPr>
          </w:p>
        </w:tc>
      </w:tr>
      <w:tr w14:paraId="482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3585F909">
            <w:pPr>
              <w:spacing w:line="360" w:lineRule="exact"/>
              <w:jc w:val="center"/>
              <w:rPr>
                <w:rFonts w:hint="eastAsia" w:ascii="宋体" w:hAnsi="宋体" w:cs="宋体"/>
                <w:color w:val="auto"/>
                <w:szCs w:val="21"/>
                <w:highlight w:val="none"/>
              </w:rPr>
            </w:pPr>
          </w:p>
        </w:tc>
        <w:tc>
          <w:tcPr>
            <w:tcW w:w="964" w:type="pct"/>
            <w:vAlign w:val="center"/>
          </w:tcPr>
          <w:p w14:paraId="67C62D95">
            <w:pPr>
              <w:spacing w:line="360" w:lineRule="exact"/>
              <w:jc w:val="center"/>
              <w:rPr>
                <w:rFonts w:hint="eastAsia" w:ascii="宋体" w:hAnsi="宋体" w:cs="宋体"/>
                <w:color w:val="auto"/>
                <w:szCs w:val="21"/>
                <w:highlight w:val="none"/>
              </w:rPr>
            </w:pPr>
          </w:p>
        </w:tc>
        <w:tc>
          <w:tcPr>
            <w:tcW w:w="1101" w:type="pct"/>
            <w:vAlign w:val="center"/>
          </w:tcPr>
          <w:p w14:paraId="31BB206D">
            <w:pPr>
              <w:spacing w:line="360" w:lineRule="exact"/>
              <w:jc w:val="center"/>
              <w:rPr>
                <w:rFonts w:hint="eastAsia" w:ascii="宋体" w:hAnsi="宋体" w:cs="宋体"/>
                <w:color w:val="auto"/>
                <w:szCs w:val="21"/>
                <w:highlight w:val="none"/>
              </w:rPr>
            </w:pPr>
          </w:p>
        </w:tc>
        <w:tc>
          <w:tcPr>
            <w:tcW w:w="1303" w:type="pct"/>
            <w:vAlign w:val="center"/>
          </w:tcPr>
          <w:p w14:paraId="6F91F607">
            <w:pPr>
              <w:spacing w:line="360" w:lineRule="exact"/>
              <w:jc w:val="center"/>
              <w:rPr>
                <w:rFonts w:hint="eastAsia" w:ascii="宋体" w:hAnsi="宋体" w:cs="宋体"/>
                <w:color w:val="auto"/>
                <w:szCs w:val="21"/>
                <w:highlight w:val="none"/>
              </w:rPr>
            </w:pPr>
          </w:p>
        </w:tc>
        <w:tc>
          <w:tcPr>
            <w:tcW w:w="1223" w:type="pct"/>
            <w:vAlign w:val="center"/>
          </w:tcPr>
          <w:p w14:paraId="20714054">
            <w:pPr>
              <w:spacing w:line="360" w:lineRule="exact"/>
              <w:jc w:val="center"/>
              <w:rPr>
                <w:rFonts w:hint="eastAsia" w:ascii="宋体" w:hAnsi="宋体" w:cs="宋体"/>
                <w:color w:val="auto"/>
                <w:szCs w:val="21"/>
                <w:highlight w:val="none"/>
              </w:rPr>
            </w:pPr>
          </w:p>
        </w:tc>
      </w:tr>
      <w:tr w14:paraId="3E62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4BAE2793">
            <w:pPr>
              <w:spacing w:line="360" w:lineRule="exact"/>
              <w:jc w:val="center"/>
              <w:rPr>
                <w:rFonts w:hint="eastAsia" w:ascii="宋体" w:hAnsi="宋体" w:cs="宋体"/>
                <w:color w:val="auto"/>
                <w:szCs w:val="21"/>
                <w:highlight w:val="none"/>
              </w:rPr>
            </w:pPr>
          </w:p>
        </w:tc>
        <w:tc>
          <w:tcPr>
            <w:tcW w:w="964" w:type="pct"/>
            <w:vAlign w:val="center"/>
          </w:tcPr>
          <w:p w14:paraId="0A846316">
            <w:pPr>
              <w:spacing w:line="360" w:lineRule="exact"/>
              <w:jc w:val="center"/>
              <w:rPr>
                <w:rFonts w:hint="eastAsia" w:ascii="宋体" w:hAnsi="宋体" w:cs="宋体"/>
                <w:color w:val="auto"/>
                <w:szCs w:val="21"/>
                <w:highlight w:val="none"/>
              </w:rPr>
            </w:pPr>
          </w:p>
        </w:tc>
        <w:tc>
          <w:tcPr>
            <w:tcW w:w="1101" w:type="pct"/>
            <w:vAlign w:val="center"/>
          </w:tcPr>
          <w:p w14:paraId="7167D99C">
            <w:pPr>
              <w:spacing w:line="360" w:lineRule="exact"/>
              <w:jc w:val="center"/>
              <w:rPr>
                <w:rFonts w:hint="eastAsia" w:ascii="宋体" w:hAnsi="宋体" w:cs="宋体"/>
                <w:color w:val="auto"/>
                <w:szCs w:val="21"/>
                <w:highlight w:val="none"/>
              </w:rPr>
            </w:pPr>
          </w:p>
        </w:tc>
        <w:tc>
          <w:tcPr>
            <w:tcW w:w="1303" w:type="pct"/>
            <w:vAlign w:val="center"/>
          </w:tcPr>
          <w:p w14:paraId="7F11CEB9">
            <w:pPr>
              <w:spacing w:line="360" w:lineRule="exact"/>
              <w:jc w:val="center"/>
              <w:rPr>
                <w:rFonts w:hint="eastAsia" w:ascii="宋体" w:hAnsi="宋体" w:cs="宋体"/>
                <w:color w:val="auto"/>
                <w:szCs w:val="21"/>
                <w:highlight w:val="none"/>
              </w:rPr>
            </w:pPr>
          </w:p>
        </w:tc>
        <w:tc>
          <w:tcPr>
            <w:tcW w:w="1223" w:type="pct"/>
            <w:vAlign w:val="center"/>
          </w:tcPr>
          <w:p w14:paraId="317ECB8D">
            <w:pPr>
              <w:spacing w:line="360" w:lineRule="exact"/>
              <w:jc w:val="center"/>
              <w:rPr>
                <w:rFonts w:hint="eastAsia" w:ascii="宋体" w:hAnsi="宋体" w:cs="宋体"/>
                <w:color w:val="auto"/>
                <w:szCs w:val="21"/>
                <w:highlight w:val="none"/>
              </w:rPr>
            </w:pPr>
          </w:p>
        </w:tc>
      </w:tr>
      <w:tr w14:paraId="63B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5921995F">
            <w:pPr>
              <w:spacing w:line="360" w:lineRule="exact"/>
              <w:jc w:val="center"/>
              <w:rPr>
                <w:rFonts w:hint="eastAsia" w:ascii="宋体" w:hAnsi="宋体" w:cs="宋体"/>
                <w:color w:val="auto"/>
                <w:szCs w:val="21"/>
                <w:highlight w:val="none"/>
              </w:rPr>
            </w:pPr>
          </w:p>
        </w:tc>
        <w:tc>
          <w:tcPr>
            <w:tcW w:w="964" w:type="pct"/>
            <w:vAlign w:val="center"/>
          </w:tcPr>
          <w:p w14:paraId="4516E5E5">
            <w:pPr>
              <w:spacing w:line="360" w:lineRule="exact"/>
              <w:jc w:val="center"/>
              <w:rPr>
                <w:rFonts w:hint="eastAsia" w:ascii="宋体" w:hAnsi="宋体" w:cs="宋体"/>
                <w:color w:val="auto"/>
                <w:szCs w:val="21"/>
                <w:highlight w:val="none"/>
              </w:rPr>
            </w:pPr>
          </w:p>
        </w:tc>
        <w:tc>
          <w:tcPr>
            <w:tcW w:w="1101" w:type="pct"/>
            <w:vAlign w:val="center"/>
          </w:tcPr>
          <w:p w14:paraId="6F24716A">
            <w:pPr>
              <w:spacing w:line="360" w:lineRule="exact"/>
              <w:jc w:val="center"/>
              <w:rPr>
                <w:rFonts w:hint="eastAsia" w:ascii="宋体" w:hAnsi="宋体" w:cs="宋体"/>
                <w:color w:val="auto"/>
                <w:szCs w:val="21"/>
                <w:highlight w:val="none"/>
              </w:rPr>
            </w:pPr>
          </w:p>
        </w:tc>
        <w:tc>
          <w:tcPr>
            <w:tcW w:w="1303" w:type="pct"/>
            <w:vAlign w:val="center"/>
          </w:tcPr>
          <w:p w14:paraId="7EA12CA9">
            <w:pPr>
              <w:spacing w:line="360" w:lineRule="exact"/>
              <w:jc w:val="center"/>
              <w:rPr>
                <w:rFonts w:hint="eastAsia" w:ascii="宋体" w:hAnsi="宋体" w:cs="宋体"/>
                <w:color w:val="auto"/>
                <w:szCs w:val="21"/>
                <w:highlight w:val="none"/>
              </w:rPr>
            </w:pPr>
          </w:p>
        </w:tc>
        <w:tc>
          <w:tcPr>
            <w:tcW w:w="1223" w:type="pct"/>
            <w:vAlign w:val="center"/>
          </w:tcPr>
          <w:p w14:paraId="4541E3A6">
            <w:pPr>
              <w:spacing w:line="360" w:lineRule="exact"/>
              <w:jc w:val="center"/>
              <w:rPr>
                <w:rFonts w:hint="eastAsia" w:ascii="宋体" w:hAnsi="宋体" w:cs="宋体"/>
                <w:color w:val="auto"/>
                <w:szCs w:val="21"/>
                <w:highlight w:val="none"/>
              </w:rPr>
            </w:pPr>
          </w:p>
        </w:tc>
      </w:tr>
      <w:tr w14:paraId="0600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vAlign w:val="center"/>
          </w:tcPr>
          <w:p w14:paraId="72094192">
            <w:pPr>
              <w:spacing w:line="360" w:lineRule="exact"/>
              <w:jc w:val="center"/>
              <w:rPr>
                <w:rFonts w:hint="eastAsia" w:ascii="宋体" w:hAnsi="宋体" w:cs="宋体"/>
                <w:color w:val="auto"/>
                <w:szCs w:val="21"/>
                <w:highlight w:val="none"/>
              </w:rPr>
            </w:pPr>
          </w:p>
        </w:tc>
        <w:tc>
          <w:tcPr>
            <w:tcW w:w="964" w:type="pct"/>
            <w:vAlign w:val="center"/>
          </w:tcPr>
          <w:p w14:paraId="1044F555">
            <w:pPr>
              <w:spacing w:line="360" w:lineRule="exact"/>
              <w:jc w:val="center"/>
              <w:rPr>
                <w:rFonts w:hint="eastAsia" w:ascii="宋体" w:hAnsi="宋体" w:cs="宋体"/>
                <w:color w:val="auto"/>
                <w:szCs w:val="21"/>
                <w:highlight w:val="none"/>
              </w:rPr>
            </w:pPr>
          </w:p>
        </w:tc>
        <w:tc>
          <w:tcPr>
            <w:tcW w:w="1101" w:type="pct"/>
            <w:vAlign w:val="center"/>
          </w:tcPr>
          <w:p w14:paraId="7085BA6C">
            <w:pPr>
              <w:spacing w:line="360" w:lineRule="exact"/>
              <w:jc w:val="center"/>
              <w:rPr>
                <w:rFonts w:hint="eastAsia" w:ascii="宋体" w:hAnsi="宋体" w:cs="宋体"/>
                <w:color w:val="auto"/>
                <w:szCs w:val="21"/>
                <w:highlight w:val="none"/>
              </w:rPr>
            </w:pPr>
          </w:p>
        </w:tc>
        <w:tc>
          <w:tcPr>
            <w:tcW w:w="1303" w:type="pct"/>
            <w:vAlign w:val="center"/>
          </w:tcPr>
          <w:p w14:paraId="142AD57C">
            <w:pPr>
              <w:spacing w:line="360" w:lineRule="exact"/>
              <w:jc w:val="center"/>
              <w:rPr>
                <w:rFonts w:hint="eastAsia" w:ascii="宋体" w:hAnsi="宋体" w:cs="宋体"/>
                <w:color w:val="auto"/>
                <w:szCs w:val="21"/>
                <w:highlight w:val="none"/>
              </w:rPr>
            </w:pPr>
          </w:p>
        </w:tc>
        <w:tc>
          <w:tcPr>
            <w:tcW w:w="1223" w:type="pct"/>
            <w:vAlign w:val="center"/>
          </w:tcPr>
          <w:p w14:paraId="5A947EBC">
            <w:pPr>
              <w:spacing w:line="360" w:lineRule="exact"/>
              <w:jc w:val="center"/>
              <w:rPr>
                <w:rFonts w:hint="eastAsia" w:ascii="宋体" w:hAnsi="宋体" w:cs="宋体"/>
                <w:color w:val="auto"/>
                <w:szCs w:val="21"/>
                <w:highlight w:val="none"/>
              </w:rPr>
            </w:pPr>
          </w:p>
        </w:tc>
      </w:tr>
    </w:tbl>
    <w:p w14:paraId="5B4D0814">
      <w:pPr>
        <w:snapToGrid w:val="0"/>
        <w:spacing w:line="440" w:lineRule="exact"/>
        <w:rPr>
          <w:rFonts w:hint="eastAsia" w:ascii="宋体" w:hAnsi="宋体" w:cs="宋体"/>
          <w:color w:val="auto"/>
          <w:szCs w:val="21"/>
          <w:highlight w:val="none"/>
        </w:rPr>
      </w:pPr>
    </w:p>
    <w:p w14:paraId="1F9544FE">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07FD1B75">
      <w:pPr>
        <w:pStyle w:val="3"/>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14:paraId="39FEB537">
      <w:pP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478042A3">
      <w:pPr>
        <w:rPr>
          <w:rFonts w:hint="eastAsia" w:ascii="宋体" w:hAnsi="宋体" w:cs="宋体"/>
          <w:color w:val="auto"/>
          <w:szCs w:val="21"/>
          <w:highlight w:val="none"/>
        </w:rPr>
      </w:pPr>
    </w:p>
    <w:p w14:paraId="5D406DE0">
      <w:pPr>
        <w:spacing w:line="400" w:lineRule="exact"/>
        <w:jc w:val="left"/>
        <w:rPr>
          <w:rFonts w:hint="eastAsia" w:ascii="宋体" w:hAnsi="宋体" w:cs="宋体"/>
          <w:color w:val="auto"/>
          <w:szCs w:val="21"/>
          <w:highlight w:val="none"/>
        </w:rPr>
      </w:pPr>
    </w:p>
    <w:p w14:paraId="68B9F817">
      <w:pPr>
        <w:pStyle w:val="72"/>
        <w:rPr>
          <w:rFonts w:hint="eastAsia" w:ascii="宋体" w:hAnsi="宋体" w:cs="宋体"/>
          <w:color w:val="auto"/>
          <w:szCs w:val="21"/>
          <w:highlight w:val="none"/>
        </w:rPr>
      </w:pPr>
    </w:p>
    <w:p w14:paraId="72175485">
      <w:pPr>
        <w:spacing w:line="588"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 xml:space="preserve"> </w:t>
      </w:r>
    </w:p>
    <w:p w14:paraId="358BECE4">
      <w:pPr>
        <w:spacing w:line="480" w:lineRule="exact"/>
        <w:rPr>
          <w:rFonts w:hint="eastAsia" w:ascii="宋体" w:hAnsi="宋体" w:cs="宋体"/>
          <w:color w:val="auto"/>
          <w:szCs w:val="21"/>
          <w:highlight w:val="none"/>
        </w:rPr>
      </w:pPr>
    </w:p>
    <w:p w14:paraId="38BD0974">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11、技术响应表格式：</w:t>
      </w:r>
    </w:p>
    <w:p w14:paraId="37A03DF7">
      <w:pPr>
        <w:adjustRightInd w:val="0"/>
        <w:snapToGrid w:val="0"/>
        <w:spacing w:line="360" w:lineRule="auto"/>
        <w:jc w:val="center"/>
        <w:rPr>
          <w:rFonts w:hint="eastAsia" w:ascii="宋体" w:hAnsi="宋体" w:cs="宋体"/>
          <w:b/>
          <w:color w:val="auto"/>
          <w:szCs w:val="21"/>
          <w:highlight w:val="none"/>
        </w:rPr>
      </w:pPr>
    </w:p>
    <w:p w14:paraId="4785E6E2">
      <w:pPr>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技术响应表</w:t>
      </w:r>
    </w:p>
    <w:tbl>
      <w:tblPr>
        <w:tblStyle w:val="31"/>
        <w:tblW w:w="4998" w:type="pct"/>
        <w:tblInd w:w="0" w:type="dxa"/>
        <w:tblLayout w:type="autofit"/>
        <w:tblCellMar>
          <w:top w:w="0" w:type="dxa"/>
          <w:left w:w="108" w:type="dxa"/>
          <w:bottom w:w="0" w:type="dxa"/>
          <w:right w:w="108" w:type="dxa"/>
        </w:tblCellMar>
      </w:tblPr>
      <w:tblGrid>
        <w:gridCol w:w="1090"/>
        <w:gridCol w:w="1655"/>
        <w:gridCol w:w="2605"/>
        <w:gridCol w:w="2603"/>
        <w:gridCol w:w="1897"/>
      </w:tblGrid>
      <w:tr w14:paraId="6E362A1D">
        <w:tblPrEx>
          <w:tblCellMar>
            <w:top w:w="0" w:type="dxa"/>
            <w:left w:w="108" w:type="dxa"/>
            <w:bottom w:w="0" w:type="dxa"/>
            <w:right w:w="108" w:type="dxa"/>
          </w:tblCellMar>
        </w:tblPrEx>
        <w:trPr>
          <w:trHeight w:val="831" w:hRule="exact"/>
        </w:trPr>
        <w:tc>
          <w:tcPr>
            <w:tcW w:w="553" w:type="pct"/>
            <w:tcBorders>
              <w:top w:val="single" w:color="auto" w:sz="6" w:space="0"/>
              <w:left w:val="single" w:color="auto" w:sz="6" w:space="0"/>
              <w:bottom w:val="single" w:color="auto" w:sz="6" w:space="0"/>
              <w:right w:val="single" w:color="auto" w:sz="6" w:space="0"/>
            </w:tcBorders>
            <w:noWrap/>
            <w:vAlign w:val="center"/>
          </w:tcPr>
          <w:p w14:paraId="5B920C7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840" w:type="pct"/>
            <w:tcBorders>
              <w:top w:val="single" w:color="auto" w:sz="6" w:space="0"/>
              <w:left w:val="single" w:color="auto" w:sz="6" w:space="0"/>
              <w:bottom w:val="single" w:color="auto" w:sz="6" w:space="0"/>
              <w:right w:val="single" w:color="auto" w:sz="6" w:space="0"/>
            </w:tcBorders>
            <w:noWrap/>
            <w:vAlign w:val="center"/>
          </w:tcPr>
          <w:p w14:paraId="164A1DC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322" w:type="pct"/>
            <w:tcBorders>
              <w:top w:val="single" w:color="auto" w:sz="6" w:space="0"/>
              <w:left w:val="single" w:color="auto" w:sz="6" w:space="0"/>
              <w:bottom w:val="single" w:color="auto" w:sz="6" w:space="0"/>
              <w:right w:val="single" w:color="auto" w:sz="6" w:space="0"/>
            </w:tcBorders>
            <w:noWrap/>
            <w:vAlign w:val="center"/>
          </w:tcPr>
          <w:p w14:paraId="6B4632A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招标文件规范要求</w:t>
            </w:r>
          </w:p>
        </w:tc>
        <w:tc>
          <w:tcPr>
            <w:tcW w:w="1321" w:type="pct"/>
            <w:tcBorders>
              <w:top w:val="single" w:color="auto" w:sz="6" w:space="0"/>
              <w:left w:val="single" w:color="auto" w:sz="6" w:space="0"/>
              <w:bottom w:val="single" w:color="auto" w:sz="6" w:space="0"/>
              <w:right w:val="single" w:color="auto" w:sz="6" w:space="0"/>
            </w:tcBorders>
            <w:noWrap/>
            <w:vAlign w:val="center"/>
          </w:tcPr>
          <w:p w14:paraId="689BC94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投标文件对应规范</w:t>
            </w:r>
          </w:p>
        </w:tc>
        <w:tc>
          <w:tcPr>
            <w:tcW w:w="962" w:type="pct"/>
            <w:tcBorders>
              <w:top w:val="single" w:color="auto" w:sz="6" w:space="0"/>
              <w:left w:val="single" w:color="auto" w:sz="6" w:space="0"/>
              <w:bottom w:val="single" w:color="auto" w:sz="6" w:space="0"/>
              <w:right w:val="single" w:color="auto" w:sz="4" w:space="0"/>
            </w:tcBorders>
            <w:noWrap/>
            <w:vAlign w:val="center"/>
          </w:tcPr>
          <w:p w14:paraId="425CDD3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偏离情况</w:t>
            </w:r>
          </w:p>
        </w:tc>
      </w:tr>
      <w:tr w14:paraId="1E95E3DF">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2B1FEA88">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70CC0034">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255AEC87">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F5DFA50">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530E2776">
            <w:pPr>
              <w:spacing w:line="360" w:lineRule="exact"/>
              <w:rPr>
                <w:rFonts w:hint="eastAsia" w:ascii="宋体" w:hAnsi="宋体" w:cs="宋体"/>
                <w:color w:val="auto"/>
                <w:szCs w:val="21"/>
                <w:highlight w:val="none"/>
              </w:rPr>
            </w:pPr>
          </w:p>
        </w:tc>
      </w:tr>
      <w:tr w14:paraId="15DDD0A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37A7C55F">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173E5A45">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35201504">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6F2E8383">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7D0B2DAD">
            <w:pPr>
              <w:spacing w:line="360" w:lineRule="exact"/>
              <w:rPr>
                <w:rFonts w:hint="eastAsia" w:ascii="宋体" w:hAnsi="宋体" w:cs="宋体"/>
                <w:color w:val="auto"/>
                <w:szCs w:val="21"/>
                <w:highlight w:val="none"/>
              </w:rPr>
            </w:pPr>
          </w:p>
        </w:tc>
      </w:tr>
      <w:tr w14:paraId="1F938659">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27BDE332">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3A67CADD">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02E9D0B1">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01E5B5AB">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380A1FBE">
            <w:pPr>
              <w:spacing w:line="360" w:lineRule="exact"/>
              <w:rPr>
                <w:rFonts w:hint="eastAsia" w:ascii="宋体" w:hAnsi="宋体" w:cs="宋体"/>
                <w:color w:val="auto"/>
                <w:szCs w:val="21"/>
                <w:highlight w:val="none"/>
              </w:rPr>
            </w:pPr>
          </w:p>
        </w:tc>
      </w:tr>
      <w:tr w14:paraId="4ADB165C">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51D912B3">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1AAAE768">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31E11D68">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43D365F9">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37E7D213">
            <w:pPr>
              <w:spacing w:line="360" w:lineRule="exact"/>
              <w:rPr>
                <w:rFonts w:hint="eastAsia" w:ascii="宋体" w:hAnsi="宋体" w:cs="宋体"/>
                <w:color w:val="auto"/>
                <w:szCs w:val="21"/>
                <w:highlight w:val="none"/>
              </w:rPr>
            </w:pPr>
          </w:p>
        </w:tc>
      </w:tr>
      <w:tr w14:paraId="4007EE26">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0E0122F3">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72CA650D">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22949C0B">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991E05F">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5A3D95EF">
            <w:pPr>
              <w:spacing w:line="360" w:lineRule="exact"/>
              <w:rPr>
                <w:rFonts w:hint="eastAsia" w:ascii="宋体" w:hAnsi="宋体" w:cs="宋体"/>
                <w:color w:val="auto"/>
                <w:szCs w:val="21"/>
                <w:highlight w:val="none"/>
              </w:rPr>
            </w:pPr>
          </w:p>
        </w:tc>
      </w:tr>
      <w:tr w14:paraId="1E62354C">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1A4A0B81">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2E5272F8">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27ACEF8C">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1FBFBB6">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7B60C110">
            <w:pPr>
              <w:spacing w:line="360" w:lineRule="exact"/>
              <w:rPr>
                <w:rFonts w:hint="eastAsia" w:ascii="宋体" w:hAnsi="宋体" w:cs="宋体"/>
                <w:color w:val="auto"/>
                <w:szCs w:val="21"/>
                <w:highlight w:val="none"/>
              </w:rPr>
            </w:pPr>
          </w:p>
        </w:tc>
      </w:tr>
      <w:tr w14:paraId="17269A4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1094C99D">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22D2A9CE">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416ED776">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6E1E4347">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3F889EC6">
            <w:pPr>
              <w:spacing w:line="360" w:lineRule="exact"/>
              <w:rPr>
                <w:rFonts w:hint="eastAsia" w:ascii="宋体" w:hAnsi="宋体" w:cs="宋体"/>
                <w:color w:val="auto"/>
                <w:szCs w:val="21"/>
                <w:highlight w:val="none"/>
              </w:rPr>
            </w:pPr>
          </w:p>
        </w:tc>
      </w:tr>
      <w:tr w14:paraId="4D963263">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7AABD5FA">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42C9EC91">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75F44C61">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6F890B7">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7FEA7A8E">
            <w:pPr>
              <w:spacing w:line="360" w:lineRule="exact"/>
              <w:rPr>
                <w:rFonts w:hint="eastAsia" w:ascii="宋体" w:hAnsi="宋体" w:cs="宋体"/>
                <w:color w:val="auto"/>
                <w:szCs w:val="21"/>
                <w:highlight w:val="none"/>
              </w:rPr>
            </w:pPr>
          </w:p>
        </w:tc>
      </w:tr>
      <w:tr w14:paraId="66F08266">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048A2184">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5B03B354">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213C99F3">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1AD54FD0">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5C79CA80">
            <w:pPr>
              <w:spacing w:line="360" w:lineRule="exact"/>
              <w:rPr>
                <w:rFonts w:hint="eastAsia" w:ascii="宋体" w:hAnsi="宋体" w:cs="宋体"/>
                <w:color w:val="auto"/>
                <w:szCs w:val="21"/>
                <w:highlight w:val="none"/>
              </w:rPr>
            </w:pPr>
          </w:p>
        </w:tc>
      </w:tr>
      <w:tr w14:paraId="7585B40C">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7FC40CCD">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24109A0D">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28A2C130">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40D3BB0E">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1C17D5FC">
            <w:pPr>
              <w:spacing w:line="360" w:lineRule="exact"/>
              <w:rPr>
                <w:rFonts w:hint="eastAsia" w:ascii="宋体" w:hAnsi="宋体" w:cs="宋体"/>
                <w:color w:val="auto"/>
                <w:szCs w:val="21"/>
                <w:highlight w:val="none"/>
              </w:rPr>
            </w:pPr>
          </w:p>
        </w:tc>
      </w:tr>
      <w:tr w14:paraId="6FAC09BE">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377FBC53">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57CBD290">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132E6DFC">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23EBE4B">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4E796EBD">
            <w:pPr>
              <w:spacing w:line="360" w:lineRule="exact"/>
              <w:rPr>
                <w:rFonts w:hint="eastAsia" w:ascii="宋体" w:hAnsi="宋体" w:cs="宋体"/>
                <w:color w:val="auto"/>
                <w:szCs w:val="21"/>
                <w:highlight w:val="none"/>
              </w:rPr>
            </w:pPr>
          </w:p>
        </w:tc>
      </w:tr>
      <w:tr w14:paraId="65885EE2">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tcPr>
          <w:p w14:paraId="2C52CD06">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tcPr>
          <w:p w14:paraId="506AC069">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tcPr>
          <w:p w14:paraId="5116A5E2">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tcPr>
          <w:p w14:paraId="5E13E359">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tcPr>
          <w:p w14:paraId="4ECF18AC">
            <w:pPr>
              <w:spacing w:line="360" w:lineRule="exact"/>
              <w:rPr>
                <w:rFonts w:hint="eastAsia" w:ascii="宋体" w:hAnsi="宋体" w:cs="宋体"/>
                <w:color w:val="auto"/>
                <w:szCs w:val="21"/>
                <w:highlight w:val="none"/>
              </w:rPr>
            </w:pPr>
          </w:p>
        </w:tc>
      </w:tr>
    </w:tbl>
    <w:p w14:paraId="5B52C4D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注：供应商应根据投标设备的性能指标、对照招标文件要求在“偏离情况”栏注明“正偏离”、“负偏离”或“无偏离”。行数可视情况自行添加。不填写视同完全响应招标文件要求。</w:t>
      </w:r>
    </w:p>
    <w:p w14:paraId="2288E922">
      <w:pPr>
        <w:snapToGrid w:val="0"/>
        <w:spacing w:line="440" w:lineRule="exact"/>
        <w:rPr>
          <w:rFonts w:hint="eastAsia" w:ascii="宋体" w:hAnsi="宋体" w:cs="宋体"/>
          <w:color w:val="auto"/>
          <w:szCs w:val="21"/>
          <w:highlight w:val="none"/>
        </w:rPr>
      </w:pPr>
    </w:p>
    <w:p w14:paraId="2BAE0C32">
      <w:pPr>
        <w:snapToGrid w:val="0"/>
        <w:spacing w:line="440" w:lineRule="exact"/>
        <w:rPr>
          <w:rFonts w:hint="eastAsia" w:ascii="宋体" w:hAnsi="宋体" w:cs="宋体"/>
          <w:color w:val="auto"/>
          <w:szCs w:val="21"/>
          <w:highlight w:val="none"/>
        </w:rPr>
      </w:pPr>
    </w:p>
    <w:p w14:paraId="1B6C08A8">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09E9FB16">
      <w:pPr>
        <w:pStyle w:val="3"/>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14:paraId="43C9F2D0">
      <w:pPr>
        <w:adjustRightInd w:val="0"/>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日</w:t>
      </w:r>
    </w:p>
    <w:p w14:paraId="2ABF75D4">
      <w:pPr>
        <w:spacing w:line="480" w:lineRule="exact"/>
        <w:rPr>
          <w:rFonts w:hint="eastAsia" w:ascii="宋体" w:hAnsi="宋体" w:cs="宋体"/>
          <w:color w:val="auto"/>
          <w:szCs w:val="21"/>
          <w:highlight w:val="none"/>
        </w:rPr>
      </w:pPr>
    </w:p>
    <w:p w14:paraId="2468157A">
      <w:pPr>
        <w:spacing w:line="200" w:lineRule="exact"/>
        <w:rPr>
          <w:rFonts w:hint="eastAsia" w:ascii="宋体" w:hAnsi="宋体" w:cs="宋体"/>
          <w:color w:val="auto"/>
          <w:szCs w:val="21"/>
          <w:highlight w:val="none"/>
        </w:rPr>
      </w:pPr>
    </w:p>
    <w:p w14:paraId="2516C4B9">
      <w:pPr>
        <w:rPr>
          <w:rFonts w:hint="eastAsia" w:ascii="宋体" w:hAnsi="宋体" w:cs="宋体"/>
          <w:color w:val="auto"/>
          <w:szCs w:val="21"/>
          <w:highlight w:val="none"/>
        </w:rPr>
      </w:pPr>
      <w:bookmarkStart w:id="175" w:name="page34"/>
      <w:bookmarkEnd w:id="175"/>
    </w:p>
    <w:sectPr>
      <w:headerReference r:id="rId9" w:type="default"/>
      <w:footerReference r:id="rId10" w:type="default"/>
      <w:pgSz w:w="11906" w:h="16838"/>
      <w:pgMar w:top="1134"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汉仪仿宋简">
    <w:altName w:val="仿宋"/>
    <w:panose1 w:val="00000000000000000000"/>
    <w:charset w:val="86"/>
    <w:family w:val="auto"/>
    <w:pitch w:val="default"/>
    <w:sig w:usb0="00000000" w:usb1="00000000" w:usb2="00000012" w:usb3="00000000" w:csb0="00040000"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1F85">
    <w:pPr>
      <w:pStyle w:val="20"/>
    </w:pPr>
  </w:p>
  <w:p w14:paraId="1B4A1F1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7E22">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E187B0">
                          <w:pPr>
                            <w:pStyle w:val="20"/>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pDeDNAQAAmgMAAA4AAABkcnMvZTJvRG9jLnhtbK1TzY7TMBC+&#10;I/EOlu80aau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2KZwYFffny//Px9&#10;+fWNLMv1OinUe6gx8d5jahzeuQH3Zr4HvEzEBxlM+iIlgnHU93zVVwyR8PSoWlVViSGOsdlB/OLx&#10;uQ8Q3wtnSDIaGnCAWVd2+ghxTJ1TUjXr7pTWeYjakh5Rb6o3N/nFNYTo2mKRxGLsNllx2A8Ttb1r&#10;z8isxy1oqMWlp0R/sChyWpjZCLOxn4xUHvzbY8QWcmcJdYSaiuHIMrdpvdJO/O3nrMdfav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JgpDeDNAQAAmgMAAA4AAAAAAAAAAQAgAAAAIgEAAGRy&#10;cy9lMm9Eb2MueG1sUEsFBgAAAAAGAAYAWQEAAGEFAAAAAA==&#10;">
              <v:fill on="f" focussize="0,0"/>
              <v:stroke on="f" weight="1.25pt"/>
              <v:imagedata o:title=""/>
              <o:lock v:ext="edit" aspectratio="f"/>
              <v:textbox inset="0mm,0mm,0mm,0mm" style="mso-fit-shape-to-text:t;">
                <w:txbxContent>
                  <w:p w14:paraId="4BE187B0">
                    <w:pPr>
                      <w:pStyle w:val="20"/>
                    </w:pPr>
                    <w:r>
                      <w:fldChar w:fldCharType="begin"/>
                    </w:r>
                    <w:r>
                      <w:instrText xml:space="preserve"> PAGE  \* MERGEFORMAT </w:instrText>
                    </w:r>
                    <w:r>
                      <w:fldChar w:fldCharType="separate"/>
                    </w:r>
                    <w:r>
                      <w:t>I</w:t>
                    </w:r>
                    <w:r>
                      <w:fldChar w:fldCharType="end"/>
                    </w:r>
                  </w:p>
                </w:txbxContent>
              </v:textbox>
            </v:shape>
          </w:pict>
        </mc:Fallback>
      </mc:AlternateContent>
    </w:r>
  </w:p>
  <w:p w14:paraId="0E9B89E9">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A464">
    <w:pPr>
      <w:pStyle w:val="20"/>
      <w:pBdr>
        <w:top w:val="single" w:color="auto" w:sz="4" w:space="0"/>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E7DF5">
                          <w:pPr>
                            <w:pStyle w:val="20"/>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pwPsUBAACQ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eDvP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i6cD7FAQAAkAMAAA4AAAAAAAAAAQAgAAAAHgEAAGRycy9lMm9Eb2MueG1s&#10;UEsFBgAAAAAGAAYAWQEAAFUFAAAAAA==&#10;">
              <v:fill on="f" focussize="0,0"/>
              <v:stroke on="f"/>
              <v:imagedata o:title=""/>
              <o:lock v:ext="edit" aspectratio="f"/>
              <v:textbox inset="0mm,0mm,0mm,0mm" style="mso-fit-shape-to-text:t;">
                <w:txbxContent>
                  <w:p w14:paraId="60BE7DF5">
                    <w:pPr>
                      <w:pStyle w:val="20"/>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r>
      <w:rPr>
        <w:rFonts w:hint="eastAsia"/>
      </w:rPr>
      <w:t>安吉口碑采购代理服务有限公司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5FDF">
    <w:pPr>
      <w:pStyle w:val="20"/>
      <w:pBdr>
        <w:top w:val="single" w:color="auto" w:sz="4" w:space="1"/>
      </w:pBdr>
      <w:tabs>
        <w:tab w:val="left" w:pos="1200"/>
      </w:tabs>
      <w:ind w:right="45"/>
      <w:rPr>
        <w:rFonts w:hint="eastAsia"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874511">
                          <w:pPr>
                            <w:pStyle w:val="2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83y3MAQAAm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bKTy4N8cI7aQO0uoE9RcDEeWuc3rlXbibz9nPfxS2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XbzfLcwBAACaAwAADgAAAAAAAAABACAAAAAiAQAAZHJz&#10;L2Uyb0RvYy54bWxQSwUGAAAAAAYABgBZAQAAYAUAAAAA&#10;">
              <v:fill on="f" focussize="0,0"/>
              <v:stroke on="f" weight="1.25pt"/>
              <v:imagedata o:title=""/>
              <o:lock v:ext="edit" aspectratio="f"/>
              <v:textbox inset="0mm,0mm,0mm,0mm" style="mso-fit-shape-to-text:t;">
                <w:txbxContent>
                  <w:p w14:paraId="5C874511">
                    <w:pPr>
                      <w:pStyle w:val="2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ascii="宋体" w:hAnsi="宋体" w:cs="宋体"/>
      </w:rPr>
      <w:t>安吉口碑采购代理服务有限公司</w:t>
    </w:r>
  </w:p>
  <w:p w14:paraId="7C42AA46">
    <w:pPr>
      <w:pStyle w:val="20"/>
    </w:pPr>
  </w:p>
  <w:p w14:paraId="49D3183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B4CD">
    <w:pPr>
      <w:pStyle w:val="21"/>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C3C6">
    <w:pPr>
      <w:pStyle w:val="21"/>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A194">
    <w:pPr>
      <w:pStyle w:val="3"/>
      <w:spacing w:line="560" w:lineRule="exact"/>
      <w:ind w:left="7920" w:hanging="7920" w:hangingChars="4400"/>
      <w:jc w:val="left"/>
    </w:pPr>
    <w:r>
      <w:rPr>
        <w:rFonts w:hint="eastAsia"/>
        <w:sz w:val="18"/>
        <w:szCs w:val="18"/>
        <w:lang w:eastAsia="zh-CN"/>
      </w:rPr>
      <w:t>2025年第六届浙江省户外运动大会赛事服务项目（二次）</w:t>
    </w:r>
    <w:r>
      <w:rPr>
        <w:rFonts w:hint="eastAsia"/>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7992">
    <w:pPr>
      <w:pStyle w:val="21"/>
      <w:pBdr>
        <w:bottom w:val="none" w:color="auto" w:sz="0" w:space="0"/>
      </w:pBdr>
      <w:jc w:val="both"/>
    </w:pPr>
  </w:p>
  <w:p w14:paraId="0E38F522">
    <w:pPr>
      <w:pStyle w:val="21"/>
      <w:pBdr>
        <w:bottom w:val="thinThickSmallGap" w:color="auto" w:sz="12" w:space="0"/>
      </w:pBdr>
      <w:jc w:val="left"/>
      <w:rPr>
        <w:sz w:val="16"/>
        <w:szCs w:val="16"/>
      </w:rPr>
    </w:pPr>
    <w:r>
      <w:rPr>
        <w:rFonts w:hint="eastAsia"/>
        <w:sz w:val="16"/>
        <w:szCs w:val="16"/>
        <w:lang w:eastAsia="zh-CN"/>
      </w:rPr>
      <w:t>2025年第六届浙江省户外运动大会赛事服务项目（二次）</w:t>
    </w:r>
    <w:r>
      <w:rPr>
        <w:rFonts w:hint="eastAsia"/>
        <w:sz w:val="16"/>
        <w:szCs w:val="16"/>
        <w:lang w:val="en-US" w:eastAsia="zh-CN"/>
      </w:rPr>
      <w:t xml:space="preserve"> </w:t>
    </w:r>
    <w:r>
      <w:rPr>
        <w:rFonts w:hint="eastAsia"/>
        <w:lang w:val="en-US" w:eastAsia="zh-CN"/>
      </w:rPr>
      <w:t xml:space="preserve">                                               </w:t>
    </w:r>
    <w:r>
      <w:rPr>
        <w:rFonts w:hint="eastAsia"/>
        <w:sz w:val="16"/>
        <w:szCs w:val="16"/>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8D37B"/>
    <w:multiLevelType w:val="singleLevel"/>
    <w:tmpl w:val="B978D37B"/>
    <w:lvl w:ilvl="0" w:tentative="0">
      <w:start w:val="1"/>
      <w:numFmt w:val="decimal"/>
      <w:lvlText w:val="(%1)"/>
      <w:lvlJc w:val="left"/>
      <w:pPr>
        <w:ind w:left="635" w:hanging="425"/>
      </w:pPr>
      <w:rPr>
        <w:rFonts w:hint="default"/>
      </w:rPr>
    </w:lvl>
  </w:abstractNum>
  <w:abstractNum w:abstractNumId="1">
    <w:nsid w:val="B9D75C3B"/>
    <w:multiLevelType w:val="singleLevel"/>
    <w:tmpl w:val="B9D75C3B"/>
    <w:lvl w:ilvl="0" w:tentative="0">
      <w:start w:val="1"/>
      <w:numFmt w:val="chineseCounting"/>
      <w:suff w:val="nothing"/>
      <w:lvlText w:val="%1、"/>
      <w:lvlJc w:val="left"/>
      <w:rPr>
        <w:rFonts w:hint="eastAsia"/>
      </w:rPr>
    </w:lvl>
  </w:abstractNum>
  <w:abstractNum w:abstractNumId="2">
    <w:nsid w:val="DA26C505"/>
    <w:multiLevelType w:val="singleLevel"/>
    <w:tmpl w:val="DA26C505"/>
    <w:lvl w:ilvl="0" w:tentative="0">
      <w:start w:val="2"/>
      <w:numFmt w:val="chineseCounting"/>
      <w:suff w:val="nothing"/>
      <w:lvlText w:val="（%1）"/>
      <w:lvlJc w:val="left"/>
      <w:rPr>
        <w:rFonts w:hint="eastAsia"/>
      </w:rPr>
    </w:lvl>
  </w:abstractNum>
  <w:abstractNum w:abstractNumId="3">
    <w:nsid w:val="F8594752"/>
    <w:multiLevelType w:val="singleLevel"/>
    <w:tmpl w:val="F8594752"/>
    <w:lvl w:ilvl="0" w:tentative="0">
      <w:start w:val="1"/>
      <w:numFmt w:val="decimal"/>
      <w:lvlText w:val="(%1)"/>
      <w:lvlJc w:val="left"/>
      <w:pPr>
        <w:ind w:left="635" w:hanging="425"/>
      </w:pPr>
      <w:rPr>
        <w:rFonts w:hint="default"/>
      </w:rPr>
    </w:lvl>
  </w:abstractNum>
  <w:abstractNum w:abstractNumId="4">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5">
    <w:nsid w:val="052B63A3"/>
    <w:multiLevelType w:val="multilevel"/>
    <w:tmpl w:val="052B63A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A3E0D83"/>
    <w:multiLevelType w:val="multilevel"/>
    <w:tmpl w:val="0A3E0D83"/>
    <w:lvl w:ilvl="0" w:tentative="0">
      <w:start w:val="1"/>
      <w:numFmt w:val="decimal"/>
      <w:lvlText w:val="%1)"/>
      <w:lvlJc w:val="left"/>
      <w:pPr>
        <w:ind w:left="650" w:hanging="440"/>
      </w:p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7">
    <w:nsid w:val="183D0BFE"/>
    <w:multiLevelType w:val="multilevel"/>
    <w:tmpl w:val="183D0BFE"/>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9382117"/>
    <w:multiLevelType w:val="multilevel"/>
    <w:tmpl w:val="19382117"/>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E351426"/>
    <w:multiLevelType w:val="multilevel"/>
    <w:tmpl w:val="1E351426"/>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22EA58A6"/>
    <w:multiLevelType w:val="singleLevel"/>
    <w:tmpl w:val="22EA58A6"/>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1">
    <w:nsid w:val="2BFA4500"/>
    <w:multiLevelType w:val="multilevel"/>
    <w:tmpl w:val="2BFA450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2C25C7F"/>
    <w:multiLevelType w:val="multilevel"/>
    <w:tmpl w:val="42C25C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2F4336B"/>
    <w:multiLevelType w:val="singleLevel"/>
    <w:tmpl w:val="42F4336B"/>
    <w:lvl w:ilvl="0" w:tentative="0">
      <w:start w:val="1"/>
      <w:numFmt w:val="decimal"/>
      <w:suff w:val="nothing"/>
      <w:lvlText w:val="%1、"/>
      <w:lvlJc w:val="left"/>
    </w:lvl>
  </w:abstractNum>
  <w:abstractNum w:abstractNumId="14">
    <w:nsid w:val="43CD602F"/>
    <w:multiLevelType w:val="multilevel"/>
    <w:tmpl w:val="43CD6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C5A609F"/>
    <w:multiLevelType w:val="multilevel"/>
    <w:tmpl w:val="7C5A609F"/>
    <w:lvl w:ilvl="0" w:tentative="0">
      <w:start w:val="1"/>
      <w:numFmt w:val="decimal"/>
      <w:lvlText w:val="%1)"/>
      <w:lvlJc w:val="left"/>
      <w:pPr>
        <w:ind w:left="650" w:hanging="440"/>
      </w:p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num w:numId="1">
    <w:abstractNumId w:val="4"/>
  </w:num>
  <w:num w:numId="2">
    <w:abstractNumId w:val="10"/>
  </w:num>
  <w:num w:numId="3">
    <w:abstractNumId w:val="1"/>
  </w:num>
  <w:num w:numId="4">
    <w:abstractNumId w:val="3"/>
  </w:num>
  <w:num w:numId="5">
    <w:abstractNumId w:val="12"/>
  </w:num>
  <w:num w:numId="6">
    <w:abstractNumId w:val="14"/>
  </w:num>
  <w:num w:numId="7">
    <w:abstractNumId w:val="5"/>
  </w:num>
  <w:num w:numId="8">
    <w:abstractNumId w:val="11"/>
  </w:num>
  <w:num w:numId="9">
    <w:abstractNumId w:val="6"/>
  </w:num>
  <w:num w:numId="10">
    <w:abstractNumId w:val="15"/>
  </w:num>
  <w:num w:numId="11">
    <w:abstractNumId w:val="9"/>
  </w:num>
  <w:num w:numId="12">
    <w:abstractNumId w:val="8"/>
  </w:num>
  <w:num w:numId="13">
    <w:abstractNumId w:val="7"/>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YjBkMmNmZmY3ZTliYTg3ODIyODdkMDE1ZjE2YWUifQ=="/>
  </w:docVars>
  <w:rsids>
    <w:rsidRoot w:val="00AA54CE"/>
    <w:rsid w:val="00001545"/>
    <w:rsid w:val="000015B1"/>
    <w:rsid w:val="00002F4E"/>
    <w:rsid w:val="000033AF"/>
    <w:rsid w:val="00003CEB"/>
    <w:rsid w:val="0000616C"/>
    <w:rsid w:val="000100F9"/>
    <w:rsid w:val="00011A74"/>
    <w:rsid w:val="00013422"/>
    <w:rsid w:val="00015C38"/>
    <w:rsid w:val="0001673C"/>
    <w:rsid w:val="00016D2A"/>
    <w:rsid w:val="000203E6"/>
    <w:rsid w:val="00025313"/>
    <w:rsid w:val="000263C6"/>
    <w:rsid w:val="00026C9E"/>
    <w:rsid w:val="00031C8F"/>
    <w:rsid w:val="000430C1"/>
    <w:rsid w:val="00044981"/>
    <w:rsid w:val="0005129F"/>
    <w:rsid w:val="00060181"/>
    <w:rsid w:val="00060724"/>
    <w:rsid w:val="00061B2F"/>
    <w:rsid w:val="00063361"/>
    <w:rsid w:val="000634EA"/>
    <w:rsid w:val="0006552A"/>
    <w:rsid w:val="000744A3"/>
    <w:rsid w:val="00074B7C"/>
    <w:rsid w:val="0008056D"/>
    <w:rsid w:val="000825BF"/>
    <w:rsid w:val="00092509"/>
    <w:rsid w:val="000969AD"/>
    <w:rsid w:val="00096AC5"/>
    <w:rsid w:val="00096CCD"/>
    <w:rsid w:val="00096D39"/>
    <w:rsid w:val="000A140A"/>
    <w:rsid w:val="000A27F1"/>
    <w:rsid w:val="000A3461"/>
    <w:rsid w:val="000A576C"/>
    <w:rsid w:val="000A6DFE"/>
    <w:rsid w:val="000A7840"/>
    <w:rsid w:val="000B1C3F"/>
    <w:rsid w:val="000B7070"/>
    <w:rsid w:val="000B76D4"/>
    <w:rsid w:val="000C1188"/>
    <w:rsid w:val="000C45BE"/>
    <w:rsid w:val="000C51F3"/>
    <w:rsid w:val="000C6416"/>
    <w:rsid w:val="000E1F65"/>
    <w:rsid w:val="000E2EAD"/>
    <w:rsid w:val="000E46C1"/>
    <w:rsid w:val="000E5BCD"/>
    <w:rsid w:val="000E7414"/>
    <w:rsid w:val="000F6217"/>
    <w:rsid w:val="00104472"/>
    <w:rsid w:val="001107D6"/>
    <w:rsid w:val="001121D9"/>
    <w:rsid w:val="00113774"/>
    <w:rsid w:val="001140D1"/>
    <w:rsid w:val="0011471D"/>
    <w:rsid w:val="001157D0"/>
    <w:rsid w:val="00117E99"/>
    <w:rsid w:val="00127696"/>
    <w:rsid w:val="00127B96"/>
    <w:rsid w:val="00132F04"/>
    <w:rsid w:val="001336C1"/>
    <w:rsid w:val="001339B3"/>
    <w:rsid w:val="00133BB2"/>
    <w:rsid w:val="001346E8"/>
    <w:rsid w:val="00135BA9"/>
    <w:rsid w:val="00137D9D"/>
    <w:rsid w:val="00140A64"/>
    <w:rsid w:val="00142442"/>
    <w:rsid w:val="00142D03"/>
    <w:rsid w:val="00144E44"/>
    <w:rsid w:val="00147224"/>
    <w:rsid w:val="00152697"/>
    <w:rsid w:val="00152F68"/>
    <w:rsid w:val="001545BE"/>
    <w:rsid w:val="00155185"/>
    <w:rsid w:val="00161EFF"/>
    <w:rsid w:val="00162189"/>
    <w:rsid w:val="001621EA"/>
    <w:rsid w:val="001710A5"/>
    <w:rsid w:val="00174BD5"/>
    <w:rsid w:val="00175E3E"/>
    <w:rsid w:val="0017689A"/>
    <w:rsid w:val="00180C61"/>
    <w:rsid w:val="00190C34"/>
    <w:rsid w:val="00193B08"/>
    <w:rsid w:val="00193D58"/>
    <w:rsid w:val="00196C69"/>
    <w:rsid w:val="001A0890"/>
    <w:rsid w:val="001A0BA2"/>
    <w:rsid w:val="001A120D"/>
    <w:rsid w:val="001A16A6"/>
    <w:rsid w:val="001A4783"/>
    <w:rsid w:val="001A632F"/>
    <w:rsid w:val="001A6D98"/>
    <w:rsid w:val="001A7226"/>
    <w:rsid w:val="001B6298"/>
    <w:rsid w:val="001B7314"/>
    <w:rsid w:val="001B7AF2"/>
    <w:rsid w:val="001C114D"/>
    <w:rsid w:val="001D5C43"/>
    <w:rsid w:val="001D7A90"/>
    <w:rsid w:val="001E0026"/>
    <w:rsid w:val="001E2308"/>
    <w:rsid w:val="001E52B2"/>
    <w:rsid w:val="001E56C7"/>
    <w:rsid w:val="001F0ADD"/>
    <w:rsid w:val="001F3A4E"/>
    <w:rsid w:val="0020156D"/>
    <w:rsid w:val="00202902"/>
    <w:rsid w:val="002102AE"/>
    <w:rsid w:val="0021171D"/>
    <w:rsid w:val="0021574D"/>
    <w:rsid w:val="002212F1"/>
    <w:rsid w:val="00225315"/>
    <w:rsid w:val="00230930"/>
    <w:rsid w:val="00230B08"/>
    <w:rsid w:val="00237E5D"/>
    <w:rsid w:val="002426E8"/>
    <w:rsid w:val="002468BF"/>
    <w:rsid w:val="00250FCF"/>
    <w:rsid w:val="002516BA"/>
    <w:rsid w:val="00252F20"/>
    <w:rsid w:val="002569B4"/>
    <w:rsid w:val="00256BC4"/>
    <w:rsid w:val="00257688"/>
    <w:rsid w:val="00257780"/>
    <w:rsid w:val="00263D6B"/>
    <w:rsid w:val="00267599"/>
    <w:rsid w:val="00267FC8"/>
    <w:rsid w:val="002712CE"/>
    <w:rsid w:val="002727BB"/>
    <w:rsid w:val="00275614"/>
    <w:rsid w:val="00282AD0"/>
    <w:rsid w:val="00283054"/>
    <w:rsid w:val="00283CC9"/>
    <w:rsid w:val="00286FCD"/>
    <w:rsid w:val="00290DA2"/>
    <w:rsid w:val="002A2C49"/>
    <w:rsid w:val="002A4780"/>
    <w:rsid w:val="002B00A2"/>
    <w:rsid w:val="002B06A4"/>
    <w:rsid w:val="002B1CCA"/>
    <w:rsid w:val="002B27C0"/>
    <w:rsid w:val="002B34C5"/>
    <w:rsid w:val="002B38D6"/>
    <w:rsid w:val="002B4D55"/>
    <w:rsid w:val="002B61DD"/>
    <w:rsid w:val="002B6923"/>
    <w:rsid w:val="002C4ED1"/>
    <w:rsid w:val="002C6453"/>
    <w:rsid w:val="002C6B10"/>
    <w:rsid w:val="002C7FA1"/>
    <w:rsid w:val="002D0114"/>
    <w:rsid w:val="002D3E48"/>
    <w:rsid w:val="002D764D"/>
    <w:rsid w:val="002E0F1B"/>
    <w:rsid w:val="002E4C8C"/>
    <w:rsid w:val="002E5BAA"/>
    <w:rsid w:val="00300499"/>
    <w:rsid w:val="00301B69"/>
    <w:rsid w:val="003041B2"/>
    <w:rsid w:val="003047E8"/>
    <w:rsid w:val="0030762C"/>
    <w:rsid w:val="00311BB8"/>
    <w:rsid w:val="0032052F"/>
    <w:rsid w:val="003238DB"/>
    <w:rsid w:val="00330226"/>
    <w:rsid w:val="00331C5C"/>
    <w:rsid w:val="00332FB2"/>
    <w:rsid w:val="00336C47"/>
    <w:rsid w:val="00336C75"/>
    <w:rsid w:val="00341E07"/>
    <w:rsid w:val="00344436"/>
    <w:rsid w:val="00346EA7"/>
    <w:rsid w:val="00350AD6"/>
    <w:rsid w:val="00350C22"/>
    <w:rsid w:val="00350CC9"/>
    <w:rsid w:val="0035105C"/>
    <w:rsid w:val="003544B2"/>
    <w:rsid w:val="00354BED"/>
    <w:rsid w:val="00362D55"/>
    <w:rsid w:val="003636BC"/>
    <w:rsid w:val="00364250"/>
    <w:rsid w:val="00365FE9"/>
    <w:rsid w:val="00374E44"/>
    <w:rsid w:val="00376E0A"/>
    <w:rsid w:val="00377D4F"/>
    <w:rsid w:val="00383688"/>
    <w:rsid w:val="00385992"/>
    <w:rsid w:val="00385E22"/>
    <w:rsid w:val="00392D05"/>
    <w:rsid w:val="00395B28"/>
    <w:rsid w:val="00397C80"/>
    <w:rsid w:val="003A2917"/>
    <w:rsid w:val="003A4BBF"/>
    <w:rsid w:val="003A4FF0"/>
    <w:rsid w:val="003B185A"/>
    <w:rsid w:val="003B21E1"/>
    <w:rsid w:val="003B2678"/>
    <w:rsid w:val="003B4062"/>
    <w:rsid w:val="003B4BF1"/>
    <w:rsid w:val="003B67C3"/>
    <w:rsid w:val="003C0175"/>
    <w:rsid w:val="003C206A"/>
    <w:rsid w:val="003D1492"/>
    <w:rsid w:val="003D1637"/>
    <w:rsid w:val="003E1A6B"/>
    <w:rsid w:val="003E386D"/>
    <w:rsid w:val="003E485C"/>
    <w:rsid w:val="003E4D2E"/>
    <w:rsid w:val="003F3622"/>
    <w:rsid w:val="003F364D"/>
    <w:rsid w:val="003F3A25"/>
    <w:rsid w:val="003F44B7"/>
    <w:rsid w:val="003F5A10"/>
    <w:rsid w:val="004017B7"/>
    <w:rsid w:val="00407BBF"/>
    <w:rsid w:val="00410D6E"/>
    <w:rsid w:val="00413721"/>
    <w:rsid w:val="004152CB"/>
    <w:rsid w:val="00417139"/>
    <w:rsid w:val="00417282"/>
    <w:rsid w:val="00417D9E"/>
    <w:rsid w:val="00422536"/>
    <w:rsid w:val="00422EC8"/>
    <w:rsid w:val="00423C6D"/>
    <w:rsid w:val="00426915"/>
    <w:rsid w:val="00426D29"/>
    <w:rsid w:val="00430635"/>
    <w:rsid w:val="0043390D"/>
    <w:rsid w:val="00435FA3"/>
    <w:rsid w:val="00441752"/>
    <w:rsid w:val="004417EB"/>
    <w:rsid w:val="00444638"/>
    <w:rsid w:val="00453EE0"/>
    <w:rsid w:val="00456454"/>
    <w:rsid w:val="004608BE"/>
    <w:rsid w:val="004610AF"/>
    <w:rsid w:val="0046519A"/>
    <w:rsid w:val="0046723F"/>
    <w:rsid w:val="00472E0F"/>
    <w:rsid w:val="00473788"/>
    <w:rsid w:val="004805C7"/>
    <w:rsid w:val="0048131E"/>
    <w:rsid w:val="00490014"/>
    <w:rsid w:val="004901EC"/>
    <w:rsid w:val="00493D5F"/>
    <w:rsid w:val="004956AC"/>
    <w:rsid w:val="0049587E"/>
    <w:rsid w:val="004A3F5B"/>
    <w:rsid w:val="004A7105"/>
    <w:rsid w:val="004B2A65"/>
    <w:rsid w:val="004B3130"/>
    <w:rsid w:val="004B5089"/>
    <w:rsid w:val="004B6B09"/>
    <w:rsid w:val="004B6EC5"/>
    <w:rsid w:val="004B7448"/>
    <w:rsid w:val="004C0B20"/>
    <w:rsid w:val="004C10B7"/>
    <w:rsid w:val="004C1B99"/>
    <w:rsid w:val="004C4B3A"/>
    <w:rsid w:val="004C675F"/>
    <w:rsid w:val="004D208B"/>
    <w:rsid w:val="004E32ED"/>
    <w:rsid w:val="004E7A34"/>
    <w:rsid w:val="004F1842"/>
    <w:rsid w:val="004F6F57"/>
    <w:rsid w:val="00503C4F"/>
    <w:rsid w:val="005042B3"/>
    <w:rsid w:val="00504D39"/>
    <w:rsid w:val="00510C42"/>
    <w:rsid w:val="00515618"/>
    <w:rsid w:val="00517DD9"/>
    <w:rsid w:val="00521FE2"/>
    <w:rsid w:val="005250F8"/>
    <w:rsid w:val="00525F6C"/>
    <w:rsid w:val="00526689"/>
    <w:rsid w:val="005320A2"/>
    <w:rsid w:val="005516E2"/>
    <w:rsid w:val="00554FBD"/>
    <w:rsid w:val="005553D7"/>
    <w:rsid w:val="00560A9E"/>
    <w:rsid w:val="005738FE"/>
    <w:rsid w:val="00574712"/>
    <w:rsid w:val="00575126"/>
    <w:rsid w:val="00580752"/>
    <w:rsid w:val="00581654"/>
    <w:rsid w:val="005818CE"/>
    <w:rsid w:val="00582391"/>
    <w:rsid w:val="00585EB4"/>
    <w:rsid w:val="005867EC"/>
    <w:rsid w:val="00587B4E"/>
    <w:rsid w:val="00590E6C"/>
    <w:rsid w:val="00596383"/>
    <w:rsid w:val="005A4852"/>
    <w:rsid w:val="005A4890"/>
    <w:rsid w:val="005A6713"/>
    <w:rsid w:val="005B1079"/>
    <w:rsid w:val="005B1A69"/>
    <w:rsid w:val="005B2167"/>
    <w:rsid w:val="005B3439"/>
    <w:rsid w:val="005B3A1D"/>
    <w:rsid w:val="005C44D7"/>
    <w:rsid w:val="005C5604"/>
    <w:rsid w:val="005E0B4C"/>
    <w:rsid w:val="005E15EA"/>
    <w:rsid w:val="005E1E59"/>
    <w:rsid w:val="005E5401"/>
    <w:rsid w:val="005E6097"/>
    <w:rsid w:val="005E67B8"/>
    <w:rsid w:val="005F3B97"/>
    <w:rsid w:val="005F3D6B"/>
    <w:rsid w:val="005F4579"/>
    <w:rsid w:val="005F5E34"/>
    <w:rsid w:val="005F62E8"/>
    <w:rsid w:val="00606BCF"/>
    <w:rsid w:val="00611E27"/>
    <w:rsid w:val="006131A8"/>
    <w:rsid w:val="0061633E"/>
    <w:rsid w:val="0061678C"/>
    <w:rsid w:val="006175A7"/>
    <w:rsid w:val="00626D27"/>
    <w:rsid w:val="00631BD9"/>
    <w:rsid w:val="00635A15"/>
    <w:rsid w:val="00636355"/>
    <w:rsid w:val="00636AC1"/>
    <w:rsid w:val="00646C8F"/>
    <w:rsid w:val="00646F74"/>
    <w:rsid w:val="006526F1"/>
    <w:rsid w:val="00654734"/>
    <w:rsid w:val="00657387"/>
    <w:rsid w:val="006602FC"/>
    <w:rsid w:val="00662EB6"/>
    <w:rsid w:val="0066698A"/>
    <w:rsid w:val="00670A36"/>
    <w:rsid w:val="00670F75"/>
    <w:rsid w:val="00671913"/>
    <w:rsid w:val="00671DFD"/>
    <w:rsid w:val="00674505"/>
    <w:rsid w:val="00681063"/>
    <w:rsid w:val="00683E5C"/>
    <w:rsid w:val="00684811"/>
    <w:rsid w:val="006910B6"/>
    <w:rsid w:val="00693DA3"/>
    <w:rsid w:val="006A36E7"/>
    <w:rsid w:val="006A3AAD"/>
    <w:rsid w:val="006B041D"/>
    <w:rsid w:val="006B46C1"/>
    <w:rsid w:val="006B53C9"/>
    <w:rsid w:val="006B6F08"/>
    <w:rsid w:val="006B7768"/>
    <w:rsid w:val="006C4736"/>
    <w:rsid w:val="006D38DA"/>
    <w:rsid w:val="006D7950"/>
    <w:rsid w:val="006E0713"/>
    <w:rsid w:val="006E2AF2"/>
    <w:rsid w:val="006E3DDA"/>
    <w:rsid w:val="006F3FF9"/>
    <w:rsid w:val="006F60A2"/>
    <w:rsid w:val="006F72FD"/>
    <w:rsid w:val="006F7936"/>
    <w:rsid w:val="00700B4B"/>
    <w:rsid w:val="00705057"/>
    <w:rsid w:val="0070649C"/>
    <w:rsid w:val="0070661F"/>
    <w:rsid w:val="00706B0B"/>
    <w:rsid w:val="00706FBB"/>
    <w:rsid w:val="007077A2"/>
    <w:rsid w:val="00707D9E"/>
    <w:rsid w:val="00711017"/>
    <w:rsid w:val="00714646"/>
    <w:rsid w:val="0071538E"/>
    <w:rsid w:val="00723984"/>
    <w:rsid w:val="00725414"/>
    <w:rsid w:val="00725421"/>
    <w:rsid w:val="007347BF"/>
    <w:rsid w:val="00735EFC"/>
    <w:rsid w:val="00736FCC"/>
    <w:rsid w:val="00742614"/>
    <w:rsid w:val="00744898"/>
    <w:rsid w:val="007450FB"/>
    <w:rsid w:val="00746DCE"/>
    <w:rsid w:val="00747EDD"/>
    <w:rsid w:val="00750C31"/>
    <w:rsid w:val="007516CB"/>
    <w:rsid w:val="00751D64"/>
    <w:rsid w:val="00756BAD"/>
    <w:rsid w:val="0076514E"/>
    <w:rsid w:val="0077056F"/>
    <w:rsid w:val="00775766"/>
    <w:rsid w:val="00776E29"/>
    <w:rsid w:val="00785338"/>
    <w:rsid w:val="00790EFD"/>
    <w:rsid w:val="00791C18"/>
    <w:rsid w:val="007924CE"/>
    <w:rsid w:val="007978F7"/>
    <w:rsid w:val="007A611B"/>
    <w:rsid w:val="007A6D46"/>
    <w:rsid w:val="007A6E22"/>
    <w:rsid w:val="007B18BC"/>
    <w:rsid w:val="007B420E"/>
    <w:rsid w:val="007C2601"/>
    <w:rsid w:val="007C2BA0"/>
    <w:rsid w:val="007D1B74"/>
    <w:rsid w:val="007D1F6A"/>
    <w:rsid w:val="007D48D6"/>
    <w:rsid w:val="007D4EC1"/>
    <w:rsid w:val="007D5803"/>
    <w:rsid w:val="007D7B5A"/>
    <w:rsid w:val="007E23D6"/>
    <w:rsid w:val="007E30A3"/>
    <w:rsid w:val="007E75E2"/>
    <w:rsid w:val="007F0BEB"/>
    <w:rsid w:val="007F1929"/>
    <w:rsid w:val="007F4916"/>
    <w:rsid w:val="008002B6"/>
    <w:rsid w:val="008023DE"/>
    <w:rsid w:val="0080767D"/>
    <w:rsid w:val="0081050A"/>
    <w:rsid w:val="00812F6B"/>
    <w:rsid w:val="00814795"/>
    <w:rsid w:val="00816A05"/>
    <w:rsid w:val="00816FFB"/>
    <w:rsid w:val="0082007A"/>
    <w:rsid w:val="00821618"/>
    <w:rsid w:val="00822CF6"/>
    <w:rsid w:val="00824BD6"/>
    <w:rsid w:val="00827DA5"/>
    <w:rsid w:val="00833532"/>
    <w:rsid w:val="00840B7F"/>
    <w:rsid w:val="008453B6"/>
    <w:rsid w:val="008454DC"/>
    <w:rsid w:val="008530A8"/>
    <w:rsid w:val="008541D0"/>
    <w:rsid w:val="008612AA"/>
    <w:rsid w:val="00864E5F"/>
    <w:rsid w:val="00870AD4"/>
    <w:rsid w:val="00870FF1"/>
    <w:rsid w:val="0088178F"/>
    <w:rsid w:val="00882EC8"/>
    <w:rsid w:val="00885D89"/>
    <w:rsid w:val="00886D68"/>
    <w:rsid w:val="00887A11"/>
    <w:rsid w:val="008954DE"/>
    <w:rsid w:val="008969B5"/>
    <w:rsid w:val="008A1A1E"/>
    <w:rsid w:val="008A22DC"/>
    <w:rsid w:val="008A45EE"/>
    <w:rsid w:val="008A7BFD"/>
    <w:rsid w:val="008B1273"/>
    <w:rsid w:val="008B73F8"/>
    <w:rsid w:val="008D304C"/>
    <w:rsid w:val="008E0C60"/>
    <w:rsid w:val="008E1502"/>
    <w:rsid w:val="008E1815"/>
    <w:rsid w:val="008E2F5A"/>
    <w:rsid w:val="008E55BC"/>
    <w:rsid w:val="008E7179"/>
    <w:rsid w:val="008F094C"/>
    <w:rsid w:val="008F120B"/>
    <w:rsid w:val="008F255A"/>
    <w:rsid w:val="008F2B5D"/>
    <w:rsid w:val="008F4C62"/>
    <w:rsid w:val="008F6679"/>
    <w:rsid w:val="0090208E"/>
    <w:rsid w:val="0090419E"/>
    <w:rsid w:val="00904BAB"/>
    <w:rsid w:val="00905448"/>
    <w:rsid w:val="00911EDC"/>
    <w:rsid w:val="0091414E"/>
    <w:rsid w:val="00915593"/>
    <w:rsid w:val="009157C7"/>
    <w:rsid w:val="009310AD"/>
    <w:rsid w:val="00931790"/>
    <w:rsid w:val="00934602"/>
    <w:rsid w:val="0093788D"/>
    <w:rsid w:val="00940037"/>
    <w:rsid w:val="00942DE2"/>
    <w:rsid w:val="00943333"/>
    <w:rsid w:val="00945657"/>
    <w:rsid w:val="00945755"/>
    <w:rsid w:val="00952222"/>
    <w:rsid w:val="009531C5"/>
    <w:rsid w:val="00961653"/>
    <w:rsid w:val="00966601"/>
    <w:rsid w:val="0096733A"/>
    <w:rsid w:val="009737D1"/>
    <w:rsid w:val="0098327C"/>
    <w:rsid w:val="00985EAF"/>
    <w:rsid w:val="0098605B"/>
    <w:rsid w:val="009877CA"/>
    <w:rsid w:val="00992AAE"/>
    <w:rsid w:val="0099610C"/>
    <w:rsid w:val="009A0015"/>
    <w:rsid w:val="009A2FEF"/>
    <w:rsid w:val="009B1682"/>
    <w:rsid w:val="009B2CF5"/>
    <w:rsid w:val="009B5FC5"/>
    <w:rsid w:val="009C59C7"/>
    <w:rsid w:val="009C5B1E"/>
    <w:rsid w:val="009C6A84"/>
    <w:rsid w:val="009D2944"/>
    <w:rsid w:val="009D75A0"/>
    <w:rsid w:val="009E04F9"/>
    <w:rsid w:val="009E32ED"/>
    <w:rsid w:val="009E4B97"/>
    <w:rsid w:val="009E6357"/>
    <w:rsid w:val="009F44F2"/>
    <w:rsid w:val="00A11EEF"/>
    <w:rsid w:val="00A15453"/>
    <w:rsid w:val="00A168F4"/>
    <w:rsid w:val="00A2019F"/>
    <w:rsid w:val="00A244EB"/>
    <w:rsid w:val="00A2569D"/>
    <w:rsid w:val="00A26BA0"/>
    <w:rsid w:val="00A27ED5"/>
    <w:rsid w:val="00A30DB6"/>
    <w:rsid w:val="00A336A0"/>
    <w:rsid w:val="00A41FD1"/>
    <w:rsid w:val="00A44C7B"/>
    <w:rsid w:val="00A4651F"/>
    <w:rsid w:val="00A468A4"/>
    <w:rsid w:val="00A55B9A"/>
    <w:rsid w:val="00A65FA9"/>
    <w:rsid w:val="00A66EA0"/>
    <w:rsid w:val="00A70818"/>
    <w:rsid w:val="00A7305D"/>
    <w:rsid w:val="00A841FC"/>
    <w:rsid w:val="00A8424C"/>
    <w:rsid w:val="00A86D62"/>
    <w:rsid w:val="00A873E4"/>
    <w:rsid w:val="00A92F8A"/>
    <w:rsid w:val="00A9450F"/>
    <w:rsid w:val="00A94712"/>
    <w:rsid w:val="00A970C0"/>
    <w:rsid w:val="00AA05B2"/>
    <w:rsid w:val="00AA0D56"/>
    <w:rsid w:val="00AA54CE"/>
    <w:rsid w:val="00AB295D"/>
    <w:rsid w:val="00AB48BF"/>
    <w:rsid w:val="00AC0E61"/>
    <w:rsid w:val="00AC49D7"/>
    <w:rsid w:val="00AC7406"/>
    <w:rsid w:val="00AD0C3D"/>
    <w:rsid w:val="00AD24E9"/>
    <w:rsid w:val="00AD7D1D"/>
    <w:rsid w:val="00AE4405"/>
    <w:rsid w:val="00AE7832"/>
    <w:rsid w:val="00AF01C9"/>
    <w:rsid w:val="00AF4A08"/>
    <w:rsid w:val="00AF6348"/>
    <w:rsid w:val="00B02232"/>
    <w:rsid w:val="00B07C01"/>
    <w:rsid w:val="00B107AF"/>
    <w:rsid w:val="00B1092E"/>
    <w:rsid w:val="00B1118E"/>
    <w:rsid w:val="00B112E1"/>
    <w:rsid w:val="00B11FAC"/>
    <w:rsid w:val="00B14F98"/>
    <w:rsid w:val="00B211F5"/>
    <w:rsid w:val="00B220BB"/>
    <w:rsid w:val="00B2378D"/>
    <w:rsid w:val="00B274DA"/>
    <w:rsid w:val="00B34A55"/>
    <w:rsid w:val="00B367D1"/>
    <w:rsid w:val="00B3713F"/>
    <w:rsid w:val="00B472C3"/>
    <w:rsid w:val="00B475BC"/>
    <w:rsid w:val="00B51BC2"/>
    <w:rsid w:val="00B62C2D"/>
    <w:rsid w:val="00B639B6"/>
    <w:rsid w:val="00B643DD"/>
    <w:rsid w:val="00B65D0D"/>
    <w:rsid w:val="00B76F91"/>
    <w:rsid w:val="00B8054C"/>
    <w:rsid w:val="00B809E1"/>
    <w:rsid w:val="00B81522"/>
    <w:rsid w:val="00B82775"/>
    <w:rsid w:val="00B82E84"/>
    <w:rsid w:val="00B85E24"/>
    <w:rsid w:val="00B87B9D"/>
    <w:rsid w:val="00B92508"/>
    <w:rsid w:val="00B92657"/>
    <w:rsid w:val="00B92BBD"/>
    <w:rsid w:val="00BA0FD4"/>
    <w:rsid w:val="00BA1E4E"/>
    <w:rsid w:val="00BA2CB7"/>
    <w:rsid w:val="00BA591F"/>
    <w:rsid w:val="00BB04EF"/>
    <w:rsid w:val="00BB0AED"/>
    <w:rsid w:val="00BB2C6B"/>
    <w:rsid w:val="00BC4567"/>
    <w:rsid w:val="00BD0795"/>
    <w:rsid w:val="00BD2809"/>
    <w:rsid w:val="00BD36C7"/>
    <w:rsid w:val="00BD3E28"/>
    <w:rsid w:val="00BD4342"/>
    <w:rsid w:val="00BD524E"/>
    <w:rsid w:val="00BE67FE"/>
    <w:rsid w:val="00BE7B30"/>
    <w:rsid w:val="00BF3C7D"/>
    <w:rsid w:val="00BF48F2"/>
    <w:rsid w:val="00BF4EFE"/>
    <w:rsid w:val="00BF70B7"/>
    <w:rsid w:val="00C008F7"/>
    <w:rsid w:val="00C1046C"/>
    <w:rsid w:val="00C148CC"/>
    <w:rsid w:val="00C15B12"/>
    <w:rsid w:val="00C21B13"/>
    <w:rsid w:val="00C2678D"/>
    <w:rsid w:val="00C3439E"/>
    <w:rsid w:val="00C34C38"/>
    <w:rsid w:val="00C35DB1"/>
    <w:rsid w:val="00C3747C"/>
    <w:rsid w:val="00C4107A"/>
    <w:rsid w:val="00C413CF"/>
    <w:rsid w:val="00C43495"/>
    <w:rsid w:val="00C44570"/>
    <w:rsid w:val="00C4460C"/>
    <w:rsid w:val="00C45871"/>
    <w:rsid w:val="00C471C5"/>
    <w:rsid w:val="00C51D06"/>
    <w:rsid w:val="00C53F36"/>
    <w:rsid w:val="00C56C78"/>
    <w:rsid w:val="00C576C7"/>
    <w:rsid w:val="00C634D3"/>
    <w:rsid w:val="00C73B20"/>
    <w:rsid w:val="00C747F9"/>
    <w:rsid w:val="00C77437"/>
    <w:rsid w:val="00C823CB"/>
    <w:rsid w:val="00C82615"/>
    <w:rsid w:val="00C90464"/>
    <w:rsid w:val="00C91119"/>
    <w:rsid w:val="00C9151A"/>
    <w:rsid w:val="00C921A9"/>
    <w:rsid w:val="00C92447"/>
    <w:rsid w:val="00C930E2"/>
    <w:rsid w:val="00C94FF0"/>
    <w:rsid w:val="00C95995"/>
    <w:rsid w:val="00C97CA0"/>
    <w:rsid w:val="00CA48A5"/>
    <w:rsid w:val="00CA507C"/>
    <w:rsid w:val="00CA7036"/>
    <w:rsid w:val="00CB231D"/>
    <w:rsid w:val="00CB4BA0"/>
    <w:rsid w:val="00CB6882"/>
    <w:rsid w:val="00CC23C5"/>
    <w:rsid w:val="00CC3841"/>
    <w:rsid w:val="00CD0C33"/>
    <w:rsid w:val="00CD2A30"/>
    <w:rsid w:val="00CE1F6B"/>
    <w:rsid w:val="00CE26EC"/>
    <w:rsid w:val="00CE32AB"/>
    <w:rsid w:val="00CE36DE"/>
    <w:rsid w:val="00CE7713"/>
    <w:rsid w:val="00CF5C50"/>
    <w:rsid w:val="00D01923"/>
    <w:rsid w:val="00D0250A"/>
    <w:rsid w:val="00D02F34"/>
    <w:rsid w:val="00D04A57"/>
    <w:rsid w:val="00D07BF1"/>
    <w:rsid w:val="00D14A0C"/>
    <w:rsid w:val="00D15046"/>
    <w:rsid w:val="00D16B37"/>
    <w:rsid w:val="00D17C46"/>
    <w:rsid w:val="00D21ABC"/>
    <w:rsid w:val="00D22025"/>
    <w:rsid w:val="00D22510"/>
    <w:rsid w:val="00D22F8F"/>
    <w:rsid w:val="00D24532"/>
    <w:rsid w:val="00D30DA6"/>
    <w:rsid w:val="00D32358"/>
    <w:rsid w:val="00D33D29"/>
    <w:rsid w:val="00D33E6A"/>
    <w:rsid w:val="00D3798D"/>
    <w:rsid w:val="00D42DB9"/>
    <w:rsid w:val="00D442AB"/>
    <w:rsid w:val="00D51117"/>
    <w:rsid w:val="00D53DB1"/>
    <w:rsid w:val="00D549C2"/>
    <w:rsid w:val="00D552CC"/>
    <w:rsid w:val="00D62F06"/>
    <w:rsid w:val="00D72966"/>
    <w:rsid w:val="00D73C16"/>
    <w:rsid w:val="00D73CDC"/>
    <w:rsid w:val="00D7581D"/>
    <w:rsid w:val="00D76D8E"/>
    <w:rsid w:val="00D80014"/>
    <w:rsid w:val="00D81FAF"/>
    <w:rsid w:val="00D85045"/>
    <w:rsid w:val="00D860BC"/>
    <w:rsid w:val="00D876AF"/>
    <w:rsid w:val="00D87ED8"/>
    <w:rsid w:val="00D91FA7"/>
    <w:rsid w:val="00D969BB"/>
    <w:rsid w:val="00D96A89"/>
    <w:rsid w:val="00D97B29"/>
    <w:rsid w:val="00D97F13"/>
    <w:rsid w:val="00DA02BA"/>
    <w:rsid w:val="00DA0315"/>
    <w:rsid w:val="00DA03AF"/>
    <w:rsid w:val="00DA0798"/>
    <w:rsid w:val="00DB0D1D"/>
    <w:rsid w:val="00DB143B"/>
    <w:rsid w:val="00DB61E3"/>
    <w:rsid w:val="00DB7BCB"/>
    <w:rsid w:val="00DC2172"/>
    <w:rsid w:val="00DC5452"/>
    <w:rsid w:val="00DC5DA5"/>
    <w:rsid w:val="00DC6897"/>
    <w:rsid w:val="00DC7DEC"/>
    <w:rsid w:val="00DD182C"/>
    <w:rsid w:val="00DD40E7"/>
    <w:rsid w:val="00DD42D0"/>
    <w:rsid w:val="00DD4AF1"/>
    <w:rsid w:val="00DD6C26"/>
    <w:rsid w:val="00DD6DB2"/>
    <w:rsid w:val="00DE1E76"/>
    <w:rsid w:val="00DE64A4"/>
    <w:rsid w:val="00DF340E"/>
    <w:rsid w:val="00E03832"/>
    <w:rsid w:val="00E0545C"/>
    <w:rsid w:val="00E05D6A"/>
    <w:rsid w:val="00E06C53"/>
    <w:rsid w:val="00E1113B"/>
    <w:rsid w:val="00E11B79"/>
    <w:rsid w:val="00E150F3"/>
    <w:rsid w:val="00E17FAF"/>
    <w:rsid w:val="00E20420"/>
    <w:rsid w:val="00E246B0"/>
    <w:rsid w:val="00E25AC4"/>
    <w:rsid w:val="00E31EE7"/>
    <w:rsid w:val="00E33CCD"/>
    <w:rsid w:val="00E36A97"/>
    <w:rsid w:val="00E37BC9"/>
    <w:rsid w:val="00E430A1"/>
    <w:rsid w:val="00E55AFB"/>
    <w:rsid w:val="00E60336"/>
    <w:rsid w:val="00E606E4"/>
    <w:rsid w:val="00E626EF"/>
    <w:rsid w:val="00E7171C"/>
    <w:rsid w:val="00E727DA"/>
    <w:rsid w:val="00E73ED1"/>
    <w:rsid w:val="00E75C3F"/>
    <w:rsid w:val="00E75F53"/>
    <w:rsid w:val="00E77D08"/>
    <w:rsid w:val="00E82CEE"/>
    <w:rsid w:val="00E90137"/>
    <w:rsid w:val="00E924A6"/>
    <w:rsid w:val="00E92B73"/>
    <w:rsid w:val="00E938D3"/>
    <w:rsid w:val="00EA4295"/>
    <w:rsid w:val="00EA4A0B"/>
    <w:rsid w:val="00EA4A99"/>
    <w:rsid w:val="00EA4B61"/>
    <w:rsid w:val="00EC19E0"/>
    <w:rsid w:val="00EC409D"/>
    <w:rsid w:val="00EC54E4"/>
    <w:rsid w:val="00EC7909"/>
    <w:rsid w:val="00ED3F5A"/>
    <w:rsid w:val="00ED3FDC"/>
    <w:rsid w:val="00EE44AA"/>
    <w:rsid w:val="00EE5001"/>
    <w:rsid w:val="00EE712A"/>
    <w:rsid w:val="00EF2A2C"/>
    <w:rsid w:val="00EF2FC8"/>
    <w:rsid w:val="00EF341B"/>
    <w:rsid w:val="00EF53E3"/>
    <w:rsid w:val="00F032B7"/>
    <w:rsid w:val="00F06B96"/>
    <w:rsid w:val="00F0791D"/>
    <w:rsid w:val="00F11414"/>
    <w:rsid w:val="00F134E2"/>
    <w:rsid w:val="00F1427F"/>
    <w:rsid w:val="00F14712"/>
    <w:rsid w:val="00F147BD"/>
    <w:rsid w:val="00F17B70"/>
    <w:rsid w:val="00F3056F"/>
    <w:rsid w:val="00F329E4"/>
    <w:rsid w:val="00F34EE3"/>
    <w:rsid w:val="00F372B4"/>
    <w:rsid w:val="00F377C6"/>
    <w:rsid w:val="00F37A83"/>
    <w:rsid w:val="00F448C0"/>
    <w:rsid w:val="00F54F05"/>
    <w:rsid w:val="00F6287A"/>
    <w:rsid w:val="00F6438F"/>
    <w:rsid w:val="00F64E27"/>
    <w:rsid w:val="00F67572"/>
    <w:rsid w:val="00F67D00"/>
    <w:rsid w:val="00F738E1"/>
    <w:rsid w:val="00F7422C"/>
    <w:rsid w:val="00F752AE"/>
    <w:rsid w:val="00F76BD9"/>
    <w:rsid w:val="00F7707A"/>
    <w:rsid w:val="00F817A7"/>
    <w:rsid w:val="00F823D2"/>
    <w:rsid w:val="00F8424D"/>
    <w:rsid w:val="00F9086E"/>
    <w:rsid w:val="00F913F5"/>
    <w:rsid w:val="00F91CC4"/>
    <w:rsid w:val="00F951DC"/>
    <w:rsid w:val="00F9550F"/>
    <w:rsid w:val="00FA0EBA"/>
    <w:rsid w:val="00FA47AB"/>
    <w:rsid w:val="00FA6046"/>
    <w:rsid w:val="00FB2D04"/>
    <w:rsid w:val="00FB32EB"/>
    <w:rsid w:val="00FC1346"/>
    <w:rsid w:val="00FC2289"/>
    <w:rsid w:val="00FC3582"/>
    <w:rsid w:val="00FC76F9"/>
    <w:rsid w:val="00FD4847"/>
    <w:rsid w:val="00FD7D31"/>
    <w:rsid w:val="00FE14F8"/>
    <w:rsid w:val="00FE60CD"/>
    <w:rsid w:val="00FE693E"/>
    <w:rsid w:val="00FE7F3D"/>
    <w:rsid w:val="00FF502C"/>
    <w:rsid w:val="00FF56BA"/>
    <w:rsid w:val="01080A12"/>
    <w:rsid w:val="010C705D"/>
    <w:rsid w:val="01330C40"/>
    <w:rsid w:val="01400F6E"/>
    <w:rsid w:val="015C7C3D"/>
    <w:rsid w:val="015E74D2"/>
    <w:rsid w:val="01677B3A"/>
    <w:rsid w:val="016F0A91"/>
    <w:rsid w:val="017C7168"/>
    <w:rsid w:val="0181010F"/>
    <w:rsid w:val="018207C5"/>
    <w:rsid w:val="01832C7C"/>
    <w:rsid w:val="01B82438"/>
    <w:rsid w:val="01BF1294"/>
    <w:rsid w:val="01C90C4A"/>
    <w:rsid w:val="01DE1773"/>
    <w:rsid w:val="01F15C8E"/>
    <w:rsid w:val="01FF0067"/>
    <w:rsid w:val="020B355F"/>
    <w:rsid w:val="020F6B6A"/>
    <w:rsid w:val="021447C7"/>
    <w:rsid w:val="0223579A"/>
    <w:rsid w:val="022962B0"/>
    <w:rsid w:val="02322C76"/>
    <w:rsid w:val="023D46EC"/>
    <w:rsid w:val="023F4C2E"/>
    <w:rsid w:val="02557C87"/>
    <w:rsid w:val="02581AD5"/>
    <w:rsid w:val="026D2559"/>
    <w:rsid w:val="028E26C7"/>
    <w:rsid w:val="02B14E1F"/>
    <w:rsid w:val="02CE604F"/>
    <w:rsid w:val="02DC336F"/>
    <w:rsid w:val="02DD1A2B"/>
    <w:rsid w:val="02EB5C7C"/>
    <w:rsid w:val="0301396B"/>
    <w:rsid w:val="0306706C"/>
    <w:rsid w:val="030B6598"/>
    <w:rsid w:val="0314522A"/>
    <w:rsid w:val="03165668"/>
    <w:rsid w:val="032B6C3A"/>
    <w:rsid w:val="03327DF6"/>
    <w:rsid w:val="033926C3"/>
    <w:rsid w:val="033A7662"/>
    <w:rsid w:val="033E4BBF"/>
    <w:rsid w:val="03425C39"/>
    <w:rsid w:val="0356175A"/>
    <w:rsid w:val="03657B87"/>
    <w:rsid w:val="03BE0E0F"/>
    <w:rsid w:val="03C66DD1"/>
    <w:rsid w:val="03D270B5"/>
    <w:rsid w:val="03D32E46"/>
    <w:rsid w:val="03D4244A"/>
    <w:rsid w:val="04275653"/>
    <w:rsid w:val="044F7FBF"/>
    <w:rsid w:val="04531E96"/>
    <w:rsid w:val="047C62A1"/>
    <w:rsid w:val="04934E7D"/>
    <w:rsid w:val="049B394B"/>
    <w:rsid w:val="04C277D5"/>
    <w:rsid w:val="04CB4231"/>
    <w:rsid w:val="050318EA"/>
    <w:rsid w:val="050B0AD1"/>
    <w:rsid w:val="050D2A9B"/>
    <w:rsid w:val="05123C0E"/>
    <w:rsid w:val="052027CE"/>
    <w:rsid w:val="052878D5"/>
    <w:rsid w:val="05322C2F"/>
    <w:rsid w:val="053D139C"/>
    <w:rsid w:val="05600694"/>
    <w:rsid w:val="056523A7"/>
    <w:rsid w:val="056B4C89"/>
    <w:rsid w:val="05713921"/>
    <w:rsid w:val="05720B50"/>
    <w:rsid w:val="05786A20"/>
    <w:rsid w:val="057F49B2"/>
    <w:rsid w:val="05AC3229"/>
    <w:rsid w:val="05C64B26"/>
    <w:rsid w:val="05E1361A"/>
    <w:rsid w:val="05E5378E"/>
    <w:rsid w:val="05EA4B8A"/>
    <w:rsid w:val="05FF38CF"/>
    <w:rsid w:val="060E37AA"/>
    <w:rsid w:val="06272220"/>
    <w:rsid w:val="063220AE"/>
    <w:rsid w:val="065E665E"/>
    <w:rsid w:val="067B57E2"/>
    <w:rsid w:val="067D3C4A"/>
    <w:rsid w:val="069F2389"/>
    <w:rsid w:val="06A04F45"/>
    <w:rsid w:val="06B650DE"/>
    <w:rsid w:val="06C33196"/>
    <w:rsid w:val="06D849E3"/>
    <w:rsid w:val="07066030"/>
    <w:rsid w:val="070A4641"/>
    <w:rsid w:val="070D7332"/>
    <w:rsid w:val="07106873"/>
    <w:rsid w:val="07107BC6"/>
    <w:rsid w:val="07143072"/>
    <w:rsid w:val="07281204"/>
    <w:rsid w:val="072F019A"/>
    <w:rsid w:val="074E293F"/>
    <w:rsid w:val="0763676A"/>
    <w:rsid w:val="077C1812"/>
    <w:rsid w:val="07B216D8"/>
    <w:rsid w:val="07C13406"/>
    <w:rsid w:val="07D81106"/>
    <w:rsid w:val="07DA3804"/>
    <w:rsid w:val="07DB0C2F"/>
    <w:rsid w:val="07E01DA1"/>
    <w:rsid w:val="07E53722"/>
    <w:rsid w:val="07EC6DCD"/>
    <w:rsid w:val="07F331AE"/>
    <w:rsid w:val="07F95346"/>
    <w:rsid w:val="080B18B9"/>
    <w:rsid w:val="08193505"/>
    <w:rsid w:val="081D6377"/>
    <w:rsid w:val="08200168"/>
    <w:rsid w:val="08345035"/>
    <w:rsid w:val="08444A26"/>
    <w:rsid w:val="0850306F"/>
    <w:rsid w:val="086D25D3"/>
    <w:rsid w:val="08DA7138"/>
    <w:rsid w:val="08E81855"/>
    <w:rsid w:val="08F71A98"/>
    <w:rsid w:val="08FE7548"/>
    <w:rsid w:val="093920B1"/>
    <w:rsid w:val="09457D37"/>
    <w:rsid w:val="094D16B8"/>
    <w:rsid w:val="095A150F"/>
    <w:rsid w:val="095F3199"/>
    <w:rsid w:val="096E09DC"/>
    <w:rsid w:val="097A7FD3"/>
    <w:rsid w:val="098067D7"/>
    <w:rsid w:val="09886330"/>
    <w:rsid w:val="09AF5ECF"/>
    <w:rsid w:val="09D3748B"/>
    <w:rsid w:val="09E162A4"/>
    <w:rsid w:val="0A031354"/>
    <w:rsid w:val="0A096DD5"/>
    <w:rsid w:val="0A157CFC"/>
    <w:rsid w:val="0A3429BB"/>
    <w:rsid w:val="0A355BF7"/>
    <w:rsid w:val="0A40746F"/>
    <w:rsid w:val="0A5D410E"/>
    <w:rsid w:val="0A5F2024"/>
    <w:rsid w:val="0A8A222E"/>
    <w:rsid w:val="0A8A693C"/>
    <w:rsid w:val="0A913826"/>
    <w:rsid w:val="0AAB0D8C"/>
    <w:rsid w:val="0AB81E6D"/>
    <w:rsid w:val="0ABE2142"/>
    <w:rsid w:val="0ABE3A5B"/>
    <w:rsid w:val="0B015613"/>
    <w:rsid w:val="0B071CF5"/>
    <w:rsid w:val="0B217D3F"/>
    <w:rsid w:val="0B2853F0"/>
    <w:rsid w:val="0B304DED"/>
    <w:rsid w:val="0B3A53E7"/>
    <w:rsid w:val="0B8D66E4"/>
    <w:rsid w:val="0BA10403"/>
    <w:rsid w:val="0BB43C70"/>
    <w:rsid w:val="0BB45B9B"/>
    <w:rsid w:val="0BB640B7"/>
    <w:rsid w:val="0BBF2EB2"/>
    <w:rsid w:val="0BC41407"/>
    <w:rsid w:val="0BC929F4"/>
    <w:rsid w:val="0BD53BE7"/>
    <w:rsid w:val="0BD620A9"/>
    <w:rsid w:val="0BDC3B36"/>
    <w:rsid w:val="0BE87CEE"/>
    <w:rsid w:val="0C23344D"/>
    <w:rsid w:val="0C4C0D01"/>
    <w:rsid w:val="0C4F3999"/>
    <w:rsid w:val="0C664A3F"/>
    <w:rsid w:val="0C7620CF"/>
    <w:rsid w:val="0C767178"/>
    <w:rsid w:val="0C8B16D1"/>
    <w:rsid w:val="0CA84E57"/>
    <w:rsid w:val="0CE01EB4"/>
    <w:rsid w:val="0CEA3957"/>
    <w:rsid w:val="0CEE37C4"/>
    <w:rsid w:val="0CF602B9"/>
    <w:rsid w:val="0D3A1F53"/>
    <w:rsid w:val="0D3F24A9"/>
    <w:rsid w:val="0D63265E"/>
    <w:rsid w:val="0D8633EB"/>
    <w:rsid w:val="0D892EDB"/>
    <w:rsid w:val="0D9C49BC"/>
    <w:rsid w:val="0DD34156"/>
    <w:rsid w:val="0DDA089A"/>
    <w:rsid w:val="0E0E66D9"/>
    <w:rsid w:val="0E0F5260"/>
    <w:rsid w:val="0E1D7F43"/>
    <w:rsid w:val="0E2412A2"/>
    <w:rsid w:val="0E2A0B9E"/>
    <w:rsid w:val="0E2A466A"/>
    <w:rsid w:val="0E2A4679"/>
    <w:rsid w:val="0E487AAE"/>
    <w:rsid w:val="0E8536A2"/>
    <w:rsid w:val="0EA51ACA"/>
    <w:rsid w:val="0EE02A09"/>
    <w:rsid w:val="0EFB70B9"/>
    <w:rsid w:val="0F0071CD"/>
    <w:rsid w:val="0F0A1DF9"/>
    <w:rsid w:val="0F186B3B"/>
    <w:rsid w:val="0F360E40"/>
    <w:rsid w:val="0F5B2655"/>
    <w:rsid w:val="0F6C03BE"/>
    <w:rsid w:val="0F7B7DAE"/>
    <w:rsid w:val="0F8A6A96"/>
    <w:rsid w:val="0F8B60CF"/>
    <w:rsid w:val="0F8E5C6A"/>
    <w:rsid w:val="0F9E5390"/>
    <w:rsid w:val="0FB72F08"/>
    <w:rsid w:val="0FBD0C1A"/>
    <w:rsid w:val="0FD20B69"/>
    <w:rsid w:val="0FDB2B80"/>
    <w:rsid w:val="0FDF7383"/>
    <w:rsid w:val="0FE443F8"/>
    <w:rsid w:val="0FED59A3"/>
    <w:rsid w:val="0FFA3C1C"/>
    <w:rsid w:val="0FFE4FDB"/>
    <w:rsid w:val="10040034"/>
    <w:rsid w:val="102315B1"/>
    <w:rsid w:val="10466832"/>
    <w:rsid w:val="1074597A"/>
    <w:rsid w:val="107E65FB"/>
    <w:rsid w:val="108033E2"/>
    <w:rsid w:val="10950BCF"/>
    <w:rsid w:val="10AD0C8E"/>
    <w:rsid w:val="10B21E6B"/>
    <w:rsid w:val="10B6757A"/>
    <w:rsid w:val="10C36CD7"/>
    <w:rsid w:val="10D10E21"/>
    <w:rsid w:val="11072367"/>
    <w:rsid w:val="112453F4"/>
    <w:rsid w:val="11553800"/>
    <w:rsid w:val="116F1F8F"/>
    <w:rsid w:val="11A16A45"/>
    <w:rsid w:val="11AA5901"/>
    <w:rsid w:val="11AB1672"/>
    <w:rsid w:val="11C91AF8"/>
    <w:rsid w:val="11CC348D"/>
    <w:rsid w:val="11EB763F"/>
    <w:rsid w:val="11F327F2"/>
    <w:rsid w:val="12011292"/>
    <w:rsid w:val="12012C1E"/>
    <w:rsid w:val="12045226"/>
    <w:rsid w:val="120C72C4"/>
    <w:rsid w:val="12176D07"/>
    <w:rsid w:val="121D3C9D"/>
    <w:rsid w:val="122431D2"/>
    <w:rsid w:val="1229506F"/>
    <w:rsid w:val="122F47F6"/>
    <w:rsid w:val="124302B5"/>
    <w:rsid w:val="124D3A4F"/>
    <w:rsid w:val="125225C8"/>
    <w:rsid w:val="1255782F"/>
    <w:rsid w:val="125E519D"/>
    <w:rsid w:val="125E5D37"/>
    <w:rsid w:val="126F08F1"/>
    <w:rsid w:val="12897608"/>
    <w:rsid w:val="12937D14"/>
    <w:rsid w:val="12966151"/>
    <w:rsid w:val="1297339E"/>
    <w:rsid w:val="12C50F89"/>
    <w:rsid w:val="12CA6698"/>
    <w:rsid w:val="12D8743E"/>
    <w:rsid w:val="12EC2C3C"/>
    <w:rsid w:val="12F35C10"/>
    <w:rsid w:val="12FB3CFB"/>
    <w:rsid w:val="13074FDB"/>
    <w:rsid w:val="131C1BCB"/>
    <w:rsid w:val="13205B26"/>
    <w:rsid w:val="13340C2D"/>
    <w:rsid w:val="133D73B2"/>
    <w:rsid w:val="134F6DC5"/>
    <w:rsid w:val="135A6D83"/>
    <w:rsid w:val="13723823"/>
    <w:rsid w:val="137D0DEC"/>
    <w:rsid w:val="13832220"/>
    <w:rsid w:val="13A951F4"/>
    <w:rsid w:val="13B91EDA"/>
    <w:rsid w:val="13BD568C"/>
    <w:rsid w:val="13C413C8"/>
    <w:rsid w:val="13D27379"/>
    <w:rsid w:val="13D93BCD"/>
    <w:rsid w:val="13F60350"/>
    <w:rsid w:val="13FD7D12"/>
    <w:rsid w:val="140B0CB3"/>
    <w:rsid w:val="14157276"/>
    <w:rsid w:val="141C63B6"/>
    <w:rsid w:val="143A0DA4"/>
    <w:rsid w:val="143F2545"/>
    <w:rsid w:val="14444944"/>
    <w:rsid w:val="144B398A"/>
    <w:rsid w:val="145C39CB"/>
    <w:rsid w:val="14641FAC"/>
    <w:rsid w:val="14746B0E"/>
    <w:rsid w:val="14781554"/>
    <w:rsid w:val="148476E6"/>
    <w:rsid w:val="14867E54"/>
    <w:rsid w:val="14950150"/>
    <w:rsid w:val="149B08DC"/>
    <w:rsid w:val="14C36CD2"/>
    <w:rsid w:val="14D709D0"/>
    <w:rsid w:val="14EA5EE0"/>
    <w:rsid w:val="14ED3D4F"/>
    <w:rsid w:val="14FE2EB6"/>
    <w:rsid w:val="152946ED"/>
    <w:rsid w:val="15366927"/>
    <w:rsid w:val="15390044"/>
    <w:rsid w:val="153D4CD7"/>
    <w:rsid w:val="15510782"/>
    <w:rsid w:val="155302AD"/>
    <w:rsid w:val="157D79CB"/>
    <w:rsid w:val="15804496"/>
    <w:rsid w:val="158312A8"/>
    <w:rsid w:val="15907FDC"/>
    <w:rsid w:val="15973CBB"/>
    <w:rsid w:val="16195B47"/>
    <w:rsid w:val="162567A9"/>
    <w:rsid w:val="162D2457"/>
    <w:rsid w:val="16361726"/>
    <w:rsid w:val="16505471"/>
    <w:rsid w:val="165D4F05"/>
    <w:rsid w:val="1675224E"/>
    <w:rsid w:val="167631F1"/>
    <w:rsid w:val="16796819"/>
    <w:rsid w:val="168562EF"/>
    <w:rsid w:val="168B3CA4"/>
    <w:rsid w:val="16940BAF"/>
    <w:rsid w:val="16A55FA4"/>
    <w:rsid w:val="16A62152"/>
    <w:rsid w:val="16DA0303"/>
    <w:rsid w:val="173F50D5"/>
    <w:rsid w:val="17420953"/>
    <w:rsid w:val="174A7237"/>
    <w:rsid w:val="174B6C8A"/>
    <w:rsid w:val="175E7186"/>
    <w:rsid w:val="17761707"/>
    <w:rsid w:val="179F2AAF"/>
    <w:rsid w:val="17AC3DF0"/>
    <w:rsid w:val="17AF353E"/>
    <w:rsid w:val="17D81BE9"/>
    <w:rsid w:val="17F1399C"/>
    <w:rsid w:val="180B16BF"/>
    <w:rsid w:val="181C0C8E"/>
    <w:rsid w:val="181D0356"/>
    <w:rsid w:val="182A7068"/>
    <w:rsid w:val="184410B8"/>
    <w:rsid w:val="18441ED8"/>
    <w:rsid w:val="185A214C"/>
    <w:rsid w:val="186D469E"/>
    <w:rsid w:val="18782EFC"/>
    <w:rsid w:val="18A62564"/>
    <w:rsid w:val="18A81DA2"/>
    <w:rsid w:val="18DA283C"/>
    <w:rsid w:val="19157D18"/>
    <w:rsid w:val="192A37C4"/>
    <w:rsid w:val="19341F4D"/>
    <w:rsid w:val="19380C07"/>
    <w:rsid w:val="194505FE"/>
    <w:rsid w:val="19726F19"/>
    <w:rsid w:val="19A8293B"/>
    <w:rsid w:val="19AB3D59"/>
    <w:rsid w:val="19AF5293"/>
    <w:rsid w:val="19B07BE2"/>
    <w:rsid w:val="19B232C5"/>
    <w:rsid w:val="19BA322A"/>
    <w:rsid w:val="1A5977FE"/>
    <w:rsid w:val="1A5F749D"/>
    <w:rsid w:val="1A622AE9"/>
    <w:rsid w:val="1A6751A7"/>
    <w:rsid w:val="1A701171"/>
    <w:rsid w:val="1A937147"/>
    <w:rsid w:val="1A974B9C"/>
    <w:rsid w:val="1A9C29CA"/>
    <w:rsid w:val="1AB60C2D"/>
    <w:rsid w:val="1ABA13C6"/>
    <w:rsid w:val="1AC17A6A"/>
    <w:rsid w:val="1AC6569F"/>
    <w:rsid w:val="1AD25EC1"/>
    <w:rsid w:val="1ADA6B24"/>
    <w:rsid w:val="1ADE4866"/>
    <w:rsid w:val="1AED1401"/>
    <w:rsid w:val="1B132809"/>
    <w:rsid w:val="1B1D07A3"/>
    <w:rsid w:val="1B2B737F"/>
    <w:rsid w:val="1B365A71"/>
    <w:rsid w:val="1B4A1EFB"/>
    <w:rsid w:val="1B610FF3"/>
    <w:rsid w:val="1B660B37"/>
    <w:rsid w:val="1B724FAE"/>
    <w:rsid w:val="1B73527D"/>
    <w:rsid w:val="1B8265A0"/>
    <w:rsid w:val="1B85606A"/>
    <w:rsid w:val="1B8A679C"/>
    <w:rsid w:val="1BA23AE5"/>
    <w:rsid w:val="1BA84E74"/>
    <w:rsid w:val="1BC03F6C"/>
    <w:rsid w:val="1BC32AE7"/>
    <w:rsid w:val="1BCC3EE5"/>
    <w:rsid w:val="1BD47A17"/>
    <w:rsid w:val="1BD97114"/>
    <w:rsid w:val="1BE85270"/>
    <w:rsid w:val="1BF975BF"/>
    <w:rsid w:val="1C0A168B"/>
    <w:rsid w:val="1C265C92"/>
    <w:rsid w:val="1C32486A"/>
    <w:rsid w:val="1C3C1CC3"/>
    <w:rsid w:val="1C40026F"/>
    <w:rsid w:val="1C45364B"/>
    <w:rsid w:val="1C47468D"/>
    <w:rsid w:val="1C562614"/>
    <w:rsid w:val="1C5727E7"/>
    <w:rsid w:val="1C6B64BC"/>
    <w:rsid w:val="1CA7512B"/>
    <w:rsid w:val="1CAF0ADE"/>
    <w:rsid w:val="1CB33AD0"/>
    <w:rsid w:val="1CB57843"/>
    <w:rsid w:val="1CE123EB"/>
    <w:rsid w:val="1CE17B26"/>
    <w:rsid w:val="1CE356A9"/>
    <w:rsid w:val="1CE91A0A"/>
    <w:rsid w:val="1D0875FE"/>
    <w:rsid w:val="1D141AA1"/>
    <w:rsid w:val="1D1C5EE0"/>
    <w:rsid w:val="1D1F09C5"/>
    <w:rsid w:val="1D2B7DB5"/>
    <w:rsid w:val="1D3A5FA0"/>
    <w:rsid w:val="1D3D3A60"/>
    <w:rsid w:val="1D4C199F"/>
    <w:rsid w:val="1D532AFE"/>
    <w:rsid w:val="1D622B62"/>
    <w:rsid w:val="1D7B2840"/>
    <w:rsid w:val="1D83660F"/>
    <w:rsid w:val="1D885188"/>
    <w:rsid w:val="1D9C276E"/>
    <w:rsid w:val="1D9F5E03"/>
    <w:rsid w:val="1DC54F71"/>
    <w:rsid w:val="1DCD67B1"/>
    <w:rsid w:val="1DEE2277"/>
    <w:rsid w:val="1E0C0F88"/>
    <w:rsid w:val="1E1736EA"/>
    <w:rsid w:val="1E1D5C42"/>
    <w:rsid w:val="1E2A6014"/>
    <w:rsid w:val="1E3D10C6"/>
    <w:rsid w:val="1E466128"/>
    <w:rsid w:val="1E4B428A"/>
    <w:rsid w:val="1E683E10"/>
    <w:rsid w:val="1E716A9D"/>
    <w:rsid w:val="1E8007A9"/>
    <w:rsid w:val="1E8066E5"/>
    <w:rsid w:val="1E875C83"/>
    <w:rsid w:val="1E9142D9"/>
    <w:rsid w:val="1EC36948"/>
    <w:rsid w:val="1EC7207A"/>
    <w:rsid w:val="1EC975DB"/>
    <w:rsid w:val="1ECE2E43"/>
    <w:rsid w:val="1EF70EBC"/>
    <w:rsid w:val="1EF73293"/>
    <w:rsid w:val="1F32048C"/>
    <w:rsid w:val="1F3F4BB1"/>
    <w:rsid w:val="1F595B6B"/>
    <w:rsid w:val="1F9279CD"/>
    <w:rsid w:val="1FA0658E"/>
    <w:rsid w:val="1FAF4CA8"/>
    <w:rsid w:val="1FD27DED"/>
    <w:rsid w:val="1FFB2D50"/>
    <w:rsid w:val="20093140"/>
    <w:rsid w:val="202E4B31"/>
    <w:rsid w:val="20727346"/>
    <w:rsid w:val="209413A3"/>
    <w:rsid w:val="20947775"/>
    <w:rsid w:val="20B35E4D"/>
    <w:rsid w:val="20DB35F6"/>
    <w:rsid w:val="20E25071"/>
    <w:rsid w:val="20FA78A2"/>
    <w:rsid w:val="20FD7411"/>
    <w:rsid w:val="210D0325"/>
    <w:rsid w:val="210D6F13"/>
    <w:rsid w:val="21161DC5"/>
    <w:rsid w:val="211A411E"/>
    <w:rsid w:val="21207298"/>
    <w:rsid w:val="21242C09"/>
    <w:rsid w:val="213C3352"/>
    <w:rsid w:val="215F0650"/>
    <w:rsid w:val="216C6BF5"/>
    <w:rsid w:val="21712ED9"/>
    <w:rsid w:val="21A460DD"/>
    <w:rsid w:val="21B3572F"/>
    <w:rsid w:val="21D20823"/>
    <w:rsid w:val="21D40771"/>
    <w:rsid w:val="21EC5628"/>
    <w:rsid w:val="2211244F"/>
    <w:rsid w:val="22122F5C"/>
    <w:rsid w:val="2214007A"/>
    <w:rsid w:val="22140B6D"/>
    <w:rsid w:val="223842D0"/>
    <w:rsid w:val="22491A77"/>
    <w:rsid w:val="224F429B"/>
    <w:rsid w:val="22516B8F"/>
    <w:rsid w:val="22552064"/>
    <w:rsid w:val="226851E0"/>
    <w:rsid w:val="22A2111E"/>
    <w:rsid w:val="22A465F7"/>
    <w:rsid w:val="22B60E3E"/>
    <w:rsid w:val="22D50325"/>
    <w:rsid w:val="22D84291"/>
    <w:rsid w:val="22F173EE"/>
    <w:rsid w:val="22F32E79"/>
    <w:rsid w:val="23022EE4"/>
    <w:rsid w:val="23042A22"/>
    <w:rsid w:val="230D372C"/>
    <w:rsid w:val="231559B0"/>
    <w:rsid w:val="232D2AC7"/>
    <w:rsid w:val="233D0405"/>
    <w:rsid w:val="233D398A"/>
    <w:rsid w:val="2346744C"/>
    <w:rsid w:val="23492A98"/>
    <w:rsid w:val="235D2C72"/>
    <w:rsid w:val="235E35F5"/>
    <w:rsid w:val="23827D58"/>
    <w:rsid w:val="23A64B10"/>
    <w:rsid w:val="23D700A4"/>
    <w:rsid w:val="23E86805"/>
    <w:rsid w:val="2401226E"/>
    <w:rsid w:val="242A28CA"/>
    <w:rsid w:val="2439366C"/>
    <w:rsid w:val="24417C14"/>
    <w:rsid w:val="245E07C6"/>
    <w:rsid w:val="24696B5F"/>
    <w:rsid w:val="246A334C"/>
    <w:rsid w:val="2476229D"/>
    <w:rsid w:val="248B0E8F"/>
    <w:rsid w:val="2493439B"/>
    <w:rsid w:val="24942DFB"/>
    <w:rsid w:val="249F2A5C"/>
    <w:rsid w:val="24C0322E"/>
    <w:rsid w:val="24EC7B7F"/>
    <w:rsid w:val="24F51456"/>
    <w:rsid w:val="24F54B14"/>
    <w:rsid w:val="24FA2BA5"/>
    <w:rsid w:val="25020A66"/>
    <w:rsid w:val="25070E5D"/>
    <w:rsid w:val="250A1958"/>
    <w:rsid w:val="25161D04"/>
    <w:rsid w:val="251E1D03"/>
    <w:rsid w:val="25245F91"/>
    <w:rsid w:val="252F51BD"/>
    <w:rsid w:val="253E6F9A"/>
    <w:rsid w:val="254446E2"/>
    <w:rsid w:val="25445C0D"/>
    <w:rsid w:val="254A3258"/>
    <w:rsid w:val="25627E42"/>
    <w:rsid w:val="25781413"/>
    <w:rsid w:val="25792CCA"/>
    <w:rsid w:val="258332B5"/>
    <w:rsid w:val="259E4E53"/>
    <w:rsid w:val="25A246E2"/>
    <w:rsid w:val="25A5099E"/>
    <w:rsid w:val="25A663F8"/>
    <w:rsid w:val="25A779D5"/>
    <w:rsid w:val="25A93CC2"/>
    <w:rsid w:val="25AA7CDA"/>
    <w:rsid w:val="25C90C9A"/>
    <w:rsid w:val="25D55FA5"/>
    <w:rsid w:val="25D80104"/>
    <w:rsid w:val="25E410CE"/>
    <w:rsid w:val="25F25669"/>
    <w:rsid w:val="25F7163A"/>
    <w:rsid w:val="260064D2"/>
    <w:rsid w:val="26102FC2"/>
    <w:rsid w:val="26235823"/>
    <w:rsid w:val="26261377"/>
    <w:rsid w:val="26280DF4"/>
    <w:rsid w:val="262C18C8"/>
    <w:rsid w:val="26395046"/>
    <w:rsid w:val="26403E70"/>
    <w:rsid w:val="265A376F"/>
    <w:rsid w:val="266613DF"/>
    <w:rsid w:val="266A0869"/>
    <w:rsid w:val="267B31A8"/>
    <w:rsid w:val="26B11D6D"/>
    <w:rsid w:val="26B26DF7"/>
    <w:rsid w:val="26BC6432"/>
    <w:rsid w:val="26C03072"/>
    <w:rsid w:val="26CD6050"/>
    <w:rsid w:val="26DF2689"/>
    <w:rsid w:val="26E34FB2"/>
    <w:rsid w:val="26E71EAD"/>
    <w:rsid w:val="26F05EFD"/>
    <w:rsid w:val="27104ED3"/>
    <w:rsid w:val="272B515E"/>
    <w:rsid w:val="272C05D7"/>
    <w:rsid w:val="274C6FFB"/>
    <w:rsid w:val="2767173F"/>
    <w:rsid w:val="276F7FE5"/>
    <w:rsid w:val="2797697B"/>
    <w:rsid w:val="27B97CFB"/>
    <w:rsid w:val="27DA0163"/>
    <w:rsid w:val="27DF48B7"/>
    <w:rsid w:val="27E51B0B"/>
    <w:rsid w:val="27EE6C05"/>
    <w:rsid w:val="27F9071F"/>
    <w:rsid w:val="28151385"/>
    <w:rsid w:val="281771FE"/>
    <w:rsid w:val="282910EA"/>
    <w:rsid w:val="28657ED1"/>
    <w:rsid w:val="28754330"/>
    <w:rsid w:val="28785183"/>
    <w:rsid w:val="28884063"/>
    <w:rsid w:val="28940C77"/>
    <w:rsid w:val="289949B8"/>
    <w:rsid w:val="28A512AE"/>
    <w:rsid w:val="28C77A19"/>
    <w:rsid w:val="28DB7C12"/>
    <w:rsid w:val="28DF0FA4"/>
    <w:rsid w:val="28E65763"/>
    <w:rsid w:val="28E866B3"/>
    <w:rsid w:val="28F35E0C"/>
    <w:rsid w:val="292204E8"/>
    <w:rsid w:val="292D69B8"/>
    <w:rsid w:val="29544489"/>
    <w:rsid w:val="29605EF4"/>
    <w:rsid w:val="296B663A"/>
    <w:rsid w:val="29704B6E"/>
    <w:rsid w:val="298567F4"/>
    <w:rsid w:val="298A5082"/>
    <w:rsid w:val="29947266"/>
    <w:rsid w:val="29A60398"/>
    <w:rsid w:val="29AB625B"/>
    <w:rsid w:val="29BD1AEA"/>
    <w:rsid w:val="29C0708B"/>
    <w:rsid w:val="29D870DB"/>
    <w:rsid w:val="29EC0622"/>
    <w:rsid w:val="29FB71D3"/>
    <w:rsid w:val="2A092F82"/>
    <w:rsid w:val="2A202079"/>
    <w:rsid w:val="2A2172CB"/>
    <w:rsid w:val="2A2344C1"/>
    <w:rsid w:val="2A2618AF"/>
    <w:rsid w:val="2A272AFD"/>
    <w:rsid w:val="2A673574"/>
    <w:rsid w:val="2A691232"/>
    <w:rsid w:val="2A6B1546"/>
    <w:rsid w:val="2A7F7519"/>
    <w:rsid w:val="2A846AAC"/>
    <w:rsid w:val="2A8D1A21"/>
    <w:rsid w:val="2AA646BC"/>
    <w:rsid w:val="2AB033FD"/>
    <w:rsid w:val="2AB47391"/>
    <w:rsid w:val="2AC36665"/>
    <w:rsid w:val="2B087FF4"/>
    <w:rsid w:val="2B230073"/>
    <w:rsid w:val="2B2A115D"/>
    <w:rsid w:val="2B2D02A6"/>
    <w:rsid w:val="2B501388"/>
    <w:rsid w:val="2B604E23"/>
    <w:rsid w:val="2BAE619F"/>
    <w:rsid w:val="2BBB19F8"/>
    <w:rsid w:val="2BC60287"/>
    <w:rsid w:val="2BCC316D"/>
    <w:rsid w:val="2BCE6A3C"/>
    <w:rsid w:val="2BD01FF1"/>
    <w:rsid w:val="2BE9306B"/>
    <w:rsid w:val="2BF42AA2"/>
    <w:rsid w:val="2BF67536"/>
    <w:rsid w:val="2BFF463C"/>
    <w:rsid w:val="2C182062"/>
    <w:rsid w:val="2C2160E0"/>
    <w:rsid w:val="2C2B5431"/>
    <w:rsid w:val="2C3B2738"/>
    <w:rsid w:val="2C713042"/>
    <w:rsid w:val="2C7D20ED"/>
    <w:rsid w:val="2C842D93"/>
    <w:rsid w:val="2C9D564A"/>
    <w:rsid w:val="2CB33BBA"/>
    <w:rsid w:val="2CC87124"/>
    <w:rsid w:val="2CDC3517"/>
    <w:rsid w:val="2CE00F12"/>
    <w:rsid w:val="2CFB0041"/>
    <w:rsid w:val="2D1C2738"/>
    <w:rsid w:val="2D2105E2"/>
    <w:rsid w:val="2D2A393B"/>
    <w:rsid w:val="2D3E19C7"/>
    <w:rsid w:val="2D426585"/>
    <w:rsid w:val="2D4F25CE"/>
    <w:rsid w:val="2D594220"/>
    <w:rsid w:val="2D63193C"/>
    <w:rsid w:val="2D635560"/>
    <w:rsid w:val="2D677863"/>
    <w:rsid w:val="2D7828F8"/>
    <w:rsid w:val="2D8868B3"/>
    <w:rsid w:val="2DB651CE"/>
    <w:rsid w:val="2DB75B57"/>
    <w:rsid w:val="2DBC0C9E"/>
    <w:rsid w:val="2DCA0C7A"/>
    <w:rsid w:val="2DCC2C44"/>
    <w:rsid w:val="2DE0224B"/>
    <w:rsid w:val="2DEA4E78"/>
    <w:rsid w:val="2E06749A"/>
    <w:rsid w:val="2E224612"/>
    <w:rsid w:val="2E2A036E"/>
    <w:rsid w:val="2E4B1DBB"/>
    <w:rsid w:val="2E4C5B33"/>
    <w:rsid w:val="2E4F77CF"/>
    <w:rsid w:val="2E584207"/>
    <w:rsid w:val="2E760361"/>
    <w:rsid w:val="2E825ECE"/>
    <w:rsid w:val="2E9B223B"/>
    <w:rsid w:val="2EAD4F3B"/>
    <w:rsid w:val="2EB37960"/>
    <w:rsid w:val="2ED27DE6"/>
    <w:rsid w:val="2EEC7DD7"/>
    <w:rsid w:val="2EEF5152"/>
    <w:rsid w:val="2F1321AD"/>
    <w:rsid w:val="2F1A353B"/>
    <w:rsid w:val="2F1A5141"/>
    <w:rsid w:val="2F285C58"/>
    <w:rsid w:val="2F354433"/>
    <w:rsid w:val="2F3B1E2F"/>
    <w:rsid w:val="2F5C7FF7"/>
    <w:rsid w:val="2F63356A"/>
    <w:rsid w:val="2F7E50F1"/>
    <w:rsid w:val="2F963509"/>
    <w:rsid w:val="2FA21EAE"/>
    <w:rsid w:val="2FB746DE"/>
    <w:rsid w:val="2FD4296E"/>
    <w:rsid w:val="2FD61B58"/>
    <w:rsid w:val="2FF92003"/>
    <w:rsid w:val="2FFA3A98"/>
    <w:rsid w:val="300541EB"/>
    <w:rsid w:val="300A26BB"/>
    <w:rsid w:val="30313F05"/>
    <w:rsid w:val="303F3688"/>
    <w:rsid w:val="304B1CEF"/>
    <w:rsid w:val="306058C5"/>
    <w:rsid w:val="306D5F26"/>
    <w:rsid w:val="30815308"/>
    <w:rsid w:val="30831517"/>
    <w:rsid w:val="3089052D"/>
    <w:rsid w:val="308E18D3"/>
    <w:rsid w:val="309163BB"/>
    <w:rsid w:val="309336C7"/>
    <w:rsid w:val="30A77050"/>
    <w:rsid w:val="30B8479E"/>
    <w:rsid w:val="30C47F27"/>
    <w:rsid w:val="30D8545C"/>
    <w:rsid w:val="30EB1AE7"/>
    <w:rsid w:val="30EB7D82"/>
    <w:rsid w:val="30F05A82"/>
    <w:rsid w:val="30F91888"/>
    <w:rsid w:val="313727E6"/>
    <w:rsid w:val="313E79B5"/>
    <w:rsid w:val="31402441"/>
    <w:rsid w:val="314215F7"/>
    <w:rsid w:val="3157337F"/>
    <w:rsid w:val="319A0963"/>
    <w:rsid w:val="319B6C78"/>
    <w:rsid w:val="31B25CAD"/>
    <w:rsid w:val="31D12582"/>
    <w:rsid w:val="3235785D"/>
    <w:rsid w:val="32AC391C"/>
    <w:rsid w:val="32B83797"/>
    <w:rsid w:val="32BE70D4"/>
    <w:rsid w:val="32BF4AEF"/>
    <w:rsid w:val="32C263F9"/>
    <w:rsid w:val="32CC0FF0"/>
    <w:rsid w:val="32D229B4"/>
    <w:rsid w:val="32D90296"/>
    <w:rsid w:val="32ED28D6"/>
    <w:rsid w:val="32EF65C6"/>
    <w:rsid w:val="33150BE9"/>
    <w:rsid w:val="331F7372"/>
    <w:rsid w:val="33217D3D"/>
    <w:rsid w:val="333472C1"/>
    <w:rsid w:val="3337176D"/>
    <w:rsid w:val="33546569"/>
    <w:rsid w:val="33905AF5"/>
    <w:rsid w:val="339B7256"/>
    <w:rsid w:val="33C04749"/>
    <w:rsid w:val="33C97718"/>
    <w:rsid w:val="33CB113F"/>
    <w:rsid w:val="33D25C33"/>
    <w:rsid w:val="33D35C3E"/>
    <w:rsid w:val="33E93E10"/>
    <w:rsid w:val="33FA64A6"/>
    <w:rsid w:val="33FF3066"/>
    <w:rsid w:val="340316B8"/>
    <w:rsid w:val="342E2857"/>
    <w:rsid w:val="343626AF"/>
    <w:rsid w:val="3438483D"/>
    <w:rsid w:val="343A0363"/>
    <w:rsid w:val="34417097"/>
    <w:rsid w:val="344F012B"/>
    <w:rsid w:val="344F1F6D"/>
    <w:rsid w:val="345F12D7"/>
    <w:rsid w:val="346C56AC"/>
    <w:rsid w:val="347100A1"/>
    <w:rsid w:val="34741452"/>
    <w:rsid w:val="34806536"/>
    <w:rsid w:val="34906BAC"/>
    <w:rsid w:val="34A42225"/>
    <w:rsid w:val="34CA0D23"/>
    <w:rsid w:val="34CD378C"/>
    <w:rsid w:val="34E22D4D"/>
    <w:rsid w:val="34ED738F"/>
    <w:rsid w:val="350727B3"/>
    <w:rsid w:val="35096358"/>
    <w:rsid w:val="35215856"/>
    <w:rsid w:val="35337105"/>
    <w:rsid w:val="3538471B"/>
    <w:rsid w:val="3555351F"/>
    <w:rsid w:val="35607D2F"/>
    <w:rsid w:val="35645510"/>
    <w:rsid w:val="35727C2D"/>
    <w:rsid w:val="358856A2"/>
    <w:rsid w:val="35A63D7A"/>
    <w:rsid w:val="35BC0C8D"/>
    <w:rsid w:val="35BC0D35"/>
    <w:rsid w:val="35D22DC1"/>
    <w:rsid w:val="35E64B3E"/>
    <w:rsid w:val="35E72F3B"/>
    <w:rsid w:val="35F60D4D"/>
    <w:rsid w:val="36010FB1"/>
    <w:rsid w:val="360C62D3"/>
    <w:rsid w:val="36173E72"/>
    <w:rsid w:val="36404A09"/>
    <w:rsid w:val="3643781B"/>
    <w:rsid w:val="364C1E51"/>
    <w:rsid w:val="36530C79"/>
    <w:rsid w:val="36593EF9"/>
    <w:rsid w:val="3677016B"/>
    <w:rsid w:val="3678368B"/>
    <w:rsid w:val="369462C9"/>
    <w:rsid w:val="36A2789C"/>
    <w:rsid w:val="36DA7901"/>
    <w:rsid w:val="36E37CAA"/>
    <w:rsid w:val="37070849"/>
    <w:rsid w:val="37081C80"/>
    <w:rsid w:val="370C7EDF"/>
    <w:rsid w:val="37136290"/>
    <w:rsid w:val="37275DF8"/>
    <w:rsid w:val="372F1B4E"/>
    <w:rsid w:val="374D50ED"/>
    <w:rsid w:val="37500442"/>
    <w:rsid w:val="3756532C"/>
    <w:rsid w:val="376B702A"/>
    <w:rsid w:val="376E08C8"/>
    <w:rsid w:val="3786160F"/>
    <w:rsid w:val="37935F12"/>
    <w:rsid w:val="37A42301"/>
    <w:rsid w:val="37C640CA"/>
    <w:rsid w:val="37CA44C3"/>
    <w:rsid w:val="37D22C05"/>
    <w:rsid w:val="37D61625"/>
    <w:rsid w:val="37EA2644"/>
    <w:rsid w:val="3801173C"/>
    <w:rsid w:val="381A759F"/>
    <w:rsid w:val="381B1940"/>
    <w:rsid w:val="3821593A"/>
    <w:rsid w:val="383E64EC"/>
    <w:rsid w:val="384E39BC"/>
    <w:rsid w:val="38743F6E"/>
    <w:rsid w:val="388C36FB"/>
    <w:rsid w:val="388C54AA"/>
    <w:rsid w:val="38964AAE"/>
    <w:rsid w:val="38AD71CE"/>
    <w:rsid w:val="38E52CAE"/>
    <w:rsid w:val="38EA0422"/>
    <w:rsid w:val="38F44DFD"/>
    <w:rsid w:val="38FC699B"/>
    <w:rsid w:val="39130728"/>
    <w:rsid w:val="391C1D28"/>
    <w:rsid w:val="393048AB"/>
    <w:rsid w:val="39395848"/>
    <w:rsid w:val="394501FE"/>
    <w:rsid w:val="39475A73"/>
    <w:rsid w:val="394E275F"/>
    <w:rsid w:val="39637917"/>
    <w:rsid w:val="39800B5D"/>
    <w:rsid w:val="39803A8D"/>
    <w:rsid w:val="398F0D2E"/>
    <w:rsid w:val="398F1990"/>
    <w:rsid w:val="39912CD3"/>
    <w:rsid w:val="399A647B"/>
    <w:rsid w:val="39A36682"/>
    <w:rsid w:val="39A86313"/>
    <w:rsid w:val="39B25440"/>
    <w:rsid w:val="39B5458C"/>
    <w:rsid w:val="39F83C4E"/>
    <w:rsid w:val="3A143D91"/>
    <w:rsid w:val="3A2D2830"/>
    <w:rsid w:val="3A346080"/>
    <w:rsid w:val="3A3F2EE4"/>
    <w:rsid w:val="3A4027A2"/>
    <w:rsid w:val="3A4B4EF0"/>
    <w:rsid w:val="3A533294"/>
    <w:rsid w:val="3A5E4C24"/>
    <w:rsid w:val="3A6F0BDF"/>
    <w:rsid w:val="3AA20044"/>
    <w:rsid w:val="3AAB5F8B"/>
    <w:rsid w:val="3AAB6C4F"/>
    <w:rsid w:val="3AD8709E"/>
    <w:rsid w:val="3ADF5529"/>
    <w:rsid w:val="3AF604E6"/>
    <w:rsid w:val="3B0C2612"/>
    <w:rsid w:val="3B133C60"/>
    <w:rsid w:val="3B37435C"/>
    <w:rsid w:val="3B3E796D"/>
    <w:rsid w:val="3B4F0934"/>
    <w:rsid w:val="3B503443"/>
    <w:rsid w:val="3B624BE4"/>
    <w:rsid w:val="3B7D4A60"/>
    <w:rsid w:val="3B7E3082"/>
    <w:rsid w:val="3B7F4030"/>
    <w:rsid w:val="3B8C756F"/>
    <w:rsid w:val="3B9B5BA7"/>
    <w:rsid w:val="3BAC0F6E"/>
    <w:rsid w:val="3BB014AF"/>
    <w:rsid w:val="3BBD4D3D"/>
    <w:rsid w:val="3BE64ED1"/>
    <w:rsid w:val="3BE76D49"/>
    <w:rsid w:val="3C5366EB"/>
    <w:rsid w:val="3C5635AB"/>
    <w:rsid w:val="3C65673D"/>
    <w:rsid w:val="3C8A6140"/>
    <w:rsid w:val="3C8E413E"/>
    <w:rsid w:val="3C8F7316"/>
    <w:rsid w:val="3CA2510A"/>
    <w:rsid w:val="3CBB404C"/>
    <w:rsid w:val="3CC2435A"/>
    <w:rsid w:val="3CC340CE"/>
    <w:rsid w:val="3CCB3672"/>
    <w:rsid w:val="3CF165CE"/>
    <w:rsid w:val="3D03796B"/>
    <w:rsid w:val="3D1C4922"/>
    <w:rsid w:val="3D281C6B"/>
    <w:rsid w:val="3D47512B"/>
    <w:rsid w:val="3D503F93"/>
    <w:rsid w:val="3D924E21"/>
    <w:rsid w:val="3DD12CFB"/>
    <w:rsid w:val="3DFD6502"/>
    <w:rsid w:val="3E157CEF"/>
    <w:rsid w:val="3E1C2E2C"/>
    <w:rsid w:val="3E261EFC"/>
    <w:rsid w:val="3E28111A"/>
    <w:rsid w:val="3E2C6DE7"/>
    <w:rsid w:val="3E3208A1"/>
    <w:rsid w:val="3E345210"/>
    <w:rsid w:val="3E5006D8"/>
    <w:rsid w:val="3E5F71BC"/>
    <w:rsid w:val="3E71571F"/>
    <w:rsid w:val="3E8574BE"/>
    <w:rsid w:val="3E8C67D0"/>
    <w:rsid w:val="3EA80B63"/>
    <w:rsid w:val="3EAE173E"/>
    <w:rsid w:val="3EB56DDC"/>
    <w:rsid w:val="3EBF4B4B"/>
    <w:rsid w:val="3ECD0756"/>
    <w:rsid w:val="3EE71644"/>
    <w:rsid w:val="3EEB67AF"/>
    <w:rsid w:val="3EF3551D"/>
    <w:rsid w:val="3EFB73C4"/>
    <w:rsid w:val="3F260B3C"/>
    <w:rsid w:val="3F2A5A1C"/>
    <w:rsid w:val="3F385583"/>
    <w:rsid w:val="3F3E5024"/>
    <w:rsid w:val="3F5353DC"/>
    <w:rsid w:val="3F650930"/>
    <w:rsid w:val="3F801255"/>
    <w:rsid w:val="3FAF4B16"/>
    <w:rsid w:val="3FCC0881"/>
    <w:rsid w:val="3FE56F1E"/>
    <w:rsid w:val="3FE72D54"/>
    <w:rsid w:val="3FEC5316"/>
    <w:rsid w:val="3FF971CD"/>
    <w:rsid w:val="40055B41"/>
    <w:rsid w:val="40077B0C"/>
    <w:rsid w:val="40093884"/>
    <w:rsid w:val="400B3158"/>
    <w:rsid w:val="40161AFD"/>
    <w:rsid w:val="403D46F7"/>
    <w:rsid w:val="404228F2"/>
    <w:rsid w:val="404F314F"/>
    <w:rsid w:val="40744771"/>
    <w:rsid w:val="40790F14"/>
    <w:rsid w:val="409C1ED6"/>
    <w:rsid w:val="40B557B9"/>
    <w:rsid w:val="40CD48B1"/>
    <w:rsid w:val="41171FD0"/>
    <w:rsid w:val="41512175"/>
    <w:rsid w:val="41517290"/>
    <w:rsid w:val="4160363D"/>
    <w:rsid w:val="416E0761"/>
    <w:rsid w:val="41A7743D"/>
    <w:rsid w:val="41AA074E"/>
    <w:rsid w:val="41AC096A"/>
    <w:rsid w:val="41B96BE3"/>
    <w:rsid w:val="41C757A4"/>
    <w:rsid w:val="41D43A1D"/>
    <w:rsid w:val="41E51A59"/>
    <w:rsid w:val="42044303"/>
    <w:rsid w:val="42185A06"/>
    <w:rsid w:val="42187DAE"/>
    <w:rsid w:val="422D0F9E"/>
    <w:rsid w:val="4246797C"/>
    <w:rsid w:val="424E373B"/>
    <w:rsid w:val="42554B5E"/>
    <w:rsid w:val="425F778B"/>
    <w:rsid w:val="426923B8"/>
    <w:rsid w:val="427047AD"/>
    <w:rsid w:val="42812140"/>
    <w:rsid w:val="42981012"/>
    <w:rsid w:val="42A06CAD"/>
    <w:rsid w:val="42A96112"/>
    <w:rsid w:val="42DE53F7"/>
    <w:rsid w:val="42F245C7"/>
    <w:rsid w:val="42F72E19"/>
    <w:rsid w:val="43337A74"/>
    <w:rsid w:val="433774B9"/>
    <w:rsid w:val="433E55F2"/>
    <w:rsid w:val="4341405C"/>
    <w:rsid w:val="43565624"/>
    <w:rsid w:val="43647798"/>
    <w:rsid w:val="436550BE"/>
    <w:rsid w:val="4379487C"/>
    <w:rsid w:val="437C04FB"/>
    <w:rsid w:val="43834EDB"/>
    <w:rsid w:val="43904E3D"/>
    <w:rsid w:val="439459B6"/>
    <w:rsid w:val="43A0005B"/>
    <w:rsid w:val="43AE09CA"/>
    <w:rsid w:val="43B95C20"/>
    <w:rsid w:val="43C92A53"/>
    <w:rsid w:val="43D234C2"/>
    <w:rsid w:val="43E91A02"/>
    <w:rsid w:val="43EB4526"/>
    <w:rsid w:val="43EB631B"/>
    <w:rsid w:val="43FB6092"/>
    <w:rsid w:val="44120E71"/>
    <w:rsid w:val="4416107A"/>
    <w:rsid w:val="4426250F"/>
    <w:rsid w:val="4427252A"/>
    <w:rsid w:val="443B5FD6"/>
    <w:rsid w:val="444E5D09"/>
    <w:rsid w:val="44586B88"/>
    <w:rsid w:val="446577F3"/>
    <w:rsid w:val="4470139D"/>
    <w:rsid w:val="447119F7"/>
    <w:rsid w:val="44880C4A"/>
    <w:rsid w:val="449657A1"/>
    <w:rsid w:val="44A535E6"/>
    <w:rsid w:val="44AB6CB7"/>
    <w:rsid w:val="44B53510"/>
    <w:rsid w:val="44C33A20"/>
    <w:rsid w:val="44CE29A6"/>
    <w:rsid w:val="44D2693A"/>
    <w:rsid w:val="44DF4545"/>
    <w:rsid w:val="44E23A1D"/>
    <w:rsid w:val="44EA7076"/>
    <w:rsid w:val="45027F1D"/>
    <w:rsid w:val="45046F57"/>
    <w:rsid w:val="4517434D"/>
    <w:rsid w:val="451A3E3D"/>
    <w:rsid w:val="4528245B"/>
    <w:rsid w:val="452A365C"/>
    <w:rsid w:val="454219A7"/>
    <w:rsid w:val="455430D7"/>
    <w:rsid w:val="455831E2"/>
    <w:rsid w:val="455C2857"/>
    <w:rsid w:val="45790B64"/>
    <w:rsid w:val="45943BEF"/>
    <w:rsid w:val="45BB73CE"/>
    <w:rsid w:val="45BC47DC"/>
    <w:rsid w:val="45C1250B"/>
    <w:rsid w:val="45DF4370"/>
    <w:rsid w:val="45E22BAD"/>
    <w:rsid w:val="45EA1A61"/>
    <w:rsid w:val="46162856"/>
    <w:rsid w:val="461A46B9"/>
    <w:rsid w:val="46205483"/>
    <w:rsid w:val="46221A44"/>
    <w:rsid w:val="464C01DE"/>
    <w:rsid w:val="4659102E"/>
    <w:rsid w:val="46870682"/>
    <w:rsid w:val="46957C1F"/>
    <w:rsid w:val="469B0FAE"/>
    <w:rsid w:val="46AE0CE1"/>
    <w:rsid w:val="46B314BF"/>
    <w:rsid w:val="46BE6ED5"/>
    <w:rsid w:val="46D05169"/>
    <w:rsid w:val="46DC3AA0"/>
    <w:rsid w:val="46EE732F"/>
    <w:rsid w:val="46F30DEA"/>
    <w:rsid w:val="46F36A6D"/>
    <w:rsid w:val="46FA2178"/>
    <w:rsid w:val="470F3C79"/>
    <w:rsid w:val="47130934"/>
    <w:rsid w:val="47305832"/>
    <w:rsid w:val="474D077B"/>
    <w:rsid w:val="475A5F5D"/>
    <w:rsid w:val="4768510A"/>
    <w:rsid w:val="476B6BD2"/>
    <w:rsid w:val="477F193B"/>
    <w:rsid w:val="478F466E"/>
    <w:rsid w:val="479C6F9E"/>
    <w:rsid w:val="47AD250C"/>
    <w:rsid w:val="47C6635A"/>
    <w:rsid w:val="47C83F0B"/>
    <w:rsid w:val="47D55F2F"/>
    <w:rsid w:val="47E979D9"/>
    <w:rsid w:val="48300DF2"/>
    <w:rsid w:val="48360F8E"/>
    <w:rsid w:val="48484653"/>
    <w:rsid w:val="48735D3E"/>
    <w:rsid w:val="488663E2"/>
    <w:rsid w:val="488C6E00"/>
    <w:rsid w:val="489B28AD"/>
    <w:rsid w:val="489E7A6A"/>
    <w:rsid w:val="48C86C1F"/>
    <w:rsid w:val="48C90054"/>
    <w:rsid w:val="48CD0334"/>
    <w:rsid w:val="48CE11C6"/>
    <w:rsid w:val="48D6451F"/>
    <w:rsid w:val="48F86243"/>
    <w:rsid w:val="491357D2"/>
    <w:rsid w:val="491C12FE"/>
    <w:rsid w:val="49214D6C"/>
    <w:rsid w:val="493556E9"/>
    <w:rsid w:val="4954670F"/>
    <w:rsid w:val="49613E14"/>
    <w:rsid w:val="497E78FD"/>
    <w:rsid w:val="49865F45"/>
    <w:rsid w:val="499F05C8"/>
    <w:rsid w:val="49B20AE8"/>
    <w:rsid w:val="49B22896"/>
    <w:rsid w:val="49BA3220"/>
    <w:rsid w:val="49C47821"/>
    <w:rsid w:val="49D23B02"/>
    <w:rsid w:val="49D66C00"/>
    <w:rsid w:val="4A224F9F"/>
    <w:rsid w:val="4A3907AB"/>
    <w:rsid w:val="4A3B288C"/>
    <w:rsid w:val="4A6B3C27"/>
    <w:rsid w:val="4A6B49EA"/>
    <w:rsid w:val="4A7146A0"/>
    <w:rsid w:val="4A757E64"/>
    <w:rsid w:val="4A83031A"/>
    <w:rsid w:val="4A86659B"/>
    <w:rsid w:val="4A9363E9"/>
    <w:rsid w:val="4AA743C5"/>
    <w:rsid w:val="4AC431B7"/>
    <w:rsid w:val="4ADA579B"/>
    <w:rsid w:val="4AE253FD"/>
    <w:rsid w:val="4AF64A29"/>
    <w:rsid w:val="4B091163"/>
    <w:rsid w:val="4B176400"/>
    <w:rsid w:val="4B180CCB"/>
    <w:rsid w:val="4B1F3F5B"/>
    <w:rsid w:val="4B1F7E2F"/>
    <w:rsid w:val="4B230900"/>
    <w:rsid w:val="4B263FD8"/>
    <w:rsid w:val="4B297783"/>
    <w:rsid w:val="4B37174D"/>
    <w:rsid w:val="4B5D6E05"/>
    <w:rsid w:val="4B6202EC"/>
    <w:rsid w:val="4B8E3692"/>
    <w:rsid w:val="4BA206E8"/>
    <w:rsid w:val="4BB548C0"/>
    <w:rsid w:val="4BC66ACD"/>
    <w:rsid w:val="4BCC6367"/>
    <w:rsid w:val="4BDE3E16"/>
    <w:rsid w:val="4BEB02E1"/>
    <w:rsid w:val="4BEF3890"/>
    <w:rsid w:val="4BF04D08"/>
    <w:rsid w:val="4C1A4723"/>
    <w:rsid w:val="4C1C66ED"/>
    <w:rsid w:val="4C35155C"/>
    <w:rsid w:val="4C4733B0"/>
    <w:rsid w:val="4C4A325A"/>
    <w:rsid w:val="4C765DFD"/>
    <w:rsid w:val="4C7B2D4A"/>
    <w:rsid w:val="4C8672F7"/>
    <w:rsid w:val="4C91078C"/>
    <w:rsid w:val="4CA746C7"/>
    <w:rsid w:val="4CAA1F4A"/>
    <w:rsid w:val="4CB97E79"/>
    <w:rsid w:val="4CC0351C"/>
    <w:rsid w:val="4CC629D5"/>
    <w:rsid w:val="4CCB6BC6"/>
    <w:rsid w:val="4CDE3574"/>
    <w:rsid w:val="4CF15559"/>
    <w:rsid w:val="4CFB41AB"/>
    <w:rsid w:val="4CFD63FA"/>
    <w:rsid w:val="4D043409"/>
    <w:rsid w:val="4D1675E0"/>
    <w:rsid w:val="4D176086"/>
    <w:rsid w:val="4D1A57C1"/>
    <w:rsid w:val="4D1D271C"/>
    <w:rsid w:val="4D290F03"/>
    <w:rsid w:val="4D302450"/>
    <w:rsid w:val="4D61085B"/>
    <w:rsid w:val="4D7B7443"/>
    <w:rsid w:val="4D8207D1"/>
    <w:rsid w:val="4D84693C"/>
    <w:rsid w:val="4D8819CC"/>
    <w:rsid w:val="4D8E7869"/>
    <w:rsid w:val="4D9D560B"/>
    <w:rsid w:val="4D9D57B5"/>
    <w:rsid w:val="4DA62155"/>
    <w:rsid w:val="4DA6314F"/>
    <w:rsid w:val="4DA6489A"/>
    <w:rsid w:val="4DA90985"/>
    <w:rsid w:val="4DCD6B9F"/>
    <w:rsid w:val="4DF92CF4"/>
    <w:rsid w:val="4E0110FF"/>
    <w:rsid w:val="4E09337F"/>
    <w:rsid w:val="4E1753BE"/>
    <w:rsid w:val="4E1E7219"/>
    <w:rsid w:val="4E233D62"/>
    <w:rsid w:val="4E237B2A"/>
    <w:rsid w:val="4E3A1018"/>
    <w:rsid w:val="4E404914"/>
    <w:rsid w:val="4E541B4B"/>
    <w:rsid w:val="4E791BD4"/>
    <w:rsid w:val="4E83178F"/>
    <w:rsid w:val="4EB50F84"/>
    <w:rsid w:val="4EC45545"/>
    <w:rsid w:val="4EC731AC"/>
    <w:rsid w:val="4ECC57C7"/>
    <w:rsid w:val="4EEC23A6"/>
    <w:rsid w:val="4EF72A60"/>
    <w:rsid w:val="4F076070"/>
    <w:rsid w:val="4F596B85"/>
    <w:rsid w:val="4F6B5078"/>
    <w:rsid w:val="4F6C2D3D"/>
    <w:rsid w:val="4F786330"/>
    <w:rsid w:val="4F8433BC"/>
    <w:rsid w:val="4F942E56"/>
    <w:rsid w:val="4F9F38BD"/>
    <w:rsid w:val="4FBF45F7"/>
    <w:rsid w:val="4FC8052D"/>
    <w:rsid w:val="4FD15816"/>
    <w:rsid w:val="4FD31589"/>
    <w:rsid w:val="4FD317B8"/>
    <w:rsid w:val="4FF92FBF"/>
    <w:rsid w:val="5007625F"/>
    <w:rsid w:val="500A734E"/>
    <w:rsid w:val="501778F7"/>
    <w:rsid w:val="50185F28"/>
    <w:rsid w:val="50243DC2"/>
    <w:rsid w:val="50506965"/>
    <w:rsid w:val="505C2011"/>
    <w:rsid w:val="505C34FF"/>
    <w:rsid w:val="506D39BB"/>
    <w:rsid w:val="5070232D"/>
    <w:rsid w:val="50801DCA"/>
    <w:rsid w:val="508C501E"/>
    <w:rsid w:val="508F56DF"/>
    <w:rsid w:val="50971779"/>
    <w:rsid w:val="50A6515E"/>
    <w:rsid w:val="50B27620"/>
    <w:rsid w:val="50BA786B"/>
    <w:rsid w:val="50BC4ACB"/>
    <w:rsid w:val="510C31D4"/>
    <w:rsid w:val="512F7F80"/>
    <w:rsid w:val="51376111"/>
    <w:rsid w:val="513C5D82"/>
    <w:rsid w:val="5143250C"/>
    <w:rsid w:val="51AE7DE7"/>
    <w:rsid w:val="51B00003"/>
    <w:rsid w:val="51B031CD"/>
    <w:rsid w:val="51B04FDC"/>
    <w:rsid w:val="51CE39A4"/>
    <w:rsid w:val="51F07C19"/>
    <w:rsid w:val="51F231A6"/>
    <w:rsid w:val="51FB5AB5"/>
    <w:rsid w:val="51FF37D4"/>
    <w:rsid w:val="521E2410"/>
    <w:rsid w:val="522B1438"/>
    <w:rsid w:val="5245699D"/>
    <w:rsid w:val="52466320"/>
    <w:rsid w:val="5251726B"/>
    <w:rsid w:val="525210BA"/>
    <w:rsid w:val="52A01D28"/>
    <w:rsid w:val="52A06CAA"/>
    <w:rsid w:val="52C66671"/>
    <w:rsid w:val="52C83663"/>
    <w:rsid w:val="52CA0C50"/>
    <w:rsid w:val="52CF0B6A"/>
    <w:rsid w:val="5302663C"/>
    <w:rsid w:val="531A3309"/>
    <w:rsid w:val="531B7DBF"/>
    <w:rsid w:val="531D66D7"/>
    <w:rsid w:val="53312A7E"/>
    <w:rsid w:val="53366B04"/>
    <w:rsid w:val="534A1D91"/>
    <w:rsid w:val="53762B86"/>
    <w:rsid w:val="537E1A3B"/>
    <w:rsid w:val="53BF3EB7"/>
    <w:rsid w:val="53C2401E"/>
    <w:rsid w:val="53C659A5"/>
    <w:rsid w:val="53D578AD"/>
    <w:rsid w:val="53E47AF0"/>
    <w:rsid w:val="53F031F2"/>
    <w:rsid w:val="53F341D7"/>
    <w:rsid w:val="5402441A"/>
    <w:rsid w:val="540D3547"/>
    <w:rsid w:val="541505F1"/>
    <w:rsid w:val="54637423"/>
    <w:rsid w:val="54745318"/>
    <w:rsid w:val="54815E32"/>
    <w:rsid w:val="548553F0"/>
    <w:rsid w:val="54CC424B"/>
    <w:rsid w:val="54D63BE1"/>
    <w:rsid w:val="54ED0C26"/>
    <w:rsid w:val="5501635D"/>
    <w:rsid w:val="5512694D"/>
    <w:rsid w:val="551C62C9"/>
    <w:rsid w:val="554329FC"/>
    <w:rsid w:val="55711D31"/>
    <w:rsid w:val="55935C72"/>
    <w:rsid w:val="55992B5C"/>
    <w:rsid w:val="55A04AF4"/>
    <w:rsid w:val="55A75B86"/>
    <w:rsid w:val="55AF05D2"/>
    <w:rsid w:val="55B13CFE"/>
    <w:rsid w:val="55B300C2"/>
    <w:rsid w:val="55B80C8D"/>
    <w:rsid w:val="55D17A0F"/>
    <w:rsid w:val="55DF2C65"/>
    <w:rsid w:val="55EC37CD"/>
    <w:rsid w:val="561F1AC8"/>
    <w:rsid w:val="56231719"/>
    <w:rsid w:val="5638483F"/>
    <w:rsid w:val="563B0804"/>
    <w:rsid w:val="563F3703"/>
    <w:rsid w:val="56831A2E"/>
    <w:rsid w:val="56951D81"/>
    <w:rsid w:val="5697709C"/>
    <w:rsid w:val="56D25EFC"/>
    <w:rsid w:val="56DA2E2C"/>
    <w:rsid w:val="56F269C8"/>
    <w:rsid w:val="570469A2"/>
    <w:rsid w:val="570861EB"/>
    <w:rsid w:val="572476B0"/>
    <w:rsid w:val="572E67EF"/>
    <w:rsid w:val="574A53E6"/>
    <w:rsid w:val="57557C15"/>
    <w:rsid w:val="57684EDC"/>
    <w:rsid w:val="5775155A"/>
    <w:rsid w:val="577801EC"/>
    <w:rsid w:val="57780712"/>
    <w:rsid w:val="57877110"/>
    <w:rsid w:val="57961DC1"/>
    <w:rsid w:val="57B64AE0"/>
    <w:rsid w:val="57D638D5"/>
    <w:rsid w:val="57DF5BAB"/>
    <w:rsid w:val="58112409"/>
    <w:rsid w:val="583152CE"/>
    <w:rsid w:val="58562F86"/>
    <w:rsid w:val="5858444C"/>
    <w:rsid w:val="586D63EB"/>
    <w:rsid w:val="589870FB"/>
    <w:rsid w:val="58A74BCC"/>
    <w:rsid w:val="58B71C77"/>
    <w:rsid w:val="58DA5965"/>
    <w:rsid w:val="58DA7713"/>
    <w:rsid w:val="58DD0FB2"/>
    <w:rsid w:val="58F06585"/>
    <w:rsid w:val="58F44C79"/>
    <w:rsid w:val="59046D87"/>
    <w:rsid w:val="59123A84"/>
    <w:rsid w:val="592E5FDC"/>
    <w:rsid w:val="59361DB3"/>
    <w:rsid w:val="59432C5D"/>
    <w:rsid w:val="59437C63"/>
    <w:rsid w:val="59487CD4"/>
    <w:rsid w:val="594A2AEB"/>
    <w:rsid w:val="595079D6"/>
    <w:rsid w:val="59787398"/>
    <w:rsid w:val="59AC6C4C"/>
    <w:rsid w:val="59D625D1"/>
    <w:rsid w:val="59F760A3"/>
    <w:rsid w:val="5A0013FC"/>
    <w:rsid w:val="5A116179"/>
    <w:rsid w:val="5A4F7C8D"/>
    <w:rsid w:val="5A5B4884"/>
    <w:rsid w:val="5A643376"/>
    <w:rsid w:val="5A6523F3"/>
    <w:rsid w:val="5A6B0EEF"/>
    <w:rsid w:val="5A747429"/>
    <w:rsid w:val="5A7C4F26"/>
    <w:rsid w:val="5A825130"/>
    <w:rsid w:val="5A8836A8"/>
    <w:rsid w:val="5A8C579E"/>
    <w:rsid w:val="5A9B29A5"/>
    <w:rsid w:val="5AA44CE5"/>
    <w:rsid w:val="5AB775BC"/>
    <w:rsid w:val="5AD90B92"/>
    <w:rsid w:val="5AE66844"/>
    <w:rsid w:val="5AEA3A70"/>
    <w:rsid w:val="5AF013CF"/>
    <w:rsid w:val="5AF81198"/>
    <w:rsid w:val="5B097C9D"/>
    <w:rsid w:val="5B1038C0"/>
    <w:rsid w:val="5B12188D"/>
    <w:rsid w:val="5B266C40"/>
    <w:rsid w:val="5B2D7FCE"/>
    <w:rsid w:val="5B3C3C97"/>
    <w:rsid w:val="5B5405FB"/>
    <w:rsid w:val="5B6F4A8B"/>
    <w:rsid w:val="5B834092"/>
    <w:rsid w:val="5B897168"/>
    <w:rsid w:val="5B995664"/>
    <w:rsid w:val="5BB55D3F"/>
    <w:rsid w:val="5BC37E11"/>
    <w:rsid w:val="5BD72AFC"/>
    <w:rsid w:val="5BDD49DB"/>
    <w:rsid w:val="5BF53766"/>
    <w:rsid w:val="5BF810FD"/>
    <w:rsid w:val="5C136587"/>
    <w:rsid w:val="5C15468A"/>
    <w:rsid w:val="5C1A7208"/>
    <w:rsid w:val="5C44048B"/>
    <w:rsid w:val="5C49708A"/>
    <w:rsid w:val="5C4A2849"/>
    <w:rsid w:val="5C6B34A4"/>
    <w:rsid w:val="5C7242C1"/>
    <w:rsid w:val="5C824737"/>
    <w:rsid w:val="5C9522CF"/>
    <w:rsid w:val="5CB974AD"/>
    <w:rsid w:val="5CC74453"/>
    <w:rsid w:val="5CCE3A33"/>
    <w:rsid w:val="5CD1347A"/>
    <w:rsid w:val="5CE0366C"/>
    <w:rsid w:val="5D215911"/>
    <w:rsid w:val="5D38775F"/>
    <w:rsid w:val="5D3A2E77"/>
    <w:rsid w:val="5D3F1174"/>
    <w:rsid w:val="5D940E92"/>
    <w:rsid w:val="5DCD75CB"/>
    <w:rsid w:val="5DD24E5D"/>
    <w:rsid w:val="5DE66B5A"/>
    <w:rsid w:val="5DE764D6"/>
    <w:rsid w:val="5E2C6E70"/>
    <w:rsid w:val="5E357973"/>
    <w:rsid w:val="5E3A20D5"/>
    <w:rsid w:val="5E3E06E5"/>
    <w:rsid w:val="5E4A533B"/>
    <w:rsid w:val="5E58443E"/>
    <w:rsid w:val="5E7D21B3"/>
    <w:rsid w:val="5E9E20FC"/>
    <w:rsid w:val="5EA07AA3"/>
    <w:rsid w:val="5EA7453C"/>
    <w:rsid w:val="5EA902B4"/>
    <w:rsid w:val="5EB56C59"/>
    <w:rsid w:val="5EBF5943"/>
    <w:rsid w:val="5F061262"/>
    <w:rsid w:val="5F07514A"/>
    <w:rsid w:val="5F08270F"/>
    <w:rsid w:val="5F2028E1"/>
    <w:rsid w:val="5F230066"/>
    <w:rsid w:val="5F280EC4"/>
    <w:rsid w:val="5F5F0972"/>
    <w:rsid w:val="5F604DF4"/>
    <w:rsid w:val="5F7721EF"/>
    <w:rsid w:val="5FAF36A8"/>
    <w:rsid w:val="5FB05672"/>
    <w:rsid w:val="5FE17F2A"/>
    <w:rsid w:val="602A4600"/>
    <w:rsid w:val="603B13E0"/>
    <w:rsid w:val="60420F9B"/>
    <w:rsid w:val="60511808"/>
    <w:rsid w:val="60634492"/>
    <w:rsid w:val="6085130E"/>
    <w:rsid w:val="60A94A39"/>
    <w:rsid w:val="60AA5E37"/>
    <w:rsid w:val="60B46A9C"/>
    <w:rsid w:val="60B5113E"/>
    <w:rsid w:val="60FC351A"/>
    <w:rsid w:val="61165853"/>
    <w:rsid w:val="61330309"/>
    <w:rsid w:val="6136553C"/>
    <w:rsid w:val="615056C3"/>
    <w:rsid w:val="61664963"/>
    <w:rsid w:val="617516A8"/>
    <w:rsid w:val="617D622B"/>
    <w:rsid w:val="618E3FCB"/>
    <w:rsid w:val="61A03F32"/>
    <w:rsid w:val="61B12374"/>
    <w:rsid w:val="61B21710"/>
    <w:rsid w:val="61B719C0"/>
    <w:rsid w:val="620A72BB"/>
    <w:rsid w:val="622D760F"/>
    <w:rsid w:val="623460E6"/>
    <w:rsid w:val="62446268"/>
    <w:rsid w:val="624535E4"/>
    <w:rsid w:val="624D53FA"/>
    <w:rsid w:val="62556CCF"/>
    <w:rsid w:val="62620291"/>
    <w:rsid w:val="62624CE8"/>
    <w:rsid w:val="626540D0"/>
    <w:rsid w:val="627666FF"/>
    <w:rsid w:val="628232F6"/>
    <w:rsid w:val="629F5CB0"/>
    <w:rsid w:val="62BD7CE4"/>
    <w:rsid w:val="62E11B73"/>
    <w:rsid w:val="62EE2D4B"/>
    <w:rsid w:val="6300421A"/>
    <w:rsid w:val="631A396D"/>
    <w:rsid w:val="631E0515"/>
    <w:rsid w:val="632E0D88"/>
    <w:rsid w:val="633C5749"/>
    <w:rsid w:val="635051A2"/>
    <w:rsid w:val="6353259C"/>
    <w:rsid w:val="636E5628"/>
    <w:rsid w:val="639F0C82"/>
    <w:rsid w:val="63AB76CB"/>
    <w:rsid w:val="63D610CC"/>
    <w:rsid w:val="63EA66F6"/>
    <w:rsid w:val="63F746BA"/>
    <w:rsid w:val="640D5EFB"/>
    <w:rsid w:val="641469B2"/>
    <w:rsid w:val="642E704C"/>
    <w:rsid w:val="643E12CC"/>
    <w:rsid w:val="64433F40"/>
    <w:rsid w:val="645A392E"/>
    <w:rsid w:val="64676364"/>
    <w:rsid w:val="646D768E"/>
    <w:rsid w:val="64967B7F"/>
    <w:rsid w:val="6497295D"/>
    <w:rsid w:val="64A97C0F"/>
    <w:rsid w:val="64AE04B2"/>
    <w:rsid w:val="64BD3832"/>
    <w:rsid w:val="64D63F0F"/>
    <w:rsid w:val="64E04304"/>
    <w:rsid w:val="651F027D"/>
    <w:rsid w:val="652E0C40"/>
    <w:rsid w:val="654523B9"/>
    <w:rsid w:val="654F7507"/>
    <w:rsid w:val="65646CE3"/>
    <w:rsid w:val="656662CE"/>
    <w:rsid w:val="65670E6D"/>
    <w:rsid w:val="65D35C16"/>
    <w:rsid w:val="65D774B5"/>
    <w:rsid w:val="65E1359C"/>
    <w:rsid w:val="65E903B7"/>
    <w:rsid w:val="65F74891"/>
    <w:rsid w:val="662D1964"/>
    <w:rsid w:val="662F5543"/>
    <w:rsid w:val="663E4758"/>
    <w:rsid w:val="664A412A"/>
    <w:rsid w:val="66517486"/>
    <w:rsid w:val="665925BF"/>
    <w:rsid w:val="66957780"/>
    <w:rsid w:val="669C06FE"/>
    <w:rsid w:val="66A01E20"/>
    <w:rsid w:val="66B04FFE"/>
    <w:rsid w:val="66BC5FE0"/>
    <w:rsid w:val="670B5E46"/>
    <w:rsid w:val="67236729"/>
    <w:rsid w:val="672E002D"/>
    <w:rsid w:val="67373964"/>
    <w:rsid w:val="677671A1"/>
    <w:rsid w:val="678216A2"/>
    <w:rsid w:val="6799184F"/>
    <w:rsid w:val="67992463"/>
    <w:rsid w:val="679F4F83"/>
    <w:rsid w:val="67CB3049"/>
    <w:rsid w:val="67D82672"/>
    <w:rsid w:val="67EB1865"/>
    <w:rsid w:val="680448CE"/>
    <w:rsid w:val="6813679E"/>
    <w:rsid w:val="681F4FFC"/>
    <w:rsid w:val="6824093F"/>
    <w:rsid w:val="686213F4"/>
    <w:rsid w:val="686E3734"/>
    <w:rsid w:val="6878047D"/>
    <w:rsid w:val="687D1247"/>
    <w:rsid w:val="68843A54"/>
    <w:rsid w:val="688F15F9"/>
    <w:rsid w:val="689C5D54"/>
    <w:rsid w:val="68A778D8"/>
    <w:rsid w:val="68D80739"/>
    <w:rsid w:val="68E66DF6"/>
    <w:rsid w:val="68F656F3"/>
    <w:rsid w:val="68FC6CDB"/>
    <w:rsid w:val="69001FB5"/>
    <w:rsid w:val="69204579"/>
    <w:rsid w:val="69676DA1"/>
    <w:rsid w:val="69782785"/>
    <w:rsid w:val="697964A0"/>
    <w:rsid w:val="699D0A15"/>
    <w:rsid w:val="69A1722F"/>
    <w:rsid w:val="69A21516"/>
    <w:rsid w:val="69A72ABF"/>
    <w:rsid w:val="69AC2A06"/>
    <w:rsid w:val="69B52FE2"/>
    <w:rsid w:val="69BB0E9B"/>
    <w:rsid w:val="69BE49D5"/>
    <w:rsid w:val="69C266CE"/>
    <w:rsid w:val="69DD1F80"/>
    <w:rsid w:val="69EE74C3"/>
    <w:rsid w:val="69F72CA8"/>
    <w:rsid w:val="69FD3262"/>
    <w:rsid w:val="6A065370"/>
    <w:rsid w:val="6A114F5F"/>
    <w:rsid w:val="6A284D1E"/>
    <w:rsid w:val="6A2F5622"/>
    <w:rsid w:val="6A531FDC"/>
    <w:rsid w:val="6A5C15A5"/>
    <w:rsid w:val="6A5E4190"/>
    <w:rsid w:val="6A6606D0"/>
    <w:rsid w:val="6A6C3978"/>
    <w:rsid w:val="6A7D0052"/>
    <w:rsid w:val="6A885221"/>
    <w:rsid w:val="6A887328"/>
    <w:rsid w:val="6A8D0A8A"/>
    <w:rsid w:val="6A935974"/>
    <w:rsid w:val="6A941E18"/>
    <w:rsid w:val="6AA06A0F"/>
    <w:rsid w:val="6AA638F9"/>
    <w:rsid w:val="6AA9572F"/>
    <w:rsid w:val="6ABE6E95"/>
    <w:rsid w:val="6AE47699"/>
    <w:rsid w:val="6AFB3C45"/>
    <w:rsid w:val="6B0625EA"/>
    <w:rsid w:val="6B106FC5"/>
    <w:rsid w:val="6B1D3BCB"/>
    <w:rsid w:val="6B2B174C"/>
    <w:rsid w:val="6B39476E"/>
    <w:rsid w:val="6B406C21"/>
    <w:rsid w:val="6B43739A"/>
    <w:rsid w:val="6B574937"/>
    <w:rsid w:val="6B7F69D2"/>
    <w:rsid w:val="6B8237AB"/>
    <w:rsid w:val="6B827EC3"/>
    <w:rsid w:val="6B981494"/>
    <w:rsid w:val="6BA35411"/>
    <w:rsid w:val="6BA41E2C"/>
    <w:rsid w:val="6BB77A32"/>
    <w:rsid w:val="6BCD0E53"/>
    <w:rsid w:val="6BD57C03"/>
    <w:rsid w:val="6C3D25C6"/>
    <w:rsid w:val="6C3E5445"/>
    <w:rsid w:val="6C467142"/>
    <w:rsid w:val="6C64057B"/>
    <w:rsid w:val="6C823EF2"/>
    <w:rsid w:val="6C88625E"/>
    <w:rsid w:val="6C9A02BA"/>
    <w:rsid w:val="6C9B1366"/>
    <w:rsid w:val="6CAB3449"/>
    <w:rsid w:val="6CBB610D"/>
    <w:rsid w:val="6CC07F10"/>
    <w:rsid w:val="6CC21310"/>
    <w:rsid w:val="6CD7423E"/>
    <w:rsid w:val="6CF802BA"/>
    <w:rsid w:val="6D0112BB"/>
    <w:rsid w:val="6D0A5080"/>
    <w:rsid w:val="6D0D1A0E"/>
    <w:rsid w:val="6D1D35F4"/>
    <w:rsid w:val="6D2E0A58"/>
    <w:rsid w:val="6D321474"/>
    <w:rsid w:val="6D332F1D"/>
    <w:rsid w:val="6D6E28A1"/>
    <w:rsid w:val="6D947AC3"/>
    <w:rsid w:val="6DB12017"/>
    <w:rsid w:val="6DB462B5"/>
    <w:rsid w:val="6DE44E65"/>
    <w:rsid w:val="6E1141A4"/>
    <w:rsid w:val="6E4A74F4"/>
    <w:rsid w:val="6E626132"/>
    <w:rsid w:val="6E654FC5"/>
    <w:rsid w:val="6E677844"/>
    <w:rsid w:val="6E9437BA"/>
    <w:rsid w:val="6EA36ACE"/>
    <w:rsid w:val="6EBC193D"/>
    <w:rsid w:val="6ECE1671"/>
    <w:rsid w:val="6ED50385"/>
    <w:rsid w:val="6EDF201F"/>
    <w:rsid w:val="6EE15CBE"/>
    <w:rsid w:val="6F067098"/>
    <w:rsid w:val="6F080338"/>
    <w:rsid w:val="6F11769C"/>
    <w:rsid w:val="6F1639B1"/>
    <w:rsid w:val="6F1A6664"/>
    <w:rsid w:val="6F215C44"/>
    <w:rsid w:val="6F2317E3"/>
    <w:rsid w:val="6F4F59D4"/>
    <w:rsid w:val="6F6124E5"/>
    <w:rsid w:val="6F712728"/>
    <w:rsid w:val="6F770DD6"/>
    <w:rsid w:val="6F775864"/>
    <w:rsid w:val="6F7B6FC4"/>
    <w:rsid w:val="6F8844C7"/>
    <w:rsid w:val="6F8F711D"/>
    <w:rsid w:val="6F997E18"/>
    <w:rsid w:val="6F9D4AB4"/>
    <w:rsid w:val="6FB21D83"/>
    <w:rsid w:val="6FB62251"/>
    <w:rsid w:val="6FC523EB"/>
    <w:rsid w:val="6FD71C4D"/>
    <w:rsid w:val="6FD76A3D"/>
    <w:rsid w:val="6FDE0311"/>
    <w:rsid w:val="6FE022B6"/>
    <w:rsid w:val="6FEE246B"/>
    <w:rsid w:val="6FF9096F"/>
    <w:rsid w:val="6FFD220E"/>
    <w:rsid w:val="700C5673"/>
    <w:rsid w:val="701337DF"/>
    <w:rsid w:val="702C664F"/>
    <w:rsid w:val="702E5347"/>
    <w:rsid w:val="702F388F"/>
    <w:rsid w:val="704D278A"/>
    <w:rsid w:val="706C4666"/>
    <w:rsid w:val="70717761"/>
    <w:rsid w:val="707A1AB0"/>
    <w:rsid w:val="707D6EAA"/>
    <w:rsid w:val="708A15C7"/>
    <w:rsid w:val="709B6886"/>
    <w:rsid w:val="70C9553C"/>
    <w:rsid w:val="70CB5E68"/>
    <w:rsid w:val="70D70CB1"/>
    <w:rsid w:val="70DE3ABD"/>
    <w:rsid w:val="70E41C98"/>
    <w:rsid w:val="70E673D9"/>
    <w:rsid w:val="70F514DC"/>
    <w:rsid w:val="71182845"/>
    <w:rsid w:val="71755DD4"/>
    <w:rsid w:val="717C7162"/>
    <w:rsid w:val="717D77DC"/>
    <w:rsid w:val="717F172E"/>
    <w:rsid w:val="718A5D23"/>
    <w:rsid w:val="71A17E25"/>
    <w:rsid w:val="71B40FF2"/>
    <w:rsid w:val="71BC3A9A"/>
    <w:rsid w:val="71BF367A"/>
    <w:rsid w:val="71CF489A"/>
    <w:rsid w:val="71EF3DD8"/>
    <w:rsid w:val="72013D96"/>
    <w:rsid w:val="721750DD"/>
    <w:rsid w:val="72287B01"/>
    <w:rsid w:val="72343EE1"/>
    <w:rsid w:val="723E08BB"/>
    <w:rsid w:val="7242215A"/>
    <w:rsid w:val="724A7260"/>
    <w:rsid w:val="726218A5"/>
    <w:rsid w:val="72853095"/>
    <w:rsid w:val="729D6F83"/>
    <w:rsid w:val="72A169BE"/>
    <w:rsid w:val="72A30264"/>
    <w:rsid w:val="72A40FB3"/>
    <w:rsid w:val="72BB1F0C"/>
    <w:rsid w:val="72BD760E"/>
    <w:rsid w:val="72CD6775"/>
    <w:rsid w:val="72D111A5"/>
    <w:rsid w:val="73025D8D"/>
    <w:rsid w:val="731A162D"/>
    <w:rsid w:val="732A48C9"/>
    <w:rsid w:val="734D53B5"/>
    <w:rsid w:val="73504D4A"/>
    <w:rsid w:val="73676811"/>
    <w:rsid w:val="73682094"/>
    <w:rsid w:val="736A630D"/>
    <w:rsid w:val="736C1812"/>
    <w:rsid w:val="73863CEF"/>
    <w:rsid w:val="739E27B8"/>
    <w:rsid w:val="73A10E32"/>
    <w:rsid w:val="73AD0352"/>
    <w:rsid w:val="73B47F66"/>
    <w:rsid w:val="73B726D3"/>
    <w:rsid w:val="73C25796"/>
    <w:rsid w:val="73D239B1"/>
    <w:rsid w:val="73E05DBB"/>
    <w:rsid w:val="73F10F26"/>
    <w:rsid w:val="73F202E0"/>
    <w:rsid w:val="740A250C"/>
    <w:rsid w:val="740B755E"/>
    <w:rsid w:val="74106863"/>
    <w:rsid w:val="74216634"/>
    <w:rsid w:val="7431366F"/>
    <w:rsid w:val="743D52CE"/>
    <w:rsid w:val="744476A9"/>
    <w:rsid w:val="74485B23"/>
    <w:rsid w:val="744A79EB"/>
    <w:rsid w:val="744F5002"/>
    <w:rsid w:val="74604AFE"/>
    <w:rsid w:val="74614436"/>
    <w:rsid w:val="746565D3"/>
    <w:rsid w:val="74757AE7"/>
    <w:rsid w:val="74872EB5"/>
    <w:rsid w:val="74A52E74"/>
    <w:rsid w:val="74A54E21"/>
    <w:rsid w:val="74B0081B"/>
    <w:rsid w:val="74BB4445"/>
    <w:rsid w:val="74BC72D7"/>
    <w:rsid w:val="74C2787E"/>
    <w:rsid w:val="74C921F9"/>
    <w:rsid w:val="74D06BDE"/>
    <w:rsid w:val="74DC1E43"/>
    <w:rsid w:val="74FE2A5F"/>
    <w:rsid w:val="750167A9"/>
    <w:rsid w:val="752C7D25"/>
    <w:rsid w:val="754B57C9"/>
    <w:rsid w:val="754E0E15"/>
    <w:rsid w:val="756A030B"/>
    <w:rsid w:val="75915DBC"/>
    <w:rsid w:val="759F78C3"/>
    <w:rsid w:val="75B20134"/>
    <w:rsid w:val="75B55338"/>
    <w:rsid w:val="75BA630A"/>
    <w:rsid w:val="75D07FED"/>
    <w:rsid w:val="75DA2D6F"/>
    <w:rsid w:val="75DD049E"/>
    <w:rsid w:val="75FC2F67"/>
    <w:rsid w:val="7645046A"/>
    <w:rsid w:val="76493E46"/>
    <w:rsid w:val="76525848"/>
    <w:rsid w:val="76613F7D"/>
    <w:rsid w:val="766A7ED1"/>
    <w:rsid w:val="76782867"/>
    <w:rsid w:val="76804B9D"/>
    <w:rsid w:val="76944E2C"/>
    <w:rsid w:val="76A365EB"/>
    <w:rsid w:val="76A875DD"/>
    <w:rsid w:val="76C07AF1"/>
    <w:rsid w:val="76D4241C"/>
    <w:rsid w:val="77171B2C"/>
    <w:rsid w:val="77353C07"/>
    <w:rsid w:val="77506126"/>
    <w:rsid w:val="777E3905"/>
    <w:rsid w:val="779C67B0"/>
    <w:rsid w:val="779D37F4"/>
    <w:rsid w:val="77A41230"/>
    <w:rsid w:val="77C17F69"/>
    <w:rsid w:val="77D505BF"/>
    <w:rsid w:val="77E7507A"/>
    <w:rsid w:val="77E92187"/>
    <w:rsid w:val="77EA751B"/>
    <w:rsid w:val="77FB25D4"/>
    <w:rsid w:val="78236A8E"/>
    <w:rsid w:val="78342545"/>
    <w:rsid w:val="783764D9"/>
    <w:rsid w:val="7856054D"/>
    <w:rsid w:val="788F1E71"/>
    <w:rsid w:val="78941235"/>
    <w:rsid w:val="78A47DD7"/>
    <w:rsid w:val="78A95879"/>
    <w:rsid w:val="78AF2513"/>
    <w:rsid w:val="78B813C8"/>
    <w:rsid w:val="78C31B1A"/>
    <w:rsid w:val="78DB3308"/>
    <w:rsid w:val="78E46FDB"/>
    <w:rsid w:val="78E64A6E"/>
    <w:rsid w:val="78ED02E6"/>
    <w:rsid w:val="78EF46BD"/>
    <w:rsid w:val="78F56A5E"/>
    <w:rsid w:val="78F56CE3"/>
    <w:rsid w:val="79115CB2"/>
    <w:rsid w:val="7943259B"/>
    <w:rsid w:val="79501600"/>
    <w:rsid w:val="796C2EC5"/>
    <w:rsid w:val="79711576"/>
    <w:rsid w:val="797157C7"/>
    <w:rsid w:val="797571F5"/>
    <w:rsid w:val="797F1EE5"/>
    <w:rsid w:val="799E363A"/>
    <w:rsid w:val="79A65926"/>
    <w:rsid w:val="79D81E6E"/>
    <w:rsid w:val="79DC7183"/>
    <w:rsid w:val="79E9735F"/>
    <w:rsid w:val="7A010B4C"/>
    <w:rsid w:val="7A08012D"/>
    <w:rsid w:val="7A150154"/>
    <w:rsid w:val="7A1A51A5"/>
    <w:rsid w:val="7A374F60"/>
    <w:rsid w:val="7A3915CB"/>
    <w:rsid w:val="7A5C5D83"/>
    <w:rsid w:val="7A6231C6"/>
    <w:rsid w:val="7A6B246A"/>
    <w:rsid w:val="7A792DD8"/>
    <w:rsid w:val="7A796935"/>
    <w:rsid w:val="7A7D7A76"/>
    <w:rsid w:val="7A8D418E"/>
    <w:rsid w:val="7AE31134"/>
    <w:rsid w:val="7AEE2624"/>
    <w:rsid w:val="7AF96E72"/>
    <w:rsid w:val="7AFD7566"/>
    <w:rsid w:val="7AFE25E8"/>
    <w:rsid w:val="7B205F71"/>
    <w:rsid w:val="7B4362CE"/>
    <w:rsid w:val="7B551150"/>
    <w:rsid w:val="7B574229"/>
    <w:rsid w:val="7B596E2B"/>
    <w:rsid w:val="7B5C2ED7"/>
    <w:rsid w:val="7B6C6499"/>
    <w:rsid w:val="7B6F7D36"/>
    <w:rsid w:val="7B7A6E08"/>
    <w:rsid w:val="7BA844F4"/>
    <w:rsid w:val="7BAE78E8"/>
    <w:rsid w:val="7BC6204D"/>
    <w:rsid w:val="7BD375DD"/>
    <w:rsid w:val="7BEB5709"/>
    <w:rsid w:val="7BEE2619"/>
    <w:rsid w:val="7BFC5A6F"/>
    <w:rsid w:val="7C0C1FD9"/>
    <w:rsid w:val="7C0E12FE"/>
    <w:rsid w:val="7C102992"/>
    <w:rsid w:val="7C12435F"/>
    <w:rsid w:val="7C127041"/>
    <w:rsid w:val="7C1F48E2"/>
    <w:rsid w:val="7C6B6751"/>
    <w:rsid w:val="7C9F0649"/>
    <w:rsid w:val="7CB309B1"/>
    <w:rsid w:val="7CB71996"/>
    <w:rsid w:val="7CBF6342"/>
    <w:rsid w:val="7CDD2A5A"/>
    <w:rsid w:val="7D0E20A1"/>
    <w:rsid w:val="7D1B7795"/>
    <w:rsid w:val="7D561BA5"/>
    <w:rsid w:val="7D580A83"/>
    <w:rsid w:val="7D621902"/>
    <w:rsid w:val="7D733B0F"/>
    <w:rsid w:val="7D746249"/>
    <w:rsid w:val="7D7E3DF9"/>
    <w:rsid w:val="7D870A88"/>
    <w:rsid w:val="7D957F29"/>
    <w:rsid w:val="7D9A6F5F"/>
    <w:rsid w:val="7D9D293A"/>
    <w:rsid w:val="7DB04C1B"/>
    <w:rsid w:val="7DB24114"/>
    <w:rsid w:val="7DC720AD"/>
    <w:rsid w:val="7DCE343B"/>
    <w:rsid w:val="7DCE7735"/>
    <w:rsid w:val="7DEC38C1"/>
    <w:rsid w:val="7DF72E41"/>
    <w:rsid w:val="7DF804B8"/>
    <w:rsid w:val="7E066BDD"/>
    <w:rsid w:val="7E4234E1"/>
    <w:rsid w:val="7E450CC9"/>
    <w:rsid w:val="7E492AC2"/>
    <w:rsid w:val="7E4B683A"/>
    <w:rsid w:val="7E66301C"/>
    <w:rsid w:val="7E663674"/>
    <w:rsid w:val="7E7A7358"/>
    <w:rsid w:val="7E832AB1"/>
    <w:rsid w:val="7EA12E39"/>
    <w:rsid w:val="7EAC0FD8"/>
    <w:rsid w:val="7EB22415"/>
    <w:rsid w:val="7EBB6508"/>
    <w:rsid w:val="7ECD0F86"/>
    <w:rsid w:val="7EDE76AE"/>
    <w:rsid w:val="7EF40C80"/>
    <w:rsid w:val="7EF93EB2"/>
    <w:rsid w:val="7F1B15E4"/>
    <w:rsid w:val="7F1E7AAB"/>
    <w:rsid w:val="7F264F79"/>
    <w:rsid w:val="7F2D2714"/>
    <w:rsid w:val="7F2D5F40"/>
    <w:rsid w:val="7F3134E2"/>
    <w:rsid w:val="7F345520"/>
    <w:rsid w:val="7F3A208E"/>
    <w:rsid w:val="7F3C4DA6"/>
    <w:rsid w:val="7F7122D0"/>
    <w:rsid w:val="7F936601"/>
    <w:rsid w:val="7FA759E7"/>
    <w:rsid w:val="7FB51C5B"/>
    <w:rsid w:val="7FBA5C12"/>
    <w:rsid w:val="7FC5261C"/>
    <w:rsid w:val="7FC90A42"/>
    <w:rsid w:val="7FD12D6F"/>
    <w:rsid w:val="7FF3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0"/>
    <w:qFormat/>
    <w:uiPriority w:val="0"/>
    <w:pPr>
      <w:keepNext/>
      <w:keepLines/>
      <w:spacing w:before="50" w:beforeLines="50" w:after="50" w:afterLines="50" w:line="360" w:lineRule="auto"/>
      <w:jc w:val="center"/>
      <w:outlineLvl w:val="0"/>
    </w:pPr>
    <w:rPr>
      <w:b/>
      <w:bCs/>
      <w:kern w:val="44"/>
      <w:sz w:val="32"/>
      <w:szCs w:val="44"/>
    </w:rPr>
  </w:style>
  <w:style w:type="paragraph" w:styleId="6">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8">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bCs/>
      <w:sz w:val="24"/>
    </w:rPr>
  </w:style>
  <w:style w:type="paragraph" w:styleId="3">
    <w:name w:val="Body Text"/>
    <w:basedOn w:val="1"/>
    <w:next w:val="1"/>
    <w:qFormat/>
    <w:uiPriority w:val="0"/>
    <w:pPr>
      <w:spacing w:after="120"/>
    </w:pPr>
    <w:rPr>
      <w:sz w:val="28"/>
    </w:rPr>
  </w:style>
  <w:style w:type="paragraph" w:styleId="4">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9">
    <w:name w:val="Normal Indent"/>
    <w:basedOn w:val="1"/>
    <w:next w:val="1"/>
    <w:link w:val="41"/>
    <w:qFormat/>
    <w:uiPriority w:val="0"/>
    <w:pPr>
      <w:ind w:firstLine="420"/>
    </w:pPr>
    <w:rPr>
      <w:szCs w:val="20"/>
    </w:rPr>
  </w:style>
  <w:style w:type="paragraph" w:styleId="10">
    <w:name w:val="index 5"/>
    <w:basedOn w:val="1"/>
    <w:next w:val="1"/>
    <w:qFormat/>
    <w:uiPriority w:val="0"/>
    <w:pPr>
      <w:ind w:left="800" w:leftChars="800"/>
    </w:pPr>
  </w:style>
  <w:style w:type="paragraph" w:styleId="11">
    <w:name w:val="annotation text"/>
    <w:basedOn w:val="1"/>
    <w:link w:val="42"/>
    <w:qFormat/>
    <w:uiPriority w:val="0"/>
    <w:pPr>
      <w:jc w:val="left"/>
    </w:pPr>
  </w:style>
  <w:style w:type="paragraph" w:styleId="12">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13">
    <w:name w:val="List Number 3"/>
    <w:basedOn w:val="1"/>
    <w:qFormat/>
    <w:uiPriority w:val="0"/>
    <w:pPr>
      <w:numPr>
        <w:ilvl w:val="0"/>
        <w:numId w:val="1"/>
      </w:numPr>
    </w:pPr>
  </w:style>
  <w:style w:type="paragraph" w:styleId="14">
    <w:name w:val="List Bullet 2"/>
    <w:basedOn w:val="1"/>
    <w:qFormat/>
    <w:uiPriority w:val="0"/>
    <w:pPr>
      <w:numPr>
        <w:ilvl w:val="0"/>
        <w:numId w:val="2"/>
      </w:numPr>
    </w:pPr>
  </w:style>
  <w:style w:type="paragraph" w:styleId="15">
    <w:name w:val="toc 3"/>
    <w:basedOn w:val="1"/>
    <w:next w:val="1"/>
    <w:qFormat/>
    <w:uiPriority w:val="39"/>
    <w:pPr>
      <w:ind w:left="840" w:leftChars="400"/>
    </w:pPr>
  </w:style>
  <w:style w:type="paragraph" w:styleId="16">
    <w:name w:val="Plain Text"/>
    <w:basedOn w:val="1"/>
    <w:link w:val="43"/>
    <w:qFormat/>
    <w:uiPriority w:val="0"/>
    <w:pPr>
      <w:widowControl/>
      <w:spacing w:before="100" w:beforeAutospacing="1" w:after="100" w:afterAutospacing="1"/>
      <w:jc w:val="left"/>
    </w:pPr>
    <w:rPr>
      <w:rFonts w:ascii="宋体" w:hAnsi="宋体"/>
      <w:kern w:val="0"/>
      <w:sz w:val="24"/>
    </w:rPr>
  </w:style>
  <w:style w:type="paragraph" w:styleId="17">
    <w:name w:val="Date"/>
    <w:basedOn w:val="1"/>
    <w:next w:val="1"/>
    <w:link w:val="44"/>
    <w:qFormat/>
    <w:uiPriority w:val="0"/>
    <w:pPr>
      <w:widowControl/>
      <w:spacing w:before="100" w:beforeAutospacing="1" w:after="100" w:afterAutospacing="1"/>
      <w:jc w:val="left"/>
    </w:pPr>
    <w:rPr>
      <w:rFonts w:ascii="宋体" w:hAnsi="宋体"/>
      <w:kern w:val="0"/>
      <w:sz w:val="24"/>
    </w:rPr>
  </w:style>
  <w:style w:type="paragraph" w:styleId="18">
    <w:name w:val="Body Text Indent 2"/>
    <w:basedOn w:val="1"/>
    <w:link w:val="45"/>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494"/>
      </w:tabs>
    </w:pPr>
    <w:rPr>
      <w:rFonts w:ascii="宋体" w:hAnsi="宋体"/>
      <w:sz w:val="32"/>
    </w:rPr>
  </w:style>
  <w:style w:type="paragraph" w:styleId="2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4">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5">
    <w:name w:val="toc 2"/>
    <w:basedOn w:val="1"/>
    <w:next w:val="1"/>
    <w:qFormat/>
    <w:uiPriority w:val="39"/>
    <w:pPr>
      <w:tabs>
        <w:tab w:val="right" w:leader="dot" w:pos="8494"/>
      </w:tabs>
    </w:pPr>
    <w:rPr>
      <w:sz w:val="30"/>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rPr>
  </w:style>
  <w:style w:type="paragraph" w:styleId="27">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28">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annotation subject"/>
    <w:basedOn w:val="11"/>
    <w:next w:val="11"/>
    <w:link w:val="48"/>
    <w:qFormat/>
    <w:uiPriority w:val="0"/>
    <w:rPr>
      <w:b/>
      <w:bCs/>
    </w:rPr>
  </w:style>
  <w:style w:type="paragraph" w:styleId="30">
    <w:name w:val="Body Text First Indent 2"/>
    <w:basedOn w:val="12"/>
    <w:qFormat/>
    <w:uiPriority w:val="0"/>
    <w:pPr>
      <w:spacing w:after="120"/>
      <w:ind w:left="420" w:leftChars="200" w:firstLine="420" w:firstLineChars="200"/>
    </w:pPr>
    <w:rPr>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0"/>
    <w:rPr>
      <w:color w:val="800080"/>
      <w:u w:val="none"/>
    </w:rPr>
  </w:style>
  <w:style w:type="character" w:styleId="37">
    <w:name w:val="Hyperlink"/>
    <w:qFormat/>
    <w:uiPriority w:val="99"/>
    <w:rPr>
      <w:color w:val="0000FF"/>
      <w:u w:val="none"/>
    </w:rPr>
  </w:style>
  <w:style w:type="character" w:styleId="38">
    <w:name w:val="annotation reference"/>
    <w:qFormat/>
    <w:uiPriority w:val="0"/>
    <w:rPr>
      <w:sz w:val="21"/>
      <w:szCs w:val="21"/>
    </w:rPr>
  </w:style>
  <w:style w:type="character" w:customStyle="1" w:styleId="39">
    <w:name w:val="标题 2 字符"/>
    <w:link w:val="6"/>
    <w:qFormat/>
    <w:uiPriority w:val="0"/>
    <w:rPr>
      <w:rFonts w:ascii="Arial" w:hAnsi="Arial" w:eastAsia="黑体"/>
      <w:b/>
      <w:bCs/>
      <w:kern w:val="2"/>
      <w:sz w:val="32"/>
      <w:szCs w:val="32"/>
    </w:rPr>
  </w:style>
  <w:style w:type="character" w:customStyle="1" w:styleId="40">
    <w:name w:val="标题 1 字符"/>
    <w:link w:val="5"/>
    <w:qFormat/>
    <w:uiPriority w:val="0"/>
    <w:rPr>
      <w:rFonts w:ascii="Times New Roman" w:hAnsi="Times New Roman" w:eastAsia="宋体"/>
      <w:b/>
      <w:bCs/>
      <w:kern w:val="44"/>
      <w:sz w:val="32"/>
      <w:szCs w:val="44"/>
    </w:rPr>
  </w:style>
  <w:style w:type="character" w:customStyle="1" w:styleId="41">
    <w:name w:val="正文缩进 字符"/>
    <w:link w:val="9"/>
    <w:qFormat/>
    <w:uiPriority w:val="0"/>
    <w:rPr>
      <w:kern w:val="2"/>
      <w:sz w:val="21"/>
    </w:rPr>
  </w:style>
  <w:style w:type="character" w:customStyle="1" w:styleId="42">
    <w:name w:val="批注文字 字符"/>
    <w:link w:val="11"/>
    <w:qFormat/>
    <w:uiPriority w:val="0"/>
    <w:rPr>
      <w:kern w:val="2"/>
      <w:sz w:val="21"/>
      <w:szCs w:val="24"/>
    </w:rPr>
  </w:style>
  <w:style w:type="character" w:customStyle="1" w:styleId="43">
    <w:name w:val="纯文本 字符"/>
    <w:link w:val="16"/>
    <w:qFormat/>
    <w:uiPriority w:val="0"/>
    <w:rPr>
      <w:rFonts w:ascii="宋体" w:hAnsi="宋体" w:cs="宋体"/>
      <w:sz w:val="24"/>
      <w:szCs w:val="24"/>
    </w:rPr>
  </w:style>
  <w:style w:type="character" w:customStyle="1" w:styleId="44">
    <w:name w:val="日期 字符"/>
    <w:link w:val="17"/>
    <w:qFormat/>
    <w:uiPriority w:val="0"/>
    <w:rPr>
      <w:rFonts w:ascii="宋体" w:hAnsi="宋体" w:cs="宋体"/>
      <w:sz w:val="24"/>
      <w:szCs w:val="24"/>
    </w:rPr>
  </w:style>
  <w:style w:type="character" w:customStyle="1" w:styleId="45">
    <w:name w:val="正文文本缩进 2 字符"/>
    <w:link w:val="18"/>
    <w:qFormat/>
    <w:uiPriority w:val="0"/>
    <w:rPr>
      <w:kern w:val="2"/>
      <w:sz w:val="21"/>
      <w:szCs w:val="24"/>
    </w:rPr>
  </w:style>
  <w:style w:type="character" w:customStyle="1" w:styleId="46">
    <w:name w:val="页脚 字符"/>
    <w:link w:val="20"/>
    <w:qFormat/>
    <w:uiPriority w:val="99"/>
    <w:rPr>
      <w:kern w:val="2"/>
      <w:sz w:val="18"/>
      <w:szCs w:val="18"/>
    </w:rPr>
  </w:style>
  <w:style w:type="character" w:customStyle="1" w:styleId="47">
    <w:name w:val="页眉 字符"/>
    <w:link w:val="21"/>
    <w:qFormat/>
    <w:uiPriority w:val="99"/>
    <w:rPr>
      <w:kern w:val="2"/>
      <w:sz w:val="18"/>
      <w:szCs w:val="18"/>
    </w:rPr>
  </w:style>
  <w:style w:type="character" w:customStyle="1" w:styleId="48">
    <w:name w:val="批注主题 字符"/>
    <w:link w:val="29"/>
    <w:qFormat/>
    <w:uiPriority w:val="0"/>
    <w:rPr>
      <w:b/>
      <w:bCs/>
      <w:kern w:val="2"/>
      <w:sz w:val="21"/>
      <w:szCs w:val="24"/>
    </w:rPr>
  </w:style>
  <w:style w:type="paragraph" w:customStyle="1" w:styleId="49">
    <w:name w:val="Default"/>
    <w:next w:val="1"/>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customStyle="1" w:styleId="50">
    <w:name w:val="正文1"/>
    <w:basedOn w:val="15"/>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51">
    <w:name w:val="无间隔 字符"/>
    <w:link w:val="52"/>
    <w:qFormat/>
    <w:uiPriority w:val="1"/>
    <w:rPr>
      <w:sz w:val="22"/>
      <w:szCs w:val="22"/>
      <w:lang w:val="en-US" w:eastAsia="zh-CN" w:bidi="ar-SA"/>
    </w:rPr>
  </w:style>
  <w:style w:type="paragraph" w:styleId="52">
    <w:name w:val="No Spacing"/>
    <w:link w:val="51"/>
    <w:qFormat/>
    <w:uiPriority w:val="1"/>
    <w:rPr>
      <w:rFonts w:ascii="Times New Roman" w:hAnsi="Times New Roman" w:eastAsia="宋体" w:cs="Times New Roman"/>
      <w:sz w:val="22"/>
      <w:szCs w:val="22"/>
      <w:lang w:val="en-US" w:eastAsia="zh-CN" w:bidi="ar-SA"/>
    </w:rPr>
  </w:style>
  <w:style w:type="character" w:customStyle="1" w:styleId="53">
    <w:name w:val="NormalCharacter"/>
    <w:qFormat/>
    <w:uiPriority w:val="0"/>
    <w:rPr>
      <w:rFonts w:ascii="Times New Roman" w:hAnsi="Times New Roman" w:eastAsia="宋体"/>
      <w:lang w:val="en-US"/>
    </w:rPr>
  </w:style>
  <w:style w:type="character" w:customStyle="1" w:styleId="54">
    <w:name w:val="纯文本 Char1"/>
    <w:qFormat/>
    <w:uiPriority w:val="0"/>
    <w:rPr>
      <w:rFonts w:ascii="宋体" w:hAnsi="Courier New" w:eastAsia="宋体"/>
      <w:kern w:val="2"/>
      <w:sz w:val="24"/>
      <w:szCs w:val="24"/>
      <w:lang w:val="en-US" w:eastAsia="zh-CN" w:bidi="ar-SA"/>
    </w:rPr>
  </w:style>
  <w:style w:type="character" w:customStyle="1" w:styleId="55">
    <w:name w:val="标题1 Char"/>
    <w:link w:val="56"/>
    <w:qFormat/>
    <w:uiPriority w:val="0"/>
    <w:rPr>
      <w:rFonts w:ascii="宋体" w:hAnsi="Courier New"/>
      <w:b/>
      <w:sz w:val="30"/>
      <w:szCs w:val="21"/>
    </w:rPr>
  </w:style>
  <w:style w:type="paragraph" w:customStyle="1" w:styleId="56">
    <w:name w:val="标题1"/>
    <w:basedOn w:val="1"/>
    <w:link w:val="55"/>
    <w:qFormat/>
    <w:uiPriority w:val="0"/>
    <w:pPr>
      <w:spacing w:line="360" w:lineRule="auto"/>
    </w:pPr>
    <w:rPr>
      <w:rFonts w:ascii="宋体" w:hAnsi="Courier New"/>
      <w:b/>
      <w:kern w:val="0"/>
      <w:sz w:val="30"/>
      <w:szCs w:val="21"/>
    </w:rPr>
  </w:style>
  <w:style w:type="paragraph" w:customStyle="1" w:styleId="57">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8">
    <w:name w:val="Char"/>
    <w:basedOn w:val="1"/>
    <w:qFormat/>
    <w:uiPriority w:val="0"/>
    <w:pPr>
      <w:tabs>
        <w:tab w:val="left" w:pos="420"/>
      </w:tabs>
      <w:ind w:left="420" w:hanging="420"/>
    </w:pPr>
  </w:style>
  <w:style w:type="paragraph" w:customStyle="1" w:styleId="59">
    <w:name w:val="List Paragraph1"/>
    <w:basedOn w:val="1"/>
    <w:next w:val="60"/>
    <w:unhideWhenUsed/>
    <w:qFormat/>
    <w:uiPriority w:val="99"/>
    <w:pPr>
      <w:ind w:firstLine="420" w:firstLineChars="200"/>
    </w:pPr>
  </w:style>
  <w:style w:type="paragraph" w:customStyle="1" w:styleId="60">
    <w:name w:val="彩色列表1"/>
    <w:basedOn w:val="1"/>
    <w:next w:val="9"/>
    <w:qFormat/>
    <w:uiPriority w:val="0"/>
    <w:pPr>
      <w:ind w:left="420" w:firstLine="3748"/>
    </w:pPr>
  </w:style>
  <w:style w:type="paragraph" w:customStyle="1" w:styleId="61">
    <w:name w:val="正文段"/>
    <w:basedOn w:val="1"/>
    <w:next w:val="10"/>
    <w:qFormat/>
    <w:uiPriority w:val="0"/>
    <w:pPr>
      <w:widowControl/>
      <w:snapToGrid w:val="0"/>
      <w:spacing w:after="156" w:afterLines="50"/>
      <w:ind w:firstLine="200" w:firstLineChars="200"/>
    </w:pPr>
    <w:rPr>
      <w:sz w:val="24"/>
      <w:szCs w:val="20"/>
    </w:rPr>
  </w:style>
  <w:style w:type="paragraph" w:styleId="62">
    <w:name w:val="List Paragraph"/>
    <w:basedOn w:val="1"/>
    <w:qFormat/>
    <w:uiPriority w:val="34"/>
    <w:pPr>
      <w:ind w:firstLine="420" w:firstLineChars="200"/>
    </w:pPr>
  </w:style>
  <w:style w:type="paragraph" w:customStyle="1" w:styleId="63">
    <w:name w:val="此正文"/>
    <w:basedOn w:val="1"/>
    <w:qFormat/>
    <w:uiPriority w:val="0"/>
    <w:pPr>
      <w:spacing w:line="360" w:lineRule="auto"/>
      <w:ind w:firstLine="200" w:firstLineChars="200"/>
    </w:pPr>
    <w:rPr>
      <w:sz w:val="24"/>
      <w:szCs w:val="20"/>
    </w:rPr>
  </w:style>
  <w:style w:type="paragraph" w:customStyle="1" w:styleId="64">
    <w:name w:val="列出段落111"/>
    <w:basedOn w:val="1"/>
    <w:qFormat/>
    <w:uiPriority w:val="99"/>
    <w:pPr>
      <w:ind w:firstLine="420" w:firstLineChars="200"/>
    </w:pPr>
    <w:rPr>
      <w:rFonts w:ascii="Calibri" w:hAnsi="Calibri" w:eastAsia="仿宋_GB2312" w:cs="仿宋_GB2312"/>
      <w:b/>
      <w:spacing w:val="4"/>
      <w:sz w:val="24"/>
    </w:rPr>
  </w:style>
  <w:style w:type="paragraph" w:customStyle="1" w:styleId="6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66">
    <w:name w:val="列出段落1"/>
    <w:basedOn w:val="1"/>
    <w:qFormat/>
    <w:uiPriority w:val="34"/>
    <w:pPr>
      <w:ind w:firstLine="420" w:firstLineChars="200"/>
    </w:pPr>
  </w:style>
  <w:style w:type="paragraph" w:customStyle="1" w:styleId="67">
    <w:name w:val="Table Paragraph"/>
    <w:basedOn w:val="1"/>
    <w:qFormat/>
    <w:uiPriority w:val="1"/>
    <w:pPr>
      <w:jc w:val="left"/>
    </w:pPr>
    <w:rPr>
      <w:rFonts w:ascii="等线" w:hAnsi="等线" w:eastAsia="等线"/>
      <w:kern w:val="0"/>
      <w:sz w:val="22"/>
      <w:szCs w:val="22"/>
      <w:lang w:eastAsia="en-US"/>
    </w:rPr>
  </w:style>
  <w:style w:type="paragraph" w:customStyle="1" w:styleId="68">
    <w:name w:val="L正文"/>
    <w:basedOn w:val="1"/>
    <w:qFormat/>
    <w:uiPriority w:val="0"/>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列出段落2"/>
    <w:basedOn w:val="1"/>
    <w:qFormat/>
    <w:uiPriority w:val="34"/>
    <w:pPr>
      <w:ind w:firstLine="420" w:firstLineChars="200"/>
    </w:pPr>
  </w:style>
  <w:style w:type="paragraph" w:customStyle="1" w:styleId="71">
    <w:name w:val="Char Char Char"/>
    <w:basedOn w:val="1"/>
    <w:qFormat/>
    <w:uiPriority w:val="0"/>
    <w:rPr>
      <w:rFonts w:ascii="Tahoma" w:hAnsi="Tahoma"/>
      <w:sz w:val="24"/>
      <w:szCs w:val="20"/>
    </w:rPr>
  </w:style>
  <w:style w:type="paragraph" w:customStyle="1" w:styleId="72">
    <w:name w:val="表格文字"/>
    <w:basedOn w:val="1"/>
    <w:next w:val="3"/>
    <w:qFormat/>
    <w:uiPriority w:val="0"/>
    <w:pPr>
      <w:adjustRightInd w:val="0"/>
      <w:spacing w:line="420" w:lineRule="atLeast"/>
      <w:jc w:val="left"/>
      <w:textAlignment w:val="baseline"/>
    </w:pPr>
    <w:rPr>
      <w:kern w:val="0"/>
    </w:rPr>
  </w:style>
  <w:style w:type="paragraph" w:customStyle="1" w:styleId="73">
    <w:name w:val="[Normal]"/>
    <w:qFormat/>
    <w:uiPriority w:val="0"/>
    <w:rPr>
      <w:rFonts w:ascii="宋体" w:hAnsi="宋体" w:eastAsia="宋体" w:cs="Times New Roman"/>
      <w:sz w:val="24"/>
      <w:szCs w:val="22"/>
      <w:lang w:val="zh-CN" w:eastAsia="zh-CN" w:bidi="ar-SA"/>
    </w:rPr>
  </w:style>
  <w:style w:type="paragraph" w:customStyle="1" w:styleId="74">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75">
    <w:name w:val="*正文"/>
    <w:basedOn w:val="1"/>
    <w:qFormat/>
    <w:uiPriority w:val="0"/>
    <w:pPr>
      <w:widowControl/>
      <w:spacing w:line="360" w:lineRule="auto"/>
      <w:ind w:firstLine="480" w:firstLineChars="200"/>
    </w:pPr>
    <w:rPr>
      <w:rFonts w:ascii="仿宋_GB2312" w:hAnsi="Calibri"/>
      <w:sz w:val="24"/>
      <w:szCs w:val="28"/>
    </w:rPr>
  </w:style>
  <w:style w:type="paragraph" w:customStyle="1" w:styleId="76">
    <w:name w:val="A正文"/>
    <w:basedOn w:val="1"/>
    <w:qFormat/>
    <w:uiPriority w:val="0"/>
    <w:pPr>
      <w:suppressAutoHyphens/>
      <w:autoSpaceDE w:val="0"/>
      <w:autoSpaceDN w:val="0"/>
      <w:adjustRightInd w:val="0"/>
      <w:spacing w:line="360" w:lineRule="auto"/>
      <w:ind w:firstLine="480" w:firstLineChars="200"/>
    </w:pPr>
    <w:rPr>
      <w:kern w:val="0"/>
      <w:sz w:val="24"/>
    </w:rPr>
  </w:style>
  <w:style w:type="paragraph" w:customStyle="1" w:styleId="77">
    <w:name w:val="表格内容"/>
    <w:basedOn w:val="3"/>
    <w:qFormat/>
    <w:uiPriority w:val="2"/>
    <w:pPr>
      <w:suppressLineNumbers/>
      <w:suppressAutoHyphens/>
    </w:pPr>
    <w:rPr>
      <w:kern w:val="1"/>
      <w:lang w:eastAsia="ar-SA"/>
    </w:rPr>
  </w:style>
  <w:style w:type="paragraph" w:customStyle="1" w:styleId="78">
    <w:name w:val="0-正文"/>
    <w:basedOn w:val="1"/>
    <w:qFormat/>
    <w:uiPriority w:val="0"/>
    <w:pPr>
      <w:spacing w:line="360" w:lineRule="auto"/>
      <w:ind w:firstLine="420" w:firstLineChars="200"/>
    </w:pPr>
    <w:rPr>
      <w:rFonts w:ascii="汉仪仿宋简" w:hAnsi="仿宋"/>
      <w:kern w:val="0"/>
      <w:sz w:val="24"/>
      <w:szCs w:val="28"/>
    </w:rPr>
  </w:style>
  <w:style w:type="paragraph" w:customStyle="1" w:styleId="79">
    <w:name w:val="Table Text"/>
    <w:basedOn w:val="1"/>
    <w:semiHidden/>
    <w:qFormat/>
    <w:uiPriority w:val="0"/>
    <w:rPr>
      <w:rFonts w:ascii="宋体" w:hAnsi="宋体" w:cs="宋体"/>
      <w:sz w:val="24"/>
      <w:lang w:eastAsia="en-US"/>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目录 91"/>
    <w:next w:val="1"/>
    <w:qFormat/>
    <w:uiPriority w:val="0"/>
    <w:pPr>
      <w:wordWrap w:val="0"/>
      <w:ind w:left="3400"/>
      <w:jc w:val="both"/>
    </w:pPr>
    <w:rPr>
      <w:rFonts w:ascii="宋体" w:hAnsi="宋体" w:eastAsia="Times New Roman" w:cs="Times New Roman"/>
      <w:sz w:val="21"/>
      <w:lang w:val="en-US" w:eastAsia="zh-CN" w:bidi="ar-SA"/>
    </w:rPr>
  </w:style>
  <w:style w:type="character" w:customStyle="1" w:styleId="82">
    <w:name w:val="font11"/>
    <w:basedOn w:val="33"/>
    <w:qFormat/>
    <w:uiPriority w:val="0"/>
    <w:rPr>
      <w:rFonts w:hint="default" w:ascii="MingLiU" w:hAnsi="MingLiU" w:eastAsia="MingLiU" w:cs="MingLiU"/>
      <w:color w:val="000000"/>
      <w:sz w:val="18"/>
      <w:szCs w:val="18"/>
      <w:u w:val="none"/>
    </w:rPr>
  </w:style>
  <w:style w:type="character" w:customStyle="1" w:styleId="83">
    <w:name w:val="font21"/>
    <w:basedOn w:val="33"/>
    <w:qFormat/>
    <w:uiPriority w:val="0"/>
    <w:rPr>
      <w:rFonts w:hint="default" w:ascii="MingLiU" w:hAnsi="MingLiU" w:eastAsia="MingLiU" w:cs="MingLiU"/>
      <w:color w:val="000000"/>
      <w:sz w:val="18"/>
      <w:szCs w:val="18"/>
      <w:u w:val="none"/>
    </w:rPr>
  </w:style>
  <w:style w:type="character" w:customStyle="1" w:styleId="84">
    <w:name w:val="font51"/>
    <w:basedOn w:val="33"/>
    <w:qFormat/>
    <w:uiPriority w:val="0"/>
    <w:rPr>
      <w:rFonts w:hint="default" w:ascii="Times New Roman" w:hAnsi="Times New Roman" w:cs="Times New Roman"/>
      <w:b/>
      <w:color w:val="000000"/>
      <w:sz w:val="20"/>
      <w:szCs w:val="20"/>
      <w:u w:val="none"/>
    </w:rPr>
  </w:style>
  <w:style w:type="character" w:customStyle="1" w:styleId="85">
    <w:name w:val="font31"/>
    <w:basedOn w:val="33"/>
    <w:qFormat/>
    <w:uiPriority w:val="0"/>
    <w:rPr>
      <w:rFonts w:hint="default" w:ascii="Times New Roman" w:hAnsi="Times New Roman" w:cs="Times New Roman"/>
      <w:color w:val="000000"/>
      <w:sz w:val="22"/>
      <w:szCs w:val="22"/>
      <w:u w:val="none"/>
    </w:rPr>
  </w:style>
  <w:style w:type="character" w:customStyle="1" w:styleId="86">
    <w:name w:val="font41"/>
    <w:basedOn w:val="33"/>
    <w:qFormat/>
    <w:uiPriority w:val="0"/>
    <w:rPr>
      <w:rFonts w:hint="default" w:ascii="Times New Roman" w:hAnsi="Times New Roman" w:cs="Times New Roman"/>
      <w:color w:val="000000"/>
      <w:sz w:val="18"/>
      <w:szCs w:val="18"/>
      <w:u w:val="none"/>
      <w:vertAlign w:val="superscript"/>
    </w:rPr>
  </w:style>
  <w:style w:type="paragraph" w:customStyle="1" w:styleId="87">
    <w:name w:val="正文-公1"/>
    <w:basedOn w:val="1"/>
    <w:unhideWhenUsed/>
    <w:qFormat/>
    <w:uiPriority w:val="0"/>
    <w:pPr>
      <w:ind w:firstLine="200" w:firstLineChars="200"/>
    </w:pPr>
  </w:style>
  <w:style w:type="paragraph" w:customStyle="1" w:styleId="88">
    <w:name w:val="列表段落1"/>
    <w:basedOn w:val="1"/>
    <w:qFormat/>
    <w:uiPriority w:val="34"/>
    <w:pPr>
      <w:ind w:firstLine="420"/>
    </w:pPr>
  </w:style>
  <w:style w:type="paragraph" w:customStyle="1" w:styleId="89">
    <w:name w:val="纯文本11"/>
    <w:basedOn w:val="50"/>
    <w:qFormat/>
    <w:uiPriority w:val="99"/>
    <w:pPr>
      <w:spacing w:beforeLines="50" w:afterLines="50" w:line="400" w:lineRule="exact"/>
    </w:pPr>
    <w:rPr>
      <w:rFonts w:ascii="宋体"/>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3536</Words>
  <Characters>4084</Characters>
  <Lines>291</Lines>
  <Paragraphs>81</Paragraphs>
  <TotalTime>132</TotalTime>
  <ScaleCrop>false</ScaleCrop>
  <LinksUpToDate>false</LinksUpToDate>
  <CharactersWithSpaces>4199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2024-11-29T06:13:00Z</dcterms:created>
  <dc:creator>Administrator</dc:creator>
  <cp:lastModifiedBy>WPS_1540348732</cp:lastModifiedBy>
  <cp:lastPrinted>2025-05-09T01:38:00Z</cp:lastPrinted>
  <dcterms:modified xsi:type="dcterms:W3CDTF">2025-06-30T09:48:59Z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B4D1766A3FAA42A791FD85509606B0AF_13</vt:lpwstr>
  </property>
  <property fmtid="{D5CDD505-2E9C-101B-9397-08002B2CF9AE}" pid="4" name="KSOTemplateDocerSaveRecord">
    <vt:lpwstr>eyJoZGlkIjoiNGZjNWUyMTQyNWYxMjhkMmU1NjU0YzE4NDJmM2EzMjEiLCJ1c2VySWQiOiI0MjAxNDEwODYifQ==</vt:lpwstr>
  </property>
</Properties>
</file>