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宋体" w:hAnsi="宋体"/>
          <w:b/>
          <w:sz w:val="48"/>
          <w:szCs w:val="48"/>
        </w:rPr>
      </w:pPr>
      <w:bookmarkStart w:id="16" w:name="_GoBack"/>
      <w:bookmarkEnd w:id="16"/>
      <w:r>
        <w:rPr>
          <w:rFonts w:hint="eastAsia" w:ascii="宋体" w:hAnsi="宋体"/>
          <w:b/>
          <w:sz w:val="48"/>
          <w:szCs w:val="48"/>
        </w:rPr>
        <w:t>安吉县公安局交通警察大队</w:t>
      </w:r>
      <w:r>
        <w:rPr>
          <w:rFonts w:hint="eastAsia" w:ascii="宋体" w:hAnsi="宋体"/>
          <w:b/>
          <w:sz w:val="48"/>
          <w:szCs w:val="48"/>
          <w:lang w:eastAsia="zh-CN"/>
        </w:rPr>
        <w:t>安吉县主城区道路交通安全设施提升改造</w:t>
      </w:r>
      <w:r>
        <w:rPr>
          <w:rFonts w:hint="eastAsia" w:ascii="宋体" w:hAnsi="宋体"/>
          <w:b/>
          <w:sz w:val="48"/>
          <w:szCs w:val="48"/>
        </w:rPr>
        <w:t>政府采购项目</w:t>
      </w:r>
    </w:p>
    <w:p>
      <w:pPr>
        <w:spacing w:before="120" w:beforeLines="50"/>
        <w:ind w:firstLine="4337" w:firstLineChars="900"/>
        <w:rPr>
          <w:rFonts w:hint="eastAsia" w:ascii="宋体" w:hAnsi="宋体"/>
          <w:b/>
          <w:sz w:val="48"/>
          <w:szCs w:val="48"/>
        </w:rPr>
      </w:pPr>
    </w:p>
    <w:p>
      <w:pPr>
        <w:spacing w:before="120" w:beforeLines="50"/>
        <w:jc w:val="center"/>
        <w:rPr>
          <w:rFonts w:hint="eastAsia" w:ascii="宋体" w:hAnsi="宋体"/>
          <w:b/>
          <w:sz w:val="52"/>
          <w:szCs w:val="52"/>
        </w:rPr>
      </w:pPr>
      <w:r>
        <w:rPr>
          <w:rFonts w:hint="eastAsia" w:ascii="宋体" w:hAnsi="宋体"/>
          <w:b/>
          <w:sz w:val="52"/>
          <w:szCs w:val="52"/>
        </w:rPr>
        <w:t>公</w:t>
      </w:r>
    </w:p>
    <w:p>
      <w:pPr>
        <w:spacing w:before="120" w:beforeLines="50"/>
        <w:jc w:val="center"/>
        <w:rPr>
          <w:rFonts w:hint="eastAsia" w:ascii="宋体" w:hAnsi="宋体"/>
          <w:b/>
          <w:sz w:val="52"/>
          <w:szCs w:val="52"/>
        </w:rPr>
      </w:pPr>
      <w:r>
        <w:rPr>
          <w:rFonts w:hint="eastAsia" w:ascii="宋体" w:hAnsi="宋体"/>
          <w:b/>
          <w:sz w:val="52"/>
          <w:szCs w:val="52"/>
        </w:rPr>
        <w:t>开</w:t>
      </w:r>
    </w:p>
    <w:p>
      <w:pPr>
        <w:spacing w:before="120" w:beforeLines="50"/>
        <w:jc w:val="center"/>
        <w:rPr>
          <w:rFonts w:hint="eastAsia" w:ascii="宋体" w:hAnsi="宋体"/>
          <w:b/>
          <w:sz w:val="52"/>
          <w:szCs w:val="52"/>
        </w:rPr>
      </w:pPr>
      <w:r>
        <w:rPr>
          <w:rFonts w:hint="eastAsia" w:ascii="宋体" w:hAnsi="宋体"/>
          <w:b/>
          <w:sz w:val="52"/>
          <w:szCs w:val="52"/>
        </w:rPr>
        <w:t>招</w:t>
      </w:r>
    </w:p>
    <w:p>
      <w:pPr>
        <w:spacing w:before="120" w:beforeLines="50"/>
        <w:jc w:val="center"/>
        <w:rPr>
          <w:rFonts w:hint="eastAsia" w:ascii="宋体" w:hAnsi="宋体"/>
          <w:b/>
          <w:sz w:val="52"/>
          <w:szCs w:val="52"/>
        </w:rPr>
      </w:pPr>
      <w:r>
        <w:rPr>
          <w:rFonts w:hint="eastAsia" w:ascii="宋体" w:hAnsi="宋体"/>
          <w:b/>
          <w:sz w:val="52"/>
          <w:szCs w:val="52"/>
        </w:rPr>
        <w:t>标</w:t>
      </w:r>
    </w:p>
    <w:p>
      <w:pPr>
        <w:spacing w:before="120" w:beforeLines="50"/>
        <w:jc w:val="center"/>
        <w:rPr>
          <w:rFonts w:hint="eastAsia" w:ascii="宋体" w:hAnsi="宋体"/>
          <w:b/>
          <w:sz w:val="52"/>
          <w:szCs w:val="52"/>
        </w:rPr>
      </w:pPr>
      <w:r>
        <w:rPr>
          <w:rFonts w:hint="eastAsia" w:ascii="宋体" w:hAnsi="宋体"/>
          <w:b/>
          <w:sz w:val="52"/>
          <w:szCs w:val="52"/>
        </w:rPr>
        <w:t>文</w:t>
      </w:r>
    </w:p>
    <w:p>
      <w:pPr>
        <w:spacing w:before="120" w:beforeLines="50"/>
        <w:jc w:val="center"/>
        <w:rPr>
          <w:rFonts w:hint="eastAsia" w:ascii="宋体" w:hAnsi="宋体"/>
          <w:b/>
          <w:sz w:val="52"/>
          <w:szCs w:val="52"/>
        </w:rPr>
      </w:pPr>
      <w:r>
        <w:rPr>
          <w:rFonts w:hint="eastAsia" w:ascii="宋体" w:hAnsi="宋体"/>
          <w:b/>
          <w:sz w:val="52"/>
          <w:szCs w:val="52"/>
        </w:rPr>
        <w:t>件</w:t>
      </w:r>
    </w:p>
    <w:p>
      <w:pPr>
        <w:spacing w:before="120" w:beforeLines="50"/>
        <w:jc w:val="center"/>
        <w:rPr>
          <w:rFonts w:hint="eastAsia" w:ascii="宋体" w:hAnsi="宋体"/>
          <w:b/>
          <w:sz w:val="52"/>
          <w:szCs w:val="52"/>
        </w:rPr>
      </w:pPr>
    </w:p>
    <w:p>
      <w:pPr>
        <w:spacing w:before="120" w:beforeLines="50"/>
        <w:jc w:val="center"/>
        <w:rPr>
          <w:rFonts w:hint="eastAsia" w:ascii="宋体" w:hAnsi="宋体"/>
          <w:b/>
          <w:sz w:val="52"/>
          <w:szCs w:val="52"/>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3" w:hRule="exact"/>
          <w:jc w:val="center"/>
        </w:trPr>
        <w:tc>
          <w:tcPr>
            <w:tcW w:w="4460" w:type="dxa"/>
            <w:noWrap w:val="0"/>
            <w:vAlign w:val="center"/>
          </w:tcPr>
          <w:p>
            <w:pPr>
              <w:spacing w:after="360" w:afterLines="150" w:line="360" w:lineRule="exact"/>
              <w:jc w:val="center"/>
              <w:rPr>
                <w:rFonts w:hint="eastAsia" w:ascii="宋体" w:hAnsi="宋体"/>
                <w:sz w:val="24"/>
                <w:szCs w:val="24"/>
              </w:rPr>
            </w:pPr>
            <w:r>
              <w:rPr>
                <w:rFonts w:hint="eastAsia" w:ascii="宋体" w:hAnsi="宋体"/>
                <w:sz w:val="24"/>
                <w:szCs w:val="24"/>
              </w:rPr>
              <w:t xml:space="preserve"> 采购单位签字盖章</w:t>
            </w:r>
          </w:p>
        </w:tc>
        <w:tc>
          <w:tcPr>
            <w:tcW w:w="4460" w:type="dxa"/>
            <w:noWrap w:val="0"/>
            <w:vAlign w:val="center"/>
          </w:tcPr>
          <w:p>
            <w:pPr>
              <w:spacing w:after="360" w:afterLines="150" w:line="360" w:lineRule="exact"/>
              <w:jc w:val="center"/>
              <w:rPr>
                <w:rFonts w:hint="eastAsia" w:ascii="宋体" w:hAnsi="宋体"/>
                <w:sz w:val="24"/>
                <w:szCs w:val="24"/>
              </w:rPr>
            </w:pPr>
            <w:r>
              <w:rPr>
                <w:rFonts w:hint="eastAsia" w:ascii="宋体" w:hAnsi="宋体"/>
                <w:sz w:val="24"/>
                <w:szCs w:val="24"/>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5" w:hRule="atLeast"/>
          <w:jc w:val="center"/>
        </w:trPr>
        <w:tc>
          <w:tcPr>
            <w:tcW w:w="4460" w:type="dxa"/>
            <w:noWrap w:val="0"/>
            <w:vAlign w:val="top"/>
          </w:tcPr>
          <w:p>
            <w:pPr>
              <w:spacing w:after="360" w:afterLines="150" w:line="360" w:lineRule="exact"/>
              <w:rPr>
                <w:rFonts w:hint="eastAsia" w:ascii="宋体" w:hAnsi="宋体"/>
                <w:sz w:val="24"/>
                <w:szCs w:val="24"/>
              </w:rPr>
            </w:pPr>
          </w:p>
        </w:tc>
        <w:tc>
          <w:tcPr>
            <w:tcW w:w="4460" w:type="dxa"/>
            <w:noWrap w:val="0"/>
            <w:vAlign w:val="top"/>
          </w:tcPr>
          <w:p>
            <w:pPr>
              <w:spacing w:after="360" w:afterLines="150" w:line="360" w:lineRule="exact"/>
              <w:rPr>
                <w:rFonts w:hint="eastAsia" w:ascii="宋体" w:hAnsi="宋体"/>
                <w:sz w:val="24"/>
                <w:szCs w:val="24"/>
              </w:rPr>
            </w:pPr>
          </w:p>
        </w:tc>
      </w:tr>
    </w:tbl>
    <w:p>
      <w:pPr>
        <w:pStyle w:val="23"/>
        <w:snapToGrid w:val="0"/>
        <w:spacing w:before="120" w:after="120"/>
        <w:rPr>
          <w:rFonts w:hint="eastAsia" w:hAnsi="宋体" w:eastAsia="宋体"/>
          <w:bCs/>
          <w:w w:val="95"/>
          <w:sz w:val="28"/>
          <w:szCs w:val="28"/>
          <w:lang w:eastAsia="zh-CN"/>
        </w:rPr>
      </w:pPr>
      <w:r>
        <w:rPr>
          <w:rFonts w:hint="eastAsia" w:hAnsi="宋体"/>
          <w:bCs/>
          <w:w w:val="95"/>
          <w:sz w:val="28"/>
          <w:szCs w:val="28"/>
        </w:rPr>
        <w:t>项目编号：</w:t>
      </w:r>
      <w:r>
        <w:rPr>
          <w:rFonts w:hint="eastAsia" w:hAnsi="宋体"/>
          <w:bCs/>
          <w:w w:val="95"/>
          <w:sz w:val="28"/>
          <w:szCs w:val="28"/>
          <w:lang w:eastAsia="zh-CN"/>
        </w:rPr>
        <w:t>AJGK2019-016</w:t>
      </w:r>
    </w:p>
    <w:p>
      <w:pPr>
        <w:pStyle w:val="23"/>
        <w:snapToGrid w:val="0"/>
        <w:spacing w:before="120" w:after="120"/>
        <w:rPr>
          <w:rFonts w:hint="eastAsia" w:hAnsi="宋体"/>
          <w:bCs/>
          <w:w w:val="95"/>
          <w:sz w:val="28"/>
          <w:szCs w:val="28"/>
        </w:rPr>
      </w:pPr>
      <w:r>
        <w:rPr>
          <w:rFonts w:hint="eastAsia" w:hAnsi="宋体"/>
          <w:bCs/>
          <w:w w:val="95"/>
          <w:sz w:val="28"/>
          <w:szCs w:val="28"/>
        </w:rPr>
        <w:t>项目名称：</w:t>
      </w:r>
      <w:r>
        <w:rPr>
          <w:rFonts w:hint="eastAsia" w:hAnsi="宋体"/>
          <w:bCs/>
          <w:w w:val="95"/>
          <w:sz w:val="28"/>
          <w:szCs w:val="28"/>
          <w:lang w:eastAsia="zh-CN"/>
        </w:rPr>
        <w:t>安吉县主城区道路交通安全设施提升改造</w:t>
      </w:r>
      <w:r>
        <w:rPr>
          <w:rFonts w:hint="eastAsia" w:hAnsi="宋体"/>
          <w:bCs/>
          <w:w w:val="95"/>
          <w:sz w:val="28"/>
          <w:szCs w:val="28"/>
        </w:rPr>
        <w:t>政府采购项目</w:t>
      </w:r>
    </w:p>
    <w:p>
      <w:pPr>
        <w:pStyle w:val="23"/>
        <w:snapToGrid w:val="0"/>
        <w:spacing w:before="120" w:after="120"/>
        <w:rPr>
          <w:rFonts w:hint="eastAsia" w:hAnsi="宋体"/>
          <w:bCs/>
          <w:w w:val="95"/>
          <w:sz w:val="28"/>
          <w:szCs w:val="28"/>
        </w:rPr>
      </w:pPr>
      <w:r>
        <w:rPr>
          <w:rFonts w:hint="eastAsia" w:hAnsi="宋体"/>
          <w:bCs/>
          <w:w w:val="95"/>
          <w:sz w:val="28"/>
          <w:szCs w:val="28"/>
        </w:rPr>
        <w:t xml:space="preserve">采购单位：安吉县公安局交通警察大队 </w:t>
      </w:r>
    </w:p>
    <w:p>
      <w:pPr>
        <w:pStyle w:val="23"/>
        <w:snapToGrid w:val="0"/>
        <w:spacing w:before="120" w:after="120"/>
        <w:rPr>
          <w:rFonts w:hint="eastAsia" w:hAnsi="宋体"/>
          <w:bCs/>
          <w:w w:val="95"/>
          <w:sz w:val="28"/>
          <w:szCs w:val="28"/>
        </w:rPr>
      </w:pPr>
      <w:r>
        <w:rPr>
          <w:rFonts w:hint="eastAsia" w:hAnsi="宋体"/>
          <w:bCs/>
          <w:w w:val="95"/>
          <w:sz w:val="28"/>
          <w:szCs w:val="28"/>
        </w:rPr>
        <w:t>集中采购代理机构：安吉县公共资源交易中心</w:t>
      </w:r>
    </w:p>
    <w:p>
      <w:pPr>
        <w:pStyle w:val="23"/>
        <w:snapToGrid w:val="0"/>
        <w:spacing w:before="120" w:beforeLines="0" w:after="120" w:afterLines="0" w:line="240" w:lineRule="auto"/>
        <w:jc w:val="left"/>
        <w:rPr>
          <w:rFonts w:hint="eastAsia" w:hAnsi="宋体"/>
          <w:bCs/>
          <w:w w:val="95"/>
          <w:sz w:val="28"/>
          <w:szCs w:val="28"/>
        </w:rPr>
      </w:pPr>
      <w:r>
        <w:rPr>
          <w:rFonts w:hint="eastAsia" w:hAnsi="宋体"/>
          <w:bCs/>
          <w:w w:val="95"/>
          <w:sz w:val="28"/>
          <w:szCs w:val="28"/>
        </w:rPr>
        <w:t>二0一</w:t>
      </w:r>
      <w:r>
        <w:rPr>
          <w:rFonts w:hint="eastAsia" w:hAnsi="宋体"/>
          <w:bCs/>
          <w:w w:val="95"/>
          <w:sz w:val="28"/>
          <w:szCs w:val="28"/>
          <w:lang w:eastAsia="zh-CN"/>
        </w:rPr>
        <w:t>九</w:t>
      </w:r>
      <w:r>
        <w:rPr>
          <w:rFonts w:hint="eastAsia" w:hAnsi="宋体"/>
          <w:bCs/>
          <w:w w:val="95"/>
          <w:sz w:val="28"/>
          <w:szCs w:val="28"/>
        </w:rPr>
        <w:t>年</w:t>
      </w:r>
      <w:r>
        <w:rPr>
          <w:rFonts w:hint="eastAsia" w:hAnsi="宋体"/>
          <w:bCs/>
          <w:w w:val="95"/>
          <w:sz w:val="28"/>
          <w:szCs w:val="28"/>
          <w:lang w:eastAsia="zh-CN"/>
        </w:rPr>
        <w:t>六</w:t>
      </w:r>
      <w:r>
        <w:rPr>
          <w:rFonts w:hint="eastAsia" w:hAnsi="宋体"/>
          <w:bCs/>
          <w:w w:val="95"/>
          <w:sz w:val="28"/>
          <w:szCs w:val="28"/>
        </w:rPr>
        <w:t>月</w:t>
      </w:r>
    </w:p>
    <w:p>
      <w:pPr>
        <w:pStyle w:val="23"/>
        <w:spacing w:before="120" w:beforeLines="0" w:after="120" w:afterLines="0" w:line="240" w:lineRule="auto"/>
        <w:jc w:val="center"/>
        <w:rPr>
          <w:rFonts w:hint="eastAsia" w:hAnsi="宋体"/>
          <w:b/>
          <w:sz w:val="36"/>
          <w:szCs w:val="36"/>
        </w:rPr>
      </w:pPr>
    </w:p>
    <w:p>
      <w:pPr>
        <w:pStyle w:val="23"/>
        <w:spacing w:before="120" w:beforeLines="0" w:after="120" w:afterLines="0" w:line="240" w:lineRule="auto"/>
        <w:jc w:val="center"/>
        <w:rPr>
          <w:rFonts w:hint="eastAsia" w:hAnsi="宋体"/>
          <w:b/>
          <w:sz w:val="36"/>
          <w:szCs w:val="36"/>
        </w:rPr>
      </w:pPr>
    </w:p>
    <w:p>
      <w:pPr>
        <w:pStyle w:val="23"/>
        <w:spacing w:before="120" w:beforeLines="0" w:after="120" w:afterLines="0" w:line="240" w:lineRule="auto"/>
        <w:jc w:val="center"/>
        <w:rPr>
          <w:rFonts w:hint="eastAsia" w:hAnsi="宋体"/>
          <w:b/>
          <w:sz w:val="36"/>
          <w:szCs w:val="36"/>
        </w:rPr>
      </w:pPr>
      <w:r>
        <w:rPr>
          <w:rFonts w:hint="eastAsia" w:hAnsi="宋体"/>
          <w:b/>
          <w:sz w:val="36"/>
          <w:szCs w:val="36"/>
        </w:rPr>
        <w:t>目    录</w:t>
      </w:r>
    </w:p>
    <w:p>
      <w:pPr>
        <w:pStyle w:val="23"/>
        <w:spacing w:before="120" w:beforeLines="0" w:after="120" w:afterLines="0" w:line="480" w:lineRule="auto"/>
        <w:jc w:val="center"/>
        <w:rPr>
          <w:rFonts w:hint="eastAsia" w:hAnsi="宋体"/>
          <w:b/>
          <w:sz w:val="36"/>
          <w:szCs w:val="36"/>
        </w:rPr>
      </w:pPr>
    </w:p>
    <w:p>
      <w:pPr>
        <w:pStyle w:val="29"/>
        <w:tabs>
          <w:tab w:val="right" w:leader="dot" w:pos="8834"/>
        </w:tabs>
        <w:rPr>
          <w:rFonts w:ascii="Calibri" w:hAnsi="Calibri"/>
          <w:sz w:val="21"/>
          <w:szCs w:val="22"/>
          <w:lang/>
        </w:rPr>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rPr>
          <w:lang/>
        </w:rPr>
        <w:fldChar w:fldCharType="begin"/>
      </w:r>
      <w:r>
        <w:rPr>
          <w:rStyle w:val="42"/>
          <w:lang/>
        </w:rPr>
        <w:instrText xml:space="preserve"> </w:instrText>
      </w:r>
      <w:r>
        <w:rPr>
          <w:lang/>
        </w:rPr>
        <w:instrText xml:space="preserve">HYPERLINK \l "_Toc452125553"</w:instrText>
      </w:r>
      <w:r>
        <w:rPr>
          <w:rStyle w:val="42"/>
          <w:lang/>
        </w:rPr>
        <w:instrText xml:space="preserve"> </w:instrText>
      </w:r>
      <w:r>
        <w:rPr>
          <w:lang/>
        </w:rPr>
        <w:fldChar w:fldCharType="separate"/>
      </w:r>
      <w:r>
        <w:rPr>
          <w:rStyle w:val="42"/>
          <w:rFonts w:hint="eastAsia"/>
          <w:lang/>
        </w:rPr>
        <w:t>第一章</w:t>
      </w:r>
      <w:r>
        <w:rPr>
          <w:rStyle w:val="42"/>
          <w:lang/>
        </w:rPr>
        <w:t xml:space="preserve">  </w:t>
      </w:r>
      <w:r>
        <w:rPr>
          <w:rStyle w:val="42"/>
          <w:rFonts w:hint="eastAsia"/>
          <w:lang/>
        </w:rPr>
        <w:t>公开招标采购公告</w:t>
      </w:r>
      <w:r>
        <w:rPr>
          <w:lang/>
        </w:rPr>
        <w:tab/>
      </w:r>
      <w:r>
        <w:rPr>
          <w:lang/>
        </w:rPr>
        <w:fldChar w:fldCharType="begin"/>
      </w:r>
      <w:r>
        <w:rPr>
          <w:lang/>
        </w:rPr>
        <w:instrText xml:space="preserve"> PAGEREF _Toc452125553 \h </w:instrText>
      </w:r>
      <w:r>
        <w:rPr>
          <w:lang/>
        </w:rPr>
        <w:fldChar w:fldCharType="separate"/>
      </w:r>
      <w:r>
        <w:rPr>
          <w:lang/>
        </w:rPr>
        <w:t>3</w:t>
      </w:r>
      <w:r>
        <w:rPr>
          <w:lang/>
        </w:rPr>
        <w:fldChar w:fldCharType="end"/>
      </w:r>
      <w:r>
        <w:rPr>
          <w:lang/>
        </w:rPr>
        <w:fldChar w:fldCharType="end"/>
      </w:r>
    </w:p>
    <w:p>
      <w:pPr>
        <w:pStyle w:val="29"/>
        <w:tabs>
          <w:tab w:val="right" w:leader="dot" w:pos="8834"/>
        </w:tabs>
        <w:rPr>
          <w:rFonts w:ascii="Calibri" w:hAnsi="Calibri"/>
          <w:sz w:val="21"/>
          <w:szCs w:val="22"/>
          <w:lang/>
        </w:rPr>
      </w:pPr>
      <w:r>
        <w:rPr>
          <w:lang/>
        </w:rPr>
        <w:fldChar w:fldCharType="begin"/>
      </w:r>
      <w:r>
        <w:rPr>
          <w:rStyle w:val="42"/>
          <w:lang/>
        </w:rPr>
        <w:instrText xml:space="preserve"> </w:instrText>
      </w:r>
      <w:r>
        <w:rPr>
          <w:lang/>
        </w:rPr>
        <w:instrText xml:space="preserve">HYPERLINK \l "_Toc452125554"</w:instrText>
      </w:r>
      <w:r>
        <w:rPr>
          <w:rStyle w:val="42"/>
          <w:lang/>
        </w:rPr>
        <w:instrText xml:space="preserve"> </w:instrText>
      </w:r>
      <w:r>
        <w:rPr>
          <w:lang/>
        </w:rPr>
        <w:fldChar w:fldCharType="separate"/>
      </w:r>
      <w:r>
        <w:rPr>
          <w:rStyle w:val="42"/>
          <w:rFonts w:hint="eastAsia"/>
          <w:lang/>
        </w:rPr>
        <w:t>第二章</w:t>
      </w:r>
      <w:r>
        <w:rPr>
          <w:rStyle w:val="42"/>
          <w:lang/>
        </w:rPr>
        <w:t xml:space="preserve">  </w:t>
      </w:r>
      <w:r>
        <w:rPr>
          <w:rStyle w:val="42"/>
          <w:rFonts w:hint="eastAsia"/>
          <w:lang/>
        </w:rPr>
        <w:t>投标人须知</w:t>
      </w:r>
      <w:r>
        <w:rPr>
          <w:lang/>
        </w:rPr>
        <w:tab/>
      </w:r>
      <w:r>
        <w:rPr>
          <w:lang/>
        </w:rPr>
        <w:fldChar w:fldCharType="begin"/>
      </w:r>
      <w:r>
        <w:rPr>
          <w:lang/>
        </w:rPr>
        <w:instrText xml:space="preserve"> PAGEREF _Toc452125554 \h </w:instrText>
      </w:r>
      <w:r>
        <w:rPr>
          <w:lang/>
        </w:rPr>
        <w:fldChar w:fldCharType="separate"/>
      </w:r>
      <w:r>
        <w:rPr>
          <w:lang/>
        </w:rPr>
        <w:t>5</w:t>
      </w:r>
      <w:r>
        <w:rPr>
          <w:lang/>
        </w:rPr>
        <w:fldChar w:fldCharType="end"/>
      </w:r>
      <w:r>
        <w:rPr>
          <w:lang/>
        </w:rPr>
        <w:fldChar w:fldCharType="end"/>
      </w:r>
    </w:p>
    <w:p>
      <w:pPr>
        <w:pStyle w:val="29"/>
        <w:tabs>
          <w:tab w:val="right" w:leader="dot" w:pos="8834"/>
        </w:tabs>
        <w:rPr>
          <w:rFonts w:hint="eastAsia" w:ascii="Calibri" w:hAnsi="Calibri"/>
          <w:sz w:val="21"/>
          <w:szCs w:val="22"/>
          <w:lang/>
        </w:rPr>
      </w:pPr>
      <w:r>
        <w:rPr>
          <w:lang/>
        </w:rPr>
        <w:fldChar w:fldCharType="begin"/>
      </w:r>
      <w:r>
        <w:rPr>
          <w:rStyle w:val="42"/>
          <w:lang/>
        </w:rPr>
        <w:instrText xml:space="preserve"> </w:instrText>
      </w:r>
      <w:r>
        <w:rPr>
          <w:lang/>
        </w:rPr>
        <w:instrText xml:space="preserve">HYPERLINK \l "_Toc452125555"</w:instrText>
      </w:r>
      <w:r>
        <w:rPr>
          <w:rStyle w:val="42"/>
          <w:lang/>
        </w:rPr>
        <w:instrText xml:space="preserve"> </w:instrText>
      </w:r>
      <w:r>
        <w:rPr>
          <w:lang/>
        </w:rPr>
        <w:fldChar w:fldCharType="separate"/>
      </w:r>
      <w:r>
        <w:rPr>
          <w:rStyle w:val="42"/>
          <w:rFonts w:hint="eastAsia"/>
          <w:lang/>
        </w:rPr>
        <w:t>第三章</w:t>
      </w:r>
      <w:r>
        <w:rPr>
          <w:rStyle w:val="42"/>
          <w:lang/>
        </w:rPr>
        <w:t xml:space="preserve">  </w:t>
      </w:r>
      <w:r>
        <w:rPr>
          <w:rStyle w:val="42"/>
          <w:rFonts w:hint="eastAsia"/>
          <w:lang/>
        </w:rPr>
        <w:t>招标需求</w:t>
      </w:r>
      <w:r>
        <w:rPr>
          <w:lang/>
        </w:rPr>
        <w:tab/>
      </w:r>
      <w:r>
        <w:rPr>
          <w:lang/>
        </w:rPr>
        <w:fldChar w:fldCharType="begin"/>
      </w:r>
      <w:r>
        <w:rPr>
          <w:lang/>
        </w:rPr>
        <w:instrText xml:space="preserve"> PAGEREF _Toc452125555 \h </w:instrText>
      </w:r>
      <w:r>
        <w:rPr>
          <w:lang/>
        </w:rPr>
        <w:fldChar w:fldCharType="separate"/>
      </w:r>
      <w:r>
        <w:rPr>
          <w:lang/>
        </w:rPr>
        <w:t>3</w:t>
      </w:r>
      <w:r>
        <w:rPr>
          <w:lang/>
        </w:rPr>
        <w:fldChar w:fldCharType="end"/>
      </w:r>
      <w:r>
        <w:rPr>
          <w:lang/>
        </w:rPr>
        <w:fldChar w:fldCharType="end"/>
      </w:r>
      <w:r>
        <w:rPr>
          <w:rFonts w:hint="eastAsia"/>
          <w:lang/>
        </w:rPr>
        <w:t>3</w:t>
      </w:r>
    </w:p>
    <w:p>
      <w:pPr>
        <w:pStyle w:val="29"/>
        <w:tabs>
          <w:tab w:val="right" w:leader="dot" w:pos="8834"/>
        </w:tabs>
        <w:rPr>
          <w:rFonts w:ascii="Calibri" w:hAnsi="Calibri"/>
          <w:sz w:val="21"/>
          <w:szCs w:val="22"/>
          <w:lang/>
        </w:rPr>
      </w:pPr>
      <w:r>
        <w:rPr>
          <w:lang/>
        </w:rPr>
        <w:fldChar w:fldCharType="begin"/>
      </w:r>
      <w:r>
        <w:rPr>
          <w:rStyle w:val="42"/>
          <w:lang/>
        </w:rPr>
        <w:instrText xml:space="preserve"> </w:instrText>
      </w:r>
      <w:r>
        <w:rPr>
          <w:lang/>
        </w:rPr>
        <w:instrText xml:space="preserve">HYPERLINK \l "_Toc452125560"</w:instrText>
      </w:r>
      <w:r>
        <w:rPr>
          <w:rStyle w:val="42"/>
          <w:lang/>
        </w:rPr>
        <w:instrText xml:space="preserve"> </w:instrText>
      </w:r>
      <w:r>
        <w:rPr>
          <w:lang/>
        </w:rPr>
        <w:fldChar w:fldCharType="separate"/>
      </w:r>
      <w:r>
        <w:rPr>
          <w:rStyle w:val="42"/>
          <w:rFonts w:hint="eastAsia"/>
          <w:lang/>
        </w:rPr>
        <w:t>第四章</w:t>
      </w:r>
      <w:r>
        <w:rPr>
          <w:rStyle w:val="42"/>
          <w:lang/>
        </w:rPr>
        <w:t xml:space="preserve">  </w:t>
      </w:r>
      <w:r>
        <w:rPr>
          <w:rStyle w:val="42"/>
          <w:rFonts w:hint="eastAsia"/>
          <w:lang/>
        </w:rPr>
        <w:t>评分办法及评分标准</w:t>
      </w:r>
      <w:r>
        <w:rPr>
          <w:lang/>
        </w:rPr>
        <w:tab/>
      </w:r>
      <w:r>
        <w:rPr>
          <w:rFonts w:hint="eastAsia"/>
          <w:lang/>
        </w:rPr>
        <w:t>46</w:t>
      </w:r>
      <w:r>
        <w:rPr>
          <w:lang/>
        </w:rPr>
        <w:fldChar w:fldCharType="end"/>
      </w:r>
    </w:p>
    <w:p>
      <w:pPr>
        <w:pStyle w:val="29"/>
        <w:tabs>
          <w:tab w:val="right" w:leader="dot" w:pos="8834"/>
        </w:tabs>
        <w:rPr>
          <w:rFonts w:hint="eastAsia" w:ascii="Calibri" w:hAnsi="Calibri"/>
          <w:sz w:val="21"/>
          <w:szCs w:val="22"/>
          <w:lang/>
        </w:rPr>
      </w:pPr>
      <w:r>
        <w:rPr>
          <w:lang/>
        </w:rPr>
        <w:fldChar w:fldCharType="begin"/>
      </w:r>
      <w:r>
        <w:rPr>
          <w:rStyle w:val="42"/>
          <w:lang/>
        </w:rPr>
        <w:instrText xml:space="preserve"> </w:instrText>
      </w:r>
      <w:r>
        <w:rPr>
          <w:lang/>
        </w:rPr>
        <w:instrText xml:space="preserve">HYPERLINK \l "_Toc452125561"</w:instrText>
      </w:r>
      <w:r>
        <w:rPr>
          <w:rStyle w:val="42"/>
          <w:lang/>
        </w:rPr>
        <w:instrText xml:space="preserve"> </w:instrText>
      </w:r>
      <w:r>
        <w:rPr>
          <w:lang/>
        </w:rPr>
        <w:fldChar w:fldCharType="separate"/>
      </w:r>
      <w:r>
        <w:rPr>
          <w:rStyle w:val="42"/>
          <w:rFonts w:hint="eastAsia"/>
          <w:lang/>
        </w:rPr>
        <w:t>第五章</w:t>
      </w:r>
      <w:r>
        <w:rPr>
          <w:rStyle w:val="42"/>
          <w:lang/>
        </w:rPr>
        <w:t xml:space="preserve">  </w:t>
      </w:r>
      <w:r>
        <w:rPr>
          <w:rStyle w:val="42"/>
          <w:rFonts w:hint="eastAsia"/>
          <w:lang/>
        </w:rPr>
        <w:t>合同主要条款（仅供参考）</w:t>
      </w:r>
      <w:r>
        <w:rPr>
          <w:lang/>
        </w:rPr>
        <w:tab/>
      </w:r>
      <w:r>
        <w:rPr>
          <w:lang/>
        </w:rPr>
        <w:fldChar w:fldCharType="end"/>
      </w:r>
      <w:r>
        <w:rPr>
          <w:rFonts w:hint="eastAsia"/>
          <w:lang/>
        </w:rPr>
        <w:t>48</w:t>
      </w:r>
    </w:p>
    <w:p>
      <w:pPr>
        <w:pStyle w:val="29"/>
        <w:tabs>
          <w:tab w:val="right" w:leader="dot" w:pos="8834"/>
        </w:tabs>
        <w:rPr>
          <w:rFonts w:hint="eastAsia" w:ascii="Calibri" w:hAnsi="Calibri"/>
          <w:sz w:val="21"/>
          <w:szCs w:val="22"/>
          <w:lang/>
        </w:rPr>
      </w:pPr>
      <w:r>
        <w:rPr>
          <w:lang/>
        </w:rPr>
        <w:fldChar w:fldCharType="begin"/>
      </w:r>
      <w:r>
        <w:rPr>
          <w:rStyle w:val="42"/>
          <w:lang/>
        </w:rPr>
        <w:instrText xml:space="preserve"> </w:instrText>
      </w:r>
      <w:r>
        <w:rPr>
          <w:lang/>
        </w:rPr>
        <w:instrText xml:space="preserve">HYPERLINK \l "_Toc452125562"</w:instrText>
      </w:r>
      <w:r>
        <w:rPr>
          <w:rStyle w:val="42"/>
          <w:lang/>
        </w:rPr>
        <w:instrText xml:space="preserve"> </w:instrText>
      </w:r>
      <w:r>
        <w:rPr>
          <w:lang/>
        </w:rPr>
        <w:fldChar w:fldCharType="separate"/>
      </w:r>
      <w:r>
        <w:rPr>
          <w:rStyle w:val="42"/>
          <w:rFonts w:hint="eastAsia"/>
          <w:lang/>
        </w:rPr>
        <w:t xml:space="preserve">第六章 </w:t>
      </w:r>
      <w:r>
        <w:rPr>
          <w:rStyle w:val="42"/>
          <w:lang/>
        </w:rPr>
        <w:t xml:space="preserve"> </w:t>
      </w:r>
      <w:r>
        <w:rPr>
          <w:rStyle w:val="42"/>
          <w:rFonts w:hint="eastAsia"/>
          <w:lang/>
        </w:rPr>
        <w:t>投标文件格式附件</w:t>
      </w:r>
      <w:r>
        <w:rPr>
          <w:lang/>
        </w:rPr>
        <w:tab/>
      </w:r>
      <w:r>
        <w:rPr>
          <w:lang/>
        </w:rPr>
        <w:fldChar w:fldCharType="end"/>
      </w:r>
      <w:r>
        <w:rPr>
          <w:rFonts w:hint="eastAsia"/>
          <w:lang/>
        </w:rPr>
        <w:t>51</w:t>
      </w:r>
    </w:p>
    <w:p>
      <w:pPr>
        <w:pStyle w:val="33"/>
        <w:spacing w:before="0" w:after="0" w:line="360" w:lineRule="atLeast"/>
        <w:rPr>
          <w:rFonts w:hint="eastAsia"/>
        </w:rPr>
      </w:pPr>
      <w:r>
        <w:rPr>
          <w:sz w:val="28"/>
          <w:szCs w:val="28"/>
        </w:rPr>
        <w:fldChar w:fldCharType="end"/>
      </w:r>
      <w:r>
        <w:rPr>
          <w:rFonts w:hint="eastAsia"/>
          <w:sz w:val="28"/>
          <w:szCs w:val="28"/>
        </w:rPr>
        <w:br w:type="page"/>
      </w:r>
      <w:bookmarkStart w:id="0" w:name="_Toc452125553"/>
      <w:r>
        <w:rPr>
          <w:rFonts w:hint="eastAsia"/>
        </w:rPr>
        <w:t>第一章  公开招标采购公告</w:t>
      </w:r>
      <w:bookmarkEnd w:id="0"/>
    </w:p>
    <w:p>
      <w:pPr>
        <w:snapToGrid w:val="0"/>
        <w:spacing w:line="360" w:lineRule="atLeast"/>
        <w:ind w:firstLine="420" w:firstLineChars="200"/>
        <w:rPr>
          <w:rFonts w:ascii="宋体" w:hAnsi="宋体" w:cs="Arial"/>
          <w:color w:val="000000"/>
          <w:szCs w:val="21"/>
        </w:rPr>
      </w:pPr>
      <w:r>
        <w:rPr>
          <w:rFonts w:hint="eastAsia" w:ascii="宋体" w:hAnsi="宋体" w:cs="Arial"/>
          <w:szCs w:val="21"/>
        </w:rPr>
        <w:t>根据《中华人民共和国政府采购法》、《政府采购货物和服务招标投标管理办法》等规定，经安吉县政府采购管理办公室批准，现就安吉县公安局交通警察大队</w:t>
      </w:r>
      <w:r>
        <w:rPr>
          <w:rFonts w:hint="eastAsia" w:ascii="宋体" w:hAnsi="宋体" w:cs="Arial"/>
          <w:szCs w:val="21"/>
          <w:lang w:eastAsia="zh-CN"/>
        </w:rPr>
        <w:t>安吉县主城区道路交通安全设施提升改造</w:t>
      </w:r>
      <w:r>
        <w:rPr>
          <w:rFonts w:hint="eastAsia" w:ascii="宋体" w:hAnsi="宋体" w:cs="Arial"/>
          <w:szCs w:val="21"/>
        </w:rPr>
        <w:t>政府采购项目</w:t>
      </w:r>
      <w:r>
        <w:rPr>
          <w:rFonts w:hint="eastAsia" w:ascii="宋体" w:hAnsi="宋体" w:cs="Arial"/>
          <w:color w:val="000000"/>
          <w:szCs w:val="21"/>
        </w:rPr>
        <w:t>进行公开招标，欢迎国内合格的投标供应商前来参加投标。</w:t>
      </w:r>
    </w:p>
    <w:p>
      <w:pPr>
        <w:snapToGrid w:val="0"/>
        <w:spacing w:line="360" w:lineRule="atLeast"/>
        <w:ind w:firstLine="420" w:firstLineChars="200"/>
        <w:rPr>
          <w:rFonts w:hint="eastAsia" w:ascii="宋体" w:hAnsi="宋体" w:cs="Arial"/>
          <w:color w:val="000000"/>
          <w:szCs w:val="21"/>
        </w:rPr>
      </w:pPr>
      <w:r>
        <w:rPr>
          <w:rFonts w:hint="eastAsia" w:ascii="宋体" w:hAnsi="宋体" w:cs="Arial"/>
          <w:color w:val="000000"/>
          <w:szCs w:val="21"/>
        </w:rPr>
        <w:t>一、项目编号：</w:t>
      </w:r>
      <w:r>
        <w:rPr>
          <w:rFonts w:hint="eastAsia" w:ascii="宋体" w:hAnsi="宋体" w:cs="Arial"/>
          <w:color w:val="000000"/>
          <w:szCs w:val="21"/>
          <w:lang w:eastAsia="zh-CN"/>
        </w:rPr>
        <w:t>AJGK2019-016</w:t>
      </w:r>
      <w:r>
        <w:rPr>
          <w:rFonts w:hint="eastAsia" w:ascii="宋体" w:hAnsi="宋体" w:cs="Arial"/>
          <w:color w:val="000000"/>
          <w:szCs w:val="21"/>
        </w:rPr>
        <w:t xml:space="preserve"> </w:t>
      </w:r>
    </w:p>
    <w:p>
      <w:pPr>
        <w:snapToGrid w:val="0"/>
        <w:spacing w:line="360" w:lineRule="atLeast"/>
        <w:ind w:firstLine="420" w:firstLineChars="200"/>
        <w:rPr>
          <w:rFonts w:hint="eastAsia" w:ascii="宋体" w:hAnsi="宋体" w:cs="Arial"/>
          <w:color w:val="000000"/>
          <w:szCs w:val="21"/>
        </w:rPr>
      </w:pPr>
      <w:r>
        <w:rPr>
          <w:rFonts w:hint="eastAsia" w:ascii="宋体" w:hAnsi="宋体" w:cs="Arial"/>
          <w:color w:val="000000"/>
          <w:szCs w:val="21"/>
        </w:rPr>
        <w:t>二、采购组织类型：集中采购</w:t>
      </w:r>
    </w:p>
    <w:p>
      <w:pPr>
        <w:snapToGrid w:val="0"/>
        <w:spacing w:line="360" w:lineRule="atLeast"/>
        <w:ind w:firstLine="420" w:firstLineChars="200"/>
        <w:rPr>
          <w:rFonts w:hint="eastAsia" w:ascii="宋体" w:hAnsi="宋体" w:cs="Arial"/>
          <w:color w:val="000000"/>
          <w:szCs w:val="21"/>
        </w:rPr>
      </w:pPr>
      <w:r>
        <w:rPr>
          <w:rFonts w:hint="eastAsia" w:ascii="宋体" w:hAnsi="宋体" w:cs="Arial"/>
          <w:color w:val="000000"/>
          <w:szCs w:val="21"/>
        </w:rPr>
        <w:t>三、采购方式：公开招标</w:t>
      </w:r>
    </w:p>
    <w:p>
      <w:pPr>
        <w:snapToGrid w:val="0"/>
        <w:spacing w:line="360" w:lineRule="atLeast"/>
        <w:ind w:firstLine="420" w:firstLineChars="200"/>
        <w:rPr>
          <w:rFonts w:hint="eastAsia" w:ascii="宋体" w:hAnsi="宋体" w:cs="Arial"/>
          <w:color w:val="000000"/>
          <w:szCs w:val="21"/>
        </w:rPr>
      </w:pPr>
      <w:r>
        <w:rPr>
          <w:rFonts w:hint="eastAsia" w:ascii="宋体" w:hAnsi="宋体" w:cs="Arial"/>
          <w:color w:val="000000"/>
          <w:szCs w:val="21"/>
        </w:rPr>
        <w:t>四、采购内容及数量：</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099"/>
        <w:gridCol w:w="2489"/>
        <w:gridCol w:w="937"/>
        <w:gridCol w:w="102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jc w:val="center"/>
        </w:trPr>
        <w:tc>
          <w:tcPr>
            <w:tcW w:w="751" w:type="dxa"/>
            <w:noWrap w:val="0"/>
            <w:vAlign w:val="center"/>
          </w:tcPr>
          <w:p>
            <w:pPr>
              <w:snapToGrid w:val="0"/>
              <w:spacing w:line="360" w:lineRule="atLeast"/>
              <w:jc w:val="center"/>
              <w:rPr>
                <w:rFonts w:hint="eastAsia" w:ascii="宋体" w:hAnsi="宋体" w:cs="Arial"/>
                <w:b/>
                <w:color w:val="000000"/>
                <w:szCs w:val="21"/>
              </w:rPr>
            </w:pPr>
            <w:r>
              <w:rPr>
                <w:rFonts w:hint="eastAsia" w:ascii="宋体" w:hAnsi="宋体" w:cs="Arial"/>
                <w:b/>
                <w:color w:val="000000"/>
                <w:szCs w:val="21"/>
              </w:rPr>
              <w:t>标项</w:t>
            </w:r>
          </w:p>
        </w:tc>
        <w:tc>
          <w:tcPr>
            <w:tcW w:w="3099" w:type="dxa"/>
            <w:noWrap w:val="0"/>
            <w:vAlign w:val="center"/>
          </w:tcPr>
          <w:p>
            <w:pPr>
              <w:snapToGrid w:val="0"/>
              <w:spacing w:line="360" w:lineRule="atLeast"/>
              <w:jc w:val="center"/>
              <w:rPr>
                <w:rFonts w:hint="eastAsia" w:ascii="宋体" w:hAnsi="宋体" w:cs="Arial"/>
                <w:b/>
                <w:color w:val="000000"/>
                <w:szCs w:val="21"/>
              </w:rPr>
            </w:pPr>
            <w:r>
              <w:rPr>
                <w:rFonts w:hint="eastAsia" w:ascii="宋体" w:hAnsi="宋体" w:cs="Arial"/>
                <w:b/>
                <w:color w:val="000000"/>
                <w:szCs w:val="21"/>
              </w:rPr>
              <w:t>项目内容</w:t>
            </w:r>
          </w:p>
        </w:tc>
        <w:tc>
          <w:tcPr>
            <w:tcW w:w="2489" w:type="dxa"/>
            <w:noWrap w:val="0"/>
            <w:vAlign w:val="center"/>
          </w:tcPr>
          <w:p>
            <w:pPr>
              <w:snapToGrid w:val="0"/>
              <w:spacing w:line="360" w:lineRule="atLeast"/>
              <w:jc w:val="center"/>
              <w:rPr>
                <w:rFonts w:hint="eastAsia" w:ascii="宋体" w:hAnsi="宋体" w:cs="Arial"/>
                <w:b/>
                <w:color w:val="000000"/>
                <w:szCs w:val="21"/>
              </w:rPr>
            </w:pPr>
            <w:r>
              <w:rPr>
                <w:rFonts w:hint="eastAsia" w:ascii="宋体" w:hAnsi="宋体" w:cs="Arial"/>
                <w:b/>
                <w:color w:val="000000"/>
                <w:szCs w:val="21"/>
              </w:rPr>
              <w:t>技术要求或规格要求</w:t>
            </w:r>
          </w:p>
        </w:tc>
        <w:tc>
          <w:tcPr>
            <w:tcW w:w="937" w:type="dxa"/>
            <w:noWrap w:val="0"/>
            <w:vAlign w:val="center"/>
          </w:tcPr>
          <w:p>
            <w:pPr>
              <w:snapToGrid w:val="0"/>
              <w:spacing w:line="360" w:lineRule="atLeast"/>
              <w:jc w:val="center"/>
              <w:rPr>
                <w:rFonts w:hint="eastAsia" w:ascii="宋体" w:hAnsi="宋体" w:cs="Arial"/>
                <w:b/>
                <w:color w:val="000000"/>
                <w:szCs w:val="21"/>
              </w:rPr>
            </w:pPr>
            <w:r>
              <w:rPr>
                <w:rFonts w:hint="eastAsia" w:ascii="宋体" w:hAnsi="宋体" w:cs="Arial"/>
                <w:b/>
                <w:color w:val="000000"/>
                <w:szCs w:val="21"/>
              </w:rPr>
              <w:t>数量</w:t>
            </w:r>
          </w:p>
        </w:tc>
        <w:tc>
          <w:tcPr>
            <w:tcW w:w="1026" w:type="dxa"/>
            <w:noWrap w:val="0"/>
            <w:vAlign w:val="center"/>
          </w:tcPr>
          <w:p>
            <w:pPr>
              <w:snapToGrid w:val="0"/>
              <w:spacing w:line="360" w:lineRule="atLeast"/>
              <w:jc w:val="center"/>
              <w:rPr>
                <w:rFonts w:hint="eastAsia" w:ascii="宋体" w:hAnsi="宋体" w:cs="Arial"/>
                <w:b/>
                <w:color w:val="000000"/>
                <w:szCs w:val="21"/>
              </w:rPr>
            </w:pPr>
            <w:r>
              <w:rPr>
                <w:rFonts w:hint="eastAsia" w:ascii="宋体" w:hAnsi="宋体" w:cs="Arial"/>
                <w:b/>
                <w:color w:val="000000"/>
                <w:szCs w:val="21"/>
              </w:rPr>
              <w:t>单位</w:t>
            </w:r>
          </w:p>
        </w:tc>
        <w:tc>
          <w:tcPr>
            <w:tcW w:w="1700" w:type="dxa"/>
            <w:noWrap w:val="0"/>
            <w:vAlign w:val="center"/>
          </w:tcPr>
          <w:p>
            <w:pPr>
              <w:snapToGrid w:val="0"/>
              <w:spacing w:line="360" w:lineRule="atLeast"/>
              <w:jc w:val="center"/>
              <w:rPr>
                <w:rFonts w:hint="eastAsia" w:ascii="宋体" w:hAnsi="宋体" w:cs="Arial"/>
                <w:b/>
                <w:color w:val="000000"/>
                <w:szCs w:val="21"/>
              </w:rPr>
            </w:pPr>
            <w:r>
              <w:rPr>
                <w:rFonts w:hint="eastAsia" w:ascii="宋体" w:hAnsi="宋体" w:cs="Arial"/>
                <w:b/>
                <w:color w:val="000000"/>
                <w:szCs w:val="21"/>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7" w:hRule="atLeast"/>
          <w:jc w:val="center"/>
        </w:trPr>
        <w:tc>
          <w:tcPr>
            <w:tcW w:w="751" w:type="dxa"/>
            <w:noWrap w:val="0"/>
            <w:vAlign w:val="center"/>
          </w:tcPr>
          <w:p>
            <w:pPr>
              <w:snapToGrid w:val="0"/>
              <w:spacing w:line="360" w:lineRule="atLeast"/>
              <w:jc w:val="center"/>
              <w:rPr>
                <w:rFonts w:hint="eastAsia" w:ascii="宋体" w:hAnsi="宋体" w:cs="Arial"/>
                <w:color w:val="000000"/>
                <w:szCs w:val="21"/>
              </w:rPr>
            </w:pPr>
            <w:r>
              <w:rPr>
                <w:rFonts w:hint="eastAsia" w:ascii="宋体" w:hAnsi="宋体" w:cs="Arial"/>
                <w:color w:val="000000"/>
                <w:szCs w:val="21"/>
              </w:rPr>
              <w:t>1</w:t>
            </w:r>
          </w:p>
        </w:tc>
        <w:tc>
          <w:tcPr>
            <w:tcW w:w="3099" w:type="dxa"/>
            <w:noWrap w:val="0"/>
            <w:vAlign w:val="center"/>
          </w:tcPr>
          <w:p>
            <w:pPr>
              <w:snapToGrid w:val="0"/>
              <w:spacing w:line="360" w:lineRule="atLeast"/>
              <w:jc w:val="center"/>
              <w:rPr>
                <w:rFonts w:hint="eastAsia" w:ascii="宋体" w:hAnsi="宋体" w:cs="Arial"/>
                <w:color w:val="000000"/>
                <w:szCs w:val="21"/>
              </w:rPr>
            </w:pPr>
            <w:r>
              <w:rPr>
                <w:rFonts w:hint="eastAsia"/>
                <w:szCs w:val="21"/>
              </w:rPr>
              <w:t>升级平台软件、建设平台基础支撑硬件、改造升级电子警察设备、升级改造交通信号控制系统、建设区间测速系统</w:t>
            </w:r>
          </w:p>
        </w:tc>
        <w:tc>
          <w:tcPr>
            <w:tcW w:w="2489" w:type="dxa"/>
            <w:noWrap w:val="0"/>
            <w:vAlign w:val="center"/>
          </w:tcPr>
          <w:p>
            <w:pPr>
              <w:snapToGrid w:val="0"/>
              <w:spacing w:line="360" w:lineRule="atLeast"/>
              <w:jc w:val="center"/>
              <w:rPr>
                <w:rFonts w:hint="eastAsia" w:ascii="宋体" w:hAnsi="宋体" w:cs="Arial"/>
                <w:color w:val="000000"/>
                <w:szCs w:val="21"/>
              </w:rPr>
            </w:pPr>
            <w:r>
              <w:rPr>
                <w:rFonts w:hint="eastAsia" w:ascii="宋体" w:hAnsi="宋体" w:cs="Arial"/>
                <w:color w:val="000000"/>
                <w:szCs w:val="21"/>
              </w:rPr>
              <w:t>详见招标文件第三章</w:t>
            </w:r>
          </w:p>
        </w:tc>
        <w:tc>
          <w:tcPr>
            <w:tcW w:w="937" w:type="dxa"/>
            <w:noWrap w:val="0"/>
            <w:vAlign w:val="center"/>
          </w:tcPr>
          <w:p>
            <w:pPr>
              <w:snapToGrid w:val="0"/>
              <w:spacing w:line="360" w:lineRule="atLeast"/>
              <w:jc w:val="center"/>
              <w:rPr>
                <w:rFonts w:hint="eastAsia" w:ascii="宋体" w:hAnsi="宋体" w:cs="Arial"/>
                <w:color w:val="000000"/>
                <w:szCs w:val="21"/>
              </w:rPr>
            </w:pPr>
            <w:r>
              <w:rPr>
                <w:rFonts w:hint="eastAsia" w:ascii="宋体" w:hAnsi="宋体" w:cs="Arial"/>
                <w:color w:val="000000"/>
                <w:szCs w:val="21"/>
              </w:rPr>
              <w:t>1</w:t>
            </w:r>
          </w:p>
        </w:tc>
        <w:tc>
          <w:tcPr>
            <w:tcW w:w="1026" w:type="dxa"/>
            <w:noWrap w:val="0"/>
            <w:vAlign w:val="center"/>
          </w:tcPr>
          <w:p>
            <w:pPr>
              <w:snapToGrid w:val="0"/>
              <w:spacing w:line="360" w:lineRule="atLeast"/>
              <w:jc w:val="center"/>
              <w:rPr>
                <w:rFonts w:hint="eastAsia" w:ascii="宋体" w:hAnsi="宋体" w:cs="Arial"/>
                <w:color w:val="000000"/>
                <w:szCs w:val="21"/>
              </w:rPr>
            </w:pPr>
            <w:r>
              <w:rPr>
                <w:rFonts w:hint="eastAsia" w:ascii="宋体" w:hAnsi="宋体" w:cs="Arial"/>
                <w:color w:val="000000"/>
                <w:szCs w:val="21"/>
              </w:rPr>
              <w:t>批</w:t>
            </w:r>
          </w:p>
        </w:tc>
        <w:tc>
          <w:tcPr>
            <w:tcW w:w="1700" w:type="dxa"/>
            <w:noWrap w:val="0"/>
            <w:vAlign w:val="center"/>
          </w:tcPr>
          <w:p>
            <w:pPr>
              <w:snapToGrid w:val="0"/>
              <w:spacing w:line="360" w:lineRule="atLeast"/>
              <w:jc w:val="center"/>
              <w:rPr>
                <w:rFonts w:hint="eastAsia" w:ascii="宋体" w:hAnsi="宋体" w:cs="Arial"/>
                <w:color w:val="000000"/>
                <w:szCs w:val="21"/>
              </w:rPr>
            </w:pPr>
            <w:r>
              <w:rPr>
                <w:rFonts w:hint="eastAsia" w:ascii="宋体" w:hAnsi="宋体" w:cs="Arial"/>
                <w:color w:val="000000"/>
                <w:szCs w:val="21"/>
              </w:rPr>
              <w:t>23</w:t>
            </w:r>
            <w:r>
              <w:rPr>
                <w:rFonts w:hint="eastAsia" w:ascii="宋体" w:hAnsi="宋体" w:cs="Arial"/>
                <w:color w:val="000000"/>
                <w:szCs w:val="21"/>
                <w:lang w:val="en-US" w:eastAsia="zh-CN"/>
              </w:rPr>
              <w:t>0</w:t>
            </w:r>
            <w:r>
              <w:rPr>
                <w:rFonts w:hint="eastAsia" w:ascii="宋体" w:hAnsi="宋体" w:cs="Arial"/>
                <w:color w:val="000000"/>
                <w:szCs w:val="21"/>
              </w:rPr>
              <w:t>3</w:t>
            </w:r>
          </w:p>
        </w:tc>
      </w:tr>
    </w:tbl>
    <w:p>
      <w:pPr>
        <w:snapToGrid w:val="0"/>
        <w:spacing w:line="360" w:lineRule="atLeast"/>
        <w:ind w:firstLine="420" w:firstLineChars="200"/>
        <w:rPr>
          <w:rFonts w:hint="eastAsia" w:ascii="宋体" w:hAnsi="宋体" w:cs="宋体"/>
          <w:bCs/>
          <w:szCs w:val="21"/>
        </w:rPr>
      </w:pPr>
      <w:r>
        <w:rPr>
          <w:rFonts w:hint="eastAsia" w:ascii="宋体" w:hAnsi="宋体" w:cs="宋体"/>
          <w:szCs w:val="21"/>
        </w:rPr>
        <w:t>五、</w:t>
      </w:r>
      <w:r>
        <w:rPr>
          <w:rFonts w:hint="eastAsia" w:ascii="宋体" w:hAnsi="宋体" w:cs="宋体"/>
          <w:bCs/>
          <w:szCs w:val="21"/>
        </w:rPr>
        <w:t>合格投标供应商的资格要求：</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1、符合《中华人民共和国政府采购法》二十二条规定；</w:t>
      </w:r>
    </w:p>
    <w:p>
      <w:pPr>
        <w:snapToGrid w:val="0"/>
        <w:spacing w:line="360" w:lineRule="atLeast"/>
        <w:ind w:firstLine="422" w:firstLineChars="200"/>
        <w:rPr>
          <w:rFonts w:hint="eastAsia" w:ascii="宋体" w:hAnsi="宋体" w:cs="宋体"/>
          <w:b/>
          <w:bCs/>
          <w:szCs w:val="21"/>
          <w:highlight w:val="none"/>
        </w:rPr>
      </w:pPr>
      <w:r>
        <w:rPr>
          <w:rFonts w:hint="eastAsia" w:ascii="宋体" w:hAnsi="宋体" w:cs="宋体"/>
          <w:b/>
          <w:bCs/>
          <w:szCs w:val="21"/>
          <w:highlight w:val="none"/>
        </w:rPr>
        <w:t>2、具备公路交通工程（公路机电工程）专业承包</w:t>
      </w:r>
      <w:r>
        <w:rPr>
          <w:rFonts w:hint="eastAsia" w:ascii="宋体" w:hAnsi="宋体" w:cs="宋体"/>
          <w:b/>
          <w:bCs/>
          <w:szCs w:val="21"/>
          <w:highlight w:val="none"/>
          <w:lang w:eastAsia="zh-CN"/>
        </w:rPr>
        <w:t>贰</w:t>
      </w:r>
      <w:r>
        <w:rPr>
          <w:rFonts w:hint="eastAsia" w:ascii="宋体" w:hAnsi="宋体" w:cs="宋体"/>
          <w:b/>
          <w:bCs/>
          <w:szCs w:val="21"/>
          <w:highlight w:val="none"/>
        </w:rPr>
        <w:t>级</w:t>
      </w:r>
      <w:r>
        <w:rPr>
          <w:rFonts w:hint="eastAsia" w:ascii="宋体" w:hAnsi="宋体" w:cs="宋体"/>
          <w:b/>
          <w:bCs/>
          <w:szCs w:val="21"/>
          <w:highlight w:val="none"/>
          <w:lang w:eastAsia="zh-CN"/>
        </w:rPr>
        <w:t>及以上</w:t>
      </w:r>
      <w:r>
        <w:rPr>
          <w:rFonts w:hint="eastAsia" w:ascii="宋体" w:hAnsi="宋体" w:cs="宋体"/>
          <w:b/>
          <w:bCs/>
          <w:szCs w:val="21"/>
          <w:highlight w:val="none"/>
        </w:rPr>
        <w:t>资质；；</w:t>
      </w:r>
    </w:p>
    <w:p>
      <w:pPr>
        <w:snapToGrid w:val="0"/>
        <w:spacing w:line="360" w:lineRule="atLeast"/>
        <w:ind w:firstLine="422" w:firstLineChars="200"/>
        <w:rPr>
          <w:rFonts w:hint="eastAsia" w:ascii="宋体" w:hAnsi="宋体" w:eastAsia="宋体" w:cs="宋体"/>
          <w:b/>
          <w:bCs/>
          <w:szCs w:val="21"/>
          <w:highlight w:val="none"/>
          <w:lang w:eastAsia="zh-CN"/>
        </w:rPr>
      </w:pPr>
      <w:r>
        <w:rPr>
          <w:rFonts w:hint="eastAsia" w:ascii="宋体" w:hAnsi="宋体" w:cs="宋体"/>
          <w:b/>
          <w:bCs/>
          <w:szCs w:val="21"/>
          <w:highlight w:val="none"/>
        </w:rPr>
        <w:t>3、具备电子与智能化工程专业承包</w:t>
      </w:r>
      <w:r>
        <w:rPr>
          <w:rFonts w:hint="eastAsia" w:ascii="宋体" w:hAnsi="宋体" w:cs="宋体"/>
          <w:b/>
          <w:bCs/>
          <w:szCs w:val="21"/>
          <w:highlight w:val="none"/>
          <w:lang w:eastAsia="zh-CN"/>
        </w:rPr>
        <w:t>壹</w:t>
      </w:r>
      <w:r>
        <w:rPr>
          <w:rFonts w:hint="eastAsia" w:ascii="宋体" w:hAnsi="宋体" w:cs="宋体"/>
          <w:b/>
          <w:bCs/>
          <w:szCs w:val="21"/>
          <w:highlight w:val="none"/>
        </w:rPr>
        <w:t>级</w:t>
      </w:r>
      <w:r>
        <w:rPr>
          <w:rFonts w:hint="eastAsia" w:ascii="宋体" w:hAnsi="宋体" w:cs="宋体"/>
          <w:b/>
          <w:bCs/>
          <w:szCs w:val="21"/>
          <w:highlight w:val="none"/>
          <w:lang w:eastAsia="zh-CN"/>
        </w:rPr>
        <w:t>资质</w:t>
      </w:r>
    </w:p>
    <w:p>
      <w:pPr>
        <w:snapToGrid w:val="0"/>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4、项目拒绝转包分包；</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5、项目不接受联合投标。</w:t>
      </w:r>
    </w:p>
    <w:p>
      <w:pPr>
        <w:snapToGrid w:val="0"/>
        <w:spacing w:line="360" w:lineRule="atLeast"/>
        <w:ind w:firstLine="420" w:firstLineChars="200"/>
        <w:rPr>
          <w:rFonts w:hint="eastAsia" w:ascii="宋体" w:hAnsi="宋体" w:cs="Arial"/>
          <w:szCs w:val="21"/>
        </w:rPr>
      </w:pPr>
      <w:r>
        <w:rPr>
          <w:rFonts w:hint="eastAsia" w:ascii="宋体" w:hAnsi="宋体" w:cs="Arial"/>
          <w:szCs w:val="21"/>
        </w:rPr>
        <w:t>六、报名事宜：</w:t>
      </w:r>
    </w:p>
    <w:p>
      <w:pPr>
        <w:snapToGrid w:val="0"/>
        <w:spacing w:line="360" w:lineRule="atLeast"/>
        <w:ind w:firstLine="420" w:firstLineChars="200"/>
        <w:rPr>
          <w:rFonts w:hint="eastAsia" w:ascii="宋体" w:hAnsi="宋体" w:cs="Arial"/>
          <w:szCs w:val="21"/>
          <w:highlight w:val="none"/>
        </w:rPr>
      </w:pPr>
      <w:r>
        <w:rPr>
          <w:rFonts w:hint="eastAsia" w:ascii="宋体" w:hAnsi="宋体" w:cs="Arial"/>
          <w:szCs w:val="21"/>
        </w:rPr>
        <w:t>1、报名时间</w:t>
      </w:r>
      <w:r>
        <w:rPr>
          <w:rFonts w:hint="eastAsia" w:ascii="宋体" w:hAnsi="宋体" w:cs="Arial"/>
          <w:szCs w:val="21"/>
          <w:highlight w:val="none"/>
        </w:rPr>
        <w:t>：</w:t>
      </w:r>
      <w:r>
        <w:rPr>
          <w:rFonts w:hint="eastAsia" w:ascii="宋体" w:cs="Arial"/>
          <w:b/>
          <w:szCs w:val="21"/>
          <w:highlight w:val="none"/>
          <w:lang w:val="en-US" w:eastAsia="zh-CN"/>
        </w:rPr>
        <w:t>2</w:t>
      </w:r>
      <w:r>
        <w:rPr>
          <w:rFonts w:hint="eastAsia" w:ascii="宋体" w:cs="Arial"/>
          <w:b/>
          <w:szCs w:val="21"/>
          <w:highlight w:val="none"/>
          <w:lang w:val="en-US" w:eastAsia="zh-CN"/>
        </w:rPr>
        <w:t>019</w:t>
      </w:r>
      <w:r>
        <w:rPr>
          <w:rFonts w:ascii="宋体" w:cs="Arial"/>
          <w:b/>
          <w:szCs w:val="21"/>
          <w:highlight w:val="none"/>
        </w:rPr>
        <w:t>年</w:t>
      </w:r>
      <w:r>
        <w:rPr>
          <w:rFonts w:hint="eastAsia" w:ascii="宋体" w:cs="Arial"/>
          <w:b/>
          <w:szCs w:val="21"/>
          <w:highlight w:val="none"/>
          <w:lang w:val="en-US" w:eastAsia="zh-CN"/>
        </w:rPr>
        <w:t>7</w:t>
      </w:r>
      <w:r>
        <w:rPr>
          <w:rFonts w:ascii="宋体" w:cs="Arial"/>
          <w:b/>
          <w:szCs w:val="21"/>
          <w:highlight w:val="none"/>
        </w:rPr>
        <w:t>月</w:t>
      </w:r>
      <w:r>
        <w:rPr>
          <w:rFonts w:hint="eastAsia" w:ascii="宋体" w:cs="Arial"/>
          <w:b/>
          <w:szCs w:val="21"/>
          <w:highlight w:val="none"/>
          <w:lang w:val="en-US" w:eastAsia="zh-CN"/>
        </w:rPr>
        <w:t>3</w:t>
      </w:r>
      <w:r>
        <w:rPr>
          <w:rFonts w:ascii="宋体" w:cs="Arial"/>
          <w:b/>
          <w:szCs w:val="21"/>
          <w:highlight w:val="none"/>
        </w:rPr>
        <w:t>日</w:t>
      </w:r>
      <w:r>
        <w:rPr>
          <w:rFonts w:hint="eastAsia" w:ascii="宋体" w:cs="Arial"/>
          <w:b/>
          <w:szCs w:val="21"/>
          <w:highlight w:val="none"/>
        </w:rPr>
        <w:t>至201</w:t>
      </w:r>
      <w:r>
        <w:rPr>
          <w:rFonts w:hint="eastAsia" w:ascii="宋体" w:cs="Arial"/>
          <w:b/>
          <w:szCs w:val="21"/>
          <w:highlight w:val="none"/>
          <w:lang w:val="en-US" w:eastAsia="zh-CN"/>
        </w:rPr>
        <w:t>9</w:t>
      </w:r>
      <w:r>
        <w:rPr>
          <w:rFonts w:hint="eastAsia" w:ascii="宋体" w:cs="Arial"/>
          <w:b/>
          <w:szCs w:val="21"/>
          <w:highlight w:val="none"/>
        </w:rPr>
        <w:t>年</w:t>
      </w:r>
      <w:r>
        <w:rPr>
          <w:rFonts w:hint="eastAsia" w:ascii="宋体" w:cs="Arial"/>
          <w:b/>
          <w:szCs w:val="21"/>
          <w:highlight w:val="none"/>
          <w:lang w:val="en-US" w:eastAsia="zh-CN"/>
        </w:rPr>
        <w:t>7</w:t>
      </w:r>
      <w:r>
        <w:rPr>
          <w:rFonts w:ascii="宋体" w:cs="Arial"/>
          <w:b/>
          <w:szCs w:val="21"/>
          <w:highlight w:val="none"/>
        </w:rPr>
        <w:t>月</w:t>
      </w:r>
      <w:r>
        <w:rPr>
          <w:rFonts w:hint="eastAsia" w:ascii="宋体" w:cs="Arial"/>
          <w:b/>
          <w:szCs w:val="21"/>
          <w:highlight w:val="none"/>
          <w:lang w:val="en-US" w:eastAsia="zh-CN"/>
        </w:rPr>
        <w:t>1</w:t>
      </w:r>
      <w:r>
        <w:rPr>
          <w:rFonts w:hint="eastAsia" w:ascii="宋体" w:cs="Arial"/>
          <w:b/>
          <w:szCs w:val="21"/>
          <w:highlight w:val="none"/>
          <w:lang w:val="en-US" w:eastAsia="zh-CN"/>
        </w:rPr>
        <w:t>1</w:t>
      </w:r>
      <w:r>
        <w:rPr>
          <w:rFonts w:ascii="宋体" w:cs="Arial"/>
          <w:b/>
          <w:szCs w:val="21"/>
          <w:highlight w:val="none"/>
        </w:rPr>
        <w:t>日</w:t>
      </w:r>
      <w:r>
        <w:rPr>
          <w:rFonts w:ascii="宋体" w:cs="Arial"/>
          <w:szCs w:val="21"/>
          <w:highlight w:val="none"/>
        </w:rPr>
        <w:t>，每天上午8</w:t>
      </w:r>
      <w:r>
        <w:rPr>
          <w:rFonts w:hint="eastAsia" w:ascii="宋体" w:hAnsi="宋体" w:cs="宋体"/>
          <w:szCs w:val="21"/>
          <w:highlight w:val="none"/>
        </w:rPr>
        <w:t>∶</w:t>
      </w:r>
      <w:r>
        <w:rPr>
          <w:rFonts w:hint="eastAsia" w:ascii="宋体" w:cs="Arial"/>
          <w:szCs w:val="21"/>
          <w:highlight w:val="none"/>
        </w:rPr>
        <w:t>3</w:t>
      </w:r>
      <w:r>
        <w:rPr>
          <w:rFonts w:ascii="宋体" w:cs="Arial"/>
          <w:szCs w:val="21"/>
          <w:highlight w:val="none"/>
        </w:rPr>
        <w:t>0至1</w:t>
      </w:r>
      <w:r>
        <w:rPr>
          <w:rFonts w:hint="eastAsia" w:ascii="宋体" w:cs="Arial"/>
          <w:szCs w:val="21"/>
          <w:highlight w:val="none"/>
        </w:rPr>
        <w:t>2</w:t>
      </w:r>
      <w:r>
        <w:rPr>
          <w:rFonts w:hint="eastAsia" w:ascii="宋体" w:hAnsi="宋体" w:cs="宋体"/>
          <w:szCs w:val="21"/>
          <w:highlight w:val="none"/>
        </w:rPr>
        <w:t>∶</w:t>
      </w:r>
      <w:r>
        <w:rPr>
          <w:rFonts w:hint="eastAsia" w:ascii="宋体" w:cs="Arial"/>
          <w:szCs w:val="21"/>
          <w:highlight w:val="none"/>
        </w:rPr>
        <w:t>0</w:t>
      </w:r>
      <w:r>
        <w:rPr>
          <w:rFonts w:ascii="宋体" w:cs="Arial"/>
          <w:szCs w:val="21"/>
          <w:highlight w:val="none"/>
        </w:rPr>
        <w:t>0，下午</w:t>
      </w:r>
      <w:r>
        <w:rPr>
          <w:rFonts w:hint="eastAsia" w:ascii="宋体" w:cs="Arial"/>
          <w:szCs w:val="21"/>
          <w:highlight w:val="none"/>
        </w:rPr>
        <w:t>14：3</w:t>
      </w:r>
      <w:r>
        <w:rPr>
          <w:rFonts w:ascii="宋体" w:cs="Arial"/>
          <w:szCs w:val="21"/>
          <w:highlight w:val="none"/>
        </w:rPr>
        <w:t>0至</w:t>
      </w:r>
      <w:r>
        <w:rPr>
          <w:rFonts w:hint="eastAsia" w:ascii="宋体" w:cs="Arial"/>
          <w:szCs w:val="21"/>
          <w:highlight w:val="none"/>
        </w:rPr>
        <w:t>17</w:t>
      </w:r>
      <w:r>
        <w:rPr>
          <w:rFonts w:hint="eastAsia" w:ascii="宋体" w:hAnsi="宋体" w:cs="宋体"/>
          <w:szCs w:val="21"/>
          <w:highlight w:val="none"/>
        </w:rPr>
        <w:t>∶3</w:t>
      </w:r>
      <w:r>
        <w:rPr>
          <w:rFonts w:ascii="宋体" w:cs="Arial"/>
          <w:szCs w:val="21"/>
          <w:highlight w:val="none"/>
        </w:rPr>
        <w:t>0</w:t>
      </w:r>
      <w:r>
        <w:rPr>
          <w:rFonts w:hint="eastAsia" w:ascii="宋体" w:hAnsi="宋体" w:cs="Arial"/>
          <w:szCs w:val="21"/>
          <w:highlight w:val="none"/>
        </w:rPr>
        <w:t>。（</w:t>
      </w:r>
      <w:r>
        <w:rPr>
          <w:rFonts w:hint="eastAsia" w:ascii="宋体" w:cs="Arial"/>
          <w:szCs w:val="21"/>
          <w:highlight w:val="none"/>
        </w:rPr>
        <w:t>双休日及法定节假日除外）</w:t>
      </w:r>
    </w:p>
    <w:p>
      <w:pPr>
        <w:snapToGrid w:val="0"/>
        <w:spacing w:line="360" w:lineRule="atLeast"/>
        <w:ind w:firstLine="420" w:firstLineChars="200"/>
        <w:rPr>
          <w:rFonts w:hint="eastAsia" w:ascii="宋体" w:cs="Arial"/>
          <w:szCs w:val="21"/>
          <w:highlight w:val="none"/>
        </w:rPr>
      </w:pPr>
      <w:r>
        <w:rPr>
          <w:rFonts w:hint="eastAsia" w:ascii="宋体" w:hAnsi="宋体" w:cs="Arial"/>
          <w:szCs w:val="21"/>
          <w:highlight w:val="none"/>
        </w:rPr>
        <w:t>2、报名地点：</w:t>
      </w:r>
      <w:r>
        <w:rPr>
          <w:rFonts w:hint="eastAsia" w:ascii="宋体" w:cs="Arial"/>
          <w:szCs w:val="21"/>
          <w:highlight w:val="none"/>
        </w:rPr>
        <w:t>安吉县昌硕街道天荒坪南路99号商会大厦A座8楼安吉县公共资源交易中心政府采购窗口。</w:t>
      </w:r>
    </w:p>
    <w:p>
      <w:pPr>
        <w:snapToGrid w:val="0"/>
        <w:spacing w:line="360" w:lineRule="atLeast"/>
        <w:ind w:firstLine="420" w:firstLineChars="200"/>
        <w:rPr>
          <w:rFonts w:hint="eastAsia" w:ascii="宋体" w:hAnsi="宋体" w:cs="Arial"/>
          <w:szCs w:val="21"/>
          <w:highlight w:val="none"/>
        </w:rPr>
      </w:pPr>
      <w:r>
        <w:rPr>
          <w:rFonts w:hint="eastAsia" w:ascii="宋体" w:hAnsi="宋体" w:cs="Arial"/>
          <w:szCs w:val="21"/>
          <w:highlight w:val="none"/>
        </w:rPr>
        <w:t>3、报名成功后招标文件网络免费下载。(凡政府采购注册供应商，均可通过浙江政府采购网，凭注册用户名和密码免费浏览或者下载本项目电子采购文件。</w:t>
      </w:r>
    </w:p>
    <w:p>
      <w:pPr>
        <w:snapToGrid w:val="0"/>
        <w:spacing w:line="360" w:lineRule="atLeast"/>
        <w:ind w:firstLine="422" w:firstLineChars="200"/>
        <w:rPr>
          <w:rFonts w:hint="eastAsia" w:ascii="宋体" w:hAnsi="宋体" w:cs="Arial"/>
          <w:szCs w:val="21"/>
        </w:rPr>
      </w:pPr>
      <w:r>
        <w:rPr>
          <w:rFonts w:hint="eastAsia" w:ascii="宋体" w:hAnsi="宋体" w:cs="Arial"/>
          <w:b/>
          <w:bCs/>
          <w:szCs w:val="21"/>
          <w:highlight w:val="none"/>
          <w:lang w:val="en-US" w:eastAsia="zh-CN"/>
        </w:rPr>
        <w:t>4</w:t>
      </w:r>
      <w:r>
        <w:rPr>
          <w:rFonts w:hint="eastAsia" w:ascii="宋体" w:hAnsi="宋体" w:cs="Arial"/>
          <w:b/>
          <w:bCs/>
          <w:szCs w:val="21"/>
          <w:highlight w:val="none"/>
        </w:rPr>
        <w:t>、报名时</w:t>
      </w:r>
      <w:r>
        <w:rPr>
          <w:rFonts w:hint="eastAsia" w:ascii="宋体" w:hAnsi="宋体" w:cs="Arial"/>
          <w:b/>
          <w:bCs/>
          <w:szCs w:val="21"/>
          <w:highlight w:val="none"/>
          <w:lang w:eastAsia="zh-CN"/>
        </w:rPr>
        <w:t>须提供</w:t>
      </w:r>
      <w:r>
        <w:rPr>
          <w:rFonts w:hint="eastAsia" w:ascii="宋体" w:hAnsi="宋体" w:cs="Arial"/>
          <w:b/>
          <w:bCs/>
          <w:szCs w:val="21"/>
          <w:highlight w:val="none"/>
        </w:rPr>
        <w:t>以下证件资料并加盖公章（或扫描件发送至ajzfcg@163.com</w:t>
      </w:r>
      <w:r>
        <w:rPr>
          <w:rFonts w:hint="eastAsia" w:ascii="宋体" w:hAnsi="宋体" w:cs="Arial"/>
          <w:b/>
          <w:bCs/>
          <w:szCs w:val="21"/>
        </w:rPr>
        <w:t>）：</w:t>
      </w:r>
      <w:r>
        <w:rPr>
          <w:rFonts w:hint="eastAsia" w:ascii="宋体" w:hAnsi="宋体" w:cs="Arial"/>
          <w:szCs w:val="21"/>
        </w:rPr>
        <w:t xml:space="preserve"> </w:t>
      </w:r>
    </w:p>
    <w:p>
      <w:pPr>
        <w:snapToGrid w:val="0"/>
        <w:spacing w:line="360" w:lineRule="atLeast"/>
        <w:ind w:firstLine="420" w:firstLineChars="200"/>
        <w:rPr>
          <w:rStyle w:val="106"/>
          <w:rFonts w:hint="eastAsia" w:ascii="宋体" w:hAnsi="宋体" w:cs="宋体"/>
          <w:sz w:val="21"/>
          <w:szCs w:val="21"/>
        </w:rPr>
      </w:pPr>
      <w:r>
        <w:rPr>
          <w:rStyle w:val="106"/>
          <w:rFonts w:hint="eastAsia" w:ascii="宋体" w:hAnsi="宋体" w:cs="宋体"/>
          <w:sz w:val="21"/>
          <w:szCs w:val="21"/>
        </w:rPr>
        <w:t>（1）企业法人营业执照副本复印件；</w:t>
      </w:r>
    </w:p>
    <w:p>
      <w:pPr>
        <w:snapToGrid w:val="0"/>
        <w:spacing w:line="360" w:lineRule="atLeast"/>
        <w:ind w:firstLine="420" w:firstLineChars="200"/>
        <w:rPr>
          <w:rStyle w:val="106"/>
          <w:rFonts w:hint="eastAsia" w:ascii="宋体" w:hAnsi="宋体" w:eastAsia="宋体" w:cs="宋体"/>
          <w:sz w:val="21"/>
          <w:szCs w:val="21"/>
          <w:lang w:eastAsia="zh-CN"/>
        </w:rPr>
      </w:pPr>
      <w:r>
        <w:rPr>
          <w:rStyle w:val="106"/>
          <w:rFonts w:hint="eastAsia" w:ascii="宋体" w:hAnsi="宋体" w:cs="宋体"/>
          <w:sz w:val="21"/>
          <w:szCs w:val="21"/>
        </w:rPr>
        <w:t>（2）</w:t>
      </w:r>
      <w:r>
        <w:rPr>
          <w:rStyle w:val="106"/>
          <w:rFonts w:hint="eastAsia" w:ascii="宋体" w:hAnsi="宋体" w:cs="宋体"/>
          <w:sz w:val="21"/>
          <w:szCs w:val="21"/>
          <w:lang w:eastAsia="zh-CN"/>
        </w:rPr>
        <w:t>相应资质证书复印件</w:t>
      </w:r>
    </w:p>
    <w:p>
      <w:pPr>
        <w:widowControl/>
        <w:tabs>
          <w:tab w:val="left" w:pos="2127"/>
        </w:tabs>
        <w:adjustRightInd w:val="0"/>
        <w:snapToGrid w:val="0"/>
        <w:spacing w:line="360" w:lineRule="atLeast"/>
        <w:ind w:firstLine="420" w:firstLineChars="200"/>
        <w:jc w:val="left"/>
        <w:rPr>
          <w:rStyle w:val="106"/>
          <w:rFonts w:hint="eastAsia" w:ascii="宋体" w:hAnsi="宋体" w:cs="宋体"/>
          <w:sz w:val="21"/>
          <w:szCs w:val="21"/>
        </w:rPr>
      </w:pPr>
      <w:r>
        <w:rPr>
          <w:rStyle w:val="106"/>
          <w:rFonts w:hint="eastAsia" w:ascii="宋体" w:hAnsi="宋体" w:cs="宋体"/>
          <w:sz w:val="21"/>
          <w:szCs w:val="21"/>
        </w:rPr>
        <w:t>（</w:t>
      </w:r>
      <w:r>
        <w:rPr>
          <w:rStyle w:val="106"/>
          <w:rFonts w:hint="eastAsia" w:ascii="宋体" w:hAnsi="宋体" w:cs="宋体"/>
          <w:sz w:val="21"/>
          <w:szCs w:val="21"/>
          <w:lang w:val="en-US" w:eastAsia="zh-CN"/>
        </w:rPr>
        <w:t>3</w:t>
      </w:r>
      <w:r>
        <w:rPr>
          <w:rStyle w:val="106"/>
          <w:rFonts w:hint="eastAsia" w:ascii="宋体" w:hAnsi="宋体" w:cs="宋体"/>
          <w:sz w:val="21"/>
          <w:szCs w:val="21"/>
        </w:rPr>
        <w:t>）法定代表人(或负责人)身份证件；</w:t>
      </w:r>
    </w:p>
    <w:p>
      <w:pPr>
        <w:widowControl/>
        <w:tabs>
          <w:tab w:val="left" w:pos="2127"/>
        </w:tabs>
        <w:adjustRightInd w:val="0"/>
        <w:snapToGrid w:val="0"/>
        <w:spacing w:line="360" w:lineRule="atLeast"/>
        <w:ind w:firstLine="420" w:firstLineChars="200"/>
        <w:jc w:val="left"/>
        <w:rPr>
          <w:rStyle w:val="106"/>
          <w:rFonts w:hint="eastAsia" w:ascii="宋体" w:hAnsi="宋体" w:cs="宋体"/>
          <w:kern w:val="0"/>
          <w:sz w:val="21"/>
          <w:szCs w:val="21"/>
        </w:rPr>
      </w:pPr>
      <w:r>
        <w:rPr>
          <w:rStyle w:val="106"/>
          <w:rFonts w:hint="eastAsia" w:ascii="宋体" w:hAnsi="宋体" w:cs="宋体"/>
          <w:sz w:val="21"/>
          <w:szCs w:val="21"/>
        </w:rPr>
        <w:t>法定代表人(或负责人)授权书（原件）及办理报名人的有效身份证件；</w:t>
      </w:r>
    </w:p>
    <w:p>
      <w:pPr>
        <w:autoSpaceDE w:val="0"/>
        <w:autoSpaceDN w:val="0"/>
        <w:adjustRightInd w:val="0"/>
        <w:spacing w:line="360" w:lineRule="atLeast"/>
        <w:ind w:firstLine="420" w:firstLineChars="200"/>
        <w:jc w:val="left"/>
        <w:rPr>
          <w:rStyle w:val="106"/>
          <w:rFonts w:hint="eastAsia" w:ascii="宋体" w:hAnsi="宋体" w:cs="宋体"/>
          <w:sz w:val="21"/>
          <w:szCs w:val="21"/>
        </w:rPr>
      </w:pPr>
      <w:r>
        <w:rPr>
          <w:rStyle w:val="106"/>
          <w:rFonts w:hint="eastAsia" w:ascii="宋体" w:hAnsi="宋体" w:cs="宋体"/>
          <w:sz w:val="21"/>
          <w:szCs w:val="21"/>
        </w:rPr>
        <w:t>（</w:t>
      </w:r>
      <w:r>
        <w:rPr>
          <w:rStyle w:val="106"/>
          <w:rFonts w:hint="eastAsia" w:ascii="宋体" w:hAnsi="宋体" w:cs="宋体"/>
          <w:sz w:val="21"/>
          <w:szCs w:val="21"/>
          <w:lang w:val="en-US" w:eastAsia="zh-CN"/>
        </w:rPr>
        <w:t>4</w:t>
      </w:r>
      <w:r>
        <w:rPr>
          <w:rStyle w:val="106"/>
          <w:rFonts w:hint="eastAsia" w:ascii="宋体" w:hAnsi="宋体" w:cs="宋体"/>
          <w:sz w:val="21"/>
          <w:szCs w:val="21"/>
        </w:rPr>
        <w:t>）投标商报名表一份，下载网址：http：//www.ajztb.com，位置：下载中心。</w:t>
      </w:r>
    </w:p>
    <w:p>
      <w:pPr>
        <w:spacing w:line="360" w:lineRule="atLeast"/>
        <w:ind w:firstLine="420" w:firstLineChars="200"/>
        <w:rPr>
          <w:rFonts w:hint="eastAsia" w:ascii="宋体" w:hAnsi="宋体" w:cs="Arial"/>
          <w:b/>
          <w:color w:val="auto"/>
          <w:szCs w:val="21"/>
        </w:rPr>
      </w:pPr>
      <w:r>
        <w:rPr>
          <w:rFonts w:hint="eastAsia" w:ascii="宋体" w:hAnsi="宋体" w:cs="Arial"/>
          <w:szCs w:val="21"/>
        </w:rPr>
        <w:t>七、投标答疑时间及方式：报名成功的投标供应商对招标文件有异议的，应当在</w:t>
      </w:r>
      <w:r>
        <w:rPr>
          <w:rFonts w:ascii="宋体" w:hAnsi="宋体" w:cs="Arial"/>
          <w:b/>
          <w:szCs w:val="21"/>
          <w:highlight w:val="yellow"/>
        </w:rPr>
        <w:t>201</w:t>
      </w:r>
      <w:r>
        <w:rPr>
          <w:rFonts w:hint="eastAsia" w:ascii="宋体" w:hAnsi="宋体" w:cs="Arial"/>
          <w:b/>
          <w:szCs w:val="21"/>
          <w:highlight w:val="yellow"/>
          <w:lang w:val="en-US" w:eastAsia="zh-CN"/>
        </w:rPr>
        <w:t>9</w:t>
      </w:r>
      <w:r>
        <w:rPr>
          <w:rFonts w:ascii="宋体" w:hAnsi="宋体" w:cs="Arial"/>
          <w:b/>
          <w:szCs w:val="21"/>
          <w:highlight w:val="yellow"/>
        </w:rPr>
        <w:t>年</w:t>
      </w:r>
      <w:r>
        <w:rPr>
          <w:rFonts w:hint="eastAsia" w:ascii="宋体" w:hAnsi="宋体" w:cs="Arial"/>
          <w:b/>
          <w:szCs w:val="21"/>
          <w:highlight w:val="yellow"/>
          <w:lang w:val="en-US" w:eastAsia="zh-CN"/>
        </w:rPr>
        <w:t>7</w:t>
      </w:r>
      <w:r>
        <w:rPr>
          <w:rFonts w:hint="eastAsia" w:ascii="宋体" w:hAnsi="宋体" w:cs="Arial"/>
          <w:b/>
          <w:szCs w:val="21"/>
          <w:highlight w:val="yellow"/>
        </w:rPr>
        <w:t>月</w:t>
      </w:r>
      <w:r>
        <w:rPr>
          <w:rFonts w:hint="eastAsia" w:ascii="宋体" w:hAnsi="宋体" w:cs="Arial"/>
          <w:b/>
          <w:szCs w:val="21"/>
          <w:highlight w:val="yellow"/>
          <w:lang w:val="en-US" w:eastAsia="zh-CN"/>
        </w:rPr>
        <w:t>2</w:t>
      </w:r>
      <w:r>
        <w:rPr>
          <w:rFonts w:hint="eastAsia" w:ascii="宋体" w:hAnsi="宋体" w:cs="Arial"/>
          <w:b/>
          <w:szCs w:val="21"/>
          <w:highlight w:val="yellow"/>
          <w:lang w:val="en-US" w:eastAsia="zh-CN"/>
        </w:rPr>
        <w:t>2</w:t>
      </w:r>
      <w:r>
        <w:rPr>
          <w:rFonts w:ascii="宋体" w:hAnsi="宋体" w:cs="Arial"/>
          <w:b/>
          <w:szCs w:val="21"/>
          <w:highlight w:val="yellow"/>
        </w:rPr>
        <w:t>日</w:t>
      </w:r>
      <w:r>
        <w:rPr>
          <w:rFonts w:hint="eastAsia" w:ascii="宋体" w:hAnsi="宋体" w:cs="Arial"/>
          <w:b/>
          <w:bCs/>
          <w:szCs w:val="21"/>
          <w:highlight w:val="yellow"/>
        </w:rPr>
        <w:t>下午16</w:t>
      </w:r>
      <w:r>
        <w:rPr>
          <w:rFonts w:hint="eastAsia" w:ascii="宋体" w:hAnsi="宋体" w:cs="宋体"/>
          <w:b/>
          <w:bCs/>
          <w:szCs w:val="21"/>
          <w:highlight w:val="yellow"/>
        </w:rPr>
        <w:t>∶</w:t>
      </w:r>
      <w:r>
        <w:rPr>
          <w:rFonts w:hint="eastAsia" w:ascii="宋体" w:hAnsi="宋体" w:cs="Arial"/>
          <w:b/>
          <w:bCs/>
          <w:szCs w:val="21"/>
          <w:highlight w:val="yellow"/>
        </w:rPr>
        <w:t>3</w:t>
      </w:r>
      <w:r>
        <w:rPr>
          <w:rFonts w:ascii="宋体" w:hAnsi="宋体" w:cs="Arial"/>
          <w:b/>
          <w:bCs/>
          <w:szCs w:val="21"/>
          <w:highlight w:val="yellow"/>
        </w:rPr>
        <w:t>0时前</w:t>
      </w:r>
      <w:r>
        <w:rPr>
          <w:rFonts w:ascii="宋体" w:hAnsi="宋体" w:cs="Arial"/>
          <w:szCs w:val="21"/>
        </w:rPr>
        <w:t>将疑问以书面</w:t>
      </w:r>
      <w:r>
        <w:rPr>
          <w:rFonts w:hint="eastAsia" w:ascii="宋体" w:hAnsi="宋体" w:cs="Arial"/>
          <w:szCs w:val="21"/>
        </w:rPr>
        <w:t>（含传真、邮箱）</w:t>
      </w:r>
      <w:r>
        <w:rPr>
          <w:rFonts w:ascii="宋体" w:hAnsi="宋体" w:cs="Arial"/>
          <w:szCs w:val="21"/>
        </w:rPr>
        <w:t>形式</w:t>
      </w:r>
      <w:r>
        <w:rPr>
          <w:rFonts w:hint="eastAsia" w:ascii="宋体" w:hAnsi="宋体" w:cs="Arial"/>
          <w:szCs w:val="21"/>
        </w:rPr>
        <w:t>向集中采购代理机构一次性提出（</w:t>
      </w:r>
      <w:r>
        <w:rPr>
          <w:rFonts w:ascii="宋体" w:hAnsi="宋体" w:cs="Arial"/>
          <w:szCs w:val="21"/>
        </w:rPr>
        <w:t>传真</w:t>
      </w:r>
      <w:r>
        <w:rPr>
          <w:rFonts w:hint="eastAsia" w:ascii="宋体" w:hAnsi="宋体" w:cs="Arial"/>
          <w:szCs w:val="21"/>
        </w:rPr>
        <w:t>号码</w:t>
      </w:r>
      <w:r>
        <w:rPr>
          <w:rFonts w:ascii="宋体" w:hAnsi="宋体" w:cs="Arial"/>
          <w:szCs w:val="21"/>
        </w:rPr>
        <w:t>0572-</w:t>
      </w:r>
      <w:r>
        <w:rPr>
          <w:rFonts w:hint="eastAsia" w:ascii="宋体" w:hAnsi="宋体" w:cs="Arial"/>
          <w:szCs w:val="21"/>
        </w:rPr>
        <w:t>5129121，邮箱</w:t>
      </w:r>
      <w:r>
        <w:rPr>
          <w:rFonts w:hint="eastAsia" w:ascii="宋体" w:hAnsi="宋体" w:cs="宋体"/>
          <w:b/>
          <w:bCs/>
          <w:kern w:val="0"/>
          <w:szCs w:val="21"/>
        </w:rPr>
        <w:t>ajzfcg@163.com</w:t>
      </w:r>
      <w:r>
        <w:rPr>
          <w:rFonts w:ascii="宋体" w:hAnsi="宋体" w:cs="Arial"/>
          <w:szCs w:val="21"/>
        </w:rPr>
        <w:t xml:space="preserve"> </w:t>
      </w:r>
      <w:r>
        <w:rPr>
          <w:rFonts w:hint="eastAsia" w:ascii="宋体" w:hAnsi="宋体" w:cs="Arial"/>
          <w:szCs w:val="21"/>
        </w:rPr>
        <w:t>，</w:t>
      </w:r>
      <w:r>
        <w:rPr>
          <w:rFonts w:ascii="宋体" w:hAnsi="宋体" w:cs="Arial"/>
          <w:szCs w:val="21"/>
        </w:rPr>
        <w:fldChar w:fldCharType="begin"/>
      </w:r>
      <w:r>
        <w:rPr>
          <w:rFonts w:ascii="宋体" w:hAnsi="宋体" w:cs="Arial"/>
          <w:szCs w:val="21"/>
        </w:rPr>
        <w:instrText xml:space="preserve"> HYPERLINK "mailto:</w:instrText>
      </w:r>
      <w:r>
        <w:rPr>
          <w:rFonts w:hint="eastAsia" w:ascii="宋体" w:hAnsi="宋体" w:cs="Arial"/>
          <w:szCs w:val="21"/>
        </w:rPr>
        <w:instrText xml:space="preserve">同时请将该书面文件的电子文档发送至ajzfcg@163.com</w:instrText>
      </w:r>
      <w:r>
        <w:rPr>
          <w:rFonts w:ascii="宋体" w:hAnsi="宋体" w:cs="Arial"/>
          <w:szCs w:val="21"/>
        </w:rPr>
        <w:instrText xml:space="preserve">" </w:instrText>
      </w:r>
      <w:r>
        <w:rPr>
          <w:rFonts w:ascii="宋体" w:hAnsi="宋体" w:cs="Arial"/>
          <w:szCs w:val="21"/>
        </w:rPr>
        <w:fldChar w:fldCharType="separate"/>
      </w:r>
      <w:r>
        <w:rPr>
          <w:rFonts w:hint="eastAsia" w:ascii="宋体" w:hAnsi="宋体" w:cs="Arial"/>
          <w:szCs w:val="21"/>
        </w:rPr>
        <w:t>同时请将该书面文件的电子文档发送至邮箱</w:t>
      </w:r>
      <w:r>
        <w:rPr>
          <w:rFonts w:ascii="宋体" w:hAnsi="宋体" w:cs="Arial"/>
          <w:szCs w:val="21"/>
        </w:rPr>
        <w:fldChar w:fldCharType="end"/>
      </w:r>
      <w:r>
        <w:rPr>
          <w:rFonts w:hint="eastAsia" w:ascii="宋体" w:hAnsi="宋体" w:cs="Arial"/>
          <w:szCs w:val="21"/>
        </w:rPr>
        <w:t>）</w:t>
      </w:r>
      <w:r>
        <w:rPr>
          <w:rFonts w:ascii="宋体" w:hAnsi="宋体" w:cs="Arial"/>
          <w:szCs w:val="21"/>
        </w:rPr>
        <w:t>。</w:t>
      </w:r>
      <w:r>
        <w:rPr>
          <w:rFonts w:hint="eastAsia" w:ascii="宋体" w:hAnsi="宋体" w:cs="Arial"/>
          <w:szCs w:val="21"/>
        </w:rPr>
        <w:t>招标采购单位将在规定的时间内统一进行澄清和修改，并书面（含传真、邮箱）通知所有报名的供应商。供应商未按规定要求提出的，则视同认可招标文件，但法律法规及规范性文件有明确规</w:t>
      </w:r>
      <w:r>
        <w:rPr>
          <w:rFonts w:hint="eastAsia" w:ascii="宋体" w:hAnsi="宋体" w:cs="Arial"/>
          <w:color w:val="auto"/>
          <w:szCs w:val="21"/>
        </w:rPr>
        <w:t>定的除外。</w:t>
      </w:r>
    </w:p>
    <w:p>
      <w:pPr>
        <w:snapToGrid w:val="0"/>
        <w:spacing w:line="360" w:lineRule="atLeast"/>
        <w:ind w:firstLine="420" w:firstLineChars="200"/>
        <w:jc w:val="left"/>
        <w:rPr>
          <w:rFonts w:hint="eastAsia" w:ascii="宋体" w:hAnsi="宋体" w:cs="Arial"/>
          <w:szCs w:val="21"/>
        </w:rPr>
      </w:pPr>
      <w:r>
        <w:rPr>
          <w:rFonts w:hint="eastAsia" w:ascii="宋体" w:hAnsi="宋体" w:cs="Arial"/>
          <w:szCs w:val="21"/>
        </w:rPr>
        <w:t>八、投标截止时间和地点：</w:t>
      </w:r>
    </w:p>
    <w:p>
      <w:pPr>
        <w:snapToGrid w:val="0"/>
        <w:spacing w:line="360" w:lineRule="atLeast"/>
        <w:ind w:firstLine="420" w:firstLineChars="200"/>
        <w:jc w:val="left"/>
        <w:rPr>
          <w:rFonts w:hint="eastAsia" w:ascii="宋体" w:cs="Arial"/>
          <w:szCs w:val="21"/>
        </w:rPr>
      </w:pPr>
      <w:r>
        <w:rPr>
          <w:rFonts w:hint="eastAsia" w:ascii="宋体" w:cs="Arial"/>
          <w:szCs w:val="21"/>
        </w:rPr>
        <w:t>投标截止时间：</w:t>
      </w:r>
      <w:r>
        <w:rPr>
          <w:rFonts w:hint="eastAsia" w:ascii="宋体" w:cs="Arial"/>
          <w:b/>
          <w:szCs w:val="21"/>
          <w:highlight w:val="yellow"/>
          <w:lang w:val="en-US" w:eastAsia="zh-CN"/>
        </w:rPr>
        <w:t xml:space="preserve"> 2019年7月26日上午9∶30时整</w:t>
      </w:r>
      <w:r>
        <w:rPr>
          <w:rFonts w:hint="eastAsia" w:ascii="宋体" w:cs="Arial"/>
          <w:szCs w:val="21"/>
        </w:rPr>
        <w:t>，将投标文件密封并加盖公章和法人代表章（或法定授权委托人签字），送至</w:t>
      </w:r>
      <w:r>
        <w:rPr>
          <w:rFonts w:hint="eastAsia" w:ascii="宋体" w:hAnsi="宋体" w:cs="Arial"/>
          <w:szCs w:val="21"/>
        </w:rPr>
        <w:t>安吉县公共资源交易中心开标室：安吉县昌硕街道天荒坪南路99号安吉商会大厦A座7楼开标室，</w:t>
      </w:r>
      <w:r>
        <w:rPr>
          <w:rFonts w:hint="eastAsia" w:ascii="宋体" w:cs="Arial"/>
          <w:szCs w:val="21"/>
        </w:rPr>
        <w:t xml:space="preserve"> 逾期送达或未密封将予以拒收。</w:t>
      </w:r>
    </w:p>
    <w:p>
      <w:pPr>
        <w:snapToGrid w:val="0"/>
        <w:spacing w:line="360" w:lineRule="atLeast"/>
        <w:ind w:firstLine="420" w:firstLineChars="200"/>
        <w:rPr>
          <w:rFonts w:hint="eastAsia" w:ascii="宋体" w:hAnsi="宋体" w:cs="Arial"/>
          <w:szCs w:val="21"/>
        </w:rPr>
      </w:pPr>
      <w:r>
        <w:rPr>
          <w:rFonts w:hint="eastAsia" w:ascii="宋体" w:hAnsi="宋体" w:cs="Arial"/>
          <w:szCs w:val="21"/>
        </w:rPr>
        <w:t>九、开标时间及地点：</w:t>
      </w:r>
    </w:p>
    <w:p>
      <w:pPr>
        <w:snapToGrid w:val="0"/>
        <w:spacing w:line="360" w:lineRule="atLeast"/>
        <w:ind w:firstLine="420" w:firstLineChars="200"/>
        <w:rPr>
          <w:rFonts w:hint="eastAsia" w:ascii="宋体" w:hAnsi="宋体" w:cs="Arial"/>
          <w:b/>
          <w:bCs/>
          <w:szCs w:val="21"/>
        </w:rPr>
      </w:pPr>
      <w:r>
        <w:rPr>
          <w:rFonts w:hint="eastAsia" w:ascii="宋体" w:hAnsi="宋体" w:cs="Arial"/>
          <w:szCs w:val="21"/>
        </w:rPr>
        <w:t>开标时间：</w:t>
      </w:r>
      <w:r>
        <w:rPr>
          <w:rFonts w:hint="eastAsia" w:ascii="宋体" w:cs="Arial"/>
          <w:b/>
          <w:szCs w:val="21"/>
          <w:highlight w:val="yellow"/>
          <w:lang w:val="en-US" w:eastAsia="zh-CN"/>
        </w:rPr>
        <w:t xml:space="preserve"> 2019年7月26日上午9∶30时整</w:t>
      </w:r>
      <w:r>
        <w:rPr>
          <w:rFonts w:hint="eastAsia" w:ascii="宋体" w:hAnsi="宋体" w:cs="Arial"/>
          <w:szCs w:val="21"/>
        </w:rPr>
        <w:t>在</w:t>
      </w:r>
      <w:r>
        <w:rPr>
          <w:rFonts w:hint="eastAsia" w:ascii="宋体" w:hAnsi="宋体" w:cs="Arial"/>
          <w:b/>
          <w:bCs/>
          <w:szCs w:val="21"/>
        </w:rPr>
        <w:t>安吉县昌硕街道天荒坪南路99号安吉商会大厦A座7楼开标室。</w:t>
      </w:r>
    </w:p>
    <w:p>
      <w:pPr>
        <w:snapToGrid w:val="0"/>
        <w:spacing w:line="360" w:lineRule="atLeast"/>
        <w:ind w:firstLine="420" w:firstLineChars="200"/>
        <w:rPr>
          <w:rFonts w:hint="eastAsia" w:ascii="宋体" w:hAnsi="宋体" w:cs="Arial"/>
          <w:szCs w:val="21"/>
        </w:rPr>
      </w:pPr>
      <w:r>
        <w:rPr>
          <w:rFonts w:hint="eastAsia" w:ascii="宋体" w:hAnsi="宋体" w:cs="Arial"/>
          <w:szCs w:val="21"/>
        </w:rPr>
        <w:t>投标人应派法定代表人（或营业执照上注明的企业负责人）或其授权代表出席开标会议。法定代表人（或营业执照上注明的企业负责人）应携带法定代表人（或营业执照上注明的企业负责人）证明和身份证，授权代表应当是投标人的在职正式职工，并携带法定代表人（或营业执照上注明的企业负责人）授权委托书、身份证、社保缴费证明等有效证明出席开标会议。投标人代表未携带规定证件或迟到的按其自动放弃投标处理。</w:t>
      </w:r>
    </w:p>
    <w:p>
      <w:pPr>
        <w:snapToGrid w:val="0"/>
        <w:spacing w:line="360" w:lineRule="atLeast"/>
        <w:ind w:firstLine="420" w:firstLineChars="200"/>
        <w:rPr>
          <w:rFonts w:hint="eastAsia" w:ascii="宋体" w:hAnsi="宋体" w:cs="Arial"/>
          <w:szCs w:val="21"/>
        </w:rPr>
      </w:pPr>
      <w:r>
        <w:rPr>
          <w:rFonts w:hint="eastAsia" w:ascii="宋体" w:hAnsi="宋体" w:cs="Arial"/>
          <w:szCs w:val="21"/>
        </w:rPr>
        <w:t>十、本次招标有关信息刊登在：</w:t>
      </w:r>
    </w:p>
    <w:p>
      <w:pPr>
        <w:autoSpaceDE w:val="0"/>
        <w:autoSpaceDN w:val="0"/>
        <w:adjustRightInd w:val="0"/>
        <w:spacing w:line="360" w:lineRule="atLeast"/>
        <w:ind w:firstLine="420" w:firstLineChars="200"/>
        <w:rPr>
          <w:rFonts w:ascii="宋体" w:hAnsi="宋体" w:cs="Arial"/>
          <w:szCs w:val="21"/>
        </w:rPr>
      </w:pPr>
      <w:r>
        <w:rPr>
          <w:rFonts w:hint="eastAsia" w:ascii="宋体" w:hAnsi="宋体" w:cs="Arial"/>
          <w:szCs w:val="21"/>
        </w:rPr>
        <w:t>“浙江政府采购网”</w:t>
      </w:r>
      <w:r>
        <w:rPr>
          <w:rFonts w:ascii="宋体" w:hAnsi="宋体" w:cs="Arial"/>
          <w:szCs w:val="21"/>
        </w:rPr>
        <w:t>(http：//</w:t>
      </w:r>
      <w:r>
        <w:rPr>
          <w:rFonts w:hint="eastAsia" w:ascii="宋体" w:hAnsi="宋体" w:cs="Arial"/>
          <w:szCs w:val="21"/>
        </w:rPr>
        <w:t>www.zjzfcg.gov.cn/</w:t>
      </w:r>
      <w:r>
        <w:rPr>
          <w:rFonts w:ascii="宋体" w:hAnsi="宋体" w:cs="Arial"/>
          <w:szCs w:val="21"/>
        </w:rPr>
        <w:t>)</w:t>
      </w:r>
    </w:p>
    <w:p>
      <w:pPr>
        <w:spacing w:line="360" w:lineRule="atLeast"/>
        <w:ind w:firstLine="420" w:firstLineChars="200"/>
        <w:rPr>
          <w:rFonts w:hint="eastAsia" w:ascii="宋体" w:hAnsi="宋体" w:cs="Arial"/>
          <w:szCs w:val="21"/>
        </w:rPr>
      </w:pPr>
      <w:r>
        <w:rPr>
          <w:rFonts w:hint="eastAsia" w:ascii="宋体" w:hAnsi="宋体" w:cs="Arial"/>
          <w:szCs w:val="21"/>
        </w:rPr>
        <w:t>“安吉县公共资源交易网”</w:t>
      </w:r>
      <w:r>
        <w:rPr>
          <w:rFonts w:ascii="宋体" w:hAnsi="宋体" w:cs="Arial"/>
          <w:szCs w:val="21"/>
        </w:rPr>
        <w:t>(http：//www.</w:t>
      </w:r>
      <w:r>
        <w:rPr>
          <w:rFonts w:hint="eastAsia" w:ascii="宋体" w:hAnsi="宋体" w:cs="Arial"/>
          <w:szCs w:val="21"/>
        </w:rPr>
        <w:t>aj</w:t>
      </w:r>
      <w:r>
        <w:rPr>
          <w:rFonts w:ascii="宋体" w:hAnsi="宋体" w:cs="Arial"/>
          <w:szCs w:val="21"/>
        </w:rPr>
        <w:t>ztb.</w:t>
      </w:r>
      <w:r>
        <w:rPr>
          <w:rFonts w:hint="eastAsia" w:ascii="宋体" w:hAnsi="宋体" w:cs="Arial"/>
          <w:szCs w:val="21"/>
        </w:rPr>
        <w:t>com/</w:t>
      </w:r>
      <w:r>
        <w:rPr>
          <w:rFonts w:ascii="宋体" w:hAnsi="宋体" w:cs="Arial"/>
          <w:szCs w:val="21"/>
        </w:rPr>
        <w:t>)</w:t>
      </w:r>
    </w:p>
    <w:p>
      <w:pPr>
        <w:autoSpaceDE w:val="0"/>
        <w:autoSpaceDN w:val="0"/>
        <w:adjustRightInd w:val="0"/>
        <w:spacing w:line="360" w:lineRule="atLeast"/>
        <w:ind w:firstLine="420" w:firstLineChars="200"/>
        <w:rPr>
          <w:rFonts w:hint="eastAsia" w:ascii="宋体" w:cs="Arial"/>
          <w:szCs w:val="21"/>
        </w:rPr>
      </w:pPr>
      <w:r>
        <w:rPr>
          <w:rFonts w:hint="eastAsia" w:ascii="宋体" w:cs="Arial"/>
          <w:szCs w:val="21"/>
        </w:rPr>
        <w:t>十一、经安吉县公共资源交易中心政府采购窗口报名成功且登记的投标供应商，不得无故放弃投标。确有特殊情况不能参加投标的，须以书面形式向采购人和招标单位陈述原因，并报</w:t>
      </w:r>
      <w:r>
        <w:rPr>
          <w:rFonts w:hint="eastAsia" w:ascii="宋体" w:hAnsi="宋体" w:cs="Arial"/>
          <w:szCs w:val="21"/>
        </w:rPr>
        <w:t>安吉县公共资源交易管理</w:t>
      </w:r>
      <w:r>
        <w:rPr>
          <w:rFonts w:hint="eastAsia" w:ascii="宋体" w:cs="Arial"/>
          <w:szCs w:val="21"/>
        </w:rPr>
        <w:t>办公室备案。无合理原因或理由放弃投标的，</w:t>
      </w:r>
      <w:r>
        <w:rPr>
          <w:rFonts w:hint="eastAsia" w:ascii="宋体" w:hAnsi="宋体" w:cs="Arial"/>
          <w:szCs w:val="21"/>
        </w:rPr>
        <w:t>安吉县公共资源交易</w:t>
      </w:r>
      <w:r>
        <w:rPr>
          <w:rFonts w:hint="eastAsia" w:ascii="宋体" w:cs="Arial"/>
          <w:szCs w:val="21"/>
        </w:rPr>
        <w:t>管理办公室将以不良行为予以记录。</w:t>
      </w:r>
    </w:p>
    <w:p>
      <w:pPr>
        <w:autoSpaceDE w:val="0"/>
        <w:autoSpaceDN w:val="0"/>
        <w:adjustRightInd w:val="0"/>
        <w:spacing w:line="360" w:lineRule="atLeast"/>
        <w:ind w:firstLine="420" w:firstLineChars="200"/>
        <w:rPr>
          <w:rFonts w:hint="eastAsia" w:ascii="宋体" w:hAnsi="宋体" w:cs="Arial"/>
          <w:szCs w:val="21"/>
        </w:rPr>
      </w:pPr>
      <w:r>
        <w:rPr>
          <w:rFonts w:hint="eastAsia" w:ascii="宋体" w:hAnsi="宋体" w:cs="Arial"/>
          <w:szCs w:val="21"/>
        </w:rPr>
        <w:t>十二、投标保证金</w:t>
      </w:r>
      <w:r>
        <w:rPr>
          <w:rFonts w:hint="eastAsia" w:ascii="宋体" w:hAnsi="宋体"/>
          <w:b/>
          <w:bCs/>
          <w:szCs w:val="21"/>
        </w:rPr>
        <w:t>(本项目无须缴纳保证金，以下涉及保证金条款可忽略)</w:t>
      </w:r>
      <w:r>
        <w:rPr>
          <w:rFonts w:hint="eastAsia" w:ascii="宋体" w:hAnsi="宋体" w:cs="Arial"/>
          <w:szCs w:val="21"/>
        </w:rPr>
        <w:t>：</w:t>
      </w:r>
    </w:p>
    <w:p>
      <w:pPr>
        <w:snapToGrid w:val="0"/>
        <w:spacing w:line="360" w:lineRule="atLeast"/>
        <w:ind w:firstLine="420" w:firstLineChars="200"/>
        <w:rPr>
          <w:rFonts w:hint="eastAsia" w:ascii="宋体" w:hAnsi="宋体" w:cs="Arial"/>
          <w:szCs w:val="21"/>
        </w:rPr>
      </w:pPr>
      <w:r>
        <w:rPr>
          <w:rFonts w:hint="eastAsia" w:ascii="宋体" w:hAnsi="宋体" w:cs="Arial"/>
          <w:szCs w:val="21"/>
        </w:rPr>
        <w:t>十三、业务咨询：</w:t>
      </w:r>
    </w:p>
    <w:p>
      <w:pPr>
        <w:snapToGrid w:val="0"/>
        <w:spacing w:line="360" w:lineRule="atLeast"/>
        <w:ind w:firstLine="420" w:firstLineChars="200"/>
        <w:rPr>
          <w:rFonts w:hint="eastAsia" w:ascii="宋体" w:hAnsi="宋体" w:cs="Arial"/>
          <w:szCs w:val="21"/>
        </w:rPr>
      </w:pPr>
      <w:r>
        <w:rPr>
          <w:rFonts w:hint="eastAsia" w:ascii="宋体" w:hAnsi="宋体" w:cs="Arial"/>
          <w:szCs w:val="21"/>
        </w:rPr>
        <w:t>采购单位: 安吉县公安局交通警察大队</w:t>
      </w:r>
      <w:r>
        <w:rPr>
          <w:rFonts w:hint="eastAsia" w:ascii="宋体" w:hAnsi="宋体" w:cs="Arial"/>
          <w:szCs w:val="21"/>
        </w:rPr>
        <w:tab/>
      </w:r>
    </w:p>
    <w:p>
      <w:pPr>
        <w:snapToGrid w:val="0"/>
        <w:spacing w:line="360" w:lineRule="atLeast"/>
        <w:ind w:firstLine="420" w:firstLineChars="200"/>
        <w:rPr>
          <w:rFonts w:hint="default" w:ascii="宋体" w:hAnsi="宋体" w:eastAsia="宋体" w:cs="Arial"/>
          <w:szCs w:val="21"/>
          <w:lang w:val="en-US" w:eastAsia="zh-CN"/>
        </w:rPr>
      </w:pPr>
      <w:r>
        <w:rPr>
          <w:rFonts w:hint="eastAsia" w:ascii="宋体" w:hAnsi="宋体" w:cs="Arial"/>
          <w:szCs w:val="21"/>
        </w:rPr>
        <w:t>联系人：吴先生 联系电话：</w:t>
      </w:r>
      <w:r>
        <w:rPr>
          <w:rFonts w:hint="eastAsia" w:ascii="宋体" w:hAnsi="宋体" w:cs="Arial"/>
          <w:szCs w:val="21"/>
          <w:lang w:val="en-US" w:eastAsia="zh-CN"/>
        </w:rPr>
        <w:t>0572-5554310</w:t>
      </w:r>
    </w:p>
    <w:p>
      <w:pPr>
        <w:snapToGrid w:val="0"/>
        <w:spacing w:line="360" w:lineRule="atLeast"/>
        <w:ind w:firstLine="420" w:firstLineChars="200"/>
        <w:rPr>
          <w:rFonts w:hint="eastAsia" w:ascii="宋体" w:hAnsi="宋体" w:eastAsia="宋体" w:cs="Arial"/>
          <w:szCs w:val="21"/>
          <w:lang w:eastAsia="zh-CN"/>
        </w:rPr>
      </w:pPr>
      <w:r>
        <w:rPr>
          <w:rFonts w:hint="eastAsia" w:ascii="宋体" w:hAnsi="宋体" w:cs="Arial"/>
          <w:szCs w:val="21"/>
        </w:rPr>
        <w:t>集中采购代理机构：</w:t>
      </w:r>
      <w:r>
        <w:rPr>
          <w:rFonts w:hint="eastAsia" w:ascii="宋体" w:hAnsi="宋体" w:cs="Arial"/>
          <w:szCs w:val="21"/>
          <w:lang w:eastAsia="zh-CN"/>
        </w:rPr>
        <w:t>安吉县公共资源交易中心</w:t>
      </w:r>
    </w:p>
    <w:p>
      <w:pPr>
        <w:snapToGrid w:val="0"/>
        <w:spacing w:line="360" w:lineRule="atLeast"/>
        <w:ind w:firstLine="420" w:firstLineChars="200"/>
        <w:rPr>
          <w:rFonts w:hint="eastAsia" w:ascii="宋体" w:hAnsi="宋体" w:cs="Arial"/>
          <w:szCs w:val="21"/>
        </w:rPr>
      </w:pPr>
      <w:r>
        <w:rPr>
          <w:rFonts w:hint="eastAsia" w:ascii="宋体" w:hAnsi="宋体" w:cs="Arial"/>
          <w:szCs w:val="21"/>
        </w:rPr>
        <w:t>联系人：姚先生</w:t>
      </w:r>
    </w:p>
    <w:p>
      <w:pPr>
        <w:snapToGrid w:val="0"/>
        <w:spacing w:line="360" w:lineRule="atLeast"/>
        <w:ind w:firstLine="420" w:firstLineChars="200"/>
        <w:rPr>
          <w:rFonts w:hint="eastAsia" w:ascii="宋体" w:hAnsi="宋体" w:cs="Arial"/>
          <w:szCs w:val="21"/>
        </w:rPr>
      </w:pPr>
      <w:r>
        <w:rPr>
          <w:rFonts w:hint="eastAsia" w:ascii="宋体" w:hAnsi="宋体" w:cs="Arial"/>
          <w:szCs w:val="21"/>
        </w:rPr>
        <w:t>联系电话：0572-5129121</w:t>
      </w:r>
      <w:r>
        <w:rPr>
          <w:rFonts w:hint="eastAsia" w:ascii="宋体" w:hAnsi="宋体" w:cs="Arial"/>
          <w:szCs w:val="21"/>
        </w:rPr>
        <w:tab/>
      </w:r>
      <w:r>
        <w:rPr>
          <w:rFonts w:hint="eastAsia" w:ascii="宋体" w:hAnsi="宋体" w:cs="Arial"/>
          <w:szCs w:val="21"/>
        </w:rPr>
        <w:t xml:space="preserve"> 传真：0572-5129121</w:t>
      </w:r>
    </w:p>
    <w:p>
      <w:pPr>
        <w:snapToGrid w:val="0"/>
        <w:spacing w:line="360" w:lineRule="atLeast"/>
        <w:ind w:firstLine="420" w:firstLineChars="200"/>
        <w:rPr>
          <w:rFonts w:hint="eastAsia" w:ascii="宋体" w:hAnsi="宋体" w:cs="Arial"/>
          <w:szCs w:val="21"/>
        </w:rPr>
      </w:pPr>
      <w:r>
        <w:rPr>
          <w:rFonts w:hint="eastAsia" w:ascii="宋体" w:hAnsi="宋体" w:cs="Arial"/>
          <w:szCs w:val="21"/>
        </w:rPr>
        <w:t>政府采购行政监管及投诉受理部门：安吉县财政局</w:t>
      </w:r>
    </w:p>
    <w:p>
      <w:pPr>
        <w:snapToGrid w:val="0"/>
        <w:spacing w:line="360" w:lineRule="atLeast"/>
        <w:ind w:firstLine="420" w:firstLineChars="200"/>
        <w:rPr>
          <w:rFonts w:hint="eastAsia" w:ascii="宋体" w:hAnsi="宋体" w:eastAsia="宋体" w:cs="Arial"/>
          <w:szCs w:val="21"/>
          <w:lang w:eastAsia="zh-CN"/>
        </w:rPr>
      </w:pPr>
      <w:r>
        <w:rPr>
          <w:rFonts w:hint="eastAsia" w:ascii="宋体" w:hAnsi="宋体" w:cs="Arial"/>
          <w:szCs w:val="21"/>
          <w:lang w:eastAsia="zh-CN"/>
        </w:rPr>
        <w:t>联系人：陈先生</w:t>
      </w:r>
    </w:p>
    <w:p>
      <w:pPr>
        <w:snapToGrid w:val="0"/>
        <w:spacing w:line="360" w:lineRule="atLeast"/>
        <w:ind w:firstLine="420" w:firstLineChars="200"/>
        <w:rPr>
          <w:rFonts w:hint="eastAsia" w:ascii="宋体" w:hAnsi="宋体" w:cs="Arial"/>
          <w:szCs w:val="21"/>
        </w:rPr>
      </w:pPr>
      <w:r>
        <w:rPr>
          <w:rFonts w:hint="eastAsia" w:ascii="宋体" w:hAnsi="宋体" w:cs="Arial"/>
          <w:szCs w:val="21"/>
        </w:rPr>
        <w:t>联系电话：0572-5</w:t>
      </w:r>
      <w:r>
        <w:rPr>
          <w:rFonts w:hint="eastAsia" w:ascii="宋体" w:hAnsi="宋体" w:cs="Arial"/>
          <w:szCs w:val="21"/>
          <w:lang w:val="en-US" w:eastAsia="zh-CN"/>
        </w:rPr>
        <w:t>3022</w:t>
      </w:r>
      <w:r>
        <w:rPr>
          <w:rFonts w:hint="eastAsia" w:ascii="宋体" w:hAnsi="宋体" w:cs="Arial"/>
          <w:szCs w:val="21"/>
        </w:rPr>
        <w:t>07</w:t>
      </w:r>
    </w:p>
    <w:p>
      <w:pPr>
        <w:autoSpaceDE w:val="0"/>
        <w:autoSpaceDN w:val="0"/>
        <w:adjustRightInd w:val="0"/>
        <w:spacing w:line="360" w:lineRule="atLeast"/>
        <w:ind w:firstLine="420" w:firstLineChars="200"/>
        <w:jc w:val="right"/>
        <w:rPr>
          <w:rFonts w:hint="eastAsia" w:ascii="宋体" w:hAnsi="宋体" w:cs="Arial"/>
          <w:szCs w:val="21"/>
        </w:rPr>
      </w:pPr>
    </w:p>
    <w:p>
      <w:pPr>
        <w:autoSpaceDE w:val="0"/>
        <w:autoSpaceDN w:val="0"/>
        <w:adjustRightInd w:val="0"/>
        <w:spacing w:line="360" w:lineRule="atLeast"/>
        <w:ind w:firstLine="420" w:firstLineChars="200"/>
        <w:jc w:val="right"/>
        <w:rPr>
          <w:rFonts w:hint="eastAsia" w:ascii="宋体" w:hAnsi="宋体" w:eastAsia="宋体" w:cs="Arial"/>
          <w:szCs w:val="21"/>
          <w:lang w:eastAsia="zh-CN"/>
        </w:rPr>
      </w:pPr>
      <w:r>
        <w:rPr>
          <w:rFonts w:hint="eastAsia" w:ascii="宋体" w:hAnsi="宋体" w:cs="Arial"/>
          <w:szCs w:val="21"/>
          <w:lang w:eastAsia="zh-CN"/>
        </w:rPr>
        <w:t>安吉县公共资源交易中心</w:t>
      </w:r>
    </w:p>
    <w:p>
      <w:pPr>
        <w:snapToGrid w:val="0"/>
        <w:spacing w:line="360" w:lineRule="atLeast"/>
        <w:ind w:left="237" w:leftChars="113" w:right="420" w:firstLine="5460" w:firstLineChars="2600"/>
        <w:jc w:val="right"/>
        <w:rPr>
          <w:rFonts w:hint="eastAsia" w:ascii="宋体" w:hAnsi="宋体" w:cs="Arial"/>
          <w:szCs w:val="21"/>
        </w:rPr>
      </w:pPr>
      <w:r>
        <w:rPr>
          <w:rFonts w:hint="eastAsia" w:ascii="宋体" w:hAnsi="宋体" w:cs="Arial"/>
          <w:szCs w:val="21"/>
        </w:rPr>
        <w:t xml:space="preserve">   20</w:t>
      </w:r>
      <w:r>
        <w:rPr>
          <w:rFonts w:hint="eastAsia" w:ascii="宋体" w:hAnsi="宋体" w:cs="Arial"/>
          <w:szCs w:val="21"/>
          <w:lang w:val="en-US" w:eastAsia="zh-CN"/>
        </w:rPr>
        <w:t>19</w:t>
      </w:r>
      <w:r>
        <w:rPr>
          <w:rFonts w:hint="eastAsia" w:ascii="宋体" w:hAnsi="宋体" w:cs="Arial"/>
          <w:szCs w:val="21"/>
        </w:rPr>
        <w:t>年</w:t>
      </w:r>
      <w:r>
        <w:rPr>
          <w:rFonts w:hint="eastAsia" w:ascii="宋体" w:hAnsi="宋体" w:cs="Arial"/>
          <w:szCs w:val="21"/>
          <w:lang w:val="en-US" w:eastAsia="zh-CN"/>
        </w:rPr>
        <w:t>7</w:t>
      </w:r>
      <w:r>
        <w:rPr>
          <w:rFonts w:hint="eastAsia" w:ascii="宋体" w:hAnsi="宋体" w:cs="Arial"/>
          <w:szCs w:val="21"/>
        </w:rPr>
        <w:t>月</w:t>
      </w:r>
      <w:r>
        <w:rPr>
          <w:rFonts w:hint="eastAsia" w:ascii="宋体" w:hAnsi="宋体" w:cs="Arial"/>
          <w:szCs w:val="21"/>
          <w:lang w:val="en-US" w:eastAsia="zh-CN"/>
        </w:rPr>
        <w:t>3</w:t>
      </w:r>
      <w:r>
        <w:rPr>
          <w:rFonts w:hint="eastAsia" w:ascii="宋体" w:hAnsi="宋体" w:cs="Arial"/>
          <w:szCs w:val="21"/>
        </w:rPr>
        <w:t>日</w:t>
      </w:r>
    </w:p>
    <w:p>
      <w:pPr>
        <w:rPr>
          <w:rFonts w:hint="eastAsia"/>
        </w:rPr>
      </w:pPr>
      <w:bookmarkStart w:id="1" w:name="_Toc452125554"/>
    </w:p>
    <w:tbl>
      <w:tblPr>
        <w:tblStyle w:val="36"/>
        <w:tblpPr w:leftFromText="180" w:rightFromText="180" w:vertAnchor="text" w:horzAnchor="margin" w:tblpY="64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60"/>
        <w:gridCol w:w="72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z w:val="18"/>
                <w:szCs w:val="18"/>
              </w:rPr>
            </w:pPr>
            <w:r>
              <w:rPr>
                <w:rFonts w:hint="eastAsia" w:ascii="宋体" w:hAnsi="宋体"/>
                <w:b/>
                <w:sz w:val="18"/>
                <w:szCs w:val="18"/>
              </w:rPr>
              <w:t>序号</w:t>
            </w:r>
          </w:p>
        </w:tc>
        <w:tc>
          <w:tcPr>
            <w:tcW w:w="88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18"/>
                <w:szCs w:val="18"/>
              </w:rPr>
            </w:pPr>
            <w:r>
              <w:rPr>
                <w:rFonts w:hint="eastAsia" w:ascii="宋体" w:hAnsi="宋体"/>
                <w:sz w:val="18"/>
                <w:szCs w:val="18"/>
              </w:rPr>
              <w:t>项目名称</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18"/>
                <w:szCs w:val="18"/>
              </w:rPr>
            </w:pPr>
            <w:r>
              <w:rPr>
                <w:rFonts w:hint="eastAsia" w:ascii="宋体" w:hAnsi="宋体"/>
                <w:sz w:val="18"/>
                <w:szCs w:val="18"/>
              </w:rPr>
              <w:t>安吉县公安局交通警察大队</w:t>
            </w:r>
            <w:r>
              <w:rPr>
                <w:rFonts w:hint="eastAsia" w:ascii="宋体" w:hAnsi="宋体"/>
                <w:sz w:val="18"/>
                <w:szCs w:val="18"/>
                <w:lang w:eastAsia="zh-CN"/>
              </w:rPr>
              <w:t>安吉县主城区道路交通安全设施提升改造</w:t>
            </w:r>
            <w:r>
              <w:rPr>
                <w:rFonts w:hint="eastAsia" w:ascii="宋体" w:hAnsi="宋体"/>
                <w:sz w:val="18"/>
                <w:szCs w:val="18"/>
              </w:rPr>
              <w:t>政府采购项目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18"/>
                <w:szCs w:val="18"/>
              </w:rPr>
            </w:pPr>
            <w:r>
              <w:rPr>
                <w:rFonts w:hint="eastAsia" w:ascii="宋体" w:hAnsi="宋体"/>
                <w:sz w:val="18"/>
                <w:szCs w:val="18"/>
              </w:rPr>
              <w:t>预算总额</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FF0000"/>
                <w:sz w:val="18"/>
                <w:szCs w:val="18"/>
              </w:rPr>
            </w:pPr>
            <w:r>
              <w:rPr>
                <w:rFonts w:hint="eastAsia" w:ascii="宋体" w:hAnsi="宋体"/>
                <w:b/>
                <w:sz w:val="18"/>
                <w:szCs w:val="18"/>
              </w:rPr>
              <w:t>23</w:t>
            </w:r>
            <w:r>
              <w:rPr>
                <w:rFonts w:hint="eastAsia" w:ascii="宋体" w:hAnsi="宋体"/>
                <w:b/>
                <w:sz w:val="18"/>
                <w:szCs w:val="18"/>
                <w:lang w:val="en-US" w:eastAsia="zh-CN"/>
              </w:rPr>
              <w:t>0</w:t>
            </w:r>
            <w:r>
              <w:rPr>
                <w:rFonts w:hint="eastAsia" w:ascii="宋体" w:hAnsi="宋体"/>
                <w:b/>
                <w:sz w:val="18"/>
                <w:szCs w:val="18"/>
              </w:rPr>
              <w:t>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18"/>
                <w:szCs w:val="18"/>
              </w:rPr>
            </w:pPr>
            <w:r>
              <w:rPr>
                <w:rFonts w:hint="eastAsia" w:ascii="宋体" w:hAnsi="宋体"/>
                <w:sz w:val="18"/>
                <w:szCs w:val="18"/>
              </w:rPr>
              <w:t>投标报价及费用</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18"/>
                <w:szCs w:val="18"/>
              </w:rPr>
            </w:pPr>
            <w:r>
              <w:rPr>
                <w:rFonts w:hint="eastAsia" w:ascii="宋体" w:hAnsi="宋体"/>
                <w:sz w:val="18"/>
                <w:szCs w:val="18"/>
              </w:rPr>
              <w:t>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18"/>
                <w:szCs w:val="18"/>
              </w:rPr>
            </w:pPr>
            <w:r>
              <w:rPr>
                <w:rFonts w:hint="eastAsia" w:ascii="宋体" w:hAnsi="宋体"/>
                <w:sz w:val="18"/>
                <w:szCs w:val="18"/>
              </w:rPr>
              <w:t>采购数量及单位</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18"/>
                <w:szCs w:val="18"/>
              </w:rPr>
            </w:pPr>
            <w:r>
              <w:rPr>
                <w:rFonts w:hint="eastAsia" w:ascii="宋体" w:hAnsi="宋体"/>
                <w:sz w:val="18"/>
                <w:szCs w:val="18"/>
              </w:rPr>
              <w:t>详见第三章招标文件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FF0000"/>
                <w:sz w:val="18"/>
                <w:szCs w:val="18"/>
              </w:rPr>
            </w:pPr>
            <w:r>
              <w:rPr>
                <w:rFonts w:hint="eastAsia" w:ascii="宋体" w:hAnsi="宋体"/>
                <w:sz w:val="18"/>
                <w:szCs w:val="18"/>
              </w:rPr>
              <w:t>投标保证金</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FF0000"/>
                <w:sz w:val="18"/>
                <w:szCs w:val="18"/>
              </w:rPr>
            </w:pPr>
            <w:r>
              <w:rPr>
                <w:rFonts w:ascii="宋体" w:hAnsi="宋体"/>
                <w:b/>
                <w:sz w:val="18"/>
                <w:szCs w:val="18"/>
              </w:rPr>
              <w:t>本项目投标保证金无须缴纳，以下涉及投标保证金条款，可忽略。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5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color w:val="000000"/>
                <w:sz w:val="18"/>
                <w:szCs w:val="18"/>
              </w:rPr>
            </w:pPr>
            <w:r>
              <w:rPr>
                <w:rFonts w:hint="eastAsia"/>
                <w:color w:val="000000"/>
                <w:sz w:val="18"/>
                <w:szCs w:val="18"/>
              </w:rPr>
              <w:t>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18"/>
                <w:szCs w:val="18"/>
              </w:rPr>
            </w:pPr>
            <w:r>
              <w:rPr>
                <w:rFonts w:ascii="宋体" w:hAnsi="宋体"/>
                <w:sz w:val="18"/>
                <w:szCs w:val="18"/>
              </w:rPr>
              <w:t>现场踏勘</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eastAsia="宋体"/>
                <w:b/>
                <w:color w:val="FF0000"/>
                <w:sz w:val="18"/>
                <w:szCs w:val="18"/>
                <w:highlight w:val="yellow"/>
                <w:lang w:val="en-US" w:eastAsia="zh-CN"/>
              </w:rPr>
            </w:pPr>
            <w:r>
              <w:rPr>
                <w:rFonts w:hint="eastAsia" w:ascii="宋体" w:hAnsi="宋体"/>
                <w:b/>
                <w:bCs w:val="0"/>
                <w:color w:val="auto"/>
                <w:sz w:val="18"/>
                <w:szCs w:val="18"/>
                <w:highlight w:val="none"/>
              </w:rPr>
              <w:t>投标人需联系采购人，对安吉县现有信号控制系统平台、智慧交通管理平台进行进行实地勘察。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7</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宋体" w:hAnsi="宋体"/>
                <w:sz w:val="18"/>
                <w:szCs w:val="18"/>
              </w:rPr>
            </w:pPr>
            <w:r>
              <w:rPr>
                <w:rFonts w:hint="eastAsia" w:ascii="宋体" w:hAnsi="宋体"/>
                <w:sz w:val="18"/>
                <w:szCs w:val="18"/>
              </w:rPr>
              <w:t>投标文件组成</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宋体" w:hAnsi="宋体"/>
                <w:sz w:val="18"/>
                <w:szCs w:val="18"/>
              </w:rPr>
            </w:pPr>
            <w:r>
              <w:rPr>
                <w:rFonts w:hint="eastAsia" w:ascii="宋体" w:hAnsi="宋体"/>
                <w:sz w:val="18"/>
                <w:szCs w:val="18"/>
              </w:rPr>
              <w:t>投标文件由投标报价文件正本1份，副本1份；资信及商务文件、技术文件正本各1份，副本各6份。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1"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8</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18"/>
                <w:szCs w:val="18"/>
              </w:rPr>
            </w:pPr>
            <w:r>
              <w:rPr>
                <w:rFonts w:hint="eastAsia" w:ascii="宋体" w:hAnsi="宋体"/>
                <w:sz w:val="18"/>
                <w:szCs w:val="18"/>
              </w:rPr>
              <w:t>资格审查</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18"/>
                <w:szCs w:val="18"/>
              </w:rPr>
            </w:pPr>
            <w:r>
              <w:rPr>
                <w:rFonts w:hint="eastAsia" w:ascii="宋体" w:hAnsi="宋体"/>
                <w:b/>
                <w:sz w:val="18"/>
                <w:szCs w:val="18"/>
              </w:rPr>
              <w:t>采购单位对各投标单位进行资格审查；凡不符合资格审查要求的，作无效标处理。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9</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18"/>
                <w:szCs w:val="18"/>
              </w:rPr>
            </w:pPr>
            <w:r>
              <w:rPr>
                <w:rFonts w:hint="eastAsia" w:ascii="宋体" w:hAnsi="宋体"/>
                <w:sz w:val="18"/>
                <w:szCs w:val="18"/>
              </w:rPr>
              <w:t>资格审查资料</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1、工商营业执照副本（原件）；2、税务登记证副本（原件）；3、公路交通工程（公路机电工程）专业承包</w:t>
            </w:r>
            <w:r>
              <w:rPr>
                <w:rFonts w:hint="eastAsia" w:ascii="宋体" w:hAnsi="宋体"/>
                <w:sz w:val="18"/>
                <w:szCs w:val="18"/>
                <w:lang w:eastAsia="zh-CN"/>
              </w:rPr>
              <w:t>贰级及以上</w:t>
            </w:r>
            <w:r>
              <w:rPr>
                <w:rFonts w:hint="eastAsia" w:ascii="宋体" w:hAnsi="宋体"/>
                <w:sz w:val="18"/>
                <w:szCs w:val="18"/>
              </w:rPr>
              <w:t>资质证</w:t>
            </w:r>
            <w:r>
              <w:rPr>
                <w:rFonts w:hint="eastAsia" w:ascii="宋体" w:hAnsi="宋体"/>
                <w:sz w:val="18"/>
                <w:szCs w:val="18"/>
                <w:lang w:eastAsia="zh-CN"/>
              </w:rPr>
              <w:t>书</w:t>
            </w:r>
            <w:r>
              <w:rPr>
                <w:rFonts w:hint="eastAsia" w:ascii="宋体" w:hAnsi="宋体"/>
                <w:sz w:val="18"/>
                <w:szCs w:val="18"/>
              </w:rPr>
              <w:t>（原件）；</w:t>
            </w:r>
            <w:r>
              <w:rPr>
                <w:rFonts w:hint="eastAsia" w:ascii="宋体" w:hAnsi="宋体"/>
                <w:sz w:val="18"/>
                <w:szCs w:val="18"/>
                <w:lang w:val="en-US" w:eastAsia="zh-CN"/>
              </w:rPr>
              <w:t>4</w:t>
            </w:r>
            <w:r>
              <w:rPr>
                <w:rFonts w:hint="eastAsia" w:ascii="宋体" w:hAnsi="宋体"/>
                <w:sz w:val="18"/>
                <w:szCs w:val="18"/>
              </w:rPr>
              <w:t>、电子与智能化工程专业承包</w:t>
            </w:r>
            <w:r>
              <w:rPr>
                <w:rFonts w:hint="eastAsia" w:ascii="宋体" w:hAnsi="宋体"/>
                <w:sz w:val="18"/>
                <w:szCs w:val="18"/>
                <w:lang w:eastAsia="zh-CN"/>
              </w:rPr>
              <w:t>壹级</w:t>
            </w:r>
            <w:r>
              <w:rPr>
                <w:rFonts w:hint="eastAsia" w:ascii="宋体" w:hAnsi="宋体"/>
                <w:sz w:val="18"/>
                <w:szCs w:val="18"/>
              </w:rPr>
              <w:t>资质</w:t>
            </w:r>
            <w:r>
              <w:rPr>
                <w:rFonts w:hint="eastAsia" w:ascii="宋体" w:hAnsi="宋体"/>
                <w:sz w:val="18"/>
                <w:szCs w:val="18"/>
                <w:lang w:eastAsia="zh-CN"/>
              </w:rPr>
              <w:t>证书</w:t>
            </w: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、最近一个季度依法缴纳税收和社保费的证明[税费凭证复印件，或者依法缴纳税费或依法免缴税费的证明文书(证明企业正常纳税) （复印件加盖公章）；</w:t>
            </w:r>
            <w:r>
              <w:rPr>
                <w:rFonts w:hint="eastAsia" w:ascii="宋体" w:hAnsi="宋体"/>
                <w:sz w:val="18"/>
                <w:szCs w:val="18"/>
                <w:lang w:val="en-US" w:eastAsia="zh-CN"/>
              </w:rPr>
              <w:t>6</w:t>
            </w:r>
            <w:r>
              <w:rPr>
                <w:rFonts w:hint="eastAsia" w:ascii="宋体" w:hAnsi="宋体"/>
                <w:sz w:val="18"/>
                <w:szCs w:val="18"/>
              </w:rPr>
              <w:t>、法定代表人授权书（原件）、授权代表身份证（原件和复印件）；</w:t>
            </w:r>
            <w:r>
              <w:rPr>
                <w:rFonts w:hint="eastAsia" w:ascii="宋体" w:hAnsi="宋体"/>
                <w:sz w:val="18"/>
                <w:szCs w:val="18"/>
                <w:lang w:val="en-US" w:eastAsia="zh-CN"/>
              </w:rPr>
              <w:t>7</w:t>
            </w:r>
            <w:r>
              <w:rPr>
                <w:rFonts w:hint="eastAsia" w:ascii="宋体" w:hAnsi="宋体"/>
                <w:sz w:val="18"/>
                <w:szCs w:val="18"/>
              </w:rPr>
              <w:t>、授权代表社保缴费凭证或花名册；</w:t>
            </w:r>
            <w:r>
              <w:rPr>
                <w:rFonts w:hint="eastAsia" w:ascii="宋体" w:hAnsi="宋体"/>
                <w:sz w:val="18"/>
                <w:szCs w:val="18"/>
                <w:lang w:val="en-US" w:eastAsia="zh-CN"/>
              </w:rPr>
              <w:t>8</w:t>
            </w:r>
            <w:r>
              <w:rPr>
                <w:rFonts w:hint="eastAsia" w:ascii="宋体" w:hAnsi="宋体"/>
                <w:sz w:val="18"/>
                <w:szCs w:val="18"/>
              </w:rPr>
              <w:t>、如法定代表人参加需提交法定代表人身份证明书（原件）。</w:t>
            </w:r>
          </w:p>
          <w:p>
            <w:pPr>
              <w:rPr>
                <w:rFonts w:hint="eastAsia" w:ascii="宋体" w:hAnsi="宋体"/>
                <w:sz w:val="18"/>
                <w:szCs w:val="18"/>
              </w:rPr>
            </w:pPr>
            <w:r>
              <w:rPr>
                <w:rFonts w:hint="eastAsia" w:ascii="宋体" w:hAnsi="宋体"/>
                <w:b/>
                <w:bCs/>
                <w:sz w:val="18"/>
                <w:szCs w:val="18"/>
              </w:rPr>
              <w:t>备注:以上资格审查材料备查，建议携带原件，如资格审查时由于投标文件印刷不清晰等原因未提供原件验证，造成资格审查不通过的，后果自负。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3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10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18"/>
                <w:szCs w:val="18"/>
              </w:rPr>
            </w:pPr>
            <w:r>
              <w:rPr>
                <w:rFonts w:hint="eastAsia" w:ascii="宋体" w:hAnsi="宋体"/>
                <w:sz w:val="18"/>
                <w:szCs w:val="18"/>
              </w:rPr>
              <w:t>答疑与澄清</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sz w:val="18"/>
                <w:szCs w:val="18"/>
              </w:rPr>
            </w:pPr>
            <w:r>
              <w:rPr>
                <w:rFonts w:hint="eastAsia" w:ascii="宋体" w:hAnsi="宋体"/>
                <w:bCs/>
                <w:sz w:val="18"/>
                <w:szCs w:val="18"/>
              </w:rPr>
              <w:t>报名成功的投标供应商对招标文件有异议的，应当在</w:t>
            </w:r>
            <w:r>
              <w:rPr>
                <w:rFonts w:hint="eastAsia" w:ascii="宋体" w:hAnsi="宋体"/>
                <w:b/>
                <w:sz w:val="18"/>
                <w:szCs w:val="18"/>
                <w:highlight w:val="yellow"/>
                <w:lang w:val="en-US" w:eastAsia="zh-CN"/>
              </w:rPr>
              <w:t>2</w:t>
            </w:r>
            <w:r>
              <w:rPr>
                <w:rFonts w:hint="eastAsia" w:ascii="宋体" w:hAnsi="宋体"/>
                <w:b/>
                <w:sz w:val="18"/>
                <w:szCs w:val="18"/>
                <w:highlight w:val="yellow"/>
                <w:lang w:val="en-US" w:eastAsia="zh-CN"/>
              </w:rPr>
              <w:t>019</w:t>
            </w:r>
            <w:r>
              <w:rPr>
                <w:rFonts w:hint="eastAsia" w:ascii="宋体" w:hAnsi="宋体"/>
                <w:b/>
                <w:sz w:val="18"/>
                <w:szCs w:val="18"/>
                <w:highlight w:val="yellow"/>
              </w:rPr>
              <w:t>年</w:t>
            </w:r>
            <w:r>
              <w:rPr>
                <w:rFonts w:hint="eastAsia" w:ascii="宋体" w:hAnsi="宋体"/>
                <w:b/>
                <w:sz w:val="18"/>
                <w:szCs w:val="18"/>
                <w:highlight w:val="yellow"/>
                <w:lang w:val="en-US" w:eastAsia="zh-CN"/>
              </w:rPr>
              <w:t>7</w:t>
            </w:r>
            <w:r>
              <w:rPr>
                <w:rFonts w:hint="eastAsia" w:ascii="宋体" w:hAnsi="宋体"/>
                <w:b/>
                <w:sz w:val="18"/>
                <w:szCs w:val="18"/>
                <w:highlight w:val="yellow"/>
              </w:rPr>
              <w:t>月</w:t>
            </w:r>
            <w:r>
              <w:rPr>
                <w:rFonts w:hint="eastAsia" w:ascii="宋体" w:hAnsi="宋体"/>
                <w:b/>
                <w:sz w:val="18"/>
                <w:szCs w:val="18"/>
                <w:highlight w:val="yellow"/>
                <w:lang w:val="en-US" w:eastAsia="zh-CN"/>
              </w:rPr>
              <w:t>1</w:t>
            </w:r>
            <w:r>
              <w:rPr>
                <w:rFonts w:hint="eastAsia" w:ascii="宋体" w:hAnsi="宋体"/>
                <w:b/>
                <w:sz w:val="18"/>
                <w:szCs w:val="18"/>
                <w:highlight w:val="yellow"/>
                <w:lang w:val="en-US" w:eastAsia="zh-CN"/>
              </w:rPr>
              <w:t>1</w:t>
            </w:r>
            <w:r>
              <w:rPr>
                <w:rFonts w:hint="eastAsia" w:ascii="宋体" w:hAnsi="宋体"/>
                <w:b/>
                <w:sz w:val="18"/>
                <w:szCs w:val="18"/>
                <w:highlight w:val="yellow"/>
              </w:rPr>
              <w:t>日下午16：30时前</w:t>
            </w:r>
            <w:r>
              <w:rPr>
                <w:rFonts w:hint="eastAsia" w:ascii="宋体" w:hAnsi="宋体"/>
                <w:bCs/>
                <w:sz w:val="18"/>
                <w:szCs w:val="18"/>
              </w:rPr>
              <w:t>将疑问以书面（含传真、邮件。电话号码0572-5129121，邮箱：ajzfcg@163.com）形式向集中采购代理机构一次性提出（</w:t>
            </w:r>
            <w:r>
              <w:rPr>
                <w:rFonts w:hint="eastAsia" w:ascii="宋体" w:hAnsi="宋体"/>
                <w:bCs/>
                <w:sz w:val="18"/>
                <w:szCs w:val="18"/>
              </w:rPr>
              <w:fldChar w:fldCharType="begin"/>
            </w:r>
            <w:r>
              <w:rPr>
                <w:rFonts w:hint="eastAsia" w:ascii="宋体" w:hAnsi="宋体"/>
                <w:bCs/>
                <w:sz w:val="18"/>
                <w:szCs w:val="18"/>
              </w:rPr>
              <w:instrText xml:space="preserve"> HYPERLINK "mailto:同时请将该书面文件的电子文档发送至ajzfcg@163.com" </w:instrText>
            </w:r>
            <w:r>
              <w:rPr>
                <w:rFonts w:hint="eastAsia" w:ascii="宋体" w:hAnsi="宋体"/>
                <w:bCs/>
                <w:sz w:val="18"/>
                <w:szCs w:val="18"/>
              </w:rPr>
              <w:fldChar w:fldCharType="separate"/>
            </w:r>
            <w:r>
              <w:rPr>
                <w:rFonts w:hint="eastAsia" w:ascii="宋体" w:hAnsi="宋体"/>
                <w:bCs/>
                <w:sz w:val="18"/>
                <w:szCs w:val="18"/>
              </w:rPr>
              <w:t>同时请将该书面文件的电子文档发送至</w:t>
            </w:r>
            <w:r>
              <w:rPr>
                <w:rFonts w:hint="eastAsia" w:ascii="宋体" w:hAnsi="宋体"/>
                <w:bCs/>
                <w:sz w:val="18"/>
                <w:szCs w:val="18"/>
              </w:rPr>
              <w:fldChar w:fldCharType="end"/>
            </w:r>
            <w:r>
              <w:rPr>
                <w:rFonts w:hint="eastAsia" w:ascii="宋体" w:hAnsi="宋体"/>
                <w:bCs/>
                <w:sz w:val="18"/>
                <w:szCs w:val="18"/>
              </w:rPr>
              <w:t>邮箱）。招标采购单位将在规定的时间内统一进行澄清和修改，并书面（含传真、邮件）通知所有报名的供应商。供应商未按规定要求提出的，则视同认可招标文件，但法律法规及规范性文件有明确规定的除外。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11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18"/>
                <w:szCs w:val="18"/>
              </w:rPr>
            </w:pPr>
            <w:r>
              <w:rPr>
                <w:rFonts w:hint="eastAsia" w:ascii="宋体" w:hAnsi="宋体"/>
                <w:sz w:val="18"/>
                <w:szCs w:val="18"/>
              </w:rPr>
              <w:t>投标截止时间及地点</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宋体" w:hAnsi="宋体"/>
                <w:sz w:val="18"/>
                <w:szCs w:val="18"/>
              </w:rPr>
            </w:pPr>
            <w:r>
              <w:rPr>
                <w:rFonts w:hint="eastAsia" w:ascii="宋体" w:hAnsi="宋体"/>
                <w:b/>
                <w:kern w:val="0"/>
                <w:sz w:val="18"/>
                <w:szCs w:val="18"/>
                <w:highlight w:val="yellow"/>
                <w:lang w:val="en-US" w:eastAsia="zh-CN"/>
              </w:rPr>
              <w:t>2</w:t>
            </w:r>
            <w:r>
              <w:rPr>
                <w:rFonts w:hint="eastAsia" w:ascii="宋体" w:hAnsi="宋体"/>
                <w:b/>
                <w:kern w:val="0"/>
                <w:sz w:val="18"/>
                <w:szCs w:val="18"/>
                <w:highlight w:val="yellow"/>
                <w:lang w:val="en-US" w:eastAsia="zh-CN"/>
              </w:rPr>
              <w:t>019</w:t>
            </w:r>
            <w:r>
              <w:rPr>
                <w:rFonts w:hint="eastAsia" w:ascii="宋体" w:hAnsi="宋体"/>
                <w:b/>
                <w:sz w:val="18"/>
                <w:szCs w:val="18"/>
                <w:highlight w:val="yellow"/>
              </w:rPr>
              <w:t>年</w:t>
            </w:r>
            <w:r>
              <w:rPr>
                <w:rFonts w:hint="eastAsia" w:ascii="宋体" w:hAnsi="宋体"/>
                <w:b/>
                <w:sz w:val="18"/>
                <w:szCs w:val="18"/>
                <w:highlight w:val="yellow"/>
                <w:lang w:val="en-US" w:eastAsia="zh-CN"/>
              </w:rPr>
              <w:t>7</w:t>
            </w:r>
            <w:r>
              <w:rPr>
                <w:rFonts w:hint="eastAsia" w:ascii="宋体" w:hAnsi="宋体"/>
                <w:b/>
                <w:sz w:val="18"/>
                <w:szCs w:val="18"/>
                <w:highlight w:val="yellow"/>
              </w:rPr>
              <w:t>月</w:t>
            </w:r>
            <w:r>
              <w:rPr>
                <w:rFonts w:hint="eastAsia" w:ascii="宋体" w:hAnsi="宋体"/>
                <w:b/>
                <w:sz w:val="18"/>
                <w:szCs w:val="18"/>
                <w:highlight w:val="yellow"/>
                <w:lang w:val="en-US" w:eastAsia="zh-CN"/>
              </w:rPr>
              <w:t>26</w:t>
            </w:r>
            <w:r>
              <w:rPr>
                <w:rFonts w:hint="eastAsia" w:ascii="宋体" w:hAnsi="宋体"/>
                <w:b/>
                <w:sz w:val="18"/>
                <w:szCs w:val="18"/>
                <w:highlight w:val="yellow"/>
              </w:rPr>
              <w:t>日上午9:30时</w:t>
            </w:r>
            <w:r>
              <w:rPr>
                <w:rFonts w:hint="eastAsia" w:ascii="宋体" w:hAnsi="宋体"/>
                <w:sz w:val="18"/>
                <w:szCs w:val="18"/>
              </w:rPr>
              <w:t>，逾期作自动放弃。</w:t>
            </w:r>
          </w:p>
          <w:p>
            <w:pPr>
              <w:autoSpaceDE w:val="0"/>
              <w:autoSpaceDN w:val="0"/>
              <w:rPr>
                <w:rFonts w:ascii="宋体" w:hAnsi="宋体"/>
                <w:kern w:val="0"/>
                <w:sz w:val="18"/>
                <w:szCs w:val="18"/>
              </w:rPr>
            </w:pPr>
            <w:r>
              <w:rPr>
                <w:rFonts w:hint="eastAsia" w:ascii="宋体" w:hAnsi="宋体"/>
                <w:b/>
                <w:sz w:val="18"/>
                <w:szCs w:val="18"/>
              </w:rPr>
              <w:t>安吉县昌硕街道天荒坪南路99号安吉商会大厦A座7楼开标室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12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18"/>
                <w:szCs w:val="18"/>
              </w:rPr>
            </w:pPr>
            <w:r>
              <w:rPr>
                <w:rFonts w:hint="eastAsia" w:ascii="宋体" w:hAnsi="宋体"/>
                <w:sz w:val="18"/>
                <w:szCs w:val="18"/>
              </w:rPr>
              <w:t>开标时间及地点</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宋体" w:hAnsi="宋体"/>
                <w:kern w:val="0"/>
                <w:sz w:val="18"/>
                <w:szCs w:val="18"/>
              </w:rPr>
            </w:pPr>
            <w:r>
              <w:rPr>
                <w:rFonts w:hint="eastAsia" w:ascii="宋体" w:hAnsi="宋体"/>
                <w:kern w:val="0"/>
                <w:sz w:val="18"/>
                <w:szCs w:val="18"/>
              </w:rPr>
              <w:t>开标时间：</w:t>
            </w:r>
            <w:r>
              <w:rPr>
                <w:rFonts w:hint="eastAsia" w:ascii="宋体" w:hAnsi="宋体"/>
                <w:b/>
                <w:kern w:val="0"/>
                <w:sz w:val="18"/>
                <w:szCs w:val="18"/>
                <w:highlight w:val="yellow"/>
                <w:lang w:val="en-US" w:eastAsia="zh-CN"/>
              </w:rPr>
              <w:t>2019</w:t>
            </w:r>
            <w:r>
              <w:rPr>
                <w:rFonts w:hint="eastAsia" w:ascii="宋体" w:hAnsi="宋体"/>
                <w:b/>
                <w:sz w:val="18"/>
                <w:szCs w:val="18"/>
                <w:highlight w:val="yellow"/>
              </w:rPr>
              <w:t>年</w:t>
            </w:r>
            <w:r>
              <w:rPr>
                <w:rFonts w:hint="eastAsia" w:ascii="宋体" w:hAnsi="宋体"/>
                <w:b/>
                <w:sz w:val="18"/>
                <w:szCs w:val="18"/>
                <w:highlight w:val="yellow"/>
                <w:lang w:val="en-US" w:eastAsia="zh-CN"/>
              </w:rPr>
              <w:t>7</w:t>
            </w:r>
            <w:r>
              <w:rPr>
                <w:rFonts w:hint="eastAsia" w:ascii="宋体" w:hAnsi="宋体"/>
                <w:b/>
                <w:sz w:val="18"/>
                <w:szCs w:val="18"/>
                <w:highlight w:val="yellow"/>
              </w:rPr>
              <w:t>月</w:t>
            </w:r>
            <w:r>
              <w:rPr>
                <w:rFonts w:hint="eastAsia" w:ascii="宋体" w:hAnsi="宋体"/>
                <w:b/>
                <w:sz w:val="18"/>
                <w:szCs w:val="18"/>
                <w:highlight w:val="yellow"/>
                <w:lang w:val="en-US" w:eastAsia="zh-CN"/>
              </w:rPr>
              <w:t>26</w:t>
            </w:r>
            <w:r>
              <w:rPr>
                <w:rFonts w:hint="eastAsia" w:ascii="宋体" w:hAnsi="宋体"/>
                <w:b/>
                <w:sz w:val="18"/>
                <w:szCs w:val="18"/>
                <w:highlight w:val="yellow"/>
              </w:rPr>
              <w:t>日上午9:30时</w:t>
            </w:r>
          </w:p>
          <w:p>
            <w:pPr>
              <w:autoSpaceDE w:val="0"/>
              <w:autoSpaceDN w:val="0"/>
              <w:rPr>
                <w:rFonts w:ascii="宋体" w:hAnsi="宋体"/>
                <w:kern w:val="0"/>
                <w:sz w:val="18"/>
                <w:szCs w:val="18"/>
              </w:rPr>
            </w:pPr>
            <w:r>
              <w:rPr>
                <w:rFonts w:hint="eastAsia" w:ascii="宋体" w:hAnsi="宋体"/>
                <w:kern w:val="0"/>
                <w:sz w:val="18"/>
                <w:szCs w:val="18"/>
              </w:rPr>
              <w:t>开标地点：</w:t>
            </w:r>
            <w:r>
              <w:rPr>
                <w:rFonts w:hint="eastAsia" w:ascii="宋体" w:hAnsi="宋体"/>
                <w:b/>
                <w:sz w:val="18"/>
                <w:szCs w:val="18"/>
              </w:rPr>
              <w:t>安吉县昌硕街道天荒坪南路99号安吉商会大厦A座7楼开标室</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13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18"/>
                <w:szCs w:val="18"/>
              </w:rPr>
            </w:pPr>
            <w:r>
              <w:rPr>
                <w:rFonts w:hint="eastAsia" w:ascii="宋体" w:hAnsi="宋体"/>
                <w:sz w:val="18"/>
                <w:szCs w:val="18"/>
              </w:rPr>
              <w:t>评标办法及评分标准</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sz w:val="18"/>
                <w:szCs w:val="18"/>
              </w:rPr>
            </w:pPr>
            <w:r>
              <w:rPr>
                <w:rFonts w:hint="eastAsia" w:ascii="宋体" w:hAnsi="宋体"/>
                <w:sz w:val="18"/>
                <w:szCs w:val="18"/>
              </w:rPr>
              <w:t>综合评分法（详见第四章）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14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18"/>
                <w:szCs w:val="18"/>
              </w:rPr>
            </w:pPr>
            <w:r>
              <w:rPr>
                <w:rFonts w:hint="eastAsia" w:ascii="宋体" w:hAnsi="宋体"/>
                <w:sz w:val="18"/>
                <w:szCs w:val="18"/>
              </w:rPr>
              <w:t>评标结果公示</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sz w:val="18"/>
                <w:szCs w:val="18"/>
              </w:rPr>
            </w:pPr>
            <w:r>
              <w:rPr>
                <w:rFonts w:hint="eastAsia" w:ascii="宋体" w:hAnsi="宋体"/>
                <w:sz w:val="18"/>
                <w:szCs w:val="18"/>
              </w:rPr>
              <w:t>确定中标人2个工作日内，在浙江省政府采购网及</w:t>
            </w:r>
            <w:r>
              <w:rPr>
                <w:rFonts w:hint="eastAsia" w:ascii="宋体" w:hAnsi="宋体"/>
                <w:kern w:val="0"/>
                <w:sz w:val="18"/>
                <w:szCs w:val="18"/>
              </w:rPr>
              <w:t>安吉县公共资源交易</w:t>
            </w:r>
            <w:r>
              <w:rPr>
                <w:rFonts w:hint="eastAsia" w:ascii="宋体" w:hAnsi="宋体"/>
                <w:sz w:val="18"/>
                <w:szCs w:val="18"/>
              </w:rPr>
              <w:t>网公示；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15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sz w:val="18"/>
                <w:szCs w:val="18"/>
              </w:rPr>
            </w:pPr>
            <w:r>
              <w:rPr>
                <w:rFonts w:hint="eastAsia" w:ascii="宋体" w:hAnsi="宋体"/>
                <w:sz w:val="18"/>
                <w:szCs w:val="18"/>
              </w:rPr>
              <w:t>中标公告及</w:t>
            </w:r>
          </w:p>
          <w:p>
            <w:pPr>
              <w:autoSpaceDE w:val="0"/>
              <w:autoSpaceDN w:val="0"/>
              <w:snapToGrid w:val="0"/>
              <w:textAlignment w:val="bottom"/>
              <w:rPr>
                <w:rFonts w:ascii="宋体" w:hAnsi="宋体"/>
                <w:sz w:val="18"/>
                <w:szCs w:val="18"/>
              </w:rPr>
            </w:pPr>
            <w:r>
              <w:rPr>
                <w:rFonts w:hint="eastAsia" w:ascii="宋体" w:hAnsi="宋体"/>
                <w:sz w:val="18"/>
                <w:szCs w:val="18"/>
              </w:rPr>
              <w:t>中标通知书</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sz w:val="18"/>
                <w:szCs w:val="18"/>
              </w:rPr>
            </w:pPr>
            <w:r>
              <w:rPr>
                <w:rFonts w:hint="eastAsia" w:ascii="宋体" w:hAnsi="宋体"/>
                <w:sz w:val="18"/>
                <w:szCs w:val="18"/>
              </w:rPr>
              <w:t>以书面形式通知中标供应商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16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sz w:val="18"/>
                <w:szCs w:val="18"/>
              </w:rPr>
            </w:pPr>
            <w:r>
              <w:rPr>
                <w:rFonts w:hint="eastAsia" w:ascii="宋体" w:hAnsi="宋体"/>
                <w:sz w:val="18"/>
                <w:szCs w:val="18"/>
              </w:rPr>
              <w:t>政府采购政策功能</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sz w:val="18"/>
                <w:szCs w:val="18"/>
              </w:rPr>
            </w:pPr>
            <w:r>
              <w:rPr>
                <w:rFonts w:hint="eastAsia" w:ascii="宋体" w:hAnsi="宋体"/>
                <w:sz w:val="18"/>
                <w:szCs w:val="18"/>
              </w:rPr>
              <w:t>本项目对于中小企业、节能产品、环保产品实行优惠政策；详见第四章评分标准。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17</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18"/>
                <w:szCs w:val="18"/>
              </w:rPr>
            </w:pPr>
            <w:r>
              <w:rPr>
                <w:rFonts w:hint="eastAsia" w:ascii="宋体" w:hAnsi="宋体"/>
                <w:sz w:val="18"/>
                <w:szCs w:val="18"/>
              </w:rPr>
              <w:t>签订合同时间</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18"/>
                <w:szCs w:val="18"/>
              </w:rPr>
            </w:pPr>
            <w:r>
              <w:rPr>
                <w:rFonts w:hint="eastAsia" w:ascii="宋体" w:hAnsi="宋体"/>
                <w:sz w:val="18"/>
                <w:szCs w:val="18"/>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18</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18"/>
                <w:szCs w:val="18"/>
              </w:rPr>
            </w:pPr>
            <w:r>
              <w:rPr>
                <w:rFonts w:hint="eastAsia" w:ascii="宋体" w:hAnsi="宋体"/>
                <w:sz w:val="18"/>
                <w:szCs w:val="18"/>
              </w:rPr>
              <w:t>履约保证金和质保金的收取及退还</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after="120" w:line="240" w:lineRule="auto"/>
              <w:rPr>
                <w:rFonts w:hint="eastAsia" w:hAnsi="宋体" w:eastAsia="宋体"/>
                <w:sz w:val="18"/>
                <w:szCs w:val="18"/>
                <w:highlight w:val="yellow"/>
                <w:lang w:val="en-US" w:eastAsia="zh-CN"/>
              </w:rPr>
            </w:pPr>
            <w:r>
              <w:rPr>
                <w:rFonts w:hint="eastAsia" w:hAnsi="宋体"/>
                <w:sz w:val="18"/>
                <w:szCs w:val="18"/>
                <w:highlight w:val="yellow"/>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19</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18"/>
                <w:szCs w:val="18"/>
              </w:rPr>
            </w:pPr>
            <w:r>
              <w:rPr>
                <w:rFonts w:hint="eastAsia" w:ascii="宋体" w:hAnsi="宋体"/>
                <w:sz w:val="18"/>
                <w:szCs w:val="18"/>
              </w:rPr>
              <w:t>采购资金来源</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18"/>
                <w:szCs w:val="18"/>
              </w:rPr>
            </w:pPr>
            <w:r>
              <w:rPr>
                <w:rFonts w:hint="eastAsia" w:ascii="宋体" w:hAnsi="宋体"/>
                <w:sz w:val="18"/>
                <w:szCs w:val="18"/>
              </w:rPr>
              <w:t>预算内资金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20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18"/>
                <w:szCs w:val="18"/>
              </w:rPr>
            </w:pPr>
            <w:r>
              <w:rPr>
                <w:rFonts w:hint="eastAsia" w:ascii="宋体" w:hAnsi="宋体"/>
                <w:sz w:val="18"/>
                <w:szCs w:val="18"/>
              </w:rPr>
              <w:t>付款方式</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18"/>
                <w:szCs w:val="18"/>
              </w:rPr>
            </w:pPr>
            <w:r>
              <w:rPr>
                <w:rFonts w:hint="eastAsia" w:ascii="宋体" w:hAnsi="宋体"/>
                <w:sz w:val="18"/>
                <w:szCs w:val="18"/>
              </w:rPr>
              <w:t>国库集中支付（采购人自行支付）详见资信及商务要求表。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21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sz w:val="18"/>
                <w:szCs w:val="18"/>
              </w:rPr>
            </w:pPr>
            <w:r>
              <w:rPr>
                <w:rFonts w:hint="eastAsia" w:ascii="宋体" w:hAnsi="宋体"/>
                <w:sz w:val="18"/>
                <w:szCs w:val="18"/>
              </w:rPr>
              <w:t>投标文件有效期</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18"/>
                <w:szCs w:val="18"/>
              </w:rPr>
            </w:pPr>
            <w:r>
              <w:rPr>
                <w:rFonts w:hint="eastAsia" w:ascii="宋体" w:hAnsi="宋体" w:cs="Arial"/>
                <w:sz w:val="18"/>
                <w:szCs w:val="18"/>
                <w:u w:val="single"/>
              </w:rPr>
              <w:t>90</w:t>
            </w:r>
            <w:r>
              <w:rPr>
                <w:rFonts w:hint="eastAsia" w:ascii="宋体" w:hAnsi="宋体" w:cs="Arial"/>
                <w:sz w:val="18"/>
                <w:szCs w:val="18"/>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22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sz w:val="18"/>
                <w:szCs w:val="18"/>
              </w:rPr>
            </w:pPr>
            <w:r>
              <w:rPr>
                <w:rFonts w:hint="eastAsia" w:ascii="宋体" w:hAnsi="宋体"/>
                <w:sz w:val="18"/>
                <w:szCs w:val="18"/>
              </w:rPr>
              <w:t>解释</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18"/>
                <w:szCs w:val="18"/>
              </w:rPr>
            </w:pPr>
            <w:r>
              <w:rPr>
                <w:rFonts w:hint="eastAsia" w:ascii="宋体" w:hAnsi="宋体"/>
                <w:sz w:val="18"/>
                <w:szCs w:val="18"/>
              </w:rPr>
              <w:t>本招标文件的解释权属于招标采购单位。</w:t>
            </w:r>
          </w:p>
        </w:tc>
      </w:tr>
    </w:tbl>
    <w:p>
      <w:pPr>
        <w:pStyle w:val="33"/>
        <w:spacing w:line="500" w:lineRule="exact"/>
        <w:rPr>
          <w:rFonts w:hint="eastAsia"/>
        </w:rPr>
      </w:pPr>
      <w:r>
        <w:rPr>
          <w:rFonts w:hint="eastAsia"/>
        </w:rPr>
        <w:t>第二章  投标人须知</w:t>
      </w:r>
      <w:bookmarkEnd w:id="1"/>
    </w:p>
    <w:p>
      <w:pPr>
        <w:spacing w:line="300" w:lineRule="exact"/>
        <w:ind w:firstLine="422" w:firstLineChars="200"/>
        <w:rPr>
          <w:rFonts w:hint="eastAsia" w:ascii="宋体" w:hAnsi="宋体"/>
          <w:b/>
          <w:szCs w:val="21"/>
        </w:rPr>
      </w:pPr>
      <w:r>
        <w:rPr>
          <w:rFonts w:hint="eastAsia" w:ascii="宋体" w:hAnsi="宋体"/>
          <w:b/>
          <w:szCs w:val="21"/>
        </w:rPr>
        <w:t>一、总  则</w:t>
      </w:r>
    </w:p>
    <w:p>
      <w:pPr>
        <w:spacing w:line="300" w:lineRule="exact"/>
        <w:ind w:firstLine="422" w:firstLineChars="200"/>
        <w:rPr>
          <w:rFonts w:hint="eastAsia" w:ascii="宋体" w:hAnsi="宋体"/>
          <w:b/>
          <w:szCs w:val="21"/>
        </w:rPr>
      </w:pPr>
      <w:r>
        <w:rPr>
          <w:rFonts w:hint="eastAsia" w:ascii="宋体" w:hAnsi="宋体"/>
          <w:b/>
          <w:szCs w:val="21"/>
        </w:rPr>
        <w:t>（一） 适用范围</w:t>
      </w:r>
    </w:p>
    <w:p>
      <w:pPr>
        <w:spacing w:line="300" w:lineRule="exact"/>
        <w:ind w:firstLine="420" w:firstLineChars="200"/>
        <w:rPr>
          <w:rFonts w:hint="eastAsia" w:ascii="宋体" w:hAnsi="宋体"/>
          <w:szCs w:val="21"/>
        </w:rPr>
      </w:pPr>
      <w:r>
        <w:rPr>
          <w:rFonts w:hint="eastAsia" w:ascii="宋体" w:hAnsi="宋体"/>
          <w:szCs w:val="21"/>
        </w:rPr>
        <w:t>本招标文件适用于安吉县政府采购项目的招标、投标、评标、定标、验收、合同履约、付款等行为（法律、法规另有规定的，从其规定）。</w:t>
      </w:r>
    </w:p>
    <w:p>
      <w:pPr>
        <w:spacing w:line="300" w:lineRule="exact"/>
        <w:ind w:firstLine="422" w:firstLineChars="200"/>
        <w:rPr>
          <w:rFonts w:hint="eastAsia" w:ascii="宋体" w:hAnsi="宋体"/>
          <w:b/>
          <w:szCs w:val="21"/>
        </w:rPr>
      </w:pPr>
      <w:r>
        <w:rPr>
          <w:rFonts w:hint="eastAsia" w:ascii="宋体" w:hAnsi="宋体"/>
          <w:b/>
          <w:szCs w:val="21"/>
        </w:rPr>
        <w:t>（二）定义</w:t>
      </w:r>
    </w:p>
    <w:p>
      <w:pPr>
        <w:spacing w:line="300" w:lineRule="exact"/>
        <w:ind w:firstLine="420" w:firstLineChars="200"/>
        <w:rPr>
          <w:rFonts w:hint="eastAsia" w:ascii="宋体" w:hAnsi="宋体"/>
          <w:szCs w:val="21"/>
        </w:rPr>
      </w:pPr>
      <w:r>
        <w:rPr>
          <w:rFonts w:hint="eastAsia" w:ascii="宋体" w:hAnsi="宋体"/>
          <w:szCs w:val="21"/>
        </w:rPr>
        <w:t>1.招标采购单位系指组织本次招标的采购代理机构和采购人</w:t>
      </w:r>
    </w:p>
    <w:p>
      <w:pPr>
        <w:spacing w:line="300" w:lineRule="exact"/>
        <w:ind w:firstLine="420" w:firstLineChars="200"/>
        <w:rPr>
          <w:rFonts w:hint="eastAsia" w:ascii="宋体" w:hAnsi="宋体"/>
          <w:szCs w:val="21"/>
        </w:rPr>
      </w:pPr>
      <w:r>
        <w:rPr>
          <w:rFonts w:hint="eastAsia" w:ascii="宋体" w:hAnsi="宋体"/>
          <w:szCs w:val="21"/>
        </w:rPr>
        <w:t>2.“投标人”系指响应招标、参加投标竞争的法人或者其他组织。</w:t>
      </w:r>
    </w:p>
    <w:p>
      <w:pPr>
        <w:spacing w:line="300" w:lineRule="exact"/>
        <w:ind w:firstLine="420" w:firstLineChars="200"/>
        <w:rPr>
          <w:rFonts w:hint="eastAsia" w:ascii="宋体" w:hAnsi="宋体"/>
          <w:szCs w:val="21"/>
        </w:rPr>
      </w:pPr>
      <w:r>
        <w:rPr>
          <w:rFonts w:hint="eastAsia" w:ascii="宋体" w:hAnsi="宋体"/>
          <w:szCs w:val="21"/>
        </w:rPr>
        <w:t>3.“采购人”系指委托招标方采购本次项目的国家机关、事业单位和团体组织。</w:t>
      </w:r>
    </w:p>
    <w:p>
      <w:pPr>
        <w:spacing w:line="300" w:lineRule="exact"/>
        <w:ind w:firstLine="420" w:firstLineChars="200"/>
        <w:rPr>
          <w:rFonts w:hint="eastAsia" w:ascii="宋体" w:hAnsi="宋体"/>
          <w:szCs w:val="21"/>
        </w:rPr>
      </w:pPr>
      <w:r>
        <w:rPr>
          <w:rFonts w:hint="eastAsia" w:ascii="宋体" w:hAnsi="宋体"/>
          <w:szCs w:val="21"/>
        </w:rPr>
        <w:t>4.“产品”系指供方按招标文件规定，须向采购人提供的一切设备、保险、税金、备品备件、工具、手册及其它有关技术资料和材料。</w:t>
      </w:r>
    </w:p>
    <w:p>
      <w:pPr>
        <w:spacing w:line="300" w:lineRule="exact"/>
        <w:ind w:firstLine="420" w:firstLineChars="200"/>
        <w:rPr>
          <w:rFonts w:hint="eastAsia" w:ascii="宋体" w:hAnsi="宋体"/>
          <w:szCs w:val="21"/>
        </w:rPr>
      </w:pPr>
      <w:r>
        <w:rPr>
          <w:rFonts w:hint="eastAsia" w:ascii="宋体" w:hAnsi="宋体"/>
          <w:szCs w:val="21"/>
        </w:rPr>
        <w:t>5.“服务”系指招标文件规定投标人须承担的安装、调试、技术协助、校准、培训、技术指导以及其他类似的义务。</w:t>
      </w:r>
    </w:p>
    <w:p>
      <w:pPr>
        <w:spacing w:line="300" w:lineRule="exact"/>
        <w:ind w:firstLine="420" w:firstLineChars="200"/>
        <w:rPr>
          <w:rFonts w:hint="eastAsia" w:ascii="宋体" w:hAnsi="宋体"/>
          <w:szCs w:val="21"/>
        </w:rPr>
      </w:pPr>
      <w:r>
        <w:rPr>
          <w:rFonts w:hint="eastAsia" w:ascii="宋体" w:hAnsi="宋体"/>
          <w:szCs w:val="21"/>
        </w:rPr>
        <w:t>6.“项目”系指投标人按招标文件规定向采购人提供的产品和服务。</w:t>
      </w:r>
    </w:p>
    <w:p>
      <w:pPr>
        <w:spacing w:line="300" w:lineRule="exact"/>
        <w:ind w:firstLine="420" w:firstLineChars="200"/>
        <w:rPr>
          <w:rFonts w:hint="eastAsia" w:ascii="宋体" w:hAnsi="宋体"/>
          <w:szCs w:val="21"/>
        </w:rPr>
      </w:pPr>
      <w:r>
        <w:rPr>
          <w:rFonts w:hint="eastAsia" w:ascii="宋体" w:hAnsi="宋体"/>
          <w:szCs w:val="21"/>
        </w:rPr>
        <w:t>7.“书面形式”包括信函、传真、电报、电子邮件等。</w:t>
      </w:r>
    </w:p>
    <w:p>
      <w:pPr>
        <w:spacing w:line="300" w:lineRule="exact"/>
        <w:ind w:firstLine="420" w:firstLineChars="200"/>
        <w:rPr>
          <w:rFonts w:hint="eastAsia" w:ascii="宋体" w:hAnsi="宋体"/>
          <w:szCs w:val="21"/>
        </w:rPr>
      </w:pPr>
      <w:r>
        <w:rPr>
          <w:rFonts w:hint="eastAsia" w:ascii="宋体" w:hAnsi="宋体"/>
          <w:szCs w:val="21"/>
        </w:rPr>
        <w:t>8.“▲”系指实质性要求条款</w:t>
      </w:r>
    </w:p>
    <w:p>
      <w:pPr>
        <w:spacing w:line="300" w:lineRule="exact"/>
        <w:ind w:firstLine="422" w:firstLineChars="200"/>
        <w:rPr>
          <w:rFonts w:hint="eastAsia" w:ascii="宋体" w:hAnsi="宋体"/>
          <w:b/>
          <w:szCs w:val="21"/>
        </w:rPr>
      </w:pPr>
      <w:r>
        <w:rPr>
          <w:rFonts w:hint="eastAsia" w:ascii="宋体" w:hAnsi="宋体"/>
          <w:b/>
          <w:szCs w:val="21"/>
        </w:rPr>
        <w:t>（三）招标方式</w:t>
      </w:r>
    </w:p>
    <w:p>
      <w:pPr>
        <w:spacing w:line="300" w:lineRule="exact"/>
        <w:ind w:firstLine="420" w:firstLineChars="200"/>
        <w:rPr>
          <w:rFonts w:hint="eastAsia" w:ascii="宋体" w:hAnsi="宋体"/>
          <w:szCs w:val="21"/>
        </w:rPr>
      </w:pPr>
      <w:r>
        <w:rPr>
          <w:rFonts w:hint="eastAsia" w:ascii="宋体" w:hAnsi="宋体"/>
          <w:szCs w:val="21"/>
        </w:rPr>
        <w:t>本次招标采用公开招标方式进行</w:t>
      </w:r>
    </w:p>
    <w:p>
      <w:pPr>
        <w:spacing w:line="300" w:lineRule="exact"/>
        <w:ind w:firstLine="422" w:firstLineChars="200"/>
        <w:rPr>
          <w:rFonts w:hint="eastAsia" w:ascii="宋体" w:hAnsi="宋体"/>
          <w:b/>
          <w:szCs w:val="21"/>
        </w:rPr>
      </w:pPr>
      <w:r>
        <w:rPr>
          <w:rFonts w:hint="eastAsia" w:ascii="宋体" w:hAnsi="宋体"/>
          <w:b/>
          <w:szCs w:val="21"/>
        </w:rPr>
        <w:t>（四）投标委托</w:t>
      </w:r>
    </w:p>
    <w:p>
      <w:pPr>
        <w:spacing w:line="300" w:lineRule="exact"/>
        <w:ind w:firstLine="420" w:firstLineChars="200"/>
        <w:rPr>
          <w:rFonts w:hint="eastAsia" w:ascii="宋体" w:hAnsi="宋体"/>
          <w:szCs w:val="21"/>
        </w:rPr>
      </w:pPr>
      <w:r>
        <w:rPr>
          <w:rFonts w:hint="eastAsia" w:ascii="宋体" w:hAnsi="宋体"/>
          <w:szCs w:val="21"/>
        </w:rPr>
        <w:t>投标人代表须携带有效身份证件。如投标人代表不是法定代表人，须有法定代表人出具的授权委托书（正本用原件，副本用复印件，格式见</w:t>
      </w:r>
      <w:r>
        <w:rPr>
          <w:rFonts w:hint="eastAsia" w:ascii="宋体" w:hAnsi="宋体"/>
          <w:b/>
          <w:szCs w:val="21"/>
        </w:rPr>
        <w:t>附件1-3</w:t>
      </w:r>
      <w:r>
        <w:rPr>
          <w:rFonts w:hint="eastAsia" w:ascii="宋体" w:hAnsi="宋体"/>
          <w:szCs w:val="21"/>
        </w:rPr>
        <w:t>）。</w:t>
      </w:r>
    </w:p>
    <w:p>
      <w:pPr>
        <w:spacing w:line="300" w:lineRule="exact"/>
        <w:ind w:firstLine="422" w:firstLineChars="200"/>
        <w:rPr>
          <w:rFonts w:hint="eastAsia" w:ascii="宋体" w:hAnsi="宋体"/>
          <w:b/>
          <w:szCs w:val="21"/>
        </w:rPr>
      </w:pPr>
      <w:r>
        <w:rPr>
          <w:rFonts w:hint="eastAsia" w:ascii="宋体" w:hAnsi="宋体"/>
          <w:b/>
          <w:szCs w:val="21"/>
        </w:rPr>
        <w:t>（五）投标费用</w:t>
      </w:r>
    </w:p>
    <w:p>
      <w:pPr>
        <w:spacing w:line="300" w:lineRule="exact"/>
        <w:ind w:firstLine="420" w:firstLineChars="200"/>
        <w:rPr>
          <w:rFonts w:hint="eastAsia" w:ascii="宋体" w:hAnsi="宋体"/>
          <w:szCs w:val="21"/>
        </w:rPr>
      </w:pPr>
      <w:r>
        <w:rPr>
          <w:rFonts w:hint="eastAsia" w:ascii="宋体" w:hAnsi="宋体"/>
          <w:szCs w:val="21"/>
        </w:rPr>
        <w:t>不论投标结果如何，投标人均应自行承担所有与投标有关的全部费用（招标文件有相反规定除外）。</w:t>
      </w:r>
    </w:p>
    <w:p>
      <w:pPr>
        <w:spacing w:line="300" w:lineRule="exact"/>
        <w:ind w:firstLine="422" w:firstLineChars="200"/>
        <w:rPr>
          <w:rFonts w:hint="eastAsia" w:ascii="宋体" w:hAnsi="宋体"/>
          <w:b/>
          <w:szCs w:val="21"/>
        </w:rPr>
      </w:pPr>
      <w:r>
        <w:rPr>
          <w:rFonts w:hint="eastAsia" w:ascii="宋体" w:hAnsi="宋体"/>
          <w:b/>
          <w:szCs w:val="21"/>
        </w:rPr>
        <w:t>（六）联合体投标</w:t>
      </w:r>
    </w:p>
    <w:p>
      <w:pPr>
        <w:spacing w:line="300" w:lineRule="exact"/>
        <w:ind w:firstLine="420" w:firstLineChars="200"/>
        <w:rPr>
          <w:rFonts w:hint="eastAsia" w:ascii="宋体" w:hAnsi="宋体"/>
          <w:szCs w:val="21"/>
        </w:rPr>
      </w:pPr>
      <w:r>
        <w:rPr>
          <w:rFonts w:hint="eastAsia" w:ascii="宋体" w:hAnsi="宋体" w:cs="Arial"/>
          <w:szCs w:val="21"/>
        </w:rPr>
        <w:t>本项目不接受联合体投标。</w:t>
      </w:r>
    </w:p>
    <w:p>
      <w:pPr>
        <w:spacing w:line="300" w:lineRule="exact"/>
        <w:ind w:firstLine="422" w:firstLineChars="200"/>
        <w:rPr>
          <w:rFonts w:hint="eastAsia" w:ascii="宋体" w:hAnsi="宋体" w:cs="宋体"/>
          <w:b/>
          <w:szCs w:val="21"/>
        </w:rPr>
      </w:pPr>
      <w:r>
        <w:rPr>
          <w:rFonts w:hint="eastAsia" w:ascii="宋体" w:hAnsi="宋体"/>
          <w:b/>
          <w:szCs w:val="21"/>
        </w:rPr>
        <w:t>（七）</w:t>
      </w:r>
      <w:r>
        <w:rPr>
          <w:rFonts w:hint="eastAsia" w:ascii="宋体" w:hAnsi="宋体" w:cs="宋体"/>
          <w:b/>
          <w:szCs w:val="21"/>
        </w:rPr>
        <w:t>转包与分包</w:t>
      </w:r>
    </w:p>
    <w:p>
      <w:pPr>
        <w:spacing w:line="300" w:lineRule="exact"/>
        <w:ind w:firstLine="420" w:firstLineChars="200"/>
        <w:rPr>
          <w:rFonts w:hint="eastAsia" w:ascii="宋体" w:hAnsi="宋体" w:cs="宋体"/>
          <w:szCs w:val="21"/>
        </w:rPr>
      </w:pPr>
      <w:r>
        <w:rPr>
          <w:rFonts w:hint="eastAsia" w:ascii="宋体" w:hAnsi="宋体" w:cs="宋体"/>
          <w:szCs w:val="21"/>
        </w:rPr>
        <w:t>1.本项目不允许转包。</w:t>
      </w:r>
    </w:p>
    <w:p>
      <w:pPr>
        <w:spacing w:line="300" w:lineRule="exact"/>
        <w:ind w:firstLine="420" w:firstLineChars="200"/>
        <w:rPr>
          <w:rFonts w:hint="eastAsia" w:ascii="宋体" w:hAnsi="宋体" w:cs="宋体"/>
          <w:szCs w:val="21"/>
        </w:rPr>
      </w:pPr>
      <w:r>
        <w:rPr>
          <w:rFonts w:hint="eastAsia" w:ascii="宋体" w:hAnsi="宋体" w:cs="宋体"/>
          <w:szCs w:val="21"/>
        </w:rPr>
        <w:t>2.本项目不可以分包</w:t>
      </w:r>
    </w:p>
    <w:p>
      <w:pPr>
        <w:spacing w:line="300" w:lineRule="exact"/>
        <w:ind w:firstLine="422" w:firstLineChars="200"/>
        <w:rPr>
          <w:rFonts w:hint="eastAsia" w:ascii="宋体" w:hAnsi="宋体"/>
          <w:b/>
          <w:szCs w:val="21"/>
        </w:rPr>
      </w:pPr>
      <w:r>
        <w:rPr>
          <w:rFonts w:hint="eastAsia" w:ascii="宋体" w:hAnsi="宋体"/>
          <w:b/>
          <w:szCs w:val="21"/>
        </w:rPr>
        <w:t>（八）特别说明：</w:t>
      </w:r>
    </w:p>
    <w:p>
      <w:pPr>
        <w:spacing w:line="300" w:lineRule="exact"/>
        <w:ind w:firstLine="420" w:firstLineChars="200"/>
        <w:rPr>
          <w:rFonts w:hint="eastAsia" w:ascii="宋体" w:hAnsi="宋体" w:cs="宋体"/>
          <w:szCs w:val="21"/>
        </w:rPr>
      </w:pPr>
      <w:r>
        <w:rPr>
          <w:rFonts w:hint="eastAsia" w:ascii="宋体" w:hAnsi="宋体"/>
          <w:szCs w:val="21"/>
        </w:rPr>
        <w:t>▲ 1.投标人投标所使用的资格、信誉、荣誉、业绩与企业认证必须为本法人所拥有。投标人投标所使用的采购项目实施人员必须为本法人正式员工。</w:t>
      </w:r>
    </w:p>
    <w:p>
      <w:pPr>
        <w:spacing w:line="300" w:lineRule="exact"/>
        <w:ind w:firstLine="420" w:firstLineChars="200"/>
        <w:rPr>
          <w:rFonts w:hint="eastAsia"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300" w:lineRule="exact"/>
        <w:ind w:firstLine="420" w:firstLineChars="200"/>
        <w:rPr>
          <w:rFonts w:hint="eastAsia" w:ascii="宋体" w:hAnsi="宋体"/>
          <w:szCs w:val="21"/>
        </w:rPr>
      </w:pPr>
      <w:r>
        <w:rPr>
          <w:rFonts w:hint="eastAsia" w:ascii="宋体" w:hAnsi="宋体"/>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300" w:lineRule="exact"/>
        <w:ind w:firstLine="422" w:firstLineChars="200"/>
        <w:rPr>
          <w:rFonts w:hint="eastAsia" w:ascii="宋体" w:hAnsi="宋体"/>
          <w:b/>
          <w:szCs w:val="21"/>
        </w:rPr>
      </w:pPr>
      <w:r>
        <w:rPr>
          <w:rFonts w:hint="eastAsia" w:ascii="宋体" w:hAnsi="宋体"/>
          <w:b/>
          <w:szCs w:val="21"/>
        </w:rPr>
        <w:t>（九）质疑和投诉</w:t>
      </w:r>
    </w:p>
    <w:p>
      <w:pPr>
        <w:spacing w:line="300" w:lineRule="exact"/>
        <w:ind w:firstLine="422" w:firstLineChars="200"/>
        <w:rPr>
          <w:rFonts w:hint="eastAsia" w:ascii="宋体" w:hAnsi="宋体"/>
          <w:b/>
          <w:bCs/>
          <w:color w:val="FF0000"/>
          <w:szCs w:val="21"/>
        </w:rPr>
      </w:pPr>
      <w:r>
        <w:rPr>
          <w:rFonts w:hint="eastAsia" w:ascii="宋体" w:hAnsi="宋体"/>
          <w:b/>
          <w:bCs/>
          <w:color w:val="FF0000"/>
          <w:szCs w:val="21"/>
        </w:rPr>
        <w:t xml:space="preserve">1.投标人认为招标文件使自己的合法权益受到损害的，应当在知道或者应知其权益受到损害之日起七个工作日内，以书面形式向采购人、集中采购代理机构提出质疑。                                             </w:t>
      </w:r>
    </w:p>
    <w:p>
      <w:pPr>
        <w:spacing w:line="300" w:lineRule="exact"/>
        <w:ind w:firstLine="422" w:firstLineChars="200"/>
        <w:rPr>
          <w:rFonts w:hint="eastAsia" w:ascii="宋体" w:hAnsi="宋体"/>
          <w:b/>
          <w:bCs/>
          <w:color w:val="FF0000"/>
          <w:szCs w:val="21"/>
        </w:rPr>
      </w:pPr>
      <w:r>
        <w:rPr>
          <w:rFonts w:hint="eastAsia" w:ascii="宋体" w:hAnsi="宋体"/>
          <w:b/>
          <w:bCs/>
          <w:color w:val="FF0000"/>
          <w:szCs w:val="21"/>
        </w:rPr>
        <w:t>对采购文件提出质疑的，质疑期限为招标公告期限届满之日起七个工作日。对采购结果提出质疑的，质疑期限为采购结果公告期限届满之日起七个工作日。在上述质疑期满后进行质疑的，将不予受理。采购单位或采购代理机构在质疑期满后对投标人提出的质疑进行统一答复，并书面通知各投标人；投标人对招标采购单位的质疑答复不满意或者招标采购单位未在规定的时间内做出答复的，可以在答复期满后十五个工作日内向同级采购监管部门投诉。</w:t>
      </w:r>
    </w:p>
    <w:p>
      <w:pPr>
        <w:spacing w:line="300" w:lineRule="exact"/>
        <w:ind w:firstLine="420" w:firstLineChars="200"/>
        <w:rPr>
          <w:rFonts w:hint="eastAsia" w:ascii="宋体" w:hAnsi="宋体"/>
          <w:szCs w:val="21"/>
        </w:rPr>
      </w:pPr>
      <w:r>
        <w:rPr>
          <w:rFonts w:hint="eastAsia" w:ascii="宋体" w:hAnsi="宋体"/>
          <w:szCs w:val="21"/>
        </w:rPr>
        <w:t>2.质疑、投诉应当采用书面形式，质疑书、投诉书均应明确阐述招标文件、招标过程或中标结果中使自己合法权益受到损害的实质性内容，提供相关事实、依据和证据及其来源或线索，便于有关单位调查、答复和处理。否则，集中采购代理机构将不予受理</w:t>
      </w:r>
    </w:p>
    <w:p>
      <w:pPr>
        <w:spacing w:line="300" w:lineRule="exact"/>
        <w:ind w:firstLine="422" w:firstLineChars="200"/>
        <w:rPr>
          <w:rFonts w:ascii="宋体" w:hAnsi="宋体"/>
          <w:b/>
          <w:szCs w:val="21"/>
        </w:rPr>
      </w:pPr>
      <w:bookmarkStart w:id="2" w:name="_Toc423953933"/>
      <w:r>
        <w:rPr>
          <w:rFonts w:ascii="宋体" w:hAnsi="宋体"/>
          <w:b/>
          <w:szCs w:val="21"/>
        </w:rPr>
        <w:t>二</w:t>
      </w:r>
      <w:r>
        <w:rPr>
          <w:rFonts w:hint="eastAsia" w:ascii="宋体" w:hAnsi="宋体"/>
          <w:b/>
          <w:szCs w:val="21"/>
        </w:rPr>
        <w:t>、</w:t>
      </w:r>
      <w:r>
        <w:rPr>
          <w:rFonts w:ascii="宋体" w:hAnsi="宋体"/>
          <w:b/>
          <w:szCs w:val="21"/>
        </w:rPr>
        <w:t>招标文件</w:t>
      </w:r>
    </w:p>
    <w:p>
      <w:pPr>
        <w:snapToGrid w:val="0"/>
        <w:spacing w:line="300" w:lineRule="exact"/>
        <w:ind w:firstLine="422" w:firstLineChars="200"/>
        <w:jc w:val="left"/>
        <w:rPr>
          <w:rFonts w:ascii="宋体" w:hAnsi="宋体"/>
          <w:b/>
          <w:szCs w:val="21"/>
        </w:rPr>
      </w:pPr>
      <w:r>
        <w:rPr>
          <w:rFonts w:hint="eastAsia" w:ascii="宋体" w:hAnsi="宋体"/>
          <w:b/>
          <w:szCs w:val="21"/>
        </w:rPr>
        <w:t>（一）招标文件的构成。本招标文件由以下部份组成：</w:t>
      </w:r>
    </w:p>
    <w:p>
      <w:pPr>
        <w:snapToGrid w:val="0"/>
        <w:spacing w:line="300" w:lineRule="exact"/>
        <w:ind w:firstLine="420" w:firstLineChars="200"/>
        <w:jc w:val="left"/>
        <w:rPr>
          <w:rFonts w:ascii="宋体" w:hAnsi="宋体" w:cs="Arial"/>
          <w:szCs w:val="21"/>
        </w:rPr>
      </w:pPr>
      <w:r>
        <w:rPr>
          <w:rFonts w:ascii="宋体" w:hAnsi="宋体" w:cs="Arial"/>
          <w:szCs w:val="21"/>
        </w:rPr>
        <w:t>1</w:t>
      </w:r>
      <w:r>
        <w:rPr>
          <w:rFonts w:hint="eastAsia" w:ascii="宋体" w:hAnsi="宋体" w:cs="Arial"/>
          <w:szCs w:val="21"/>
        </w:rPr>
        <w:t>.</w:t>
      </w:r>
      <w:r>
        <w:rPr>
          <w:rFonts w:ascii="宋体" w:hAnsi="宋体" w:cs="Arial"/>
          <w:szCs w:val="21"/>
        </w:rPr>
        <w:t>招标公告</w:t>
      </w:r>
    </w:p>
    <w:p>
      <w:pPr>
        <w:snapToGrid w:val="0"/>
        <w:spacing w:line="300" w:lineRule="exact"/>
        <w:ind w:firstLine="420" w:firstLineChars="200"/>
        <w:jc w:val="left"/>
        <w:rPr>
          <w:rFonts w:ascii="宋体" w:hAnsi="宋体" w:cs="Arial"/>
          <w:szCs w:val="21"/>
        </w:rPr>
      </w:pPr>
      <w:r>
        <w:rPr>
          <w:rFonts w:ascii="宋体" w:hAnsi="宋体" w:cs="Arial"/>
          <w:szCs w:val="21"/>
        </w:rPr>
        <w:t>2</w:t>
      </w:r>
      <w:r>
        <w:rPr>
          <w:rFonts w:hint="eastAsia" w:ascii="宋体" w:hAnsi="宋体" w:cs="Arial"/>
          <w:szCs w:val="21"/>
        </w:rPr>
        <w:t>.</w:t>
      </w:r>
      <w:r>
        <w:rPr>
          <w:rFonts w:ascii="宋体" w:hAnsi="宋体" w:cs="Arial"/>
          <w:szCs w:val="21"/>
        </w:rPr>
        <w:t>招标需求</w:t>
      </w:r>
    </w:p>
    <w:p>
      <w:pPr>
        <w:snapToGrid w:val="0"/>
        <w:spacing w:line="300" w:lineRule="exact"/>
        <w:ind w:firstLine="420" w:firstLineChars="200"/>
        <w:jc w:val="left"/>
        <w:rPr>
          <w:rFonts w:ascii="宋体" w:hAnsi="宋体" w:cs="Arial"/>
          <w:szCs w:val="21"/>
        </w:rPr>
      </w:pPr>
      <w:r>
        <w:rPr>
          <w:rFonts w:ascii="宋体" w:hAnsi="宋体" w:cs="Arial"/>
          <w:szCs w:val="21"/>
        </w:rPr>
        <w:t>3</w:t>
      </w:r>
      <w:r>
        <w:rPr>
          <w:rFonts w:hint="eastAsia" w:ascii="宋体" w:hAnsi="宋体" w:cs="Arial"/>
          <w:szCs w:val="21"/>
        </w:rPr>
        <w:t>.</w:t>
      </w:r>
      <w:r>
        <w:rPr>
          <w:rFonts w:ascii="宋体" w:hAnsi="宋体" w:cs="Arial"/>
          <w:szCs w:val="21"/>
        </w:rPr>
        <w:t>投标人须知</w:t>
      </w:r>
    </w:p>
    <w:p>
      <w:pPr>
        <w:snapToGrid w:val="0"/>
        <w:spacing w:line="300" w:lineRule="exact"/>
        <w:ind w:firstLine="420" w:firstLineChars="200"/>
        <w:jc w:val="left"/>
        <w:rPr>
          <w:rFonts w:ascii="宋体" w:hAnsi="宋体" w:cs="Arial"/>
          <w:szCs w:val="21"/>
        </w:rPr>
      </w:pPr>
      <w:r>
        <w:rPr>
          <w:rFonts w:ascii="宋体" w:hAnsi="宋体" w:cs="Arial"/>
          <w:szCs w:val="21"/>
        </w:rPr>
        <w:t>4</w:t>
      </w:r>
      <w:r>
        <w:rPr>
          <w:rFonts w:hint="eastAsia" w:ascii="宋体" w:hAnsi="宋体" w:cs="Arial"/>
          <w:szCs w:val="21"/>
        </w:rPr>
        <w:t>.</w:t>
      </w:r>
      <w:r>
        <w:rPr>
          <w:rFonts w:ascii="宋体" w:hAnsi="宋体" w:cs="Arial"/>
          <w:szCs w:val="21"/>
        </w:rPr>
        <w:t>评标办法及标准</w:t>
      </w:r>
    </w:p>
    <w:p>
      <w:pPr>
        <w:snapToGrid w:val="0"/>
        <w:spacing w:line="300" w:lineRule="exact"/>
        <w:ind w:firstLine="420" w:firstLineChars="200"/>
        <w:jc w:val="left"/>
        <w:rPr>
          <w:rFonts w:ascii="宋体" w:hAnsi="宋体" w:cs="Arial"/>
          <w:szCs w:val="21"/>
        </w:rPr>
      </w:pPr>
      <w:r>
        <w:rPr>
          <w:rFonts w:ascii="宋体" w:hAnsi="宋体" w:cs="Arial"/>
          <w:szCs w:val="21"/>
        </w:rPr>
        <w:t>5</w:t>
      </w:r>
      <w:r>
        <w:rPr>
          <w:rFonts w:hint="eastAsia" w:ascii="宋体" w:hAnsi="宋体" w:cs="Arial"/>
          <w:szCs w:val="21"/>
        </w:rPr>
        <w:t>.</w:t>
      </w:r>
      <w:r>
        <w:rPr>
          <w:rFonts w:ascii="宋体" w:hAnsi="宋体" w:cs="Arial"/>
          <w:szCs w:val="21"/>
        </w:rPr>
        <w:t>合同主要条款</w:t>
      </w:r>
    </w:p>
    <w:p>
      <w:pPr>
        <w:snapToGrid w:val="0"/>
        <w:spacing w:line="300" w:lineRule="exact"/>
        <w:ind w:firstLine="420" w:firstLineChars="200"/>
        <w:jc w:val="left"/>
        <w:rPr>
          <w:rFonts w:hint="eastAsia" w:ascii="宋体" w:hAnsi="宋体" w:cs="Arial"/>
          <w:szCs w:val="21"/>
        </w:rPr>
      </w:pPr>
      <w:r>
        <w:rPr>
          <w:rFonts w:ascii="宋体" w:hAnsi="宋体" w:cs="Arial"/>
          <w:szCs w:val="21"/>
        </w:rPr>
        <w:t>6</w:t>
      </w:r>
      <w:r>
        <w:rPr>
          <w:rFonts w:hint="eastAsia" w:ascii="宋体" w:hAnsi="宋体" w:cs="Arial"/>
          <w:szCs w:val="21"/>
        </w:rPr>
        <w:t>.</w:t>
      </w:r>
      <w:r>
        <w:rPr>
          <w:rFonts w:ascii="宋体" w:hAnsi="宋体" w:cs="Arial"/>
          <w:szCs w:val="21"/>
        </w:rPr>
        <w:t>投标文件格式</w:t>
      </w:r>
    </w:p>
    <w:p>
      <w:pPr>
        <w:snapToGrid w:val="0"/>
        <w:spacing w:line="300" w:lineRule="exact"/>
        <w:ind w:firstLine="420" w:firstLineChars="200"/>
        <w:jc w:val="left"/>
        <w:rPr>
          <w:rFonts w:hint="eastAsia" w:ascii="宋体" w:hAnsi="宋体" w:cs="Arial"/>
          <w:szCs w:val="21"/>
        </w:rPr>
      </w:pPr>
      <w:r>
        <w:rPr>
          <w:rFonts w:hint="eastAsia" w:ascii="宋体" w:hAnsi="宋体" w:cs="Arial"/>
          <w:szCs w:val="21"/>
        </w:rPr>
        <w:t>7.本项目</w:t>
      </w:r>
      <w:r>
        <w:rPr>
          <w:rFonts w:ascii="宋体" w:hAnsi="宋体" w:cs="Arial"/>
          <w:szCs w:val="21"/>
        </w:rPr>
        <w:t>招标文件</w:t>
      </w:r>
      <w:r>
        <w:rPr>
          <w:rFonts w:hint="eastAsia" w:ascii="宋体" w:hAnsi="宋体" w:cs="Arial"/>
          <w:szCs w:val="21"/>
        </w:rPr>
        <w:t>的</w:t>
      </w:r>
      <w:r>
        <w:rPr>
          <w:rFonts w:ascii="宋体" w:hAnsi="宋体" w:cs="Arial"/>
          <w:szCs w:val="21"/>
        </w:rPr>
        <w:t>澄清、答复、修改、补充的内容</w:t>
      </w:r>
    </w:p>
    <w:p>
      <w:pPr>
        <w:snapToGrid w:val="0"/>
        <w:spacing w:line="300" w:lineRule="exact"/>
        <w:ind w:firstLine="422" w:firstLineChars="200"/>
        <w:jc w:val="left"/>
        <w:rPr>
          <w:rFonts w:ascii="宋体" w:hAnsi="宋体"/>
          <w:b/>
          <w:szCs w:val="21"/>
        </w:rPr>
      </w:pPr>
      <w:r>
        <w:rPr>
          <w:rFonts w:hint="eastAsia" w:ascii="宋体" w:hAnsi="宋体"/>
          <w:b/>
          <w:szCs w:val="21"/>
        </w:rPr>
        <w:t>（二）投标人的风险</w:t>
      </w:r>
    </w:p>
    <w:p>
      <w:pPr>
        <w:pStyle w:val="31"/>
        <w:spacing w:after="0" w:line="300" w:lineRule="exact"/>
        <w:ind w:left="0" w:leftChars="0" w:firstLine="420" w:firstLineChars="200"/>
        <w:rPr>
          <w:rFonts w:hint="eastAsia" w:ascii="宋体" w:hAnsi="宋体" w:cs="Arial"/>
          <w:sz w:val="21"/>
          <w:szCs w:val="21"/>
        </w:rPr>
      </w:pPr>
      <w:r>
        <w:rPr>
          <w:rFonts w:hint="eastAsia" w:ascii="宋体" w:hAnsi="宋体" w:cs="Arial"/>
          <w:sz w:val="21"/>
          <w:szCs w:val="21"/>
        </w:rPr>
        <w:t>投标人没有按照招标文件要求提供全部资料，或者投标人没有对招标文件在各方面作出实质性响应是投标人的风险，并可能导致其投标被拒绝。</w:t>
      </w:r>
    </w:p>
    <w:p>
      <w:pPr>
        <w:spacing w:line="300" w:lineRule="exact"/>
        <w:ind w:firstLine="422" w:firstLineChars="200"/>
        <w:rPr>
          <w:rFonts w:hint="eastAsia" w:ascii="宋体" w:hAnsi="宋体"/>
          <w:b/>
          <w:szCs w:val="21"/>
        </w:rPr>
      </w:pPr>
      <w:r>
        <w:rPr>
          <w:rFonts w:hint="eastAsia" w:ascii="宋体" w:hAnsi="宋体"/>
          <w:b/>
          <w:szCs w:val="21"/>
        </w:rPr>
        <w:t>（三）招标文件的澄清与修改</w:t>
      </w:r>
    </w:p>
    <w:p>
      <w:pPr>
        <w:spacing w:line="300" w:lineRule="exact"/>
        <w:ind w:firstLine="422" w:firstLineChars="200"/>
        <w:rPr>
          <w:rFonts w:hint="eastAsia" w:ascii="宋体" w:hAnsi="宋体" w:cs="Arial"/>
          <w:b/>
          <w:bCs/>
          <w:color w:val="FF0000"/>
          <w:szCs w:val="21"/>
        </w:rPr>
      </w:pPr>
      <w:r>
        <w:rPr>
          <w:rFonts w:hint="eastAsia" w:ascii="宋体" w:hAnsi="宋体" w:cs="Arial"/>
          <w:b/>
          <w:bCs/>
          <w:color w:val="FF0000"/>
          <w:szCs w:val="21"/>
        </w:rPr>
        <w:t>1、投标人应认真阅读本招标文件，发现其中有误或有不合理要求的，投标人应当在</w:t>
      </w:r>
      <w:r>
        <w:rPr>
          <w:rFonts w:ascii="宋体" w:hAnsi="宋体" w:cs="Arial"/>
          <w:b/>
          <w:bCs/>
          <w:color w:val="FF0000"/>
          <w:szCs w:val="21"/>
        </w:rPr>
        <w:t>20</w:t>
      </w:r>
      <w:r>
        <w:rPr>
          <w:rFonts w:hint="eastAsia" w:ascii="宋体" w:hAnsi="宋体" w:cs="Arial"/>
          <w:b/>
          <w:bCs/>
          <w:color w:val="FF0000"/>
          <w:szCs w:val="21"/>
          <w:lang w:val="en-US" w:eastAsia="zh-CN"/>
        </w:rPr>
        <w:t>1</w:t>
      </w:r>
      <w:r>
        <w:rPr>
          <w:rFonts w:hint="eastAsia" w:ascii="宋体" w:hAnsi="宋体" w:cs="Arial"/>
          <w:b/>
          <w:bCs/>
          <w:color w:val="FF0000"/>
          <w:szCs w:val="21"/>
          <w:lang w:val="en-US" w:eastAsia="zh-CN"/>
        </w:rPr>
        <w:t>9</w:t>
      </w:r>
      <w:r>
        <w:rPr>
          <w:rFonts w:ascii="宋体" w:hAnsi="宋体" w:cs="Arial"/>
          <w:b/>
          <w:bCs/>
          <w:color w:val="FF0000"/>
          <w:szCs w:val="21"/>
        </w:rPr>
        <w:t>年</w:t>
      </w:r>
      <w:r>
        <w:rPr>
          <w:rFonts w:hint="eastAsia" w:ascii="宋体" w:hAnsi="宋体" w:cs="Arial"/>
          <w:b/>
          <w:bCs/>
          <w:color w:val="FF0000"/>
          <w:szCs w:val="21"/>
        </w:rPr>
        <w:t xml:space="preserve"> </w:t>
      </w:r>
      <w:r>
        <w:rPr>
          <w:rFonts w:hint="eastAsia" w:ascii="宋体" w:hAnsi="宋体" w:cs="Arial"/>
          <w:b/>
          <w:bCs/>
          <w:color w:val="FF0000"/>
          <w:szCs w:val="21"/>
          <w:lang w:val="en-US" w:eastAsia="zh-CN"/>
        </w:rPr>
        <w:t>7</w:t>
      </w:r>
      <w:r>
        <w:rPr>
          <w:rFonts w:hint="eastAsia" w:ascii="宋体" w:hAnsi="宋体" w:cs="Arial"/>
          <w:b/>
          <w:bCs/>
          <w:color w:val="FF0000"/>
          <w:szCs w:val="21"/>
        </w:rPr>
        <w:t>月</w:t>
      </w:r>
      <w:r>
        <w:rPr>
          <w:rFonts w:hint="eastAsia" w:ascii="宋体" w:hAnsi="宋体" w:cs="Arial"/>
          <w:b/>
          <w:bCs/>
          <w:color w:val="FF0000"/>
          <w:szCs w:val="21"/>
          <w:lang w:val="en-US" w:eastAsia="zh-CN"/>
        </w:rPr>
        <w:t>2</w:t>
      </w:r>
      <w:r>
        <w:rPr>
          <w:rFonts w:hint="eastAsia" w:ascii="宋体" w:hAnsi="宋体" w:cs="Arial"/>
          <w:b/>
          <w:bCs/>
          <w:color w:val="FF0000"/>
          <w:szCs w:val="21"/>
          <w:lang w:val="en-US" w:eastAsia="zh-CN"/>
        </w:rPr>
        <w:t>2</w:t>
      </w:r>
      <w:r>
        <w:rPr>
          <w:rFonts w:ascii="宋体" w:hAnsi="宋体" w:cs="Arial"/>
          <w:b/>
          <w:bCs/>
          <w:color w:val="FF0000"/>
          <w:szCs w:val="21"/>
        </w:rPr>
        <w:t>日</w:t>
      </w:r>
      <w:r>
        <w:rPr>
          <w:rFonts w:hint="eastAsia" w:ascii="宋体" w:hAnsi="宋体" w:cs="Arial"/>
          <w:b/>
          <w:bCs/>
          <w:color w:val="FF0000"/>
          <w:szCs w:val="21"/>
        </w:rPr>
        <w:t>下午16</w:t>
      </w:r>
      <w:r>
        <w:rPr>
          <w:rFonts w:ascii="宋体" w:hAnsi="宋体" w:cs="Arial"/>
          <w:b/>
          <w:bCs/>
          <w:color w:val="FF0000"/>
          <w:szCs w:val="21"/>
        </w:rPr>
        <w:t>：</w:t>
      </w:r>
      <w:r>
        <w:rPr>
          <w:rFonts w:hint="eastAsia" w:ascii="宋体" w:hAnsi="宋体" w:cs="Arial"/>
          <w:b/>
          <w:bCs/>
          <w:color w:val="FF0000"/>
          <w:szCs w:val="21"/>
        </w:rPr>
        <w:t>3</w:t>
      </w:r>
      <w:r>
        <w:rPr>
          <w:rFonts w:ascii="宋体" w:hAnsi="宋体" w:cs="Arial"/>
          <w:b/>
          <w:bCs/>
          <w:color w:val="FF0000"/>
          <w:szCs w:val="21"/>
        </w:rPr>
        <w:t>0时前将疑问以书面形式要求招标采购单位澄清</w:t>
      </w:r>
      <w:r>
        <w:rPr>
          <w:rFonts w:hint="eastAsia" w:ascii="宋体" w:hAnsi="宋体" w:cs="Arial"/>
          <w:b/>
          <w:bCs/>
          <w:color w:val="FF0000"/>
          <w:szCs w:val="21"/>
        </w:rPr>
        <w:t>（</w:t>
      </w:r>
      <w:r>
        <w:rPr>
          <w:rFonts w:ascii="宋体" w:hAnsi="宋体" w:cs="Arial"/>
          <w:b/>
          <w:bCs/>
          <w:color w:val="FF0000"/>
          <w:szCs w:val="21"/>
        </w:rPr>
        <w:fldChar w:fldCharType="begin"/>
      </w:r>
      <w:r>
        <w:rPr>
          <w:rFonts w:ascii="宋体" w:hAnsi="宋体" w:cs="Arial"/>
          <w:b/>
          <w:bCs/>
          <w:color w:val="FF0000"/>
          <w:szCs w:val="21"/>
        </w:rPr>
        <w:instrText xml:space="preserve"> HYPERLINK "mailto:</w:instrText>
      </w:r>
      <w:r>
        <w:rPr>
          <w:rFonts w:hint="eastAsia" w:ascii="宋体" w:hAnsi="宋体" w:cs="Arial"/>
          <w:b/>
          <w:bCs/>
          <w:color w:val="FF0000"/>
          <w:szCs w:val="21"/>
        </w:rPr>
        <w:instrText xml:space="preserve">同时请将该书面文件的电子文档发送至ajzfcg@163.com</w:instrText>
      </w:r>
      <w:r>
        <w:rPr>
          <w:rFonts w:ascii="宋体" w:hAnsi="宋体" w:cs="Arial"/>
          <w:b/>
          <w:bCs/>
          <w:color w:val="FF0000"/>
          <w:szCs w:val="21"/>
        </w:rPr>
        <w:instrText xml:space="preserve">" </w:instrText>
      </w:r>
      <w:r>
        <w:rPr>
          <w:rFonts w:ascii="宋体" w:hAnsi="宋体" w:cs="Arial"/>
          <w:b/>
          <w:bCs/>
          <w:color w:val="FF0000"/>
          <w:szCs w:val="21"/>
        </w:rPr>
        <w:fldChar w:fldCharType="separate"/>
      </w:r>
      <w:r>
        <w:rPr>
          <w:rFonts w:hint="eastAsia" w:ascii="宋体" w:hAnsi="宋体" w:cs="Arial"/>
          <w:b/>
          <w:bCs/>
          <w:color w:val="FF0000"/>
          <w:szCs w:val="21"/>
        </w:rPr>
        <w:t>同时请将该书面文件的电子文档发送至</w:t>
      </w:r>
      <w:r>
        <w:rPr>
          <w:rFonts w:ascii="宋体" w:hAnsi="宋体" w:cs="Arial"/>
          <w:b/>
          <w:bCs/>
          <w:color w:val="FF0000"/>
          <w:szCs w:val="21"/>
        </w:rPr>
        <w:fldChar w:fldCharType="end"/>
      </w:r>
      <w:r>
        <w:rPr>
          <w:rFonts w:hint="eastAsia" w:ascii="宋体" w:hAnsi="宋体" w:cs="Arial"/>
          <w:b/>
          <w:bCs/>
          <w:color w:val="FF0000"/>
          <w:szCs w:val="21"/>
        </w:rPr>
        <w:t>邮箱。</w:t>
      </w:r>
      <w:r>
        <w:rPr>
          <w:rFonts w:ascii="宋体" w:hAnsi="宋体" w:cs="Arial"/>
          <w:b/>
          <w:bCs/>
          <w:color w:val="FF0000"/>
          <w:szCs w:val="21"/>
        </w:rPr>
        <w:t>传真</w:t>
      </w:r>
      <w:r>
        <w:rPr>
          <w:rFonts w:hint="eastAsia" w:ascii="宋体" w:hAnsi="宋体" w:cs="Arial"/>
          <w:b/>
          <w:bCs/>
          <w:color w:val="FF0000"/>
          <w:szCs w:val="21"/>
        </w:rPr>
        <w:t>号码</w:t>
      </w:r>
      <w:r>
        <w:rPr>
          <w:rFonts w:ascii="宋体" w:hAnsi="宋体" w:cs="Arial"/>
          <w:b/>
          <w:bCs/>
          <w:color w:val="FF0000"/>
          <w:szCs w:val="21"/>
        </w:rPr>
        <w:t>0572-</w:t>
      </w:r>
      <w:r>
        <w:rPr>
          <w:rFonts w:hint="eastAsia" w:ascii="宋体" w:hAnsi="宋体" w:cs="Arial"/>
          <w:b/>
          <w:bCs/>
          <w:color w:val="FF0000"/>
          <w:szCs w:val="21"/>
        </w:rPr>
        <w:t>5129121，邮箱：ajzfcg@163.com）</w:t>
      </w:r>
      <w:r>
        <w:rPr>
          <w:rFonts w:ascii="宋体" w:hAnsi="宋体" w:cs="Arial"/>
          <w:b/>
          <w:bCs/>
          <w:color w:val="FF0000"/>
          <w:szCs w:val="21"/>
        </w:rPr>
        <w:t>。</w:t>
      </w:r>
      <w:r>
        <w:rPr>
          <w:rFonts w:hint="eastAsia" w:ascii="宋体" w:hAnsi="宋体" w:cs="Arial"/>
          <w:b/>
          <w:bCs/>
          <w:color w:val="FF0000"/>
          <w:szCs w:val="21"/>
        </w:rPr>
        <w:t>招标采购单位将在规定的时间内统一进行澄清和修改。集中采购代理机构对已发出的招标文件进行必要的澄清、答复、修改或补充的，应当在招标文件要求提交投标文件截止时间五日前，在财政部门指定的政府采购信息发布媒体上发布更正或答疑澄清公告，并书面（含传真、邮件）通知所有报名的供应商。供应商未按规定要求提出的，则视同认可招标文件，但法律法规及规范性文件有明确规定的除外。</w:t>
      </w:r>
    </w:p>
    <w:p>
      <w:pPr>
        <w:pStyle w:val="23"/>
        <w:tabs>
          <w:tab w:val="left" w:pos="4018"/>
        </w:tabs>
        <w:snapToGrid w:val="0"/>
        <w:spacing w:before="0" w:beforeLines="0" w:after="0" w:afterLines="0" w:line="300" w:lineRule="exact"/>
        <w:ind w:firstLine="420" w:firstLineChars="200"/>
        <w:rPr>
          <w:rFonts w:hint="eastAsia" w:hAnsi="宋体" w:cs="Arial"/>
          <w:sz w:val="21"/>
          <w:szCs w:val="21"/>
        </w:rPr>
      </w:pPr>
      <w:r>
        <w:rPr>
          <w:rFonts w:hint="eastAsia" w:hAnsi="宋体"/>
          <w:sz w:val="21"/>
          <w:szCs w:val="21"/>
        </w:rPr>
        <w:t>2、招标文件澄清、答复、修改、补充的内容为招标文件的组成部分。当招标文件与招标文件的答复、澄清、修改、补充通知就同一内容的表述不一致时，以最后发出的书面文件为准。</w:t>
      </w:r>
    </w:p>
    <w:p>
      <w:pPr>
        <w:pStyle w:val="23"/>
        <w:snapToGrid w:val="0"/>
        <w:spacing w:before="0" w:beforeLines="0" w:after="0" w:afterLines="0" w:line="300" w:lineRule="exact"/>
        <w:ind w:firstLine="422" w:firstLineChars="200"/>
        <w:rPr>
          <w:rFonts w:hint="eastAsia" w:hAnsi="宋体" w:cs="Arial"/>
          <w:b/>
          <w:sz w:val="21"/>
          <w:szCs w:val="21"/>
        </w:rPr>
      </w:pPr>
      <w:r>
        <w:rPr>
          <w:rFonts w:hint="eastAsia" w:hAnsi="宋体"/>
          <w:b/>
          <w:sz w:val="21"/>
          <w:szCs w:val="21"/>
        </w:rPr>
        <w:t>三、投标文件的编制</w:t>
      </w:r>
      <w:bookmarkEnd w:id="2"/>
    </w:p>
    <w:p>
      <w:pPr>
        <w:spacing w:line="300" w:lineRule="exact"/>
        <w:ind w:firstLine="420" w:firstLineChars="200"/>
        <w:rPr>
          <w:rFonts w:hint="eastAsia" w:ascii="宋体" w:hAnsi="宋体"/>
          <w:szCs w:val="21"/>
        </w:rPr>
      </w:pPr>
      <w:r>
        <w:rPr>
          <w:rFonts w:hint="eastAsia" w:ascii="宋体" w:hAnsi="宋体"/>
          <w:szCs w:val="21"/>
        </w:rPr>
        <w:t>（一）投标文件的组成</w:t>
      </w:r>
    </w:p>
    <w:p>
      <w:pPr>
        <w:spacing w:line="300" w:lineRule="exact"/>
        <w:ind w:firstLine="420" w:firstLineChars="200"/>
        <w:rPr>
          <w:rFonts w:hint="eastAsia" w:ascii="宋体" w:hAnsi="宋体"/>
          <w:szCs w:val="21"/>
        </w:rPr>
      </w:pPr>
      <w:r>
        <w:rPr>
          <w:rFonts w:hint="eastAsia" w:ascii="宋体" w:hAnsi="宋体"/>
          <w:szCs w:val="21"/>
        </w:rPr>
        <w:t>投标文件由资信及商务文件、技术文件、投标报价文件三部份组成。</w:t>
      </w:r>
    </w:p>
    <w:p>
      <w:pPr>
        <w:numPr>
          <w:ilvl w:val="0"/>
          <w:numId w:val="6"/>
        </w:numPr>
        <w:spacing w:line="300" w:lineRule="exact"/>
        <w:ind w:firstLine="420" w:firstLineChars="200"/>
        <w:rPr>
          <w:rFonts w:hint="eastAsia" w:ascii="宋体" w:hAnsi="宋体"/>
          <w:szCs w:val="21"/>
        </w:rPr>
      </w:pPr>
      <w:r>
        <w:rPr>
          <w:rFonts w:hint="eastAsia" w:ascii="宋体" w:hAnsi="宋体"/>
          <w:szCs w:val="21"/>
        </w:rPr>
        <w:t>资信及商务文件：</w:t>
      </w:r>
    </w:p>
    <w:p>
      <w:pPr>
        <w:spacing w:line="300" w:lineRule="exact"/>
        <w:ind w:firstLine="422" w:firstLineChars="200"/>
        <w:rPr>
          <w:rFonts w:hint="eastAsia" w:ascii="宋体" w:hAnsi="宋体"/>
          <w:szCs w:val="21"/>
        </w:rPr>
      </w:pPr>
      <w:r>
        <w:rPr>
          <w:rFonts w:hint="eastAsia" w:ascii="宋体" w:hAnsi="宋体"/>
          <w:b/>
          <w:szCs w:val="21"/>
        </w:rPr>
        <w:t>A、资信文件：</w:t>
      </w:r>
    </w:p>
    <w:p>
      <w:pPr>
        <w:spacing w:line="300" w:lineRule="exact"/>
        <w:ind w:firstLine="420" w:firstLineChars="200"/>
        <w:rPr>
          <w:rFonts w:hint="eastAsia" w:ascii="宋体" w:hAnsi="宋体"/>
          <w:szCs w:val="21"/>
        </w:rPr>
      </w:pPr>
      <w:r>
        <w:rPr>
          <w:rFonts w:hint="eastAsia" w:ascii="宋体" w:hAnsi="宋体"/>
          <w:szCs w:val="21"/>
        </w:rPr>
        <w:t>（1）投标声明书(格式见附件)；</w:t>
      </w:r>
    </w:p>
    <w:p>
      <w:pPr>
        <w:spacing w:line="300" w:lineRule="exact"/>
        <w:ind w:firstLine="420" w:firstLineChars="200"/>
        <w:rPr>
          <w:rFonts w:hint="eastAsia" w:ascii="宋体" w:hAnsi="宋体"/>
          <w:szCs w:val="21"/>
        </w:rPr>
      </w:pPr>
      <w:r>
        <w:rPr>
          <w:rFonts w:hint="eastAsia" w:ascii="宋体" w:hAnsi="宋体"/>
          <w:szCs w:val="21"/>
        </w:rPr>
        <w:t>（2）法定代表人身份证明书(格式见附件)；</w:t>
      </w:r>
    </w:p>
    <w:p>
      <w:pPr>
        <w:spacing w:line="300" w:lineRule="exact"/>
        <w:ind w:firstLine="420" w:firstLineChars="200"/>
        <w:rPr>
          <w:rFonts w:hint="eastAsia" w:ascii="宋体" w:hAnsi="宋体"/>
          <w:szCs w:val="21"/>
        </w:rPr>
      </w:pPr>
      <w:r>
        <w:rPr>
          <w:rFonts w:hint="eastAsia" w:ascii="宋体" w:hAnsi="宋体"/>
          <w:szCs w:val="21"/>
        </w:rPr>
        <w:t>（3）法定代表人授权委托书(格式见附件)；</w:t>
      </w:r>
    </w:p>
    <w:p>
      <w:pPr>
        <w:spacing w:line="300" w:lineRule="exact"/>
        <w:ind w:firstLine="420" w:firstLineChars="200"/>
        <w:rPr>
          <w:rFonts w:hint="eastAsia" w:ascii="宋体" w:hAnsi="宋体" w:eastAsia="宋体"/>
          <w:szCs w:val="21"/>
          <w:lang w:eastAsia="zh-CN"/>
        </w:rPr>
      </w:pPr>
      <w:r>
        <w:rPr>
          <w:rFonts w:hint="eastAsia" w:ascii="宋体" w:hAnsi="宋体"/>
          <w:szCs w:val="21"/>
        </w:rPr>
        <w:t>（4）授权代表社保花名册或者社保缴费凭证</w:t>
      </w:r>
      <w:r>
        <w:rPr>
          <w:rFonts w:hint="eastAsia" w:ascii="宋体" w:hAnsi="宋体"/>
          <w:szCs w:val="21"/>
          <w:lang w:eastAsia="zh-CN"/>
        </w:rPr>
        <w:t>；</w:t>
      </w:r>
    </w:p>
    <w:p>
      <w:pPr>
        <w:spacing w:line="300" w:lineRule="exact"/>
        <w:ind w:firstLine="420" w:firstLineChars="200"/>
        <w:rPr>
          <w:rFonts w:hint="eastAsia" w:ascii="宋体" w:hAnsi="宋体"/>
          <w:szCs w:val="21"/>
        </w:rPr>
      </w:pPr>
      <w:r>
        <w:rPr>
          <w:rFonts w:hint="eastAsia" w:ascii="宋体" w:hAnsi="宋体"/>
          <w:szCs w:val="21"/>
        </w:rPr>
        <w:t>（5）最近一个季度依法缴纳税收和社保费的证明[税费凭证复印件，或者依法缴纳税费或依法免缴税费的证明（复印件加盖公章，格式自拟）]</w:t>
      </w:r>
    </w:p>
    <w:p>
      <w:pPr>
        <w:spacing w:line="300" w:lineRule="exact"/>
        <w:ind w:firstLine="420" w:firstLineChars="200"/>
        <w:rPr>
          <w:rFonts w:hint="eastAsia" w:ascii="宋体" w:hAnsi="宋体"/>
          <w:szCs w:val="21"/>
        </w:rPr>
      </w:pPr>
      <w:r>
        <w:rPr>
          <w:rFonts w:hint="eastAsia" w:ascii="宋体" w:hAnsi="宋体"/>
          <w:szCs w:val="21"/>
        </w:rPr>
        <w:t>（6）营业执照副本复印件（复印件加盖公章）；</w:t>
      </w:r>
    </w:p>
    <w:p>
      <w:pPr>
        <w:spacing w:line="300" w:lineRule="exact"/>
        <w:ind w:firstLine="420" w:firstLineChars="200"/>
        <w:rPr>
          <w:rFonts w:hint="eastAsia" w:ascii="宋体" w:hAnsi="宋体"/>
          <w:szCs w:val="21"/>
        </w:rPr>
      </w:pPr>
      <w:r>
        <w:rPr>
          <w:rFonts w:hint="eastAsia" w:ascii="宋体" w:hAnsi="宋体"/>
          <w:szCs w:val="21"/>
        </w:rPr>
        <w:t>（7）税务登记证副本复印件（复印件加盖公章）；</w:t>
      </w:r>
    </w:p>
    <w:p>
      <w:pPr>
        <w:snapToGrid w:val="0"/>
        <w:spacing w:line="360" w:lineRule="atLeast"/>
        <w:ind w:firstLine="420" w:firstLineChars="200"/>
        <w:rPr>
          <w:rStyle w:val="106"/>
          <w:rFonts w:hint="eastAsia" w:ascii="宋体" w:hAnsi="宋体" w:cs="宋体"/>
          <w:sz w:val="21"/>
          <w:szCs w:val="21"/>
        </w:rPr>
      </w:pPr>
      <w:r>
        <w:rPr>
          <w:rStyle w:val="106"/>
          <w:rFonts w:hint="eastAsia" w:ascii="宋体" w:hAnsi="宋体" w:cs="宋体"/>
          <w:sz w:val="21"/>
          <w:szCs w:val="21"/>
        </w:rPr>
        <w:t>（8）公路交通工程（公路机电工程）专业承包</w:t>
      </w:r>
      <w:r>
        <w:rPr>
          <w:rStyle w:val="106"/>
          <w:rFonts w:hint="eastAsia" w:ascii="宋体" w:hAnsi="宋体" w:cs="宋体"/>
          <w:sz w:val="21"/>
          <w:szCs w:val="21"/>
          <w:lang w:eastAsia="zh-CN"/>
        </w:rPr>
        <w:t>贰</w:t>
      </w:r>
      <w:r>
        <w:rPr>
          <w:rStyle w:val="106"/>
          <w:rFonts w:hint="eastAsia" w:ascii="宋体" w:hAnsi="宋体" w:cs="宋体"/>
          <w:sz w:val="21"/>
          <w:szCs w:val="21"/>
        </w:rPr>
        <w:t>级</w:t>
      </w:r>
      <w:r>
        <w:rPr>
          <w:rStyle w:val="106"/>
          <w:rFonts w:hint="eastAsia" w:ascii="宋体" w:hAnsi="宋体" w:cs="宋体"/>
          <w:sz w:val="21"/>
          <w:szCs w:val="21"/>
          <w:lang w:eastAsia="zh-CN"/>
        </w:rPr>
        <w:t>及以上</w:t>
      </w:r>
      <w:r>
        <w:rPr>
          <w:rStyle w:val="106"/>
          <w:rFonts w:hint="eastAsia" w:ascii="宋体" w:hAnsi="宋体" w:cs="宋体"/>
          <w:sz w:val="21"/>
          <w:szCs w:val="21"/>
        </w:rPr>
        <w:t>资质</w:t>
      </w:r>
      <w:r>
        <w:rPr>
          <w:rStyle w:val="106"/>
          <w:rFonts w:hint="eastAsia" w:ascii="宋体" w:hAnsi="宋体" w:cs="宋体"/>
          <w:sz w:val="21"/>
          <w:szCs w:val="21"/>
          <w:lang w:eastAsia="zh-CN"/>
        </w:rPr>
        <w:t>（复印件加盖公章）</w:t>
      </w:r>
      <w:r>
        <w:rPr>
          <w:rStyle w:val="106"/>
          <w:rFonts w:hint="eastAsia" w:ascii="宋体" w:hAnsi="宋体" w:cs="宋体"/>
          <w:sz w:val="21"/>
          <w:szCs w:val="21"/>
        </w:rPr>
        <w:t>；</w:t>
      </w:r>
    </w:p>
    <w:p>
      <w:pPr>
        <w:snapToGrid w:val="0"/>
        <w:spacing w:line="360" w:lineRule="atLeast"/>
        <w:ind w:firstLine="420" w:firstLineChars="200"/>
        <w:rPr>
          <w:rFonts w:hint="eastAsia" w:ascii="宋体" w:hAnsi="宋体"/>
          <w:szCs w:val="21"/>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电子与智能化工程专业承包</w:t>
      </w:r>
      <w:r>
        <w:rPr>
          <w:rStyle w:val="106"/>
          <w:rFonts w:hint="eastAsia" w:ascii="宋体" w:hAnsi="宋体" w:cs="宋体"/>
          <w:sz w:val="21"/>
          <w:szCs w:val="21"/>
          <w:lang w:eastAsia="zh-CN"/>
        </w:rPr>
        <w:t>壹级资质（复印件加盖公章）</w:t>
      </w:r>
      <w:r>
        <w:rPr>
          <w:rFonts w:hint="eastAsia" w:ascii="宋体" w:hAnsi="宋体" w:cs="宋体"/>
          <w:szCs w:val="21"/>
        </w:rPr>
        <w:t>；</w:t>
      </w:r>
    </w:p>
    <w:p>
      <w:pPr>
        <w:spacing w:line="300" w:lineRule="exact"/>
        <w:ind w:firstLine="422" w:firstLineChars="200"/>
        <w:rPr>
          <w:rFonts w:hint="eastAsia" w:ascii="宋体" w:hAnsi="宋体"/>
          <w:b/>
          <w:szCs w:val="21"/>
        </w:rPr>
      </w:pPr>
      <w:r>
        <w:rPr>
          <w:rFonts w:hint="eastAsia" w:ascii="宋体" w:hAnsi="宋体"/>
          <w:b/>
          <w:szCs w:val="21"/>
        </w:rPr>
        <w:t>B、商务文件：</w:t>
      </w:r>
    </w:p>
    <w:p>
      <w:pPr>
        <w:spacing w:line="300" w:lineRule="exact"/>
        <w:ind w:firstLine="420" w:firstLineChars="200"/>
        <w:rPr>
          <w:rFonts w:hint="eastAsia" w:ascii="宋体" w:hAnsi="宋体"/>
          <w:szCs w:val="21"/>
        </w:rPr>
      </w:pPr>
      <w:r>
        <w:rPr>
          <w:rFonts w:hint="eastAsia" w:ascii="宋体" w:hAnsi="宋体"/>
          <w:szCs w:val="21"/>
        </w:rPr>
        <w:t>（1）投标人情况介绍（主要产品、技术力量、经营业绩、财务状况等）；</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）类似成功案例的业绩证明（投标人同类项目实施情况一览表、合同复印件、用户验收报告）（格式见</w:t>
      </w:r>
      <w:r>
        <w:rPr>
          <w:rFonts w:hint="eastAsia" w:ascii="宋体" w:hAnsi="宋体"/>
          <w:b/>
          <w:szCs w:val="21"/>
        </w:rPr>
        <w:t>附件1-4</w:t>
      </w:r>
      <w:r>
        <w:rPr>
          <w:rFonts w:hint="eastAsia" w:ascii="宋体" w:hAnsi="宋体"/>
          <w:szCs w:val="21"/>
        </w:rPr>
        <w:t>）；</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）资信及商务响应表（格式见</w:t>
      </w:r>
      <w:r>
        <w:rPr>
          <w:rFonts w:hint="eastAsia" w:ascii="宋体" w:hAnsi="宋体"/>
          <w:b/>
          <w:szCs w:val="21"/>
        </w:rPr>
        <w:t>附件1-5</w:t>
      </w:r>
      <w:r>
        <w:rPr>
          <w:rFonts w:hint="eastAsia" w:ascii="宋体" w:hAnsi="宋体"/>
          <w:szCs w:val="21"/>
        </w:rPr>
        <w:t>）；</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）节能环保等的资质证书或文件（若有）；</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）投标方认为需要的其他文件资料；</w:t>
      </w:r>
    </w:p>
    <w:p>
      <w:pPr>
        <w:spacing w:line="300" w:lineRule="exact"/>
        <w:ind w:firstLine="420" w:firstLineChars="200"/>
        <w:rPr>
          <w:rFonts w:hint="eastAsia" w:ascii="宋体" w:hAnsi="宋体" w:cs="Arial"/>
          <w:szCs w:val="21"/>
        </w:rPr>
      </w:pPr>
      <w:r>
        <w:rPr>
          <w:rFonts w:hint="eastAsia" w:ascii="宋体" w:hAnsi="宋体" w:cs="Arial"/>
          <w:szCs w:val="21"/>
        </w:rPr>
        <w:t>（</w:t>
      </w:r>
      <w:r>
        <w:rPr>
          <w:rFonts w:hint="eastAsia" w:ascii="宋体" w:hAnsi="宋体" w:cs="Arial"/>
          <w:szCs w:val="21"/>
          <w:lang w:val="en-US" w:eastAsia="zh-CN"/>
        </w:rPr>
        <w:t>6</w:t>
      </w:r>
      <w:r>
        <w:rPr>
          <w:rFonts w:hint="eastAsia" w:ascii="宋体" w:hAnsi="宋体" w:cs="Arial"/>
          <w:szCs w:val="21"/>
        </w:rPr>
        <w:t>）</w:t>
      </w:r>
      <w:r>
        <w:rPr>
          <w:rFonts w:hint="eastAsia" w:ascii="宋体" w:hAnsi="宋体"/>
          <w:szCs w:val="21"/>
        </w:rPr>
        <w:t>同类项目成功案例的业绩（投标人同类项目实施情况一览表（格式见附件）、合同复印件并加盖公章）（如有，提供复印件）</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）企业荣誉（如有，提供复印件）</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）投标人认证证书（如有，提供复印件）</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）企业信用等级证书复印件（如有，开标时请携带原件，以备核实）</w:t>
      </w:r>
    </w:p>
    <w:p>
      <w:pPr>
        <w:spacing w:line="300" w:lineRule="exact"/>
        <w:ind w:firstLine="420" w:firstLineChars="200"/>
        <w:rPr>
          <w:rFonts w:hint="eastAsia" w:ascii="宋体" w:hAnsi="宋体"/>
          <w:b/>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）中小企业证明函（如有，提供复印件）格式见</w:t>
      </w:r>
      <w:r>
        <w:rPr>
          <w:rFonts w:hint="eastAsia" w:ascii="宋体" w:hAnsi="宋体"/>
          <w:b/>
          <w:szCs w:val="21"/>
        </w:rPr>
        <w:t>附件1-6</w:t>
      </w:r>
    </w:p>
    <w:p>
      <w:pPr>
        <w:spacing w:line="30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）投标企业资质等证明资料（如有，提供复印件）</w:t>
      </w:r>
    </w:p>
    <w:p>
      <w:pPr>
        <w:spacing w:line="30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）商务响应表（格式见附件）</w:t>
      </w:r>
    </w:p>
    <w:p>
      <w:pPr>
        <w:spacing w:line="300" w:lineRule="exact"/>
        <w:ind w:firstLine="420" w:firstLineChars="200"/>
        <w:contextualSpacing/>
        <w:rPr>
          <w:rFonts w:hint="eastAsia"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）采购公告中所要求的投标人的特定条件及需要说明的其他文件和说明</w:t>
      </w:r>
    </w:p>
    <w:p>
      <w:pPr>
        <w:spacing w:line="300" w:lineRule="exact"/>
        <w:ind w:firstLine="420" w:firstLineChars="200"/>
        <w:contextualSpacing/>
        <w:rPr>
          <w:rFonts w:hint="eastAsia" w:ascii="宋体" w:hAnsi="宋体"/>
          <w:szCs w:val="21"/>
        </w:rPr>
      </w:pPr>
      <w:r>
        <w:rPr>
          <w:rFonts w:hint="eastAsia" w:ascii="宋体" w:hAnsi="宋体"/>
          <w:szCs w:val="21"/>
        </w:rPr>
        <w:t>（</w:t>
      </w:r>
      <w:r>
        <w:rPr>
          <w:rFonts w:hint="eastAsia" w:ascii="宋体" w:hAnsi="宋体"/>
          <w:szCs w:val="21"/>
          <w:lang w:val="en-US" w:eastAsia="zh-CN"/>
        </w:rPr>
        <w:t>14</w:t>
      </w:r>
      <w:r>
        <w:rPr>
          <w:rFonts w:hint="eastAsia" w:ascii="宋体" w:hAnsi="宋体"/>
          <w:szCs w:val="21"/>
        </w:rPr>
        <w:t>）投标方认为需要的其他文件资料</w:t>
      </w:r>
    </w:p>
    <w:p>
      <w:pPr>
        <w:spacing w:line="300" w:lineRule="exact"/>
        <w:ind w:firstLine="422" w:firstLineChars="200"/>
        <w:rPr>
          <w:rFonts w:hint="eastAsia" w:ascii="宋体" w:hAnsi="宋体"/>
          <w:b/>
          <w:szCs w:val="21"/>
        </w:rPr>
      </w:pPr>
      <w:r>
        <w:rPr>
          <w:rFonts w:hint="eastAsia" w:ascii="宋体" w:hAnsi="宋体"/>
          <w:b/>
          <w:szCs w:val="21"/>
        </w:rPr>
        <w:t>2.技术文件：</w:t>
      </w:r>
    </w:p>
    <w:p>
      <w:pPr>
        <w:snapToGrid w:val="0"/>
        <w:spacing w:line="300" w:lineRule="exact"/>
        <w:ind w:firstLine="420" w:firstLineChars="200"/>
        <w:jc w:val="left"/>
        <w:rPr>
          <w:rFonts w:hint="eastAsia" w:ascii="宋体" w:hAnsi="宋体"/>
          <w:szCs w:val="21"/>
        </w:rPr>
      </w:pPr>
      <w:r>
        <w:rPr>
          <w:rFonts w:ascii="宋体" w:hAnsi="宋体"/>
          <w:szCs w:val="21"/>
        </w:rPr>
        <w:t>（1）对本项目总体要求的理解包括：功能说明、性能指标及设备选型说明；</w:t>
      </w:r>
    </w:p>
    <w:p>
      <w:pPr>
        <w:snapToGrid w:val="0"/>
        <w:spacing w:line="300" w:lineRule="exact"/>
        <w:ind w:firstLine="420" w:firstLineChars="200"/>
        <w:jc w:val="left"/>
        <w:rPr>
          <w:rFonts w:hint="eastAsia" w:ascii="宋体" w:hAnsi="宋体"/>
          <w:szCs w:val="21"/>
        </w:rPr>
      </w:pPr>
      <w:r>
        <w:rPr>
          <w:rFonts w:ascii="宋体" w:hAnsi="宋体"/>
          <w:szCs w:val="21"/>
        </w:rPr>
        <w:t>（2）投标产品的技术规格书及实物图片；</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3</w:t>
      </w:r>
      <w:r>
        <w:rPr>
          <w:rFonts w:ascii="宋体" w:hAnsi="宋体"/>
          <w:szCs w:val="21"/>
        </w:rPr>
        <w:t>）产品出厂标准、质量检测报告；</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4</w:t>
      </w:r>
      <w:r>
        <w:rPr>
          <w:rFonts w:ascii="宋体" w:hAnsi="宋体"/>
          <w:szCs w:val="21"/>
        </w:rPr>
        <w:t>）项目实施的详细组织工作方案（工作时间进度表、工作程序或步骤、管理和协调方法等）；</w:t>
      </w:r>
      <w:r>
        <w:rPr>
          <w:rFonts w:hint="eastAsia" w:ascii="宋体" w:hAnsi="宋体"/>
          <w:szCs w:val="21"/>
        </w:rPr>
        <w:t xml:space="preserve"> </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5</w:t>
      </w:r>
      <w:r>
        <w:rPr>
          <w:rFonts w:ascii="宋体" w:hAnsi="宋体"/>
          <w:szCs w:val="21"/>
        </w:rPr>
        <w:t>）设备配置清单</w:t>
      </w:r>
      <w:r>
        <w:rPr>
          <w:rFonts w:hint="eastAsia" w:ascii="宋体" w:hAnsi="宋体"/>
          <w:szCs w:val="21"/>
        </w:rPr>
        <w:t>(格式见</w:t>
      </w:r>
      <w:r>
        <w:rPr>
          <w:rFonts w:hint="eastAsia" w:ascii="宋体" w:hAnsi="宋体"/>
          <w:b/>
          <w:szCs w:val="21"/>
        </w:rPr>
        <w:t>附件2-1</w:t>
      </w:r>
      <w:r>
        <w:rPr>
          <w:rFonts w:hint="eastAsia" w:ascii="宋体" w:hAnsi="宋体"/>
          <w:szCs w:val="21"/>
        </w:rPr>
        <w:t>)</w:t>
      </w:r>
      <w:r>
        <w:rPr>
          <w:rFonts w:ascii="宋体" w:hAnsi="宋体"/>
          <w:szCs w:val="21"/>
        </w:rPr>
        <w:t>；</w:t>
      </w:r>
      <w:r>
        <w:rPr>
          <w:rFonts w:hint="eastAsia" w:ascii="宋体" w:hAnsi="宋体"/>
          <w:szCs w:val="21"/>
        </w:rPr>
        <w:t>（均不含报价）</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6</w:t>
      </w:r>
      <w:r>
        <w:rPr>
          <w:rFonts w:ascii="宋体" w:hAnsi="宋体"/>
          <w:szCs w:val="21"/>
        </w:rPr>
        <w:t>）技术响应表</w:t>
      </w:r>
      <w:r>
        <w:rPr>
          <w:rFonts w:hint="eastAsia" w:ascii="宋体" w:hAnsi="宋体"/>
          <w:szCs w:val="21"/>
        </w:rPr>
        <w:t>(格式见</w:t>
      </w:r>
      <w:r>
        <w:rPr>
          <w:rFonts w:hint="eastAsia" w:ascii="宋体" w:hAnsi="宋体"/>
          <w:b/>
          <w:szCs w:val="21"/>
        </w:rPr>
        <w:t>附件2-2</w:t>
      </w:r>
      <w:r>
        <w:rPr>
          <w:rFonts w:hint="eastAsia" w:ascii="宋体" w:hAnsi="宋体"/>
          <w:szCs w:val="21"/>
        </w:rPr>
        <w:t>)</w:t>
      </w:r>
      <w:r>
        <w:rPr>
          <w:rFonts w:ascii="宋体" w:hAnsi="宋体"/>
          <w:szCs w:val="21"/>
        </w:rPr>
        <w:t>；</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7</w:t>
      </w:r>
      <w:r>
        <w:rPr>
          <w:rFonts w:ascii="宋体" w:hAnsi="宋体"/>
          <w:szCs w:val="21"/>
        </w:rPr>
        <w:t>）保证工期的施工组织方案及人力资源安排；</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8</w:t>
      </w:r>
      <w:r>
        <w:rPr>
          <w:rFonts w:ascii="宋体" w:hAnsi="宋体"/>
          <w:szCs w:val="21"/>
        </w:rPr>
        <w:t>）项目实施人员一览表</w:t>
      </w:r>
      <w:r>
        <w:rPr>
          <w:rFonts w:hint="eastAsia" w:ascii="宋体" w:hAnsi="宋体"/>
          <w:szCs w:val="21"/>
        </w:rPr>
        <w:t>(格式见</w:t>
      </w:r>
      <w:r>
        <w:rPr>
          <w:rFonts w:hint="eastAsia" w:ascii="宋体" w:hAnsi="宋体"/>
          <w:b/>
          <w:szCs w:val="21"/>
        </w:rPr>
        <w:t>附件2-3</w:t>
      </w:r>
      <w:r>
        <w:rPr>
          <w:rFonts w:hint="eastAsia" w:ascii="宋体" w:hAnsi="宋体"/>
          <w:szCs w:val="21"/>
        </w:rPr>
        <w:t>)</w:t>
      </w:r>
      <w:r>
        <w:rPr>
          <w:rFonts w:ascii="宋体" w:hAnsi="宋体"/>
          <w:szCs w:val="21"/>
        </w:rPr>
        <w:t>；</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9</w:t>
      </w:r>
      <w:r>
        <w:rPr>
          <w:rFonts w:ascii="宋体" w:hAnsi="宋体"/>
          <w:szCs w:val="21"/>
        </w:rPr>
        <w:t>）技术服务、技术培训、售后服务的内容和措施；</w:t>
      </w:r>
    </w:p>
    <w:p>
      <w:pPr>
        <w:snapToGrid w:val="0"/>
        <w:spacing w:line="3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lang w:val="en-US" w:eastAsia="zh-CN"/>
        </w:rPr>
        <w:t>0</w:t>
      </w:r>
      <w:r>
        <w:rPr>
          <w:rFonts w:ascii="宋体" w:hAnsi="宋体"/>
          <w:szCs w:val="21"/>
        </w:rPr>
        <w:t>）投标人建议的安装、调试、验收方法或方案；</w:t>
      </w:r>
    </w:p>
    <w:p>
      <w:pPr>
        <w:snapToGrid w:val="0"/>
        <w:spacing w:line="3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lang w:val="en-US" w:eastAsia="zh-CN"/>
        </w:rPr>
        <w:t>1</w:t>
      </w:r>
      <w:r>
        <w:rPr>
          <w:rFonts w:ascii="宋体" w:hAnsi="宋体"/>
          <w:szCs w:val="21"/>
        </w:rPr>
        <w:t>）优惠条件：投标人承诺给予招标人的各种优惠条件，包括售后服务、备品备件、专用耗材等方面的优惠</w:t>
      </w:r>
      <w:r>
        <w:rPr>
          <w:rFonts w:hint="eastAsia" w:ascii="宋体" w:hAnsi="宋体"/>
          <w:szCs w:val="21"/>
        </w:rPr>
        <w:t>(格式见附件2-4)</w:t>
      </w:r>
      <w:r>
        <w:rPr>
          <w:rFonts w:ascii="宋体" w:hAnsi="宋体"/>
          <w:szCs w:val="21"/>
        </w:rPr>
        <w:t>；</w:t>
      </w:r>
    </w:p>
    <w:p>
      <w:pPr>
        <w:snapToGrid w:val="0"/>
        <w:spacing w:line="3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lang w:val="en-US" w:eastAsia="zh-CN"/>
        </w:rPr>
        <w:t>2</w:t>
      </w:r>
      <w:r>
        <w:rPr>
          <w:rFonts w:ascii="宋体" w:hAnsi="宋体"/>
          <w:szCs w:val="21"/>
        </w:rPr>
        <w:t>）投标人对本项目的合理化建议和改进措施</w:t>
      </w:r>
      <w:r>
        <w:rPr>
          <w:rFonts w:hint="eastAsia" w:ascii="宋体" w:hAnsi="宋体"/>
          <w:szCs w:val="21"/>
        </w:rPr>
        <w:t>（若有）</w:t>
      </w:r>
      <w:r>
        <w:rPr>
          <w:rFonts w:ascii="宋体" w:hAnsi="宋体"/>
          <w:szCs w:val="21"/>
        </w:rPr>
        <w:t>；</w:t>
      </w:r>
    </w:p>
    <w:p>
      <w:pPr>
        <w:snapToGrid w:val="0"/>
        <w:spacing w:line="300" w:lineRule="exact"/>
        <w:ind w:firstLine="420" w:firstLineChars="200"/>
        <w:jc w:val="left"/>
        <w:rPr>
          <w:rFonts w:ascii="宋体" w:hAnsi="宋体"/>
          <w:szCs w:val="21"/>
        </w:rPr>
      </w:pPr>
      <w:r>
        <w:rPr>
          <w:rFonts w:ascii="宋体" w:hAnsi="宋体"/>
          <w:szCs w:val="21"/>
        </w:rPr>
        <w:t>（1</w:t>
      </w:r>
      <w:r>
        <w:rPr>
          <w:rFonts w:hint="eastAsia" w:ascii="宋体" w:hAnsi="宋体"/>
          <w:szCs w:val="21"/>
          <w:lang w:val="en-US" w:eastAsia="zh-CN"/>
        </w:rPr>
        <w:t>3</w:t>
      </w:r>
      <w:r>
        <w:rPr>
          <w:rFonts w:ascii="宋体" w:hAnsi="宋体"/>
          <w:szCs w:val="21"/>
        </w:rPr>
        <w:t>）投标人需要说明的其他文件和说明（格式略）；</w:t>
      </w:r>
    </w:p>
    <w:p>
      <w:pPr>
        <w:snapToGrid w:val="0"/>
        <w:spacing w:line="300" w:lineRule="exact"/>
        <w:ind w:firstLine="420" w:firstLineChars="200"/>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14</w:t>
      </w:r>
      <w:r>
        <w:rPr>
          <w:rFonts w:hint="eastAsia" w:ascii="宋体" w:hAnsi="宋体"/>
          <w:szCs w:val="21"/>
          <w:lang w:eastAsia="zh-CN"/>
        </w:rPr>
        <w:t>）采购人出具的现场探勘证明</w:t>
      </w:r>
    </w:p>
    <w:p>
      <w:pPr>
        <w:spacing w:line="300" w:lineRule="exact"/>
        <w:ind w:firstLine="422" w:firstLineChars="200"/>
        <w:rPr>
          <w:rFonts w:hint="eastAsia" w:ascii="宋体" w:hAnsi="宋体"/>
          <w:b/>
          <w:szCs w:val="21"/>
        </w:rPr>
      </w:pPr>
      <w:r>
        <w:rPr>
          <w:rFonts w:hint="eastAsia" w:ascii="宋体" w:hAnsi="宋体"/>
          <w:b/>
          <w:szCs w:val="21"/>
        </w:rPr>
        <w:t>3.报价文件：</w:t>
      </w:r>
    </w:p>
    <w:p>
      <w:pPr>
        <w:spacing w:line="300" w:lineRule="exact"/>
        <w:ind w:firstLine="420" w:firstLineChars="200"/>
        <w:rPr>
          <w:rFonts w:hint="eastAsia" w:ascii="宋体" w:hAnsi="宋体"/>
          <w:szCs w:val="21"/>
        </w:rPr>
      </w:pPr>
      <w:r>
        <w:rPr>
          <w:rFonts w:hint="eastAsia" w:ascii="宋体" w:hAnsi="宋体"/>
          <w:szCs w:val="21"/>
        </w:rPr>
        <w:t>（1）开标一览表（格式见附件</w:t>
      </w:r>
      <w:r>
        <w:rPr>
          <w:rFonts w:hint="eastAsia" w:ascii="宋体" w:hAnsi="宋体"/>
          <w:b/>
          <w:szCs w:val="21"/>
        </w:rPr>
        <w:t>附件3-1</w:t>
      </w:r>
      <w:r>
        <w:rPr>
          <w:rFonts w:hint="eastAsia" w:ascii="宋体" w:hAnsi="宋体"/>
          <w:szCs w:val="21"/>
        </w:rPr>
        <w:t>）；</w:t>
      </w:r>
    </w:p>
    <w:p>
      <w:pPr>
        <w:spacing w:line="300" w:lineRule="exact"/>
        <w:ind w:firstLine="420" w:firstLineChars="200"/>
        <w:rPr>
          <w:rFonts w:hint="eastAsia" w:ascii="宋体" w:hAnsi="宋体"/>
          <w:szCs w:val="21"/>
        </w:rPr>
      </w:pPr>
      <w:r>
        <w:rPr>
          <w:rFonts w:hint="eastAsia" w:ascii="宋体" w:hAnsi="宋体"/>
          <w:szCs w:val="21"/>
        </w:rPr>
        <w:t>（2）投标报价明细表（格式见附件</w:t>
      </w:r>
      <w:r>
        <w:rPr>
          <w:rFonts w:hint="eastAsia" w:ascii="宋体" w:hAnsi="宋体"/>
          <w:b/>
          <w:szCs w:val="21"/>
        </w:rPr>
        <w:t>附件3-2</w:t>
      </w:r>
      <w:r>
        <w:rPr>
          <w:rFonts w:hint="eastAsia" w:ascii="宋体" w:hAnsi="宋体"/>
          <w:szCs w:val="21"/>
        </w:rPr>
        <w:t>）；</w:t>
      </w:r>
    </w:p>
    <w:p>
      <w:pPr>
        <w:spacing w:line="300" w:lineRule="exact"/>
        <w:ind w:firstLine="420" w:firstLineChars="200"/>
        <w:rPr>
          <w:rFonts w:hint="eastAsia" w:ascii="宋体" w:hAnsi="宋体"/>
          <w:szCs w:val="21"/>
        </w:rPr>
      </w:pPr>
      <w:r>
        <w:rPr>
          <w:rFonts w:hint="eastAsia" w:ascii="宋体" w:hAnsi="宋体"/>
          <w:szCs w:val="21"/>
        </w:rPr>
        <w:t>（3）投标人针对报价需要说明的其他文件和说明（格式自拟）。</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pPr>
        <w:numPr>
          <w:ilvl w:val="0"/>
          <w:numId w:val="7"/>
        </w:numPr>
        <w:spacing w:line="300" w:lineRule="exact"/>
        <w:ind w:firstLine="422" w:firstLineChars="200"/>
        <w:rPr>
          <w:rFonts w:hint="eastAsia" w:ascii="宋体" w:hAnsi="宋体"/>
          <w:b/>
          <w:szCs w:val="21"/>
        </w:rPr>
      </w:pPr>
      <w:r>
        <w:rPr>
          <w:rFonts w:hint="eastAsia" w:ascii="宋体" w:hAnsi="宋体"/>
          <w:b/>
          <w:szCs w:val="21"/>
        </w:rPr>
        <w:t>投标文件的语言及计量</w:t>
      </w:r>
    </w:p>
    <w:p>
      <w:pPr>
        <w:pStyle w:val="23"/>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▲1.投标文件以及投标人与招标方就有关投标事宜的所有来往函电，均应以中文汉语书写。除签名、盖章、专用名称等特殊情形外，以中文汉语以外的文字表述的投标文件视同未提供。</w:t>
      </w:r>
    </w:p>
    <w:p>
      <w:pPr>
        <w:pStyle w:val="23"/>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▲2.投标计量单位，招标文件已有明确规定的，使用招标文件规定的计量单位；招标文件没有规定的，应采用中华人民共和国法定计量单位（货币单位：人民币元），否则视同未响应。</w:t>
      </w:r>
    </w:p>
    <w:p>
      <w:pPr>
        <w:pStyle w:val="23"/>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（三）投标报价</w:t>
      </w:r>
    </w:p>
    <w:p>
      <w:pPr>
        <w:pStyle w:val="23"/>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1.投标文件只允许有一个报价，投标报价应按招标文件中相关附表格式填报；</w:t>
      </w:r>
    </w:p>
    <w:p>
      <w:pPr>
        <w:pStyle w:val="23"/>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▲2.投标报价是履行合同的最终价格，应包括货款、标准附件、备品备件、专用工具、包装、运输、装卸、保险、税金、货到就位以及安装、调试、培训、保修等一切税金和费用。</w:t>
      </w:r>
    </w:p>
    <w:p>
      <w:pPr>
        <w:pStyle w:val="23"/>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3.投标报价单位金额到元为止。</w:t>
      </w:r>
    </w:p>
    <w:p>
      <w:pPr>
        <w:spacing w:line="300" w:lineRule="exact"/>
        <w:ind w:firstLine="422" w:firstLineChars="200"/>
        <w:rPr>
          <w:rFonts w:hint="eastAsia" w:ascii="宋体" w:hAnsi="宋体"/>
          <w:szCs w:val="21"/>
        </w:rPr>
      </w:pPr>
      <w:r>
        <w:rPr>
          <w:rFonts w:hint="eastAsia" w:ascii="宋体" w:hAnsi="宋体"/>
          <w:b/>
          <w:szCs w:val="21"/>
        </w:rPr>
        <w:t>（四）投标文件的有效期</w:t>
      </w:r>
    </w:p>
    <w:p>
      <w:pPr>
        <w:spacing w:line="300" w:lineRule="exact"/>
        <w:ind w:firstLine="420" w:firstLineChars="200"/>
        <w:rPr>
          <w:rFonts w:hint="eastAsia" w:ascii="宋体" w:hAnsi="宋体"/>
          <w:szCs w:val="21"/>
        </w:rPr>
      </w:pPr>
      <w:r>
        <w:rPr>
          <w:rFonts w:hint="eastAsia" w:ascii="宋体" w:hAnsi="宋体"/>
          <w:szCs w:val="21"/>
        </w:rPr>
        <w:t>1.自投标截止日起 90天投标文件应保持有效。有效期不足的投标文件将被拒绝。</w:t>
      </w:r>
    </w:p>
    <w:p>
      <w:pPr>
        <w:spacing w:line="300" w:lineRule="exact"/>
        <w:ind w:firstLine="420" w:firstLineChars="200"/>
        <w:rPr>
          <w:rFonts w:hint="eastAsia" w:ascii="宋体" w:hAnsi="宋体"/>
          <w:szCs w:val="21"/>
        </w:rPr>
      </w:pPr>
      <w:r>
        <w:rPr>
          <w:rFonts w:hint="eastAsia" w:ascii="宋体" w:hAnsi="宋体"/>
          <w:szCs w:val="21"/>
        </w:rPr>
        <w:t>2.中标人的投标文件自开标之日起至合同履行完毕止均应保持有效。</w:t>
      </w:r>
    </w:p>
    <w:p>
      <w:pPr>
        <w:spacing w:line="300" w:lineRule="exact"/>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eastAsia="zh-CN"/>
        </w:rPr>
        <w:t>五</w:t>
      </w:r>
      <w:r>
        <w:rPr>
          <w:rFonts w:hint="eastAsia" w:ascii="宋体" w:hAnsi="宋体"/>
          <w:b/>
          <w:bCs/>
          <w:szCs w:val="21"/>
        </w:rPr>
        <w:t>）投标文件的签署和份数</w:t>
      </w:r>
    </w:p>
    <w:p>
      <w:pPr>
        <w:spacing w:line="300" w:lineRule="exact"/>
        <w:ind w:firstLine="420" w:firstLineChars="200"/>
        <w:rPr>
          <w:rFonts w:hint="eastAsia" w:ascii="宋体" w:hAnsi="宋体"/>
          <w:szCs w:val="21"/>
        </w:rPr>
      </w:pPr>
      <w:r>
        <w:rPr>
          <w:rFonts w:hint="eastAsia" w:ascii="宋体" w:hAnsi="宋体"/>
          <w:szCs w:val="21"/>
        </w:rPr>
        <w:t>1.投标人应按本招标文件规定的格式和顺序编制、装订投标文件并标注页码，投标文件内容不完整、编排混乱导致投标文件被误读、漏读或者查找不到相关内容的，是投标人的责任。</w:t>
      </w:r>
    </w:p>
    <w:p>
      <w:pPr>
        <w:spacing w:line="300" w:lineRule="exact"/>
        <w:ind w:firstLine="420" w:firstLineChars="200"/>
        <w:rPr>
          <w:rFonts w:hint="eastAsia" w:ascii="宋体" w:hAnsi="宋体"/>
          <w:b/>
          <w:szCs w:val="21"/>
        </w:rPr>
      </w:pPr>
      <w:r>
        <w:rPr>
          <w:rFonts w:hint="eastAsia" w:ascii="宋体" w:hAnsi="宋体"/>
          <w:szCs w:val="21"/>
        </w:rPr>
        <w:t>2.投标人应按资信及商务文件</w:t>
      </w:r>
      <w:r>
        <w:rPr>
          <w:rFonts w:hint="eastAsia" w:ascii="宋体" w:hAnsi="宋体"/>
          <w:b/>
          <w:szCs w:val="21"/>
        </w:rPr>
        <w:t>正本一份、副本六份</w:t>
      </w:r>
      <w:r>
        <w:rPr>
          <w:rFonts w:hint="eastAsia" w:ascii="宋体" w:hAnsi="宋体"/>
          <w:szCs w:val="21"/>
        </w:rPr>
        <w:t>；技术文件</w:t>
      </w:r>
      <w:r>
        <w:rPr>
          <w:rFonts w:hint="eastAsia" w:ascii="宋体" w:hAnsi="宋体"/>
          <w:b/>
          <w:szCs w:val="21"/>
        </w:rPr>
        <w:t>正本一份、副本六份；投标报价文件正本一份、副本一份</w:t>
      </w:r>
      <w:r>
        <w:rPr>
          <w:rFonts w:hint="eastAsia" w:ascii="宋体" w:hAnsi="宋体"/>
          <w:szCs w:val="21"/>
        </w:rPr>
        <w:t>规定的份数分别编制并单独装订成册，投标文件的封面应注明“正本”、“副本”字样。</w:t>
      </w:r>
      <w:r>
        <w:rPr>
          <w:rFonts w:hint="eastAsia" w:ascii="宋体" w:hAnsi="宋体"/>
          <w:b/>
          <w:szCs w:val="21"/>
        </w:rPr>
        <w:t>活页装订的投标文件将被拒绝。</w:t>
      </w:r>
    </w:p>
    <w:p>
      <w:pPr>
        <w:spacing w:line="300" w:lineRule="exact"/>
        <w:ind w:firstLine="420" w:firstLineChars="200"/>
        <w:rPr>
          <w:rFonts w:hint="eastAsia" w:ascii="宋体" w:hAnsi="宋体"/>
          <w:szCs w:val="21"/>
        </w:rPr>
      </w:pPr>
      <w:r>
        <w:rPr>
          <w:rFonts w:hint="eastAsia" w:ascii="宋体" w:hAnsi="宋体"/>
          <w:szCs w:val="21"/>
        </w:rPr>
        <w:t>3.投标文件的正本需打印或用不褪色的墨水填写，投标文件正本除《投标人须知》中规定的可提供复印件外均须提供原件。副本为正本的复印件。</w:t>
      </w:r>
    </w:p>
    <w:p>
      <w:pPr>
        <w:spacing w:line="300" w:lineRule="exact"/>
        <w:ind w:firstLine="420" w:firstLineChars="200"/>
        <w:rPr>
          <w:rFonts w:hint="eastAsia" w:ascii="宋体" w:hAnsi="宋体"/>
          <w:szCs w:val="21"/>
        </w:rPr>
      </w:pPr>
      <w:r>
        <w:rPr>
          <w:rFonts w:hint="eastAsia" w:ascii="宋体" w:hAnsi="宋体"/>
          <w:szCs w:val="21"/>
        </w:rPr>
        <w:t>4.投标文件须由投标人在规定位置盖章并由法定代表人或法定代表人的授权委托人签署，投标人应写全称。</w:t>
      </w:r>
    </w:p>
    <w:p>
      <w:pPr>
        <w:spacing w:line="300" w:lineRule="exact"/>
        <w:ind w:firstLine="420" w:firstLineChars="200"/>
        <w:rPr>
          <w:rFonts w:hint="eastAsia" w:ascii="宋体" w:hAnsi="宋体"/>
          <w:szCs w:val="21"/>
        </w:rPr>
      </w:pPr>
      <w:r>
        <w:rPr>
          <w:rFonts w:hint="eastAsia" w:ascii="宋体" w:hAnsi="宋体"/>
          <w:szCs w:val="21"/>
        </w:rPr>
        <w:t>5.投标文件不得涂改，若有修改错漏处，须加盖单位公章或者法定代表人或授权委托人签字或盖章。投标文件因字迹潦草或表达不清所引起的后果由投标人负责。</w:t>
      </w:r>
    </w:p>
    <w:p>
      <w:pPr>
        <w:spacing w:line="300" w:lineRule="exact"/>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eastAsia="zh-CN"/>
        </w:rPr>
        <w:t>六</w:t>
      </w:r>
      <w:r>
        <w:rPr>
          <w:rFonts w:hint="eastAsia" w:ascii="宋体" w:hAnsi="宋体"/>
          <w:b/>
          <w:bCs/>
          <w:szCs w:val="21"/>
        </w:rPr>
        <w:t>）投标文件的包装</w:t>
      </w:r>
    </w:p>
    <w:p>
      <w:pPr>
        <w:spacing w:line="300" w:lineRule="exact"/>
        <w:ind w:firstLine="420" w:firstLineChars="200"/>
        <w:rPr>
          <w:rFonts w:hint="eastAsia" w:ascii="宋体" w:hAnsi="宋体"/>
          <w:szCs w:val="21"/>
        </w:rPr>
      </w:pPr>
      <w:r>
        <w:rPr>
          <w:rFonts w:hint="eastAsia" w:ascii="宋体" w:hAnsi="宋体"/>
          <w:szCs w:val="21"/>
        </w:rPr>
        <w:t>投标人应按资信及商务文件、技术文件、投标报价文件三部分</w:t>
      </w:r>
      <w:r>
        <w:rPr>
          <w:rFonts w:hint="eastAsia" w:ascii="宋体" w:hAnsi="宋体"/>
          <w:b/>
          <w:szCs w:val="21"/>
        </w:rPr>
        <w:t>分别各单独密封封装(资信及商务文件、技术文件可以由投标人根据实际情况决定是否合并装订)</w:t>
      </w:r>
      <w:r>
        <w:rPr>
          <w:rFonts w:hint="eastAsia" w:ascii="宋体" w:hAnsi="宋体"/>
          <w:szCs w:val="21"/>
        </w:rPr>
        <w:t>，投标文件的包装封面上应注明投标人名称、投标人地址、投标文件名称（资信/商务文件、技术文件、报价文件）、投标项目名称、项目编号、标项及“开标时启封”字样，并加盖投标人公章。</w:t>
      </w:r>
    </w:p>
    <w:p>
      <w:pPr>
        <w:spacing w:line="300" w:lineRule="exact"/>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eastAsia="zh-CN"/>
        </w:rPr>
        <w:t>七</w:t>
      </w:r>
      <w:r>
        <w:rPr>
          <w:rFonts w:hint="eastAsia" w:ascii="宋体" w:hAnsi="宋体"/>
          <w:b/>
          <w:bCs/>
          <w:szCs w:val="21"/>
        </w:rPr>
        <w:t>）投标无效的情形</w:t>
      </w:r>
    </w:p>
    <w:p>
      <w:pPr>
        <w:spacing w:line="300" w:lineRule="exact"/>
        <w:ind w:firstLine="422" w:firstLineChars="200"/>
        <w:rPr>
          <w:rFonts w:hint="eastAsia" w:ascii="宋体" w:hAnsi="宋体"/>
          <w:b/>
          <w:bCs/>
          <w:szCs w:val="21"/>
        </w:rPr>
      </w:pPr>
      <w:r>
        <w:rPr>
          <w:rFonts w:hint="eastAsia" w:ascii="宋体" w:hAnsi="宋体"/>
          <w:b/>
          <w:bCs/>
          <w:szCs w:val="21"/>
        </w:rPr>
        <w:t>实质上没有响应招标文件要求的投标将被视为无效投标。在</w:t>
      </w:r>
      <w:r>
        <w:rPr>
          <w:rFonts w:hint="eastAsia" w:ascii="宋体" w:hAnsi="宋体"/>
          <w:b/>
          <w:bCs/>
          <w:color w:val="00B0F0"/>
          <w:szCs w:val="21"/>
        </w:rPr>
        <w:t>开标</w:t>
      </w:r>
      <w:r>
        <w:rPr>
          <w:rFonts w:hint="eastAsia" w:ascii="宋体" w:hAnsi="宋体"/>
          <w:b/>
          <w:bCs/>
          <w:szCs w:val="21"/>
        </w:rPr>
        <w:t>时，如发现下列情形之一的，投标文件将被视为无效：</w:t>
      </w:r>
    </w:p>
    <w:p>
      <w:pPr>
        <w:spacing w:line="300" w:lineRule="exact"/>
        <w:ind w:firstLine="420" w:firstLineChars="200"/>
        <w:rPr>
          <w:rFonts w:hint="eastAsia" w:ascii="宋体" w:hAnsi="宋体"/>
          <w:szCs w:val="21"/>
        </w:rPr>
      </w:pPr>
      <w:r>
        <w:rPr>
          <w:rFonts w:hint="eastAsia" w:ascii="宋体" w:hAnsi="宋体"/>
          <w:szCs w:val="21"/>
        </w:rPr>
        <w:t>1、投标文件逾期送达或未按规定的地点送达的</w:t>
      </w:r>
    </w:p>
    <w:p>
      <w:pPr>
        <w:spacing w:line="300" w:lineRule="exact"/>
        <w:ind w:firstLine="420" w:firstLineChars="200"/>
        <w:rPr>
          <w:rFonts w:hint="eastAsia" w:ascii="宋体" w:hAnsi="宋体"/>
          <w:szCs w:val="21"/>
        </w:rPr>
      </w:pPr>
      <w:r>
        <w:rPr>
          <w:rFonts w:hint="eastAsia" w:ascii="宋体" w:hAnsi="宋体"/>
          <w:szCs w:val="21"/>
        </w:rPr>
        <w:t>2、未按照招标文件规定的要求装订、密封、签署、盖章的；</w:t>
      </w:r>
    </w:p>
    <w:p>
      <w:pPr>
        <w:spacing w:line="300" w:lineRule="exact"/>
        <w:ind w:firstLine="420" w:firstLineChars="200"/>
        <w:rPr>
          <w:rFonts w:hint="eastAsia" w:ascii="宋体" w:hAnsi="宋体"/>
          <w:szCs w:val="21"/>
        </w:rPr>
      </w:pPr>
      <w:r>
        <w:rPr>
          <w:rFonts w:hint="eastAsia" w:ascii="宋体" w:hAnsi="宋体"/>
          <w:szCs w:val="21"/>
        </w:rPr>
        <w:t>3、由于包装不妥，在送交途中严重破损或失散的投标文件；</w:t>
      </w:r>
    </w:p>
    <w:p>
      <w:pPr>
        <w:spacing w:line="300" w:lineRule="exact"/>
        <w:ind w:firstLine="420" w:firstLineChars="200"/>
        <w:rPr>
          <w:rFonts w:hint="eastAsia" w:ascii="宋体" w:hAnsi="宋体"/>
          <w:szCs w:val="21"/>
        </w:rPr>
      </w:pPr>
      <w:r>
        <w:rPr>
          <w:rFonts w:hint="eastAsia" w:ascii="宋体" w:hAnsi="宋体"/>
          <w:szCs w:val="21"/>
        </w:rPr>
        <w:t>4、仅以非纸制文本形式的投标文件；</w:t>
      </w:r>
    </w:p>
    <w:p>
      <w:pPr>
        <w:spacing w:line="300" w:lineRule="exact"/>
        <w:ind w:firstLine="420" w:firstLineChars="200"/>
        <w:rPr>
          <w:rFonts w:hint="eastAsia" w:ascii="宋体" w:hAnsi="宋体"/>
          <w:szCs w:val="21"/>
        </w:rPr>
      </w:pPr>
      <w:r>
        <w:rPr>
          <w:rFonts w:hint="eastAsia" w:ascii="宋体" w:hAnsi="宋体"/>
          <w:szCs w:val="21"/>
        </w:rPr>
        <w:t>5、投标人未能提供合格的资格文件；</w:t>
      </w:r>
    </w:p>
    <w:p>
      <w:pPr>
        <w:spacing w:line="300" w:lineRule="exact"/>
        <w:ind w:firstLine="420" w:firstLineChars="200"/>
        <w:rPr>
          <w:rFonts w:hint="eastAsia" w:ascii="宋体" w:hAnsi="宋体"/>
          <w:szCs w:val="21"/>
        </w:rPr>
      </w:pPr>
      <w:r>
        <w:rPr>
          <w:rFonts w:hint="eastAsia" w:ascii="宋体" w:hAnsi="宋体"/>
          <w:szCs w:val="21"/>
        </w:rPr>
        <w:t>6、不具备招标文件中规定的资格条件的；</w:t>
      </w:r>
    </w:p>
    <w:p>
      <w:pPr>
        <w:spacing w:line="300" w:lineRule="exact"/>
        <w:ind w:firstLine="420" w:firstLineChars="200"/>
        <w:rPr>
          <w:rFonts w:hint="eastAsia" w:ascii="宋体" w:hAnsi="宋体"/>
          <w:szCs w:val="21"/>
        </w:rPr>
      </w:pPr>
      <w:r>
        <w:rPr>
          <w:rFonts w:hint="eastAsia" w:ascii="宋体" w:hAnsi="宋体"/>
          <w:szCs w:val="21"/>
        </w:rPr>
        <w:t>7、投标人的法定代表人或其授权代理人未能当场出具有效身份证明的；</w:t>
      </w:r>
    </w:p>
    <w:p>
      <w:pPr>
        <w:spacing w:line="300" w:lineRule="exact"/>
        <w:ind w:firstLine="422" w:firstLineChars="200"/>
        <w:rPr>
          <w:rFonts w:hint="eastAsia" w:ascii="宋体" w:hAnsi="宋体"/>
          <w:b/>
          <w:bCs/>
          <w:szCs w:val="21"/>
        </w:rPr>
      </w:pPr>
      <w:r>
        <w:rPr>
          <w:rFonts w:hint="eastAsia" w:ascii="宋体" w:hAnsi="宋体"/>
          <w:b/>
          <w:bCs/>
          <w:szCs w:val="21"/>
        </w:rPr>
        <w:t>实质上没有响应招标文件要求的投标将被视为无效投标。在</w:t>
      </w:r>
      <w:r>
        <w:rPr>
          <w:rFonts w:hint="eastAsia" w:ascii="宋体" w:hAnsi="宋体"/>
          <w:b/>
          <w:bCs/>
          <w:color w:val="00B0F0"/>
          <w:szCs w:val="21"/>
        </w:rPr>
        <w:t>评审</w:t>
      </w:r>
      <w:r>
        <w:rPr>
          <w:rFonts w:hint="eastAsia" w:ascii="宋体" w:hAnsi="宋体"/>
          <w:b/>
          <w:bCs/>
          <w:szCs w:val="21"/>
        </w:rPr>
        <w:t>时，如发现下列情形之一的，投标文件将被视为无效：</w:t>
      </w:r>
    </w:p>
    <w:p>
      <w:pPr>
        <w:spacing w:line="300" w:lineRule="exact"/>
        <w:ind w:firstLine="420" w:firstLineChars="200"/>
        <w:rPr>
          <w:rFonts w:hint="eastAsia" w:ascii="宋体" w:hAnsi="宋体"/>
          <w:szCs w:val="21"/>
        </w:rPr>
      </w:pPr>
      <w:r>
        <w:rPr>
          <w:rFonts w:hint="eastAsia" w:ascii="宋体" w:hAnsi="宋体"/>
          <w:szCs w:val="21"/>
        </w:rPr>
        <w:t>1、投标人提交两份或两份以上内容不同的投标文件，或在一份投标文件中对同一采购项目有两个或两个以上报价的；</w:t>
      </w:r>
    </w:p>
    <w:p>
      <w:pPr>
        <w:spacing w:line="300" w:lineRule="exact"/>
        <w:ind w:firstLine="420" w:firstLineChars="200"/>
        <w:rPr>
          <w:rFonts w:hint="eastAsia" w:ascii="宋体" w:hAnsi="宋体"/>
          <w:szCs w:val="21"/>
        </w:rPr>
      </w:pPr>
      <w:r>
        <w:rPr>
          <w:rFonts w:hint="eastAsia" w:ascii="宋体" w:hAnsi="宋体"/>
          <w:szCs w:val="21"/>
        </w:rPr>
        <w:t>2、投标报价超出预算；</w:t>
      </w:r>
    </w:p>
    <w:p>
      <w:pPr>
        <w:spacing w:line="300" w:lineRule="exact"/>
        <w:ind w:firstLine="420" w:firstLineChars="200"/>
        <w:rPr>
          <w:rFonts w:hint="eastAsia" w:ascii="宋体" w:hAnsi="宋体"/>
          <w:szCs w:val="21"/>
        </w:rPr>
      </w:pPr>
      <w:r>
        <w:rPr>
          <w:rFonts w:hint="eastAsia" w:ascii="宋体" w:hAnsi="宋体"/>
          <w:szCs w:val="21"/>
        </w:rPr>
        <w:t>3、投标文件载明的投标有效期、交货时间、质量保证期等商务条款不能满足招标文件规定要求的；</w:t>
      </w:r>
    </w:p>
    <w:p>
      <w:pPr>
        <w:spacing w:line="300" w:lineRule="exact"/>
        <w:ind w:firstLine="420" w:firstLineChars="200"/>
        <w:rPr>
          <w:rFonts w:hint="eastAsia" w:ascii="宋体" w:hAnsi="宋体"/>
          <w:szCs w:val="21"/>
        </w:rPr>
      </w:pPr>
      <w:r>
        <w:rPr>
          <w:rFonts w:hint="eastAsia" w:ascii="宋体" w:hAnsi="宋体"/>
          <w:szCs w:val="21"/>
        </w:rPr>
        <w:t>4、投标文件未响应招标文件规定的付款方式的；</w:t>
      </w:r>
    </w:p>
    <w:p>
      <w:pPr>
        <w:spacing w:line="300" w:lineRule="exact"/>
        <w:ind w:firstLine="420" w:firstLineChars="200"/>
        <w:rPr>
          <w:rFonts w:hint="eastAsia" w:ascii="宋体" w:hAnsi="宋体"/>
          <w:szCs w:val="21"/>
        </w:rPr>
      </w:pPr>
      <w:r>
        <w:rPr>
          <w:rFonts w:hint="eastAsia" w:ascii="宋体" w:hAnsi="宋体"/>
          <w:szCs w:val="21"/>
        </w:rPr>
        <w:t>5、投标文件字迹模糊辨认不清的（评标委员会一致认为难以确认）；</w:t>
      </w:r>
    </w:p>
    <w:p>
      <w:pPr>
        <w:spacing w:line="300" w:lineRule="exact"/>
        <w:ind w:firstLine="420" w:firstLineChars="200"/>
        <w:rPr>
          <w:rFonts w:hint="eastAsia" w:ascii="宋体" w:hAnsi="宋体"/>
          <w:szCs w:val="21"/>
        </w:rPr>
      </w:pPr>
      <w:r>
        <w:rPr>
          <w:rFonts w:hint="eastAsia" w:ascii="宋体" w:hAnsi="宋体"/>
          <w:szCs w:val="21"/>
        </w:rPr>
        <w:t>6、提供不真实资料的；</w:t>
      </w:r>
    </w:p>
    <w:p>
      <w:pPr>
        <w:spacing w:line="300" w:lineRule="exact"/>
        <w:ind w:firstLine="420" w:firstLineChars="200"/>
        <w:rPr>
          <w:rFonts w:hint="eastAsia" w:ascii="宋体" w:hAnsi="宋体"/>
          <w:szCs w:val="21"/>
        </w:rPr>
      </w:pPr>
      <w:r>
        <w:rPr>
          <w:rFonts w:hint="eastAsia" w:ascii="宋体" w:hAnsi="宋体"/>
          <w:szCs w:val="21"/>
        </w:rPr>
        <w:t>7、不符合法律、法规和招标文件规定的其他实质性要求（评标委员会一致认定）的；</w:t>
      </w:r>
    </w:p>
    <w:p>
      <w:pPr>
        <w:spacing w:line="300" w:lineRule="exact"/>
        <w:ind w:firstLine="420" w:firstLineChars="200"/>
        <w:rPr>
          <w:rFonts w:hint="eastAsia" w:ascii="宋体" w:hAnsi="宋体"/>
          <w:szCs w:val="21"/>
        </w:rPr>
      </w:pPr>
      <w:r>
        <w:rPr>
          <w:rFonts w:hint="eastAsia" w:ascii="宋体" w:hAnsi="宋体"/>
          <w:szCs w:val="21"/>
        </w:rPr>
        <w:t>8、投标货物的技术指标、参数等与招标文件中标“▲”的技术指标、参数等发生实质性偏离（评标委员会一致认定）的；</w:t>
      </w:r>
    </w:p>
    <w:p>
      <w:pPr>
        <w:spacing w:line="300" w:lineRule="exact"/>
        <w:ind w:firstLine="420" w:firstLineChars="200"/>
        <w:rPr>
          <w:rFonts w:hint="eastAsia" w:ascii="宋体" w:hAnsi="宋体"/>
          <w:szCs w:val="21"/>
        </w:rPr>
      </w:pPr>
      <w:r>
        <w:rPr>
          <w:rFonts w:hint="eastAsia" w:ascii="宋体" w:hAnsi="宋体"/>
          <w:szCs w:val="21"/>
        </w:rPr>
        <w:t>9、二分之一以上的评委认为供应商报价明显高于市场平均价的；</w:t>
      </w:r>
    </w:p>
    <w:p>
      <w:pPr>
        <w:spacing w:line="300" w:lineRule="exact"/>
        <w:ind w:firstLine="420" w:firstLineChars="200"/>
        <w:rPr>
          <w:rFonts w:hint="eastAsia" w:ascii="宋体" w:hAnsi="宋体"/>
          <w:szCs w:val="21"/>
        </w:rPr>
      </w:pPr>
      <w:r>
        <w:rPr>
          <w:rFonts w:hint="eastAsia" w:ascii="宋体" w:hAnsi="宋体"/>
          <w:szCs w:val="21"/>
        </w:rPr>
        <w:t>10、法律、法规、规章及省级以上国家机关等规定的其他情形。</w:t>
      </w:r>
    </w:p>
    <w:p>
      <w:pPr>
        <w:spacing w:line="300" w:lineRule="exact"/>
        <w:ind w:firstLine="420" w:firstLineChars="200"/>
        <w:rPr>
          <w:rFonts w:hint="eastAsia" w:ascii="宋体" w:hAnsi="宋体"/>
          <w:szCs w:val="21"/>
        </w:rPr>
      </w:pPr>
      <w:r>
        <w:rPr>
          <w:rFonts w:hint="eastAsia" w:ascii="宋体" w:hAnsi="宋体"/>
          <w:szCs w:val="21"/>
        </w:rPr>
        <w:t>11、资信及商务文件和技术文件中出现投标价格信息的、不符合报价文件规定要求的；</w:t>
      </w:r>
    </w:p>
    <w:p>
      <w:pPr>
        <w:spacing w:line="30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、被拒绝的投标文件；</w:t>
      </w:r>
    </w:p>
    <w:p>
      <w:pPr>
        <w:spacing w:line="30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spacing w:line="300" w:lineRule="exact"/>
        <w:ind w:firstLine="422" w:firstLineChars="200"/>
        <w:rPr>
          <w:rFonts w:hint="eastAsia" w:ascii="宋体" w:hAnsi="宋体"/>
          <w:b/>
          <w:bCs/>
          <w:szCs w:val="21"/>
        </w:rPr>
      </w:pPr>
      <w:r>
        <w:rPr>
          <w:rFonts w:hint="eastAsia" w:ascii="宋体" w:hAnsi="宋体"/>
          <w:b/>
          <w:bCs/>
          <w:szCs w:val="21"/>
        </w:rPr>
        <w:t>（九）出现下列情形之一的，应予废标：</w:t>
      </w:r>
    </w:p>
    <w:p>
      <w:pPr>
        <w:spacing w:line="300" w:lineRule="exact"/>
        <w:ind w:firstLine="420" w:firstLineChars="200"/>
        <w:rPr>
          <w:rFonts w:hint="eastAsia" w:ascii="宋体" w:hAnsi="宋体"/>
          <w:bCs/>
          <w:szCs w:val="21"/>
        </w:rPr>
      </w:pPr>
      <w:r>
        <w:rPr>
          <w:rFonts w:hint="eastAsia" w:ascii="宋体" w:hAnsi="宋体"/>
          <w:bCs/>
          <w:szCs w:val="21"/>
        </w:rPr>
        <w:t>1、符合专业条件的供应商或者对招标文件作实质性响应的供应商不足三家的；</w:t>
      </w:r>
    </w:p>
    <w:p>
      <w:pPr>
        <w:spacing w:line="300" w:lineRule="exact"/>
        <w:ind w:firstLine="420" w:firstLineChars="200"/>
        <w:rPr>
          <w:rFonts w:hint="eastAsia" w:ascii="宋体" w:hAnsi="宋体"/>
          <w:bCs/>
          <w:szCs w:val="21"/>
        </w:rPr>
      </w:pPr>
      <w:r>
        <w:rPr>
          <w:rFonts w:hint="eastAsia" w:ascii="宋体" w:hAnsi="宋体"/>
          <w:bCs/>
          <w:szCs w:val="21"/>
        </w:rPr>
        <w:t>2、出现影响采购公正的违法、违规行为的；</w:t>
      </w:r>
    </w:p>
    <w:p>
      <w:pPr>
        <w:spacing w:line="300" w:lineRule="exact"/>
        <w:ind w:firstLine="420" w:firstLineChars="200"/>
        <w:rPr>
          <w:rFonts w:hint="eastAsia" w:ascii="宋体" w:hAnsi="宋体"/>
          <w:bCs/>
          <w:szCs w:val="21"/>
        </w:rPr>
      </w:pPr>
      <w:r>
        <w:rPr>
          <w:rFonts w:hint="eastAsia" w:ascii="宋体" w:hAnsi="宋体"/>
          <w:bCs/>
          <w:szCs w:val="21"/>
        </w:rPr>
        <w:t>3、投标人的报价均超过了采购预算，采购人不能支付的；</w:t>
      </w:r>
    </w:p>
    <w:p>
      <w:pPr>
        <w:spacing w:line="300" w:lineRule="exact"/>
        <w:ind w:firstLine="420" w:firstLineChars="200"/>
        <w:rPr>
          <w:rFonts w:hint="eastAsia" w:ascii="宋体" w:hAnsi="宋体"/>
          <w:bCs/>
          <w:szCs w:val="21"/>
        </w:rPr>
      </w:pPr>
      <w:r>
        <w:rPr>
          <w:rFonts w:hint="eastAsia" w:ascii="宋体" w:hAnsi="宋体"/>
          <w:bCs/>
          <w:szCs w:val="21"/>
        </w:rPr>
        <w:t>4、</w:t>
      </w:r>
      <w:r>
        <w:rPr>
          <w:rFonts w:ascii="宋体" w:hAnsi="宋体"/>
          <w:bCs/>
          <w:szCs w:val="21"/>
        </w:rPr>
        <w:t>评标委员会发现招标文件存在歧义、重大缺陷导致评标工作无法进行，或者招标文件内容违反国家有关强制性规定的</w:t>
      </w:r>
      <w:r>
        <w:rPr>
          <w:rFonts w:hint="eastAsia" w:ascii="宋体" w:hAnsi="宋体"/>
          <w:bCs/>
          <w:szCs w:val="21"/>
        </w:rPr>
        <w:t>；</w:t>
      </w:r>
    </w:p>
    <w:p>
      <w:pPr>
        <w:spacing w:line="300" w:lineRule="exact"/>
        <w:ind w:firstLine="420" w:firstLineChars="200"/>
        <w:rPr>
          <w:rFonts w:hint="eastAsia" w:ascii="宋体" w:hAnsi="宋体"/>
          <w:szCs w:val="21"/>
        </w:rPr>
      </w:pPr>
      <w:r>
        <w:rPr>
          <w:rFonts w:hint="eastAsia" w:ascii="宋体" w:hAnsi="宋体"/>
          <w:bCs/>
          <w:szCs w:val="21"/>
        </w:rPr>
        <w:t>5、因重大变故，采购任务取消的。</w:t>
      </w:r>
    </w:p>
    <w:p>
      <w:pPr>
        <w:spacing w:line="300" w:lineRule="exact"/>
        <w:ind w:firstLine="422" w:firstLineChars="200"/>
        <w:rPr>
          <w:rFonts w:hint="eastAsia" w:ascii="宋体" w:hAnsi="宋体"/>
          <w:b/>
          <w:bCs/>
          <w:szCs w:val="21"/>
        </w:rPr>
      </w:pPr>
      <w:r>
        <w:rPr>
          <w:rFonts w:hint="eastAsia" w:ascii="宋体" w:hAnsi="宋体"/>
          <w:b/>
          <w:bCs/>
          <w:szCs w:val="21"/>
        </w:rPr>
        <w:t>（十）错误修正</w:t>
      </w:r>
    </w:p>
    <w:p>
      <w:pPr>
        <w:spacing w:line="300" w:lineRule="exact"/>
        <w:ind w:firstLine="420" w:firstLineChars="200"/>
        <w:rPr>
          <w:rFonts w:hint="eastAsia" w:ascii="宋体" w:hAnsi="宋体"/>
          <w:szCs w:val="21"/>
        </w:rPr>
      </w:pPr>
      <w:r>
        <w:rPr>
          <w:rFonts w:hint="eastAsia" w:ascii="宋体" w:hAnsi="宋体"/>
          <w:szCs w:val="21"/>
        </w:rPr>
        <w:t>投标文件如果出现计算或表达上的错误，修正错误的原则如下：</w:t>
      </w:r>
    </w:p>
    <w:p>
      <w:pPr>
        <w:spacing w:line="300" w:lineRule="exact"/>
        <w:ind w:firstLine="420" w:firstLineChars="200"/>
        <w:rPr>
          <w:rFonts w:hint="eastAsia" w:ascii="宋体" w:hAnsi="宋体"/>
          <w:szCs w:val="21"/>
        </w:rPr>
      </w:pPr>
      <w:r>
        <w:rPr>
          <w:rFonts w:hint="eastAsia" w:ascii="宋体" w:hAnsi="宋体"/>
          <w:szCs w:val="21"/>
        </w:rPr>
        <w:t>1、开标一览表总价与投标报价明细表汇总数不一致的，以开标一览表为准；</w:t>
      </w:r>
    </w:p>
    <w:p>
      <w:pPr>
        <w:spacing w:line="300" w:lineRule="exact"/>
        <w:ind w:firstLine="420" w:firstLineChars="200"/>
        <w:rPr>
          <w:rFonts w:hint="eastAsia" w:ascii="宋体" w:hAnsi="宋体"/>
          <w:szCs w:val="21"/>
        </w:rPr>
      </w:pPr>
      <w:r>
        <w:rPr>
          <w:rFonts w:hint="eastAsia" w:ascii="宋体" w:hAnsi="宋体"/>
          <w:szCs w:val="21"/>
        </w:rPr>
        <w:t>2、投标文件的大写金额和小写金额不一致的，以大写金额为准；</w:t>
      </w:r>
    </w:p>
    <w:p>
      <w:pPr>
        <w:spacing w:line="300" w:lineRule="exact"/>
        <w:ind w:firstLine="420" w:firstLineChars="200"/>
        <w:rPr>
          <w:rFonts w:hint="eastAsia" w:ascii="宋体" w:hAnsi="宋体"/>
          <w:szCs w:val="21"/>
        </w:rPr>
      </w:pPr>
      <w:r>
        <w:rPr>
          <w:rFonts w:hint="eastAsia" w:ascii="宋体" w:hAnsi="宋体"/>
          <w:szCs w:val="21"/>
        </w:rPr>
        <w:t>3、单价金额小数点有明显错位的，应以开标一览表的总价为准，并修改单价；</w:t>
      </w:r>
    </w:p>
    <w:p>
      <w:pPr>
        <w:spacing w:line="300" w:lineRule="exact"/>
        <w:ind w:firstLine="420" w:firstLineChars="200"/>
        <w:rPr>
          <w:rFonts w:hint="eastAsia" w:ascii="宋体" w:hAnsi="宋体"/>
          <w:szCs w:val="21"/>
        </w:rPr>
      </w:pPr>
      <w:r>
        <w:rPr>
          <w:rFonts w:hint="eastAsia" w:ascii="宋体" w:hAnsi="宋体"/>
          <w:szCs w:val="21"/>
        </w:rPr>
        <w:t>4、总价金额与按单价汇总金额不一致的，以单价金额计算结果为准；</w:t>
      </w:r>
    </w:p>
    <w:p>
      <w:pPr>
        <w:spacing w:line="300" w:lineRule="exact"/>
        <w:ind w:firstLine="420" w:firstLineChars="200"/>
        <w:rPr>
          <w:rFonts w:hint="eastAsia" w:ascii="宋体" w:hAnsi="宋体"/>
          <w:szCs w:val="21"/>
        </w:rPr>
      </w:pPr>
      <w:r>
        <w:rPr>
          <w:rFonts w:hint="eastAsia" w:ascii="宋体" w:hAnsi="宋体"/>
          <w:szCs w:val="21"/>
        </w:rPr>
        <w:t>5、对不同文字文本投标文件的解释发生异议的，以中文文本为准。</w:t>
      </w:r>
    </w:p>
    <w:p>
      <w:pPr>
        <w:spacing w:line="300" w:lineRule="exact"/>
        <w:ind w:firstLine="420" w:firstLineChars="200"/>
        <w:rPr>
          <w:rFonts w:hint="eastAsia" w:ascii="宋体" w:hAnsi="宋体"/>
          <w:szCs w:val="21"/>
        </w:rPr>
      </w:pPr>
      <w:r>
        <w:rPr>
          <w:rFonts w:hint="eastAsia" w:ascii="宋体" w:hAnsi="宋体"/>
          <w:szCs w:val="21"/>
        </w:rPr>
        <w:t>同时出现两种以上不一致的，按照上述规定的顺序修正，由投标人以书面形式进行修正，并加盖公章或者由法定代表人或其授权的代表签字。投标人确认后产生约束力；投标人不确认的，其投标无效。</w:t>
      </w:r>
    </w:p>
    <w:p>
      <w:pPr>
        <w:spacing w:line="300" w:lineRule="exact"/>
        <w:ind w:firstLine="422" w:firstLineChars="200"/>
        <w:rPr>
          <w:rFonts w:hint="eastAsia" w:ascii="宋体" w:hAnsi="宋体"/>
          <w:b/>
          <w:snapToGrid w:val="0"/>
          <w:szCs w:val="21"/>
        </w:rPr>
      </w:pPr>
      <w:r>
        <w:rPr>
          <w:rFonts w:hint="eastAsia" w:ascii="宋体" w:hAnsi="宋体"/>
          <w:b/>
          <w:szCs w:val="21"/>
        </w:rPr>
        <w:t>四、开标</w:t>
      </w:r>
    </w:p>
    <w:p>
      <w:pPr>
        <w:spacing w:line="300" w:lineRule="exact"/>
        <w:ind w:firstLine="422" w:firstLineChars="200"/>
        <w:rPr>
          <w:rFonts w:hint="eastAsia" w:ascii="宋体" w:hAnsi="宋体"/>
          <w:b/>
          <w:szCs w:val="21"/>
        </w:rPr>
      </w:pPr>
      <w:r>
        <w:rPr>
          <w:rFonts w:hint="eastAsia" w:ascii="宋体" w:hAnsi="宋体"/>
          <w:b/>
          <w:szCs w:val="21"/>
        </w:rPr>
        <w:t>（一）开标准备</w:t>
      </w:r>
    </w:p>
    <w:p>
      <w:pPr>
        <w:pStyle w:val="23"/>
        <w:tabs>
          <w:tab w:val="left" w:pos="4018"/>
        </w:tabs>
        <w:snapToGrid w:val="0"/>
        <w:spacing w:before="0" w:beforeLines="0" w:after="0" w:afterLines="0" w:line="300" w:lineRule="exact"/>
        <w:ind w:firstLine="420" w:firstLineChars="200"/>
        <w:rPr>
          <w:rFonts w:hint="eastAsia" w:hAnsi="宋体"/>
          <w:sz w:val="21"/>
          <w:szCs w:val="21"/>
        </w:rPr>
      </w:pPr>
      <w:r>
        <w:rPr>
          <w:rFonts w:hint="eastAsia" w:hAnsi="宋体"/>
          <w:sz w:val="21"/>
          <w:szCs w:val="21"/>
          <w:lang w:eastAsia="zh-CN"/>
        </w:rPr>
        <w:t>安吉县公共资源交易中心</w:t>
      </w:r>
      <w:r>
        <w:rPr>
          <w:rFonts w:hint="eastAsia" w:hAnsi="宋体"/>
          <w:sz w:val="21"/>
          <w:szCs w:val="21"/>
        </w:rPr>
        <w:t>将在规定的时间和地点进行开标，投标人的法定代表人或其授权代表应参加开标会并签到。投标人的法定代表人或其授权代表未按时签到的，视同放弃开标监督权利、认可开标结果。</w:t>
      </w:r>
    </w:p>
    <w:p>
      <w:pPr>
        <w:spacing w:line="300" w:lineRule="exact"/>
        <w:ind w:firstLine="422" w:firstLineChars="200"/>
        <w:rPr>
          <w:rFonts w:hint="eastAsia" w:ascii="宋体" w:hAnsi="宋体"/>
          <w:b/>
          <w:szCs w:val="21"/>
        </w:rPr>
      </w:pPr>
      <w:r>
        <w:rPr>
          <w:rFonts w:hint="eastAsia" w:ascii="宋体" w:hAnsi="宋体"/>
          <w:b/>
          <w:szCs w:val="21"/>
        </w:rPr>
        <w:t>（二） 开标程序：</w:t>
      </w:r>
    </w:p>
    <w:p>
      <w:pPr>
        <w:pStyle w:val="23"/>
        <w:tabs>
          <w:tab w:val="left" w:pos="4018"/>
        </w:tabs>
        <w:snapToGrid w:val="0"/>
        <w:spacing w:before="0" w:beforeLines="0" w:after="0" w:afterLines="0" w:line="300" w:lineRule="exact"/>
        <w:ind w:firstLine="420" w:firstLineChars="200"/>
        <w:rPr>
          <w:rFonts w:hAnsi="宋体"/>
          <w:sz w:val="21"/>
          <w:szCs w:val="21"/>
        </w:rPr>
      </w:pPr>
      <w:r>
        <w:rPr>
          <w:rFonts w:hint="eastAsia" w:hAnsi="宋体"/>
          <w:sz w:val="21"/>
          <w:szCs w:val="21"/>
        </w:rPr>
        <w:t>1、开标会由安吉县政府集中采购代理机构主持，主持人宣布开标会议开始；</w:t>
      </w:r>
    </w:p>
    <w:p>
      <w:pPr>
        <w:pStyle w:val="23"/>
        <w:tabs>
          <w:tab w:val="left" w:pos="4018"/>
        </w:tabs>
        <w:snapToGrid w:val="0"/>
        <w:spacing w:before="0" w:beforeLines="0" w:after="0" w:afterLines="0" w:line="300" w:lineRule="exact"/>
        <w:ind w:firstLine="420" w:firstLineChars="200"/>
        <w:rPr>
          <w:rFonts w:hAnsi="宋体"/>
          <w:sz w:val="21"/>
          <w:szCs w:val="21"/>
        </w:rPr>
      </w:pPr>
      <w:r>
        <w:rPr>
          <w:rFonts w:hint="eastAsia" w:hAnsi="宋体"/>
          <w:sz w:val="21"/>
          <w:szCs w:val="21"/>
        </w:rPr>
        <w:t xml:space="preserve">2、主持人介绍参加开标会的工作人员名单； </w:t>
      </w:r>
    </w:p>
    <w:p>
      <w:pPr>
        <w:pStyle w:val="23"/>
        <w:tabs>
          <w:tab w:val="left" w:pos="4018"/>
        </w:tabs>
        <w:snapToGrid w:val="0"/>
        <w:spacing w:before="0" w:beforeLines="0" w:after="0" w:afterLines="0" w:line="300" w:lineRule="exact"/>
        <w:ind w:firstLine="420" w:firstLineChars="200"/>
        <w:rPr>
          <w:rFonts w:hAnsi="宋体"/>
          <w:sz w:val="21"/>
          <w:szCs w:val="21"/>
        </w:rPr>
      </w:pPr>
      <w:r>
        <w:rPr>
          <w:rFonts w:hint="eastAsia" w:hAnsi="宋体"/>
          <w:sz w:val="21"/>
          <w:szCs w:val="21"/>
        </w:rPr>
        <w:t>3、主持人宣布评标期间的有关事项；告知应当回避的情形，提请有关人员回避；</w:t>
      </w:r>
    </w:p>
    <w:p>
      <w:pPr>
        <w:pStyle w:val="23"/>
        <w:tabs>
          <w:tab w:val="left" w:pos="4018"/>
        </w:tabs>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4、投标人或其当场推荐的代表（若有公证人员公证的则由委托的公证机构）检查投标文件密封的完整性并签字确认；</w:t>
      </w:r>
    </w:p>
    <w:p>
      <w:pPr>
        <w:pStyle w:val="23"/>
        <w:tabs>
          <w:tab w:val="left" w:pos="4018"/>
        </w:tabs>
        <w:snapToGrid w:val="0"/>
        <w:spacing w:before="0" w:beforeLines="0" w:after="0" w:afterLines="0" w:line="300" w:lineRule="exact"/>
        <w:ind w:firstLine="420" w:firstLineChars="200"/>
        <w:rPr>
          <w:rFonts w:hAnsi="宋体"/>
          <w:sz w:val="21"/>
          <w:szCs w:val="21"/>
        </w:rPr>
      </w:pPr>
      <w:r>
        <w:rPr>
          <w:rFonts w:hint="eastAsia" w:hAnsi="宋体"/>
          <w:sz w:val="21"/>
          <w:szCs w:val="21"/>
        </w:rPr>
        <w:t>5、采购人或采购代理机构进行资格审查；资格审查未通过的供应商其投标无效，不得进入评审环节；</w:t>
      </w:r>
    </w:p>
    <w:p>
      <w:pPr>
        <w:pStyle w:val="23"/>
        <w:tabs>
          <w:tab w:val="left" w:pos="4018"/>
        </w:tabs>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6、按各投标人提交投标文件时间的先后顺序打开资信/商务文件、技术文件外包装，清点投标文件正本、副本数量，符合招标文件要求的送评标室评审；不符合要求的，当场退还投标人，并由全权代表签字确认；</w:t>
      </w:r>
    </w:p>
    <w:p>
      <w:pPr>
        <w:pStyle w:val="23"/>
        <w:tabs>
          <w:tab w:val="left" w:pos="4018"/>
        </w:tabs>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7、资信及商务、技术评审结束后，由主持人公布无效投标的投标人名单、投标无效的原因及有效投标的评分结果；</w:t>
      </w:r>
    </w:p>
    <w:p>
      <w:pPr>
        <w:pStyle w:val="23"/>
        <w:tabs>
          <w:tab w:val="left" w:pos="4018"/>
        </w:tabs>
        <w:snapToGrid w:val="0"/>
        <w:spacing w:before="0" w:beforeLines="0" w:after="0" w:afterLines="0" w:line="300" w:lineRule="exact"/>
        <w:ind w:firstLine="420" w:firstLineChars="200"/>
        <w:rPr>
          <w:rFonts w:hAnsi="宋体"/>
          <w:sz w:val="21"/>
          <w:szCs w:val="21"/>
        </w:rPr>
      </w:pPr>
      <w:r>
        <w:rPr>
          <w:rFonts w:hint="eastAsia" w:hAnsi="宋体"/>
          <w:sz w:val="21"/>
          <w:szCs w:val="21"/>
        </w:rPr>
        <w:t>8、集中采购代理机构工作人员拆开并宣读《投标报价一览表》，如报价文件不符合要求的，提交评标委员会审定；</w:t>
      </w:r>
    </w:p>
    <w:p>
      <w:pPr>
        <w:pStyle w:val="23"/>
        <w:tabs>
          <w:tab w:val="left" w:pos="4018"/>
        </w:tabs>
        <w:snapToGrid w:val="0"/>
        <w:spacing w:before="0" w:beforeLines="0" w:after="0" w:afterLines="0" w:line="300" w:lineRule="exact"/>
        <w:ind w:firstLine="420" w:firstLineChars="200"/>
        <w:rPr>
          <w:rFonts w:hAnsi="宋体"/>
          <w:sz w:val="21"/>
          <w:szCs w:val="21"/>
        </w:rPr>
      </w:pPr>
      <w:r>
        <w:rPr>
          <w:rFonts w:hint="eastAsia" w:hAnsi="宋体"/>
          <w:sz w:val="21"/>
          <w:szCs w:val="21"/>
        </w:rPr>
        <w:t>9、集中采购代理机构做开标记录, 全权代表对开标记录进行当场核实并签字确认；同时由记录人当场签字确认，全权代表未到场签字确认或者拒绝签字确认的，不影响评标过程和结果；</w:t>
      </w:r>
    </w:p>
    <w:p>
      <w:pPr>
        <w:pStyle w:val="23"/>
        <w:tabs>
          <w:tab w:val="left" w:pos="4018"/>
        </w:tabs>
        <w:snapToGrid w:val="0"/>
        <w:spacing w:before="0" w:beforeLines="0" w:after="0" w:afterLines="0" w:line="300" w:lineRule="exact"/>
        <w:ind w:firstLine="420" w:firstLineChars="200"/>
        <w:rPr>
          <w:rFonts w:hAnsi="宋体"/>
          <w:sz w:val="21"/>
          <w:szCs w:val="21"/>
        </w:rPr>
      </w:pPr>
      <w:r>
        <w:rPr>
          <w:rFonts w:hint="eastAsia" w:hAnsi="宋体"/>
          <w:sz w:val="21"/>
          <w:szCs w:val="21"/>
        </w:rPr>
        <w:t>10、评标委员会对各投标商的投标报价文件进行审核并打分；</w:t>
      </w:r>
    </w:p>
    <w:p>
      <w:pPr>
        <w:pStyle w:val="23"/>
        <w:tabs>
          <w:tab w:val="left" w:pos="4018"/>
        </w:tabs>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11、评标结束，主持人公布有效投标商的评分结果。</w:t>
      </w:r>
    </w:p>
    <w:p>
      <w:pPr>
        <w:snapToGrid w:val="0"/>
        <w:spacing w:line="300" w:lineRule="exact"/>
        <w:ind w:firstLine="422" w:firstLineChars="200"/>
        <w:rPr>
          <w:rFonts w:ascii="宋体" w:hAnsi="宋体"/>
          <w:b/>
          <w:szCs w:val="21"/>
        </w:rPr>
      </w:pPr>
      <w:r>
        <w:rPr>
          <w:rFonts w:hint="eastAsia" w:ascii="宋体" w:hAnsi="宋体"/>
          <w:b/>
          <w:szCs w:val="21"/>
        </w:rPr>
        <w:t>五、评标</w:t>
      </w:r>
    </w:p>
    <w:p>
      <w:pPr>
        <w:pStyle w:val="23"/>
        <w:tabs>
          <w:tab w:val="left" w:pos="4018"/>
        </w:tabs>
        <w:snapToGrid w:val="0"/>
        <w:spacing w:before="0" w:beforeLines="0" w:after="0" w:afterLines="0" w:line="300" w:lineRule="exact"/>
        <w:ind w:firstLine="422" w:firstLineChars="200"/>
        <w:rPr>
          <w:rFonts w:hAnsi="宋体"/>
          <w:b/>
          <w:sz w:val="21"/>
          <w:szCs w:val="21"/>
        </w:rPr>
      </w:pPr>
      <w:r>
        <w:rPr>
          <w:rFonts w:hint="eastAsia" w:hAnsi="宋体"/>
          <w:b/>
          <w:sz w:val="21"/>
          <w:szCs w:val="21"/>
        </w:rPr>
        <w:t>（一）组建评标委员会</w:t>
      </w:r>
    </w:p>
    <w:p>
      <w:pPr>
        <w:pStyle w:val="23"/>
        <w:tabs>
          <w:tab w:val="left" w:pos="4018"/>
        </w:tabs>
        <w:snapToGrid w:val="0"/>
        <w:spacing w:before="0" w:beforeLines="0" w:after="0" w:afterLines="0" w:line="300" w:lineRule="exact"/>
        <w:ind w:firstLine="420" w:firstLineChars="200"/>
        <w:rPr>
          <w:rFonts w:hAnsi="宋体"/>
          <w:sz w:val="21"/>
          <w:szCs w:val="21"/>
        </w:rPr>
      </w:pPr>
      <w:r>
        <w:rPr>
          <w:rFonts w:hint="eastAsia" w:hAnsi="宋体"/>
          <w:sz w:val="21"/>
          <w:szCs w:val="21"/>
        </w:rPr>
        <w:t>本项目评标委员会由</w:t>
      </w:r>
      <w:r>
        <w:rPr>
          <w:rFonts w:hint="eastAsia" w:hAnsi="宋体"/>
          <w:color w:val="FF0000"/>
          <w:sz w:val="21"/>
          <w:szCs w:val="21"/>
        </w:rPr>
        <w:t>采购人代表2人</w:t>
      </w:r>
      <w:r>
        <w:rPr>
          <w:rFonts w:hint="eastAsia" w:hAnsi="宋体"/>
          <w:sz w:val="21"/>
          <w:szCs w:val="21"/>
        </w:rPr>
        <w:t>和有关技术、经济等方面的</w:t>
      </w:r>
      <w:r>
        <w:rPr>
          <w:rFonts w:hint="eastAsia" w:hAnsi="宋体"/>
          <w:color w:val="FF0000"/>
          <w:sz w:val="21"/>
          <w:szCs w:val="21"/>
        </w:rPr>
        <w:t>专家5人</w:t>
      </w:r>
      <w:r>
        <w:rPr>
          <w:rFonts w:hint="eastAsia" w:hAnsi="宋体"/>
          <w:sz w:val="21"/>
          <w:szCs w:val="21"/>
        </w:rPr>
        <w:t>组成，专家由安吉县公共资源交易管理办公室抽取。</w:t>
      </w:r>
    </w:p>
    <w:p>
      <w:pPr>
        <w:pStyle w:val="23"/>
        <w:tabs>
          <w:tab w:val="left" w:pos="4018"/>
        </w:tabs>
        <w:snapToGrid w:val="0"/>
        <w:spacing w:before="0" w:beforeLines="0" w:after="0" w:afterLines="0" w:line="300" w:lineRule="exact"/>
        <w:ind w:firstLine="422" w:firstLineChars="200"/>
        <w:rPr>
          <w:rFonts w:hAnsi="宋体"/>
          <w:b/>
          <w:sz w:val="21"/>
          <w:szCs w:val="21"/>
        </w:rPr>
      </w:pPr>
      <w:r>
        <w:rPr>
          <w:rFonts w:hint="eastAsia" w:hAnsi="宋体"/>
          <w:b/>
          <w:sz w:val="21"/>
          <w:szCs w:val="21"/>
        </w:rPr>
        <w:t>（二）评标程序</w:t>
      </w:r>
    </w:p>
    <w:p>
      <w:pPr>
        <w:tabs>
          <w:tab w:val="left" w:pos="4018"/>
        </w:tabs>
        <w:snapToGrid w:val="0"/>
        <w:spacing w:line="300" w:lineRule="exact"/>
        <w:ind w:firstLine="420" w:firstLineChars="200"/>
        <w:rPr>
          <w:rFonts w:ascii="宋体" w:hAnsi="宋体"/>
          <w:szCs w:val="21"/>
        </w:rPr>
      </w:pPr>
      <w:r>
        <w:rPr>
          <w:rFonts w:hint="eastAsia" w:ascii="宋体" w:hAnsi="宋体"/>
          <w:szCs w:val="21"/>
        </w:rPr>
        <w:t>1、评标委员会对投标人投标文件的完整性、合法性等进行审查。</w:t>
      </w:r>
    </w:p>
    <w:p>
      <w:pPr>
        <w:tabs>
          <w:tab w:val="left" w:pos="4018"/>
        </w:tabs>
        <w:snapToGrid w:val="0"/>
        <w:spacing w:line="300" w:lineRule="exact"/>
        <w:ind w:firstLine="420" w:firstLineChars="200"/>
        <w:rPr>
          <w:rFonts w:ascii="宋体" w:hAnsi="宋体"/>
          <w:szCs w:val="21"/>
        </w:rPr>
      </w:pPr>
      <w:r>
        <w:rPr>
          <w:rFonts w:hint="eastAsia" w:ascii="宋体" w:hAnsi="宋体"/>
          <w:szCs w:val="21"/>
        </w:rPr>
        <w:t>2、评标委员会审查投标文件的实质性内容是否符合招标文件的实质性要求。</w:t>
      </w:r>
    </w:p>
    <w:p>
      <w:pPr>
        <w:tabs>
          <w:tab w:val="left" w:pos="4018"/>
        </w:tabs>
        <w:snapToGrid w:val="0"/>
        <w:spacing w:line="300" w:lineRule="exact"/>
        <w:ind w:firstLine="420" w:firstLineChars="200"/>
        <w:rPr>
          <w:rFonts w:ascii="宋体" w:hAnsi="宋体"/>
          <w:szCs w:val="21"/>
        </w:rPr>
      </w:pPr>
      <w:r>
        <w:rPr>
          <w:rFonts w:hint="eastAsia" w:ascii="宋体" w:hAnsi="宋体"/>
          <w:szCs w:val="21"/>
        </w:rPr>
        <w:t>3、评标委员会将根据投标人的投标文件进行审查、核对,如有疑问,将对投标人进行询标,投标人要向评标委员会澄清有关问题,并最终以书面形式进行答复。</w:t>
      </w:r>
    </w:p>
    <w:p>
      <w:pPr>
        <w:pStyle w:val="23"/>
        <w:tabs>
          <w:tab w:val="left" w:pos="4018"/>
        </w:tabs>
        <w:snapToGrid w:val="0"/>
        <w:spacing w:before="0" w:beforeLines="0" w:after="0" w:afterLines="0" w:line="300" w:lineRule="exact"/>
        <w:ind w:firstLine="420" w:firstLineChars="200"/>
        <w:rPr>
          <w:rFonts w:hAnsi="宋体"/>
          <w:sz w:val="21"/>
          <w:szCs w:val="21"/>
        </w:rPr>
      </w:pPr>
      <w:r>
        <w:rPr>
          <w:rFonts w:hint="eastAsia" w:hAnsi="宋体"/>
          <w:sz w:val="21"/>
          <w:szCs w:val="21"/>
        </w:rPr>
        <w:t>4、评标委员会完成评标后,评标委员会按评标方法推荐中标候选人同时起草评标报告。</w:t>
      </w:r>
    </w:p>
    <w:p>
      <w:pPr>
        <w:pStyle w:val="23"/>
        <w:tabs>
          <w:tab w:val="left" w:pos="4018"/>
        </w:tabs>
        <w:snapToGrid w:val="0"/>
        <w:spacing w:before="0" w:beforeLines="0" w:after="0" w:afterLines="0" w:line="300" w:lineRule="exact"/>
        <w:ind w:firstLine="420" w:firstLineChars="200"/>
        <w:rPr>
          <w:rFonts w:hAnsi="宋体"/>
          <w:sz w:val="21"/>
          <w:szCs w:val="21"/>
        </w:rPr>
      </w:pPr>
      <w:r>
        <w:rPr>
          <w:rFonts w:hint="eastAsia" w:hAnsi="宋体"/>
          <w:sz w:val="21"/>
          <w:szCs w:val="21"/>
        </w:rPr>
        <w:t>5、全权代表未到场或者拒绝澄清或者澄清的内容改变了投标文件的实质性内容的，评标委员会有权对该投标文件作出不利于投标人的评判。</w:t>
      </w:r>
    </w:p>
    <w:p>
      <w:pPr>
        <w:pStyle w:val="23"/>
        <w:tabs>
          <w:tab w:val="left" w:pos="630"/>
          <w:tab w:val="left" w:pos="4018"/>
        </w:tabs>
        <w:snapToGrid w:val="0"/>
        <w:spacing w:before="0" w:beforeLines="0" w:after="0" w:afterLines="0" w:line="300" w:lineRule="exact"/>
        <w:ind w:firstLine="422" w:firstLineChars="200"/>
        <w:rPr>
          <w:rFonts w:hAnsi="宋体"/>
          <w:b/>
          <w:sz w:val="21"/>
          <w:szCs w:val="21"/>
        </w:rPr>
      </w:pPr>
      <w:r>
        <w:rPr>
          <w:rFonts w:hint="eastAsia" w:hAnsi="宋体"/>
          <w:b/>
          <w:sz w:val="21"/>
          <w:szCs w:val="21"/>
        </w:rPr>
        <w:t>（三）评标原则</w:t>
      </w:r>
    </w:p>
    <w:p>
      <w:pPr>
        <w:pStyle w:val="23"/>
        <w:tabs>
          <w:tab w:val="left" w:pos="4018"/>
        </w:tabs>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3"/>
        <w:tabs>
          <w:tab w:val="left" w:pos="4018"/>
        </w:tabs>
        <w:snapToGrid w:val="0"/>
        <w:spacing w:before="0" w:beforeLines="0" w:after="0" w:afterLines="0" w:line="300" w:lineRule="exact"/>
        <w:ind w:firstLine="422" w:firstLineChars="200"/>
        <w:rPr>
          <w:rFonts w:hAnsi="宋体"/>
          <w:b/>
          <w:bCs/>
          <w:color w:val="FF0000"/>
          <w:sz w:val="21"/>
          <w:szCs w:val="21"/>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》第三十一条第二第三款规定：</w:t>
      </w:r>
      <w:r>
        <w:rPr>
          <w:rFonts w:hAnsi="宋体"/>
          <w:b/>
          <w:bCs/>
          <w:color w:val="FF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3"/>
        <w:tabs>
          <w:tab w:val="left" w:pos="4018"/>
        </w:tabs>
        <w:snapToGrid w:val="0"/>
        <w:spacing w:before="0" w:beforeLines="0" w:after="0" w:afterLines="0" w:line="300" w:lineRule="exact"/>
        <w:ind w:firstLine="422" w:firstLineChars="200"/>
        <w:rPr>
          <w:rFonts w:hint="eastAsia" w:hAnsi="宋体"/>
          <w:b/>
          <w:bCs/>
          <w:color w:val="FF0000"/>
          <w:sz w:val="21"/>
          <w:szCs w:val="21"/>
        </w:rPr>
      </w:pPr>
      <w:r>
        <w:rPr>
          <w:rFonts w:hAnsi="宋体"/>
          <w:b/>
          <w:bCs/>
          <w:color w:val="FF0000"/>
          <w:sz w:val="21"/>
          <w:szCs w:val="21"/>
        </w:rPr>
        <w:t>非单一产品采购项目，采购人应当根据采购项目技术构成、产品价格比重等合理确定核心产品，并在招标文件中载明。多家投标人提供的核心产品品牌相同的，按</w:t>
      </w:r>
      <w:r>
        <w:rPr>
          <w:rFonts w:hint="eastAsia" w:hAnsi="宋体"/>
          <w:b/>
          <w:bCs/>
          <w:color w:val="FF0000"/>
          <w:sz w:val="21"/>
          <w:szCs w:val="21"/>
        </w:rPr>
        <w:t>三十一条第二</w:t>
      </w:r>
      <w:r>
        <w:rPr>
          <w:rFonts w:hAnsi="宋体"/>
          <w:b/>
          <w:bCs/>
          <w:color w:val="FF0000"/>
          <w:sz w:val="21"/>
          <w:szCs w:val="21"/>
        </w:rPr>
        <w:t>款规定处理。</w:t>
      </w:r>
    </w:p>
    <w:p>
      <w:pPr>
        <w:pStyle w:val="23"/>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pPr>
        <w:pStyle w:val="23"/>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pPr>
        <w:pStyle w:val="23"/>
        <w:snapToGrid w:val="0"/>
        <w:spacing w:before="0" w:beforeLines="0" w:after="0" w:afterLines="0" w:line="300" w:lineRule="exact"/>
        <w:ind w:firstLine="422" w:firstLineChars="200"/>
        <w:rPr>
          <w:rFonts w:hAnsi="宋体"/>
          <w:b/>
          <w:sz w:val="21"/>
          <w:szCs w:val="21"/>
        </w:rPr>
      </w:pPr>
      <w:r>
        <w:rPr>
          <w:rFonts w:hint="eastAsia" w:hAnsi="宋体"/>
          <w:b/>
          <w:sz w:val="21"/>
          <w:szCs w:val="21"/>
        </w:rPr>
        <w:t>六、定标</w:t>
      </w:r>
    </w:p>
    <w:p>
      <w:pPr>
        <w:pStyle w:val="23"/>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1、确定中标人。</w:t>
      </w:r>
      <w:r>
        <w:rPr>
          <w:rFonts w:hint="eastAsia" w:hAnsi="宋体" w:cs="宋体"/>
          <w:sz w:val="21"/>
          <w:szCs w:val="21"/>
          <w:u w:val="single"/>
        </w:rPr>
        <w:t>本项目由评标委员推荐候选中标人。</w:t>
      </w:r>
    </w:p>
    <w:p>
      <w:pPr>
        <w:pStyle w:val="23"/>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2、集中采购代理机构在评标结束后2个工作日内将评标报告送采购人，采购人应在收到评标报告后5个工作日对评标结果进行确认。</w:t>
      </w:r>
      <w:r>
        <w:rPr>
          <w:rFonts w:hAnsi="宋体"/>
          <w:sz w:val="21"/>
          <w:szCs w:val="21"/>
        </w:rPr>
        <w:t>采购人在收到评标报告5个工作日内未按评标报告推荐的中标候选人顺序确定中标人，又不能说明合法理由的，视同按评标报告推荐的顺序确定排名第一的中标候选人为中标人。</w:t>
      </w:r>
    </w:p>
    <w:p>
      <w:pPr>
        <w:pStyle w:val="23"/>
        <w:snapToGrid w:val="0"/>
        <w:spacing w:before="0" w:beforeLines="0" w:after="0" w:afterLines="0" w:line="300" w:lineRule="exact"/>
        <w:ind w:firstLine="420" w:firstLineChars="200"/>
        <w:rPr>
          <w:rFonts w:hint="eastAsia" w:hAnsi="宋体"/>
          <w:sz w:val="21"/>
          <w:szCs w:val="21"/>
        </w:rPr>
      </w:pPr>
      <w:r>
        <w:rPr>
          <w:rFonts w:hint="eastAsia" w:hAnsi="宋体"/>
          <w:sz w:val="21"/>
          <w:szCs w:val="21"/>
        </w:rPr>
        <w:t>3、采购人依法确定中标人后2个工作日内，集中采购代理机构将在浙江省政府采购网上发布中标公告，同时向中标人签发书面《中标通知书》。</w:t>
      </w:r>
    </w:p>
    <w:p>
      <w:pPr>
        <w:pStyle w:val="23"/>
        <w:tabs>
          <w:tab w:val="left" w:pos="4018"/>
        </w:tabs>
        <w:snapToGrid w:val="0"/>
        <w:spacing w:before="0" w:beforeLines="0" w:after="0" w:afterLines="0" w:line="300" w:lineRule="exact"/>
        <w:ind w:firstLine="422" w:firstLineChars="200"/>
        <w:rPr>
          <w:rFonts w:hAnsi="宋体"/>
          <w:b/>
          <w:sz w:val="21"/>
          <w:szCs w:val="21"/>
        </w:rPr>
      </w:pPr>
      <w:r>
        <w:rPr>
          <w:rFonts w:hint="eastAsia" w:hAnsi="宋体"/>
          <w:b/>
          <w:sz w:val="21"/>
          <w:szCs w:val="21"/>
        </w:rPr>
        <w:t>七、合同授予</w:t>
      </w:r>
    </w:p>
    <w:p>
      <w:pPr>
        <w:pStyle w:val="23"/>
        <w:tabs>
          <w:tab w:val="left" w:pos="630"/>
          <w:tab w:val="left" w:pos="4018"/>
        </w:tabs>
        <w:snapToGrid w:val="0"/>
        <w:spacing w:before="0" w:beforeLines="0" w:after="0" w:afterLines="0" w:line="300" w:lineRule="exact"/>
        <w:ind w:firstLine="422" w:firstLineChars="200"/>
        <w:rPr>
          <w:rFonts w:hAnsi="宋体"/>
          <w:b/>
          <w:sz w:val="21"/>
          <w:szCs w:val="21"/>
        </w:rPr>
      </w:pPr>
      <w:r>
        <w:rPr>
          <w:rFonts w:hint="eastAsia" w:hAnsi="宋体"/>
          <w:b/>
          <w:sz w:val="21"/>
          <w:szCs w:val="21"/>
        </w:rPr>
        <w:t>（一）签订合同</w:t>
      </w:r>
    </w:p>
    <w:p>
      <w:pPr>
        <w:tabs>
          <w:tab w:val="left" w:pos="4018"/>
        </w:tabs>
        <w:snapToGrid w:val="0"/>
        <w:spacing w:line="300" w:lineRule="exact"/>
        <w:ind w:firstLine="420" w:firstLineChars="200"/>
        <w:rPr>
          <w:rFonts w:ascii="宋体" w:hAnsi="宋体"/>
          <w:szCs w:val="21"/>
        </w:rPr>
      </w:pPr>
      <w:r>
        <w:rPr>
          <w:rFonts w:hint="eastAsia" w:ascii="宋体" w:hAnsi="宋体"/>
          <w:szCs w:val="21"/>
        </w:rPr>
        <w:t>1、采购人与中标人应当在《中标通知书》发出之日起30日内签订政府采购合同，集中采购代理机构作为合同签订的鉴证方。</w:t>
      </w:r>
    </w:p>
    <w:p>
      <w:pPr>
        <w:tabs>
          <w:tab w:val="left" w:pos="4018"/>
        </w:tabs>
        <w:snapToGrid w:val="0"/>
        <w:spacing w:line="300" w:lineRule="exact"/>
        <w:ind w:firstLine="420" w:firstLineChars="200"/>
        <w:rPr>
          <w:rFonts w:hint="eastAsia" w:ascii="宋体" w:hAnsi="宋体"/>
          <w:szCs w:val="21"/>
        </w:rPr>
      </w:pPr>
      <w:r>
        <w:rPr>
          <w:rFonts w:hint="eastAsia" w:ascii="宋体" w:hAnsi="宋体"/>
          <w:szCs w:val="21"/>
        </w:rPr>
        <w:t xml:space="preserve">2、中标人拖延、拒签合同的,将被扣罚投标保证金并取消中标资格。 </w:t>
      </w:r>
    </w:p>
    <w:p>
      <w:pPr>
        <w:snapToGrid w:val="0"/>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3、中标人因不可抗力或者自身原因不能履行政府采购合同的，采购人可以提出废标，并进行重新采购。</w:t>
      </w:r>
    </w:p>
    <w:p>
      <w:pPr>
        <w:pStyle w:val="23"/>
        <w:snapToGrid w:val="0"/>
        <w:spacing w:before="0" w:beforeLines="0" w:after="0" w:afterLines="0" w:line="300" w:lineRule="exact"/>
        <w:ind w:firstLine="422" w:firstLineChars="200"/>
        <w:rPr>
          <w:rFonts w:hint="eastAsia" w:hAnsi="宋体" w:cs="宋体"/>
          <w:b/>
          <w:color w:val="000000"/>
          <w:sz w:val="21"/>
          <w:szCs w:val="21"/>
        </w:rPr>
      </w:pPr>
      <w:r>
        <w:rPr>
          <w:rFonts w:hint="eastAsia" w:hAnsi="宋体" w:cs="宋体"/>
          <w:b/>
          <w:color w:val="000000"/>
          <w:sz w:val="21"/>
          <w:szCs w:val="21"/>
        </w:rPr>
        <w:t>（二）履约保证金</w:t>
      </w:r>
    </w:p>
    <w:p>
      <w:pPr>
        <w:pStyle w:val="23"/>
        <w:snapToGrid w:val="0"/>
        <w:spacing w:before="0" w:beforeLines="0" w:after="0" w:afterLines="0" w:line="300" w:lineRule="exact"/>
        <w:ind w:firstLine="420" w:firstLineChars="200"/>
        <w:rPr>
          <w:rFonts w:hint="eastAsia" w:hAnsi="宋体"/>
          <w:sz w:val="21"/>
          <w:szCs w:val="21"/>
          <w:lang w:eastAsia="zh-CN"/>
        </w:rPr>
      </w:pPr>
      <w:r>
        <w:rPr>
          <w:rFonts w:hint="eastAsia" w:hAnsi="宋体"/>
          <w:sz w:val="21"/>
          <w:szCs w:val="21"/>
          <w:lang w:eastAsia="zh-CN"/>
        </w:rPr>
        <w:t>本项目不收取履约保证金</w:t>
      </w:r>
    </w:p>
    <w:p>
      <w:pPr>
        <w:pStyle w:val="23"/>
        <w:snapToGrid w:val="0"/>
        <w:spacing w:before="0" w:beforeLines="0" w:after="0" w:afterLines="0" w:line="300" w:lineRule="exact"/>
        <w:ind w:firstLine="422" w:firstLineChars="200"/>
        <w:rPr>
          <w:rFonts w:hint="eastAsia" w:hAnsi="宋体" w:cs="宋体"/>
          <w:b/>
          <w:color w:val="000000"/>
          <w:sz w:val="21"/>
          <w:szCs w:val="21"/>
        </w:rPr>
      </w:pPr>
      <w:r>
        <w:rPr>
          <w:rFonts w:hint="eastAsia" w:hAnsi="宋体" w:cs="宋体"/>
          <w:b/>
          <w:color w:val="000000"/>
          <w:sz w:val="21"/>
          <w:szCs w:val="21"/>
        </w:rPr>
        <w:t>七、货款的结算</w:t>
      </w:r>
    </w:p>
    <w:p>
      <w:pPr>
        <w:spacing w:line="300" w:lineRule="exact"/>
        <w:ind w:firstLine="420" w:firstLineChars="200"/>
        <w:contextualSpacing/>
        <w:rPr>
          <w:rFonts w:hint="default" w:ascii="宋体" w:hAnsi="宋体"/>
          <w:b w:val="0"/>
          <w:bCs/>
          <w:szCs w:val="21"/>
          <w:lang w:val="en-US" w:eastAsia="zh-CN"/>
        </w:rPr>
      </w:pPr>
      <w:r>
        <w:rPr>
          <w:rFonts w:hint="eastAsia" w:ascii="宋体" w:hAnsi="宋体"/>
          <w:b w:val="0"/>
          <w:bCs/>
          <w:szCs w:val="21"/>
          <w:lang w:eastAsia="zh-CN"/>
        </w:rPr>
        <w:t>合同签订后支付总价的</w:t>
      </w:r>
      <w:r>
        <w:rPr>
          <w:rFonts w:hint="eastAsia" w:ascii="宋体" w:hAnsi="宋体"/>
          <w:b w:val="0"/>
          <w:bCs/>
          <w:szCs w:val="21"/>
          <w:lang w:val="en-US" w:eastAsia="zh-CN"/>
        </w:rPr>
        <w:t>30%，</w:t>
      </w:r>
      <w:r>
        <w:rPr>
          <w:rFonts w:hint="eastAsia" w:ascii="宋体" w:hAnsi="宋体"/>
          <w:b w:val="0"/>
          <w:bCs/>
          <w:szCs w:val="21"/>
          <w:lang w:eastAsia="zh-CN"/>
        </w:rPr>
        <w:t>项目验收完毕后支付总价</w:t>
      </w:r>
      <w:r>
        <w:rPr>
          <w:rFonts w:hint="eastAsia" w:ascii="宋体" w:hAnsi="宋体"/>
          <w:b w:val="0"/>
          <w:bCs/>
          <w:szCs w:val="21"/>
          <w:lang w:val="en-US" w:eastAsia="zh-CN"/>
        </w:rPr>
        <w:t>60%，系统正常运行十二个月无重大质量问题后支付剩余的5%，剩余5%在质保期结束后支付。</w:t>
      </w:r>
    </w:p>
    <w:p>
      <w:pPr>
        <w:spacing w:line="300" w:lineRule="exact"/>
        <w:ind w:firstLine="422" w:firstLineChars="200"/>
        <w:contextualSpacing/>
        <w:rPr>
          <w:rFonts w:hint="eastAsia" w:ascii="宋体" w:hAnsi="宋体" w:cs="宋体"/>
          <w:b/>
          <w:color w:val="000000"/>
          <w:kern w:val="0"/>
          <w:szCs w:val="21"/>
        </w:rPr>
      </w:pPr>
      <w:r>
        <w:rPr>
          <w:rFonts w:hint="eastAsia" w:ascii="宋体" w:hAnsi="宋体"/>
          <w:b/>
          <w:szCs w:val="21"/>
          <w:lang w:eastAsia="zh-CN"/>
        </w:rPr>
        <w:t>中</w:t>
      </w:r>
      <w:r>
        <w:rPr>
          <w:rFonts w:hint="eastAsia" w:ascii="宋体" w:hAnsi="宋体"/>
          <w:b/>
          <w:szCs w:val="21"/>
        </w:rPr>
        <w:t>标单位须凭以下资料（请到安吉县公共资源交易网-下载中心-自行下载）：项目验收单、发票复印件，</w:t>
      </w:r>
      <w:r>
        <w:rPr>
          <w:rFonts w:hint="eastAsia" w:ascii="宋体" w:hAnsi="宋体" w:cs="Arial"/>
          <w:b/>
          <w:color w:val="000000"/>
          <w:szCs w:val="21"/>
        </w:rPr>
        <w:t>到集中采购代理机构备案后再到采购人处结算。</w:t>
      </w:r>
      <w:r>
        <w:rPr>
          <w:rFonts w:hint="eastAsia" w:ascii="宋体" w:hAnsi="宋体" w:cs="宋体"/>
          <w:b/>
          <w:color w:val="000000"/>
          <w:kern w:val="0"/>
          <w:szCs w:val="21"/>
        </w:rPr>
        <w:t xml:space="preserve"> </w:t>
      </w:r>
      <w:bookmarkStart w:id="3" w:name="_Toc452125555"/>
    </w:p>
    <w:p>
      <w:pPr>
        <w:spacing w:line="300" w:lineRule="exact"/>
        <w:contextualSpacing/>
        <w:rPr>
          <w:rFonts w:hint="eastAsia"/>
        </w:rPr>
      </w:pPr>
    </w:p>
    <w:p>
      <w:pPr>
        <w:pStyle w:val="33"/>
        <w:spacing w:line="480" w:lineRule="auto"/>
        <w:rPr>
          <w:rFonts w:hint="eastAsia"/>
        </w:rPr>
      </w:pPr>
      <w:r>
        <w:rPr>
          <w:rFonts w:hint="eastAsia"/>
        </w:rPr>
        <w:t>第三章  招标需求</w:t>
      </w:r>
      <w:bookmarkEnd w:id="3"/>
    </w:p>
    <w:p>
      <w:pPr>
        <w:spacing w:line="360" w:lineRule="atLeast"/>
        <w:ind w:firstLine="422" w:firstLineChars="200"/>
        <w:rPr>
          <w:rFonts w:hint="eastAsia" w:ascii="宋体" w:hAnsi="宋体" w:cs="宋体"/>
          <w:b/>
          <w:szCs w:val="21"/>
        </w:rPr>
      </w:pPr>
      <w:r>
        <w:rPr>
          <w:rFonts w:hint="eastAsia" w:ascii="宋体" w:hAnsi="宋体" w:cs="宋体"/>
          <w:b/>
          <w:szCs w:val="21"/>
        </w:rPr>
        <w:t>本招标文件中带▲号的条款内容，为本次招标的主要条款和实质性内容，投标人必须全部响应，否则将作无效标处理。</w:t>
      </w:r>
    </w:p>
    <w:p>
      <w:pPr>
        <w:spacing w:line="360" w:lineRule="atLeast"/>
        <w:ind w:firstLine="422" w:firstLineChars="200"/>
        <w:rPr>
          <w:rFonts w:hint="eastAsia" w:ascii="宋体" w:hAnsi="宋体" w:cs="宋体"/>
          <w:b/>
          <w:szCs w:val="21"/>
        </w:rPr>
      </w:pPr>
      <w:r>
        <w:rPr>
          <w:rFonts w:hint="eastAsia" w:ascii="宋体" w:hAnsi="宋体" w:cs="宋体"/>
          <w:b/>
          <w:szCs w:val="21"/>
        </w:rPr>
        <w:t>根据浙财采监字[2007]2号文件规定：除采购文件明确的品牌外，欢迎其他能满足本项目技术需求且性能与所明确品牌相当的产品参加。</w:t>
      </w:r>
    </w:p>
    <w:p>
      <w:pPr>
        <w:spacing w:line="360" w:lineRule="atLeast"/>
        <w:ind w:firstLine="422" w:firstLineChars="200"/>
        <w:rPr>
          <w:rFonts w:hint="eastAsia" w:ascii="宋体" w:hAnsi="宋体" w:cs="宋体"/>
          <w:b/>
          <w:color w:val="FF0000"/>
          <w:szCs w:val="21"/>
        </w:rPr>
      </w:pPr>
      <w:r>
        <w:rPr>
          <w:rFonts w:hint="eastAsia" w:ascii="宋体" w:hAnsi="宋体" w:cs="宋体"/>
          <w:b/>
          <w:color w:val="FF0000"/>
          <w:szCs w:val="21"/>
        </w:rPr>
        <w:t>▲投标人需联系采购人，对安吉县现有信号控制系统平台、智慧交通管理平台进行进行实地勘察，由采购人出具《安吉县智慧交通现场踏勘确认书》并盖章在投标时放置在技术文件中。</w:t>
      </w:r>
    </w:p>
    <w:p>
      <w:pPr>
        <w:spacing w:line="360" w:lineRule="atLeast"/>
        <w:ind w:firstLine="422" w:firstLineChars="200"/>
        <w:rPr>
          <w:rFonts w:hint="eastAsia" w:ascii="宋体" w:hAnsi="宋体" w:cs="宋体"/>
          <w:b/>
          <w:szCs w:val="21"/>
        </w:rPr>
      </w:pPr>
      <w:r>
        <w:rPr>
          <w:rFonts w:hint="eastAsia" w:ascii="宋体" w:hAnsi="宋体" w:cs="宋体"/>
          <w:b/>
          <w:szCs w:val="21"/>
        </w:rPr>
        <w:t>本次采购升级平台软件须与安吉县交警大队已建SUPCON智慧交通管理平台无缝对接；信号机、视频流量检测像机产品要求无缝接入现有安吉县交警大队指挥中心SUPCON Intelliffic信号控制系统平台，可以实现信号控制平台所有功能。</w:t>
      </w:r>
    </w:p>
    <w:p>
      <w:pPr>
        <w:pStyle w:val="3"/>
        <w:widowControl/>
        <w:numPr>
          <w:ilvl w:val="0"/>
          <w:numId w:val="8"/>
        </w:numPr>
        <w:rPr>
          <w:rFonts w:hint="eastAsia" w:cs="宋体"/>
          <w:szCs w:val="21"/>
        </w:rPr>
      </w:pPr>
      <w:r>
        <w:rPr>
          <w:rFonts w:hint="eastAsia" w:ascii="宋体" w:hAnsi="宋体" w:cs="宋体"/>
          <w:szCs w:val="21"/>
        </w:rPr>
        <w:t>项目简要描述</w:t>
      </w:r>
    </w:p>
    <w:p>
      <w:pPr>
        <w:spacing w:line="240" w:lineRule="auto"/>
        <w:ind w:firstLine="420"/>
      </w:pPr>
      <w:r>
        <w:rPr>
          <w:rFonts w:hint="eastAsia"/>
        </w:rPr>
        <w:t>为积极推进安吉县创建全国文明城市工作，结合安吉实际发展和交通管理需要，着力于开展交通基础设施建设与智慧交通建设，打造文明、畅通、有序的交通环境，助推城市交通管理再上一个台阶。</w:t>
      </w:r>
    </w:p>
    <w:p>
      <w:pPr>
        <w:pStyle w:val="3"/>
        <w:widowControl/>
        <w:numPr>
          <w:ilvl w:val="0"/>
          <w:numId w:val="8"/>
        </w:numPr>
        <w:rPr>
          <w:rFonts w:hint="eastAsia" w:ascii="宋体" w:hAnsi="宋体" w:cs="宋体"/>
          <w:b/>
          <w:bCs/>
          <w:szCs w:val="21"/>
        </w:rPr>
      </w:pPr>
      <w:bookmarkStart w:id="4" w:name="_Toc380480366"/>
      <w:r>
        <w:rPr>
          <w:rFonts w:hint="eastAsia" w:ascii="宋体" w:hAnsi="宋体" w:cs="宋体"/>
          <w:b/>
          <w:bCs/>
          <w:szCs w:val="21"/>
        </w:rPr>
        <w:t>建设依据</w:t>
      </w:r>
    </w:p>
    <w:p>
      <w:pPr>
        <w:spacing w:line="360" w:lineRule="auto"/>
        <w:ind w:firstLine="420" w:firstLineChars="200"/>
        <w:rPr>
          <w:rFonts w:hint="eastAsia"/>
        </w:rPr>
      </w:pPr>
      <w:r>
        <w:rPr>
          <w:rFonts w:hint="eastAsia"/>
        </w:rPr>
        <w:t>《国家新型城镇化规划（2014-2020年）》（中发[2014] 4号）</w:t>
      </w:r>
    </w:p>
    <w:p>
      <w:pPr>
        <w:spacing w:line="360" w:lineRule="auto"/>
        <w:ind w:firstLine="420" w:firstLineChars="200"/>
        <w:rPr>
          <w:rFonts w:hint="eastAsia"/>
        </w:rPr>
      </w:pPr>
      <w:r>
        <w:rPr>
          <w:rFonts w:hint="eastAsia"/>
        </w:rPr>
        <w:t>八部委《关于促进智慧城市健康发展的指导意见》（发改高技[2014]1770号）</w:t>
      </w:r>
    </w:p>
    <w:p>
      <w:pPr>
        <w:spacing w:line="360" w:lineRule="auto"/>
        <w:ind w:firstLine="420" w:firstLineChars="200"/>
        <w:rPr>
          <w:rFonts w:hint="eastAsia"/>
        </w:rPr>
      </w:pPr>
      <w:r>
        <w:rPr>
          <w:rFonts w:hint="eastAsia"/>
        </w:rPr>
        <w:t>四部委《关于深入实施城市道路交通管理畅通工程的指导意见》</w:t>
      </w:r>
    </w:p>
    <w:p>
      <w:pPr>
        <w:spacing w:line="360" w:lineRule="auto"/>
        <w:ind w:firstLine="420" w:firstLineChars="200"/>
        <w:rPr>
          <w:rFonts w:hint="eastAsia"/>
        </w:rPr>
      </w:pPr>
      <w:r>
        <w:rPr>
          <w:rFonts w:hint="eastAsia"/>
        </w:rPr>
        <w:t>《“十三五”国家科技创新规划》（国发〔2016〕43号）</w:t>
      </w:r>
    </w:p>
    <w:p>
      <w:pPr>
        <w:spacing w:line="360" w:lineRule="auto"/>
        <w:ind w:firstLine="420" w:firstLineChars="200"/>
        <w:rPr>
          <w:rFonts w:hint="eastAsia"/>
        </w:rPr>
      </w:pPr>
      <w:r>
        <w:rPr>
          <w:rFonts w:hint="eastAsia"/>
        </w:rPr>
        <w:t>《“十三五”现代综合交通运输体系发展规划》（国发〔2017〕11号）</w:t>
      </w:r>
    </w:p>
    <w:p>
      <w:pPr>
        <w:spacing w:line="360" w:lineRule="auto"/>
        <w:ind w:firstLine="420" w:firstLineChars="200"/>
        <w:rPr>
          <w:rFonts w:hint="eastAsia"/>
        </w:rPr>
      </w:pPr>
      <w:r>
        <w:rPr>
          <w:rFonts w:hint="eastAsia"/>
        </w:rPr>
        <w:t>《中华人民共和国交通安全法》</w:t>
      </w:r>
    </w:p>
    <w:p>
      <w:pPr>
        <w:spacing w:line="360" w:lineRule="auto"/>
        <w:ind w:firstLine="420" w:firstLineChars="200"/>
        <w:rPr>
          <w:rFonts w:hint="eastAsia"/>
        </w:rPr>
      </w:pPr>
      <w:r>
        <w:rPr>
          <w:rFonts w:hint="eastAsia"/>
        </w:rPr>
        <w:t>《中华人民共和国道路交通安全法实施条例》</w:t>
      </w:r>
    </w:p>
    <w:p>
      <w:pPr>
        <w:spacing w:line="360" w:lineRule="auto"/>
        <w:ind w:firstLine="420" w:firstLineChars="200"/>
        <w:rPr>
          <w:rFonts w:hint="eastAsia"/>
        </w:rPr>
      </w:pPr>
      <w:r>
        <w:rPr>
          <w:rFonts w:hint="eastAsia"/>
        </w:rPr>
        <w:t>《公路交通安全设施设计技术规范》（JTJ 074-2003）（JTG F71-2006）</w:t>
      </w:r>
    </w:p>
    <w:p>
      <w:pPr>
        <w:spacing w:line="360" w:lineRule="auto"/>
        <w:ind w:firstLine="420" w:firstLineChars="200"/>
        <w:rPr>
          <w:rFonts w:hint="eastAsia"/>
        </w:rPr>
      </w:pPr>
      <w:r>
        <w:rPr>
          <w:rFonts w:hint="eastAsia"/>
        </w:rPr>
        <w:t>《道路交通信息监测记录设备设置规范》（GA/T 1047—2013）</w:t>
      </w:r>
    </w:p>
    <w:p>
      <w:pPr>
        <w:spacing w:line="360" w:lineRule="auto"/>
        <w:ind w:firstLine="420" w:firstLineChars="200"/>
        <w:rPr>
          <w:rFonts w:hint="eastAsia"/>
        </w:rPr>
      </w:pPr>
      <w:r>
        <w:rPr>
          <w:rFonts w:hint="eastAsia"/>
        </w:rPr>
        <w:t>《道路交通流量调查》（GA299-2001）</w:t>
      </w:r>
    </w:p>
    <w:p>
      <w:pPr>
        <w:spacing w:line="360" w:lineRule="auto"/>
        <w:ind w:firstLine="420" w:firstLineChars="200"/>
        <w:rPr>
          <w:rFonts w:hint="eastAsia"/>
        </w:rPr>
      </w:pPr>
      <w:r>
        <w:rPr>
          <w:rFonts w:hint="eastAsia"/>
        </w:rPr>
        <w:t>《道路交通信息采集信息分类与编码》（GBT 20133-2006）</w:t>
      </w:r>
    </w:p>
    <w:p>
      <w:pPr>
        <w:spacing w:line="360" w:lineRule="auto"/>
        <w:ind w:firstLine="420" w:firstLineChars="200"/>
        <w:rPr>
          <w:rFonts w:hint="eastAsia"/>
        </w:rPr>
      </w:pPr>
      <w:r>
        <w:rPr>
          <w:rFonts w:hint="eastAsia"/>
        </w:rPr>
        <w:t>《道路交通信息采集事件信息集》（GBT 20134-2006）</w:t>
      </w:r>
    </w:p>
    <w:p>
      <w:pPr>
        <w:spacing w:line="360" w:lineRule="auto"/>
        <w:ind w:firstLine="420" w:firstLineChars="200"/>
        <w:rPr>
          <w:rFonts w:hint="eastAsia"/>
        </w:rPr>
      </w:pPr>
      <w:r>
        <w:rPr>
          <w:rFonts w:hint="eastAsia"/>
        </w:rPr>
        <w:t>《道路交通信息服务信息分类与编码》（GBT 21394-2008）</w:t>
      </w:r>
    </w:p>
    <w:p>
      <w:pPr>
        <w:spacing w:line="360" w:lineRule="auto"/>
        <w:ind w:firstLine="420" w:firstLineChars="200"/>
        <w:rPr>
          <w:rFonts w:hint="eastAsia"/>
        </w:rPr>
      </w:pPr>
      <w:r>
        <w:rPr>
          <w:rFonts w:hint="eastAsia"/>
        </w:rPr>
        <w:t>《道路交通信息监测记录设备设置规范》（GA/T 1047—2013）</w:t>
      </w:r>
    </w:p>
    <w:p>
      <w:pPr>
        <w:spacing w:line="360" w:lineRule="auto"/>
        <w:ind w:firstLine="420" w:firstLineChars="200"/>
        <w:rPr>
          <w:rFonts w:hint="eastAsia"/>
        </w:rPr>
      </w:pPr>
      <w:r>
        <w:rPr>
          <w:rFonts w:hint="eastAsia"/>
        </w:rPr>
        <w:t>《闯红灯自动记录系统通用技术条件》（GA/T496-2014）</w:t>
      </w:r>
    </w:p>
    <w:p>
      <w:pPr>
        <w:spacing w:line="360" w:lineRule="auto"/>
        <w:ind w:firstLine="420" w:firstLineChars="200"/>
        <w:rPr>
          <w:rFonts w:hint="eastAsia"/>
        </w:rPr>
      </w:pPr>
      <w:r>
        <w:rPr>
          <w:rFonts w:hint="eastAsia"/>
        </w:rPr>
        <w:t>《闯红灯自动记录系统验收技术规范》（GA/T870-2017）</w:t>
      </w:r>
    </w:p>
    <w:p>
      <w:pPr>
        <w:spacing w:line="360" w:lineRule="auto"/>
        <w:ind w:firstLine="420" w:firstLineChars="200"/>
        <w:rPr>
          <w:rFonts w:hint="eastAsia"/>
        </w:rPr>
      </w:pPr>
      <w:r>
        <w:rPr>
          <w:rFonts w:hint="eastAsia"/>
        </w:rPr>
        <w:t>《道路车辆智能监测记录系统通用技术条件》（GA/T 497-2016）</w:t>
      </w:r>
    </w:p>
    <w:p>
      <w:pPr>
        <w:spacing w:line="360" w:lineRule="auto"/>
        <w:ind w:firstLine="420" w:firstLineChars="200"/>
        <w:rPr>
          <w:rFonts w:hint="eastAsia"/>
        </w:rPr>
      </w:pPr>
      <w:r>
        <w:rPr>
          <w:rFonts w:hint="eastAsia"/>
        </w:rPr>
        <w:t>《机动车测速仪》（GB/T21255-2007）</w:t>
      </w:r>
    </w:p>
    <w:p>
      <w:pPr>
        <w:spacing w:line="360" w:lineRule="auto"/>
        <w:ind w:firstLine="420" w:firstLineChars="200"/>
        <w:rPr>
          <w:rFonts w:hint="eastAsia"/>
        </w:rPr>
      </w:pPr>
      <w:r>
        <w:rPr>
          <w:rFonts w:hint="eastAsia"/>
        </w:rPr>
        <w:t>《道路交通安全违法行为视频取证设备技术规范》(GA/T 995-2012)</w:t>
      </w:r>
    </w:p>
    <w:p>
      <w:pPr>
        <w:spacing w:line="360" w:lineRule="auto"/>
        <w:ind w:firstLine="420" w:firstLineChars="200"/>
        <w:rPr>
          <w:rFonts w:hint="eastAsia"/>
        </w:rPr>
      </w:pPr>
      <w:r>
        <w:rPr>
          <w:rFonts w:hint="eastAsia"/>
        </w:rPr>
        <w:t>《道路交通安全违法行为图像取证技术规范》(GA/T 832-2014)</w:t>
      </w:r>
    </w:p>
    <w:p>
      <w:pPr>
        <w:spacing w:line="360" w:lineRule="auto"/>
        <w:ind w:firstLine="420" w:firstLineChars="200"/>
        <w:rPr>
          <w:rFonts w:hint="eastAsia"/>
        </w:rPr>
      </w:pPr>
      <w:r>
        <w:rPr>
          <w:rFonts w:hint="eastAsia"/>
        </w:rPr>
        <w:t>《机动车号牌图像自动识别技术规范》（GA/T 833-2016）</w:t>
      </w:r>
    </w:p>
    <w:p>
      <w:pPr>
        <w:spacing w:line="360" w:lineRule="auto"/>
        <w:ind w:firstLine="420" w:firstLineChars="200"/>
        <w:rPr>
          <w:rFonts w:hint="eastAsia"/>
        </w:rPr>
      </w:pPr>
      <w:r>
        <w:rPr>
          <w:rFonts w:hint="eastAsia"/>
        </w:rPr>
        <w:t>《公路车辆智能监测记录系统通用技术条件》（GA/T497-2016）</w:t>
      </w:r>
    </w:p>
    <w:p>
      <w:pPr>
        <w:spacing w:line="360" w:lineRule="auto"/>
        <w:ind w:firstLine="420" w:firstLineChars="200"/>
        <w:rPr>
          <w:rFonts w:hint="eastAsia"/>
        </w:rPr>
      </w:pPr>
      <w:r>
        <w:rPr>
          <w:rFonts w:hint="eastAsia"/>
        </w:rPr>
        <w:t>《电工电子产品基本环境试验规程总则》（GB/T 2421-1989）</w:t>
      </w:r>
    </w:p>
    <w:p>
      <w:pPr>
        <w:spacing w:line="360" w:lineRule="auto"/>
        <w:ind w:firstLine="420" w:firstLineChars="200"/>
        <w:rPr>
          <w:rFonts w:hint="eastAsia"/>
        </w:rPr>
      </w:pPr>
      <w:r>
        <w:rPr>
          <w:rFonts w:hint="eastAsia"/>
        </w:rPr>
        <w:t>《电气装置安装工程施工及验收规范》（GBJ 232-1982）</w:t>
      </w:r>
    </w:p>
    <w:p>
      <w:pPr>
        <w:spacing w:line="360" w:lineRule="auto"/>
        <w:ind w:firstLine="420" w:firstLineChars="200"/>
        <w:rPr>
          <w:rFonts w:hint="eastAsia"/>
        </w:rPr>
      </w:pPr>
      <w:r>
        <w:rPr>
          <w:rFonts w:hint="eastAsia"/>
        </w:rPr>
        <w:t>《会议电视系统工程设计规范》（YD/T 5032-2005）</w:t>
      </w:r>
    </w:p>
    <w:p>
      <w:pPr>
        <w:spacing w:line="360" w:lineRule="auto"/>
        <w:ind w:firstLine="420" w:firstLineChars="200"/>
        <w:rPr>
          <w:rFonts w:hint="eastAsia"/>
        </w:rPr>
      </w:pPr>
      <w:r>
        <w:rPr>
          <w:rFonts w:hint="eastAsia"/>
        </w:rPr>
        <w:t>《民用闭路监视电视系统工程技术规范》（GB 50198-2011）</w:t>
      </w:r>
    </w:p>
    <w:p>
      <w:pPr>
        <w:spacing w:line="360" w:lineRule="auto"/>
        <w:ind w:firstLine="420" w:firstLineChars="200"/>
        <w:rPr>
          <w:rFonts w:hint="eastAsia"/>
        </w:rPr>
      </w:pPr>
      <w:r>
        <w:rPr>
          <w:rFonts w:hint="eastAsia"/>
        </w:rPr>
        <w:t>《电视和声音信号的电缆分配系统》（GB/T 6510-1996）</w:t>
      </w:r>
    </w:p>
    <w:p>
      <w:pPr>
        <w:spacing w:line="360" w:lineRule="auto"/>
        <w:ind w:firstLine="420" w:firstLineChars="200"/>
        <w:rPr>
          <w:rFonts w:hint="eastAsia"/>
        </w:rPr>
      </w:pPr>
      <w:r>
        <w:rPr>
          <w:rFonts w:hint="eastAsia"/>
        </w:rPr>
        <w:t>《道路交通信号灯》（GB14887-2011）</w:t>
      </w:r>
    </w:p>
    <w:p>
      <w:pPr>
        <w:spacing w:line="360" w:lineRule="auto"/>
        <w:ind w:firstLine="420" w:firstLineChars="200"/>
        <w:rPr>
          <w:rFonts w:hint="eastAsia"/>
        </w:rPr>
      </w:pPr>
      <w:r>
        <w:rPr>
          <w:rFonts w:hint="eastAsia"/>
        </w:rPr>
        <w:t>《道路交通信号控制机与车辆检测器间的通信协议》（GA/T920-2010）</w:t>
      </w:r>
    </w:p>
    <w:p>
      <w:pPr>
        <w:spacing w:line="360" w:lineRule="auto"/>
        <w:ind w:firstLine="420" w:firstLineChars="200"/>
        <w:rPr>
          <w:rFonts w:hint="eastAsia"/>
        </w:rPr>
      </w:pPr>
      <w:r>
        <w:rPr>
          <w:rFonts w:hint="eastAsia"/>
        </w:rPr>
        <w:t>《道路交通信号控制机》（GB25280-2016）</w:t>
      </w:r>
    </w:p>
    <w:p>
      <w:pPr>
        <w:spacing w:line="360" w:lineRule="auto"/>
        <w:ind w:firstLine="420" w:firstLineChars="200"/>
        <w:rPr>
          <w:rFonts w:hint="eastAsia"/>
        </w:rPr>
      </w:pPr>
      <w:r>
        <w:rPr>
          <w:rFonts w:hint="eastAsia"/>
        </w:rPr>
        <w:t>《人行横道信号灯控制设置规范》（GA/T851-2009）</w:t>
      </w:r>
    </w:p>
    <w:p>
      <w:pPr>
        <w:spacing w:line="360" w:lineRule="auto"/>
        <w:ind w:firstLine="420" w:firstLineChars="200"/>
        <w:rPr>
          <w:rFonts w:hint="eastAsia"/>
        </w:rPr>
      </w:pPr>
      <w:r>
        <w:rPr>
          <w:rFonts w:hint="eastAsia"/>
        </w:rPr>
        <w:t>《公安交通管理外场设备基础设施施工通用要求》（GA/T652-2017）</w:t>
      </w:r>
    </w:p>
    <w:p>
      <w:pPr>
        <w:spacing w:line="360" w:lineRule="auto"/>
        <w:ind w:firstLine="420" w:firstLineChars="200"/>
        <w:rPr>
          <w:rFonts w:hint="eastAsia"/>
        </w:rPr>
      </w:pPr>
      <w:r>
        <w:rPr>
          <w:rFonts w:hint="eastAsia"/>
        </w:rPr>
        <w:t>《道路交通信号灯设置与安装规范》（GB14886-2016）</w:t>
      </w:r>
    </w:p>
    <w:p>
      <w:pPr>
        <w:spacing w:line="360" w:lineRule="auto"/>
        <w:ind w:firstLine="420" w:firstLineChars="200"/>
        <w:rPr>
          <w:rFonts w:hint="eastAsia"/>
        </w:rPr>
      </w:pPr>
      <w:r>
        <w:rPr>
          <w:rFonts w:hint="eastAsia"/>
        </w:rPr>
        <w:t>《城市道路交通信号控制方式适用规范》（GA/T 527-2005）</w:t>
      </w:r>
    </w:p>
    <w:p>
      <w:pPr>
        <w:spacing w:line="360" w:lineRule="auto"/>
        <w:ind w:firstLine="420" w:firstLineChars="200"/>
        <w:rPr>
          <w:rFonts w:hint="eastAsia"/>
        </w:rPr>
      </w:pPr>
      <w:r>
        <w:rPr>
          <w:rFonts w:hint="eastAsia"/>
        </w:rPr>
        <w:t>《道路交通信号控制机安装规范》（GA/T489-2016）</w:t>
      </w:r>
    </w:p>
    <w:p>
      <w:pPr>
        <w:spacing w:line="360" w:lineRule="auto"/>
        <w:ind w:firstLine="420" w:firstLineChars="200"/>
        <w:rPr>
          <w:rFonts w:hint="eastAsia"/>
        </w:rPr>
      </w:pPr>
      <w:r>
        <w:rPr>
          <w:rFonts w:hint="eastAsia"/>
        </w:rPr>
        <w:t>《城市交通信号控制系统术语》（GA/T 509-2004）</w:t>
      </w:r>
    </w:p>
    <w:p>
      <w:pPr>
        <w:spacing w:line="360" w:lineRule="auto"/>
        <w:ind w:firstLine="420" w:firstLineChars="200"/>
        <w:rPr>
          <w:rFonts w:hint="eastAsia"/>
        </w:rPr>
      </w:pPr>
      <w:r>
        <w:rPr>
          <w:rFonts w:hint="eastAsia"/>
        </w:rPr>
        <w:t>《公安交通指挥系统建设技术规范》（GA/T445-2010）</w:t>
      </w:r>
    </w:p>
    <w:p>
      <w:pPr>
        <w:spacing w:line="360" w:lineRule="auto"/>
        <w:ind w:firstLine="420" w:firstLineChars="200"/>
        <w:rPr>
          <w:rFonts w:hint="eastAsia"/>
        </w:rPr>
      </w:pPr>
      <w:r>
        <w:rPr>
          <w:rFonts w:hint="eastAsia"/>
        </w:rPr>
        <w:t>《电子信息系统机房设计规范》（GB50174-2008）</w:t>
      </w:r>
    </w:p>
    <w:p>
      <w:pPr>
        <w:spacing w:line="360" w:lineRule="auto"/>
        <w:ind w:firstLine="420" w:firstLineChars="200"/>
        <w:rPr>
          <w:rFonts w:hint="eastAsia"/>
        </w:rPr>
      </w:pPr>
      <w:r>
        <w:rPr>
          <w:rFonts w:hint="eastAsia"/>
        </w:rPr>
        <w:t>《公安交通指挥系统工程设计制图规范》（GA/T515-2011）</w:t>
      </w:r>
    </w:p>
    <w:p>
      <w:pPr>
        <w:spacing w:line="360" w:lineRule="auto"/>
        <w:ind w:firstLine="420" w:firstLineChars="200"/>
        <w:rPr>
          <w:rFonts w:hint="eastAsia"/>
        </w:rPr>
      </w:pPr>
      <w:r>
        <w:rPr>
          <w:rFonts w:hint="eastAsia"/>
        </w:rPr>
        <w:t>《公安交通指挥系统工程建设通用程序和要求》（GA/T651-2014）</w:t>
      </w:r>
    </w:p>
    <w:p>
      <w:pPr>
        <w:spacing w:line="360" w:lineRule="auto"/>
        <w:ind w:firstLine="420" w:firstLineChars="200"/>
        <w:rPr>
          <w:rFonts w:hint="eastAsia"/>
        </w:rPr>
      </w:pPr>
      <w:r>
        <w:rPr>
          <w:rFonts w:hint="eastAsia"/>
        </w:rPr>
        <w:t>《道路交通技术监控设备运行维护规范》(GA/T 1043-2013)</w:t>
      </w:r>
    </w:p>
    <w:p>
      <w:pPr>
        <w:spacing w:line="360" w:lineRule="auto"/>
        <w:ind w:firstLine="420" w:firstLineChars="200"/>
        <w:rPr>
          <w:rFonts w:hint="eastAsia"/>
        </w:rPr>
      </w:pPr>
      <w:r>
        <w:rPr>
          <w:rFonts w:hint="eastAsia"/>
        </w:rPr>
        <w:t>《公安交通管理移动执法**系统通用技术条件》(GAT1014-2013)</w:t>
      </w:r>
    </w:p>
    <w:p>
      <w:pPr>
        <w:spacing w:line="360" w:lineRule="auto"/>
        <w:ind w:firstLine="420" w:firstLineChars="200"/>
        <w:rPr>
          <w:rFonts w:hint="eastAsia"/>
        </w:rPr>
      </w:pPr>
      <w:r>
        <w:rPr>
          <w:rFonts w:hint="eastAsia"/>
        </w:rPr>
        <w:t>《公安交通集成指挥平台通信协议第1部分》(GA/T1049-1-2013)</w:t>
      </w:r>
    </w:p>
    <w:p>
      <w:pPr>
        <w:spacing w:line="360" w:lineRule="auto"/>
        <w:ind w:firstLine="420" w:firstLineChars="200"/>
        <w:rPr>
          <w:rFonts w:hint="eastAsia"/>
        </w:rPr>
      </w:pPr>
      <w:r>
        <w:rPr>
          <w:rFonts w:hint="eastAsia"/>
        </w:rPr>
        <w:t>《公安交通集成指挥平台通信协议第2部分》(GA/T1049-2-2013)</w:t>
      </w:r>
    </w:p>
    <w:p>
      <w:pPr>
        <w:spacing w:line="360" w:lineRule="auto"/>
        <w:ind w:firstLine="420" w:firstLineChars="200"/>
        <w:rPr>
          <w:rFonts w:hint="eastAsia"/>
        </w:rPr>
      </w:pPr>
      <w:r>
        <w:rPr>
          <w:rFonts w:hint="eastAsia"/>
        </w:rPr>
        <w:t>《计算机软件开发规范》（GB 8566-2007）</w:t>
      </w:r>
    </w:p>
    <w:p>
      <w:pPr>
        <w:spacing w:line="360" w:lineRule="auto"/>
        <w:ind w:firstLine="420" w:firstLineChars="200"/>
        <w:rPr>
          <w:rFonts w:hint="eastAsia"/>
        </w:rPr>
      </w:pPr>
      <w:r>
        <w:rPr>
          <w:rFonts w:hint="eastAsia"/>
        </w:rPr>
        <w:t>《安全防范系统验收规范》（GA 308-2001）</w:t>
      </w:r>
    </w:p>
    <w:p>
      <w:pPr>
        <w:spacing w:line="360" w:lineRule="auto"/>
        <w:ind w:firstLine="420" w:firstLineChars="200"/>
        <w:rPr>
          <w:rFonts w:hint="eastAsia"/>
        </w:rPr>
      </w:pPr>
      <w:r>
        <w:rPr>
          <w:rFonts w:hint="eastAsia"/>
        </w:rPr>
        <w:t>《城市监控报警联网系统》（GA/T669-2008）</w:t>
      </w:r>
    </w:p>
    <w:p>
      <w:pPr>
        <w:spacing w:line="360" w:lineRule="auto"/>
        <w:ind w:firstLine="420" w:firstLineChars="200"/>
        <w:rPr>
          <w:rFonts w:hint="eastAsia"/>
        </w:rPr>
      </w:pPr>
      <w:r>
        <w:rPr>
          <w:rFonts w:hint="eastAsia"/>
        </w:rPr>
        <w:t>《安全防范视频监控联网系统信息传输、交换、控制技术要求》（GB/T28181-2016）</w:t>
      </w:r>
    </w:p>
    <w:p>
      <w:pPr>
        <w:spacing w:line="360" w:lineRule="auto"/>
        <w:ind w:firstLine="420" w:firstLineChars="200"/>
        <w:rPr>
          <w:rFonts w:hint="eastAsia"/>
        </w:rPr>
      </w:pPr>
      <w:r>
        <w:rPr>
          <w:rFonts w:hint="eastAsia"/>
        </w:rPr>
        <w:t>《跨区域视频监控联网共享技术规范》（DB33/T629-2012）</w:t>
      </w:r>
    </w:p>
    <w:p>
      <w:pPr>
        <w:spacing w:line="360" w:lineRule="auto"/>
        <w:ind w:firstLine="420" w:firstLineChars="200"/>
        <w:rPr>
          <w:rFonts w:hint="eastAsia"/>
        </w:rPr>
      </w:pPr>
      <w:r>
        <w:rPr>
          <w:rFonts w:hint="eastAsia"/>
        </w:rPr>
        <w:t>《视频图像信息联网系统总体技术架构》（浙江省公安厅）</w:t>
      </w:r>
    </w:p>
    <w:p>
      <w:pPr>
        <w:spacing w:line="360" w:lineRule="auto"/>
        <w:ind w:firstLine="420" w:firstLineChars="200"/>
        <w:rPr>
          <w:rFonts w:hint="eastAsia"/>
        </w:rPr>
      </w:pPr>
      <w:r>
        <w:rPr>
          <w:rFonts w:hint="eastAsia"/>
        </w:rPr>
        <w:t>《中华人民共和国机动车号牌》（GA36-2014）</w:t>
      </w:r>
    </w:p>
    <w:p>
      <w:pPr>
        <w:spacing w:line="360" w:lineRule="auto"/>
        <w:ind w:firstLine="420" w:firstLineChars="200"/>
        <w:rPr>
          <w:rFonts w:hint="eastAsia"/>
        </w:rPr>
      </w:pPr>
      <w:r>
        <w:rPr>
          <w:rFonts w:hint="eastAsia"/>
        </w:rPr>
        <w:t>《中华人民共和国公共安全行业标准》（GA1511-2018）</w:t>
      </w:r>
    </w:p>
    <w:p>
      <w:pPr>
        <w:spacing w:line="360" w:lineRule="auto"/>
        <w:ind w:firstLine="420" w:firstLineChars="200"/>
        <w:rPr>
          <w:rFonts w:hint="eastAsia"/>
        </w:rPr>
      </w:pPr>
      <w:r>
        <w:rPr>
          <w:rFonts w:hint="eastAsia"/>
        </w:rPr>
        <w:t>《全国道路交通管理信息数据库规范  第3部分》（GA329.3-2003）</w:t>
      </w:r>
    </w:p>
    <w:p>
      <w:pPr>
        <w:spacing w:line="360" w:lineRule="auto"/>
        <w:ind w:firstLine="420" w:firstLineChars="200"/>
        <w:rPr>
          <w:rFonts w:hint="eastAsia"/>
        </w:rPr>
      </w:pPr>
      <w:r>
        <w:rPr>
          <w:rFonts w:hint="eastAsia"/>
        </w:rPr>
        <w:t>《LED道路交通诱导可变信息标志》（GAT 484-2018）</w:t>
      </w:r>
    </w:p>
    <w:p>
      <w:pPr>
        <w:spacing w:line="360" w:lineRule="auto"/>
        <w:ind w:firstLine="420" w:firstLineChars="200"/>
        <w:rPr>
          <w:rFonts w:hint="eastAsia"/>
        </w:rPr>
      </w:pPr>
      <w:r>
        <w:rPr>
          <w:rFonts w:hint="eastAsia"/>
        </w:rPr>
        <w:t>公安部《交通管理信息系统建设框架》</w:t>
      </w:r>
    </w:p>
    <w:p>
      <w:pPr>
        <w:spacing w:line="360" w:lineRule="auto"/>
        <w:ind w:firstLine="420" w:firstLineChars="200"/>
        <w:rPr>
          <w:rFonts w:hint="eastAsia"/>
        </w:rPr>
      </w:pPr>
      <w:r>
        <w:rPr>
          <w:rFonts w:hint="eastAsia"/>
        </w:rPr>
        <w:t>公安部《公安部报警监控方案设计要素》</w:t>
      </w:r>
    </w:p>
    <w:p>
      <w:pPr>
        <w:spacing w:line="360" w:lineRule="auto"/>
        <w:ind w:firstLine="420" w:firstLineChars="200"/>
        <w:rPr>
          <w:rFonts w:hint="eastAsia"/>
        </w:rPr>
      </w:pPr>
      <w:r>
        <w:rPr>
          <w:rFonts w:hint="eastAsia"/>
        </w:rPr>
        <w:t>公安部《城市报警与监控系统建设指导性文件》</w:t>
      </w:r>
    </w:p>
    <w:p>
      <w:pPr>
        <w:spacing w:line="360" w:lineRule="auto"/>
        <w:ind w:firstLine="420" w:firstLineChars="200"/>
        <w:rPr>
          <w:rFonts w:hint="eastAsia"/>
        </w:rPr>
      </w:pPr>
      <w:r>
        <w:rPr>
          <w:rFonts w:hint="eastAsia"/>
        </w:rPr>
        <w:t>公安部《城市报警与监控系统建设“3111”试点工程实施方案》</w:t>
      </w:r>
    </w:p>
    <w:p>
      <w:pPr>
        <w:spacing w:line="360" w:lineRule="auto"/>
        <w:ind w:firstLine="420" w:firstLineChars="200"/>
        <w:rPr>
          <w:rFonts w:hint="eastAsia"/>
        </w:rPr>
      </w:pPr>
      <w:r>
        <w:rPr>
          <w:rFonts w:hint="eastAsia"/>
        </w:rPr>
        <w:t>《报警图像信号有线传输装置》（GB/T 16677-1996）</w:t>
      </w:r>
    </w:p>
    <w:p>
      <w:pPr>
        <w:spacing w:line="360" w:lineRule="auto"/>
        <w:ind w:firstLine="420" w:firstLineChars="200"/>
        <w:rPr>
          <w:rFonts w:hint="eastAsia"/>
        </w:rPr>
      </w:pPr>
      <w:r>
        <w:rPr>
          <w:rFonts w:hint="eastAsia"/>
        </w:rPr>
        <w:t>《安全防范视频监控联网系统信息传输、交换、控制技术要求》（GB/T28181-2016）</w:t>
      </w:r>
    </w:p>
    <w:p>
      <w:pPr>
        <w:spacing w:line="360" w:lineRule="auto"/>
        <w:ind w:firstLine="420" w:firstLineChars="200"/>
        <w:rPr>
          <w:rFonts w:hint="eastAsia"/>
        </w:rPr>
      </w:pPr>
      <w:r>
        <w:rPr>
          <w:rFonts w:hint="eastAsia"/>
        </w:rPr>
        <w:t>《安全防范工程程序与要求》（GA/T75-1994）</w:t>
      </w:r>
    </w:p>
    <w:p>
      <w:pPr>
        <w:spacing w:line="360" w:lineRule="auto"/>
        <w:ind w:firstLine="420" w:firstLineChars="200"/>
        <w:rPr>
          <w:rFonts w:hint="eastAsia"/>
        </w:rPr>
      </w:pPr>
      <w:r>
        <w:rPr>
          <w:rFonts w:hint="eastAsia"/>
        </w:rPr>
        <w:t>《安全防范工程技术规范》（GB50348-2018）</w:t>
      </w:r>
    </w:p>
    <w:p>
      <w:pPr>
        <w:spacing w:line="360" w:lineRule="auto"/>
        <w:ind w:firstLine="420" w:firstLineChars="200"/>
        <w:rPr>
          <w:rFonts w:hint="eastAsia"/>
        </w:rPr>
      </w:pPr>
      <w:r>
        <w:rPr>
          <w:rFonts w:hint="eastAsia"/>
        </w:rPr>
        <w:t>《中华人民共和国公安部行业标准》（GA/72-2004）</w:t>
      </w:r>
    </w:p>
    <w:p>
      <w:pPr>
        <w:spacing w:line="360" w:lineRule="auto"/>
        <w:ind w:firstLine="420" w:firstLineChars="200"/>
        <w:rPr>
          <w:rFonts w:hint="eastAsia"/>
        </w:rPr>
      </w:pPr>
      <w:r>
        <w:rPr>
          <w:rFonts w:hint="eastAsia"/>
        </w:rPr>
        <w:t>《视频安防监控系统技术要求》（GA/T367-2001）</w:t>
      </w:r>
    </w:p>
    <w:p>
      <w:pPr>
        <w:spacing w:line="360" w:lineRule="auto"/>
        <w:ind w:firstLine="420" w:firstLineChars="200"/>
        <w:rPr>
          <w:rFonts w:hint="eastAsia"/>
        </w:rPr>
      </w:pPr>
      <w:r>
        <w:rPr>
          <w:rFonts w:hint="eastAsia"/>
        </w:rPr>
        <w:t>《民用闭路监视电视系统工程技术规范》(GB50198-2011)</w:t>
      </w:r>
    </w:p>
    <w:p>
      <w:pPr>
        <w:spacing w:line="360" w:lineRule="auto"/>
        <w:ind w:firstLine="420" w:firstLineChars="200"/>
        <w:rPr>
          <w:rFonts w:hint="eastAsia"/>
        </w:rPr>
      </w:pPr>
      <w:r>
        <w:rPr>
          <w:rFonts w:hint="eastAsia"/>
        </w:rPr>
        <w:t>《工业电视系统工程设计规范》（GB 50115-2009）</w:t>
      </w:r>
    </w:p>
    <w:p>
      <w:pPr>
        <w:spacing w:line="360" w:lineRule="auto"/>
        <w:ind w:firstLine="420" w:firstLineChars="200"/>
        <w:rPr>
          <w:rFonts w:hint="eastAsia"/>
        </w:rPr>
      </w:pPr>
      <w:r>
        <w:rPr>
          <w:rFonts w:hint="eastAsia"/>
        </w:rPr>
        <w:t>《安全防范系统通用图形符号》（GA/T74-2017）</w:t>
      </w:r>
    </w:p>
    <w:p>
      <w:pPr>
        <w:spacing w:line="360" w:lineRule="auto"/>
        <w:ind w:firstLine="420" w:firstLineChars="200"/>
        <w:rPr>
          <w:rFonts w:hint="eastAsia"/>
        </w:rPr>
      </w:pPr>
      <w:r>
        <w:rPr>
          <w:rFonts w:hint="eastAsia"/>
        </w:rPr>
        <w:t>公安部《警用地理信息系统系列标准规范》</w:t>
      </w:r>
    </w:p>
    <w:p>
      <w:pPr>
        <w:spacing w:line="360" w:lineRule="auto"/>
        <w:ind w:firstLine="420" w:firstLineChars="200"/>
        <w:rPr>
          <w:rFonts w:hint="eastAsia"/>
        </w:rPr>
      </w:pPr>
      <w:r>
        <w:rPr>
          <w:rFonts w:hint="eastAsia"/>
        </w:rPr>
        <w:t>《安全防范系统通用图形符号》（GA/T74-2017）</w:t>
      </w:r>
    </w:p>
    <w:p>
      <w:pPr>
        <w:spacing w:line="360" w:lineRule="auto"/>
        <w:ind w:firstLine="420" w:firstLineChars="200"/>
        <w:rPr>
          <w:rFonts w:hint="eastAsia"/>
        </w:rPr>
      </w:pPr>
      <w:r>
        <w:rPr>
          <w:rFonts w:hint="eastAsia"/>
        </w:rPr>
        <w:t>《安全防范系统雷电浪涌防护技术要求》（GA/T 670-2006）</w:t>
      </w:r>
    </w:p>
    <w:p>
      <w:pPr>
        <w:spacing w:line="360" w:lineRule="auto"/>
        <w:ind w:firstLine="420" w:firstLineChars="200"/>
        <w:rPr>
          <w:rFonts w:hint="eastAsia"/>
        </w:rPr>
      </w:pPr>
      <w:r>
        <w:rPr>
          <w:rFonts w:hint="eastAsia"/>
        </w:rPr>
        <w:t>《计算机信息系统安全保护等级划分准则》（GB17859-1999）</w:t>
      </w:r>
    </w:p>
    <w:p>
      <w:pPr>
        <w:spacing w:line="360" w:lineRule="auto"/>
        <w:ind w:firstLine="420" w:firstLineChars="200"/>
        <w:rPr>
          <w:rFonts w:hint="eastAsia"/>
        </w:rPr>
      </w:pPr>
      <w:r>
        <w:rPr>
          <w:rFonts w:hint="eastAsia"/>
        </w:rPr>
        <w:t>《安全防范工程技术规范》（GB 50348-2018）</w:t>
      </w:r>
    </w:p>
    <w:p>
      <w:pPr>
        <w:spacing w:line="360" w:lineRule="auto"/>
        <w:ind w:firstLine="420" w:firstLineChars="200"/>
        <w:rPr>
          <w:rFonts w:hint="eastAsia"/>
        </w:rPr>
      </w:pPr>
      <w:r>
        <w:rPr>
          <w:rFonts w:hint="eastAsia"/>
        </w:rPr>
        <w:t>《安全防范系统验收规则》（GA308-2001）</w:t>
      </w:r>
    </w:p>
    <w:p>
      <w:pPr>
        <w:spacing w:line="360" w:lineRule="auto"/>
        <w:ind w:firstLine="420" w:firstLineChars="200"/>
        <w:rPr>
          <w:rFonts w:hint="eastAsia"/>
        </w:rPr>
      </w:pPr>
      <w:r>
        <w:rPr>
          <w:rFonts w:hint="eastAsia"/>
        </w:rPr>
        <w:t>《交通电视监视系统工程验收规范》（GA/T 514-2004）</w:t>
      </w:r>
    </w:p>
    <w:p>
      <w:pPr>
        <w:spacing w:line="360" w:lineRule="auto"/>
        <w:ind w:firstLine="420" w:firstLineChars="200"/>
        <w:rPr>
          <w:rFonts w:hint="eastAsia"/>
        </w:rPr>
      </w:pPr>
      <w:r>
        <w:rPr>
          <w:rFonts w:hint="eastAsia"/>
        </w:rPr>
        <w:t>《电视视频通道测试方法》（GB3659-1983）</w:t>
      </w:r>
    </w:p>
    <w:p>
      <w:pPr>
        <w:spacing w:line="360" w:lineRule="auto"/>
        <w:ind w:firstLine="420" w:firstLineChars="200"/>
        <w:rPr>
          <w:rFonts w:hint="eastAsia"/>
        </w:rPr>
      </w:pPr>
      <w:r>
        <w:rPr>
          <w:rFonts w:hint="eastAsia"/>
        </w:rPr>
        <w:t>《彩色电视图像质量主观评价方法》（GB7401-1987）</w:t>
      </w:r>
    </w:p>
    <w:p>
      <w:pPr>
        <w:spacing w:line="360" w:lineRule="auto"/>
        <w:ind w:firstLine="420" w:firstLineChars="200"/>
        <w:rPr>
          <w:rFonts w:hint="eastAsia"/>
        </w:rPr>
      </w:pPr>
      <w:r>
        <w:rPr>
          <w:rFonts w:hint="eastAsia"/>
        </w:rPr>
        <w:t>《信息技术开放系统互连网络层安全协议》（GB/T 17963-2000）</w:t>
      </w:r>
    </w:p>
    <w:p>
      <w:pPr>
        <w:spacing w:line="360" w:lineRule="auto"/>
        <w:ind w:firstLine="420" w:firstLineChars="200"/>
        <w:rPr>
          <w:rFonts w:hint="eastAsia"/>
        </w:rPr>
      </w:pPr>
      <w:r>
        <w:rPr>
          <w:rFonts w:hint="eastAsia"/>
        </w:rPr>
        <w:t>《计算机信息系统安全保护等级划分准则》（GB17859-1999）</w:t>
      </w:r>
    </w:p>
    <w:p>
      <w:pPr>
        <w:spacing w:line="360" w:lineRule="auto"/>
        <w:ind w:firstLine="420" w:firstLineChars="200"/>
        <w:rPr>
          <w:rFonts w:hint="eastAsia"/>
        </w:rPr>
      </w:pPr>
      <w:r>
        <w:rPr>
          <w:rFonts w:hint="eastAsia"/>
        </w:rPr>
        <w:t>《计算机信息系统安全》（GA 216.1－1999）</w:t>
      </w:r>
    </w:p>
    <w:p>
      <w:pPr>
        <w:spacing w:line="360" w:lineRule="auto"/>
        <w:ind w:firstLine="420" w:firstLineChars="200"/>
        <w:rPr>
          <w:rFonts w:hint="eastAsia"/>
        </w:rPr>
      </w:pPr>
      <w:r>
        <w:rPr>
          <w:rFonts w:hint="eastAsia"/>
        </w:rPr>
        <w:t>《建筑物防雷设计规范》(GB50057-2010)</w:t>
      </w:r>
    </w:p>
    <w:p>
      <w:pPr>
        <w:spacing w:line="360" w:lineRule="auto"/>
        <w:ind w:firstLine="420" w:firstLineChars="200"/>
        <w:rPr>
          <w:rFonts w:hint="eastAsia"/>
        </w:rPr>
      </w:pPr>
      <w:r>
        <w:rPr>
          <w:rFonts w:hint="eastAsia"/>
        </w:rPr>
        <w:t>《建筑物电子信息系统防雷技术规范》(GB50343-2012)</w:t>
      </w:r>
    </w:p>
    <w:p>
      <w:pPr>
        <w:spacing w:line="360" w:lineRule="auto"/>
        <w:ind w:firstLine="420" w:firstLineChars="200"/>
        <w:rPr>
          <w:rFonts w:hint="eastAsia"/>
        </w:rPr>
      </w:pPr>
      <w:r>
        <w:rPr>
          <w:rFonts w:hint="eastAsia"/>
        </w:rPr>
        <w:t>《安全防范系统雷电浪涌防护技术要求》(GA/T670-2006)</w:t>
      </w:r>
    </w:p>
    <w:p>
      <w:pPr>
        <w:spacing w:line="360" w:lineRule="auto"/>
        <w:ind w:firstLine="420" w:firstLineChars="200"/>
        <w:rPr>
          <w:rFonts w:hint="eastAsia"/>
        </w:rPr>
      </w:pPr>
      <w:r>
        <w:rPr>
          <w:rFonts w:hint="eastAsia"/>
        </w:rPr>
        <w:t>《电气装置安装工程电缆线路施工及验收规范》（GB 50168-2006）</w:t>
      </w:r>
    </w:p>
    <w:p>
      <w:pPr>
        <w:spacing w:line="360" w:lineRule="auto"/>
        <w:ind w:firstLine="420" w:firstLineChars="200"/>
        <w:rPr>
          <w:rFonts w:hint="eastAsia"/>
        </w:rPr>
      </w:pPr>
      <w:r>
        <w:rPr>
          <w:rFonts w:hint="eastAsia"/>
        </w:rPr>
        <w:t>《电气装置安装工程施工及验收规范》（GBJ 232-2006）</w:t>
      </w:r>
    </w:p>
    <w:p>
      <w:pPr>
        <w:spacing w:line="360" w:lineRule="auto"/>
        <w:ind w:firstLine="420" w:firstLineChars="200"/>
        <w:rPr>
          <w:rFonts w:hint="eastAsia"/>
        </w:rPr>
      </w:pPr>
      <w:r>
        <w:rPr>
          <w:rFonts w:hint="eastAsia"/>
        </w:rPr>
        <w:t>《工业企业通讯接地设计规范》（GBJ79—85）</w:t>
      </w:r>
    </w:p>
    <w:p>
      <w:pPr>
        <w:spacing w:line="360" w:lineRule="auto"/>
        <w:ind w:firstLine="420" w:firstLineChars="200"/>
        <w:rPr>
          <w:rFonts w:hint="eastAsia"/>
        </w:rPr>
      </w:pPr>
      <w:r>
        <w:rPr>
          <w:rFonts w:hint="eastAsia"/>
        </w:rPr>
        <w:t>《公安交通管理外场设备基础施工通用要求》（GA/T652-2017）</w:t>
      </w:r>
    </w:p>
    <w:p>
      <w:pPr>
        <w:spacing w:line="360" w:lineRule="auto"/>
        <w:ind w:firstLine="420" w:firstLineChars="200"/>
        <w:rPr>
          <w:rFonts w:hint="eastAsia"/>
        </w:rPr>
      </w:pPr>
      <w:r>
        <w:rPr>
          <w:rFonts w:hint="eastAsia"/>
        </w:rPr>
        <w:t>《数据中心设计规范》(GB50174-2017）</w:t>
      </w:r>
    </w:p>
    <w:p>
      <w:pPr>
        <w:spacing w:line="360" w:lineRule="auto"/>
        <w:ind w:firstLine="420" w:firstLineChars="200"/>
        <w:rPr>
          <w:rFonts w:hint="eastAsia"/>
        </w:rPr>
      </w:pPr>
      <w:r>
        <w:rPr>
          <w:rFonts w:hint="eastAsia"/>
        </w:rPr>
        <w:t>《电子信息系统机房施工及验收规范》（GB50462-2008）</w:t>
      </w:r>
    </w:p>
    <w:p>
      <w:pPr>
        <w:spacing w:line="360" w:lineRule="auto"/>
        <w:ind w:firstLine="420" w:firstLineChars="200"/>
        <w:rPr>
          <w:rFonts w:hint="eastAsia"/>
        </w:rPr>
      </w:pPr>
      <w:r>
        <w:rPr>
          <w:rFonts w:hint="eastAsia"/>
        </w:rPr>
        <w:t>《数据中心的电信基础设施标准》（TIA-942-2005）</w:t>
      </w:r>
    </w:p>
    <w:p>
      <w:pPr>
        <w:spacing w:line="360" w:lineRule="auto"/>
        <w:ind w:firstLine="420" w:firstLineChars="200"/>
        <w:rPr>
          <w:rFonts w:hint="eastAsia"/>
        </w:rPr>
      </w:pPr>
      <w:r>
        <w:rPr>
          <w:rFonts w:hint="eastAsia"/>
        </w:rPr>
        <w:t>《通信用不间断电源UPS》（YD/T 1095-2000）</w:t>
      </w:r>
    </w:p>
    <w:p>
      <w:pPr>
        <w:spacing w:line="360" w:lineRule="auto"/>
        <w:ind w:firstLine="420" w:firstLineChars="200"/>
        <w:rPr>
          <w:rFonts w:hint="eastAsia"/>
        </w:rPr>
      </w:pPr>
      <w:r>
        <w:rPr>
          <w:rFonts w:hint="eastAsia"/>
        </w:rPr>
        <w:t>《计算机场地技术条件》（GB2887-2011）</w:t>
      </w:r>
    </w:p>
    <w:p>
      <w:pPr>
        <w:spacing w:line="360" w:lineRule="auto"/>
        <w:ind w:firstLine="420" w:firstLineChars="200"/>
        <w:rPr>
          <w:rFonts w:hint="eastAsia"/>
        </w:rPr>
      </w:pPr>
      <w:r>
        <w:rPr>
          <w:rFonts w:hint="eastAsia"/>
        </w:rPr>
        <w:t>《供配电系统设计规范》（GB50052-2009）</w:t>
      </w:r>
    </w:p>
    <w:p>
      <w:pPr>
        <w:spacing w:line="360" w:lineRule="auto"/>
        <w:ind w:firstLine="420" w:firstLineChars="200"/>
        <w:rPr>
          <w:rFonts w:hint="eastAsia"/>
        </w:rPr>
      </w:pPr>
      <w:r>
        <w:rPr>
          <w:rFonts w:hint="eastAsia"/>
        </w:rPr>
        <w:t>《低压配电设计规范》（GB50054-2011）</w:t>
      </w:r>
    </w:p>
    <w:p>
      <w:pPr>
        <w:spacing w:line="360" w:lineRule="auto"/>
        <w:ind w:firstLine="420" w:firstLineChars="200"/>
        <w:rPr>
          <w:rFonts w:hint="eastAsia"/>
        </w:rPr>
      </w:pPr>
      <w:r>
        <w:rPr>
          <w:rFonts w:hint="eastAsia"/>
        </w:rPr>
        <w:t>《电子设备雷击保护导则》（GB7450-1987）</w:t>
      </w:r>
    </w:p>
    <w:p>
      <w:pPr>
        <w:spacing w:line="360" w:lineRule="auto"/>
        <w:ind w:firstLine="420" w:firstLineChars="200"/>
        <w:rPr>
          <w:rFonts w:hint="eastAsia"/>
        </w:rPr>
      </w:pPr>
      <w:r>
        <w:rPr>
          <w:rFonts w:hint="eastAsia"/>
        </w:rPr>
        <w:t>《建筑与建筑群综合布线系统工程设计规范》（GB/T 50311-2000）</w:t>
      </w:r>
    </w:p>
    <w:p>
      <w:pPr>
        <w:spacing w:line="360" w:lineRule="auto"/>
        <w:ind w:firstLine="420" w:firstLineChars="200"/>
        <w:rPr>
          <w:rFonts w:hint="eastAsia"/>
        </w:rPr>
      </w:pPr>
      <w:r>
        <w:rPr>
          <w:rFonts w:hint="eastAsia"/>
        </w:rPr>
        <w:t>《建筑与建筑群综合布线系统工程验收规范》（GB/T 50312-2000）</w:t>
      </w:r>
    </w:p>
    <w:p>
      <w:pPr>
        <w:pStyle w:val="3"/>
        <w:widowControl/>
        <w:numPr>
          <w:ilvl w:val="0"/>
          <w:numId w:val="8"/>
        </w:numPr>
        <w:rPr>
          <w:rFonts w:hint="eastAsia" w:ascii="宋体" w:hAnsi="宋体" w:cs="宋体"/>
          <w:b/>
          <w:bCs/>
          <w:szCs w:val="21"/>
        </w:rPr>
      </w:pPr>
      <w:bookmarkStart w:id="5" w:name="_Toc16032"/>
      <w:r>
        <w:rPr>
          <w:rFonts w:hint="eastAsia" w:ascii="宋体" w:hAnsi="宋体" w:cs="宋体"/>
          <w:b/>
          <w:bCs/>
          <w:szCs w:val="21"/>
        </w:rPr>
        <w:t>建设</w:t>
      </w:r>
      <w:bookmarkEnd w:id="5"/>
      <w:r>
        <w:rPr>
          <w:rFonts w:hint="eastAsia" w:ascii="宋体" w:hAnsi="宋体" w:cs="宋体"/>
          <w:b/>
          <w:bCs/>
          <w:szCs w:val="21"/>
        </w:rPr>
        <w:t>内容</w:t>
      </w:r>
    </w:p>
    <w:p>
      <w:pPr>
        <w:spacing w:line="360" w:lineRule="auto"/>
        <w:ind w:firstLine="420" w:firstLineChars="200"/>
        <w:rPr>
          <w:rFonts w:hint="eastAsia"/>
        </w:rPr>
      </w:pPr>
      <w:r>
        <w:rPr>
          <w:rFonts w:hint="eastAsia"/>
        </w:rPr>
        <w:t>本项目建设内容包括改造信号灯倒计时、建设交通信号控制系统、建设高清电子警察系统、建设卡口抓拍系统、建设违停抓拍系统、建设智能交通诱导系统、建设行人过街语音警示系统、建设行人闯红灯抓拍系统、建设行人闯红灯道闸提示系统、升级改造指挥中心大屏及后台存储扩容、升级平台软件等。</w:t>
      </w:r>
      <w:r>
        <w:rPr>
          <w:rFonts w:hint="eastAsia"/>
          <w:b/>
          <w:color w:val="FF0000"/>
        </w:rPr>
        <w:t>根据路况，部分点位可能进行调整，结算时以实际工程量为准。</w:t>
      </w:r>
    </w:p>
    <w:p>
      <w:pPr>
        <w:pStyle w:val="3"/>
        <w:widowControl/>
        <w:numPr>
          <w:ilvl w:val="0"/>
          <w:numId w:val="0"/>
        </w:numPr>
        <w:ind w:leftChars="0"/>
        <w:rPr>
          <w:rFonts w:hint="eastAsia"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信号灯倒计时改造</w:t>
      </w:r>
    </w:p>
    <w:p>
      <w:pPr>
        <w:pStyle w:val="7"/>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概述</w:t>
      </w:r>
    </w:p>
    <w:p>
      <w:pPr>
        <w:spacing w:line="360" w:lineRule="auto"/>
        <w:ind w:firstLine="420"/>
        <w:rPr>
          <w:rFonts w:hint="eastAsia"/>
        </w:rPr>
      </w:pPr>
      <w:r>
        <w:rPr>
          <w:rFonts w:hint="eastAsia"/>
        </w:rPr>
        <w:t>交通信号倒计时显示器可有效提醒驾驶人注意红绿灯之间的转换，提前采取绿灯起步或红灯停车的准备，从而提高绿灯有效利用率。</w:t>
      </w:r>
    </w:p>
    <w:p>
      <w:pPr>
        <w:pStyle w:val="7"/>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建设内容</w:t>
      </w:r>
    </w:p>
    <w:p>
      <w:pPr>
        <w:spacing w:line="360" w:lineRule="auto"/>
        <w:ind w:firstLine="420"/>
        <w:rPr>
          <w:rFonts w:hint="eastAsia"/>
        </w:rPr>
      </w:pPr>
      <w:r>
        <w:rPr>
          <w:rFonts w:hint="eastAsia"/>
        </w:rPr>
        <w:t>安吉县范围内230个路口倒计时显示器改造，将学习型倒计时显示器改造为触发式倒计时显示器，以及配套30组左转提示屏和6组单行线提示屏加装。</w:t>
      </w:r>
    </w:p>
    <w:p>
      <w:pPr>
        <w:pStyle w:val="3"/>
        <w:widowControl/>
        <w:numPr>
          <w:ilvl w:val="0"/>
          <w:numId w:val="0"/>
        </w:numPr>
        <w:ind w:leftChars="0"/>
        <w:rPr>
          <w:rFonts w:hint="eastAsia" w:ascii="宋体" w:hAnsi="宋体" w:cs="宋体"/>
          <w:b/>
          <w:bCs/>
          <w:szCs w:val="21"/>
          <w:lang w:val="en-US" w:eastAsia="zh-CN"/>
        </w:rPr>
      </w:pPr>
      <w:r>
        <w:rPr>
          <w:rFonts w:hint="eastAsia" w:ascii="宋体" w:hAnsi="宋体" w:cs="宋体"/>
          <w:b/>
          <w:bCs/>
          <w:szCs w:val="21"/>
          <w:lang w:val="en-US" w:eastAsia="zh-CN"/>
        </w:rPr>
        <w:t>2.交通信号控制系统</w:t>
      </w:r>
    </w:p>
    <w:p>
      <w:pPr>
        <w:pStyle w:val="7"/>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概述</w:t>
      </w:r>
    </w:p>
    <w:p>
      <w:pPr>
        <w:spacing w:line="360" w:lineRule="auto"/>
        <w:ind w:firstLine="420"/>
        <w:rPr>
          <w:rFonts w:hint="eastAsia"/>
          <w:szCs w:val="22"/>
        </w:rPr>
      </w:pPr>
      <w:r>
        <w:rPr>
          <w:rFonts w:hint="eastAsia"/>
          <w:szCs w:val="22"/>
        </w:rPr>
        <w:t>安吉城区的交通信号控制系统经过多年的建设，已逐步形成了遍布整个城区的交通信号控制联网，但仍有几个路口无信号灯控制系统，影响路口通行安全。</w:t>
      </w:r>
    </w:p>
    <w:p>
      <w:pPr>
        <w:pStyle w:val="7"/>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建设内容</w:t>
      </w:r>
    </w:p>
    <w:p>
      <w:pPr>
        <w:spacing w:line="360" w:lineRule="auto"/>
        <w:ind w:firstLine="420"/>
        <w:rPr>
          <w:rFonts w:hint="eastAsia"/>
          <w:szCs w:val="22"/>
        </w:rPr>
      </w:pPr>
      <w:r>
        <w:rPr>
          <w:rFonts w:hint="eastAsia"/>
          <w:szCs w:val="22"/>
        </w:rPr>
        <w:t>在无信号灯控路口建设信号控制系统，保证路口安全有序通行，并配套建设视频检测系统，检测路口的车流量和排队长度，实时传输到路口信号机和信号控制平台，为路口和路段的信号协调控制算法提供更为全面的数据支撑。具体建设点位如下：</w:t>
      </w:r>
    </w:p>
    <w:tbl>
      <w:tblPr>
        <w:tblStyle w:val="3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trPr>
        <w:tc>
          <w:tcPr>
            <w:tcW w:w="1533" w:type="dxa"/>
            <w:shd w:val="clear" w:color="auto" w:fill="D9D9D9"/>
            <w:noWrap w:val="0"/>
            <w:vAlign w:val="center"/>
          </w:tcPr>
          <w:p>
            <w:pPr>
              <w:jc w:val="center"/>
              <w:rPr>
                <w:rFonts w:ascii="宋体" w:hAnsi="黑体"/>
                <w:b/>
                <w:szCs w:val="22"/>
              </w:rPr>
            </w:pPr>
            <w:r>
              <w:rPr>
                <w:rFonts w:hint="eastAsia" w:ascii="宋体" w:hAnsi="黑体"/>
                <w:b/>
                <w:szCs w:val="22"/>
              </w:rPr>
              <w:t>序号</w:t>
            </w:r>
          </w:p>
        </w:tc>
        <w:tc>
          <w:tcPr>
            <w:tcW w:w="3262" w:type="dxa"/>
            <w:shd w:val="clear" w:color="auto" w:fill="D9D9D9"/>
            <w:noWrap w:val="0"/>
            <w:vAlign w:val="center"/>
          </w:tcPr>
          <w:p>
            <w:pPr>
              <w:jc w:val="center"/>
              <w:rPr>
                <w:rFonts w:ascii="宋体" w:hAnsi="黑体"/>
                <w:b/>
                <w:szCs w:val="22"/>
              </w:rPr>
            </w:pPr>
            <w:r>
              <w:rPr>
                <w:rFonts w:hint="eastAsia" w:ascii="宋体" w:hAnsi="黑体"/>
                <w:b/>
                <w:szCs w:val="22"/>
              </w:rPr>
              <w:t>路口名称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trPr>
        <w:tc>
          <w:tcPr>
            <w:tcW w:w="1533" w:type="dxa"/>
            <w:noWrap w:val="0"/>
            <w:vAlign w:val="center"/>
          </w:tcPr>
          <w:p>
            <w:pPr>
              <w:jc w:val="center"/>
              <w:rPr>
                <w:rFonts w:ascii="宋体" w:hAnsi="黑体"/>
                <w:szCs w:val="22"/>
              </w:rPr>
            </w:pPr>
            <w:r>
              <w:rPr>
                <w:rFonts w:hint="eastAsia" w:ascii="宋体" w:hAnsi="黑体"/>
                <w:szCs w:val="22"/>
              </w:rPr>
              <w:t>1</w:t>
            </w:r>
          </w:p>
        </w:tc>
        <w:tc>
          <w:tcPr>
            <w:tcW w:w="3262" w:type="dxa"/>
            <w:noWrap w:val="0"/>
            <w:vAlign w:val="center"/>
          </w:tcPr>
          <w:p>
            <w:pPr>
              <w:jc w:val="center"/>
              <w:rPr>
                <w:rFonts w:ascii="宋体" w:hAnsi="黑体"/>
                <w:szCs w:val="22"/>
              </w:rPr>
            </w:pPr>
            <w:r>
              <w:rPr>
                <w:rFonts w:hint="eastAsia" w:ascii="宋体" w:hAnsi="黑体"/>
                <w:szCs w:val="22"/>
              </w:rPr>
              <w:t>穆王路-灵峰路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1533" w:type="dxa"/>
            <w:noWrap w:val="0"/>
            <w:vAlign w:val="center"/>
          </w:tcPr>
          <w:p>
            <w:pPr>
              <w:jc w:val="center"/>
              <w:rPr>
                <w:rFonts w:ascii="宋体" w:hAnsi="黑体"/>
                <w:szCs w:val="22"/>
              </w:rPr>
            </w:pPr>
            <w:r>
              <w:rPr>
                <w:rFonts w:ascii="宋体" w:hAnsi="黑体"/>
                <w:szCs w:val="22"/>
              </w:rPr>
              <w:t>2</w:t>
            </w:r>
          </w:p>
        </w:tc>
        <w:tc>
          <w:tcPr>
            <w:tcW w:w="3262" w:type="dxa"/>
            <w:noWrap w:val="0"/>
            <w:vAlign w:val="center"/>
          </w:tcPr>
          <w:p>
            <w:pPr>
              <w:jc w:val="center"/>
              <w:rPr>
                <w:rFonts w:ascii="宋体" w:hAnsi="黑体"/>
                <w:szCs w:val="22"/>
              </w:rPr>
            </w:pPr>
            <w:r>
              <w:rPr>
                <w:rFonts w:hint="eastAsia" w:ascii="宋体" w:hAnsi="黑体"/>
                <w:szCs w:val="22"/>
              </w:rPr>
              <w:t>穆王路-体育馆路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trPr>
        <w:tc>
          <w:tcPr>
            <w:tcW w:w="1533" w:type="dxa"/>
            <w:noWrap w:val="0"/>
            <w:vAlign w:val="center"/>
          </w:tcPr>
          <w:p>
            <w:pPr>
              <w:jc w:val="center"/>
              <w:rPr>
                <w:rFonts w:ascii="宋体" w:hAnsi="黑体"/>
                <w:szCs w:val="22"/>
              </w:rPr>
            </w:pPr>
            <w:r>
              <w:rPr>
                <w:rFonts w:ascii="宋体" w:hAnsi="黑体"/>
                <w:szCs w:val="22"/>
              </w:rPr>
              <w:t>3</w:t>
            </w:r>
          </w:p>
        </w:tc>
        <w:tc>
          <w:tcPr>
            <w:tcW w:w="3262" w:type="dxa"/>
            <w:noWrap w:val="0"/>
            <w:vAlign w:val="center"/>
          </w:tcPr>
          <w:p>
            <w:pPr>
              <w:jc w:val="center"/>
              <w:rPr>
                <w:rFonts w:ascii="宋体" w:hAnsi="黑体"/>
                <w:szCs w:val="22"/>
              </w:rPr>
            </w:pPr>
            <w:r>
              <w:rPr>
                <w:rFonts w:hint="eastAsia" w:ascii="宋体" w:hAnsi="黑体"/>
                <w:szCs w:val="22"/>
              </w:rPr>
              <w:t>浦源大道-递铺路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trPr>
        <w:tc>
          <w:tcPr>
            <w:tcW w:w="1533" w:type="dxa"/>
            <w:noWrap w:val="0"/>
            <w:vAlign w:val="center"/>
          </w:tcPr>
          <w:p>
            <w:pPr>
              <w:jc w:val="center"/>
              <w:rPr>
                <w:rFonts w:ascii="宋体" w:hAnsi="黑体"/>
                <w:szCs w:val="22"/>
              </w:rPr>
            </w:pPr>
            <w:r>
              <w:rPr>
                <w:rFonts w:ascii="宋体" w:hAnsi="黑体"/>
                <w:szCs w:val="22"/>
              </w:rPr>
              <w:t>4</w:t>
            </w:r>
          </w:p>
        </w:tc>
        <w:tc>
          <w:tcPr>
            <w:tcW w:w="3262" w:type="dxa"/>
            <w:noWrap w:val="0"/>
            <w:vAlign w:val="center"/>
          </w:tcPr>
          <w:p>
            <w:pPr>
              <w:jc w:val="center"/>
              <w:rPr>
                <w:rFonts w:ascii="宋体" w:hAnsi="黑体"/>
                <w:szCs w:val="22"/>
              </w:rPr>
            </w:pPr>
            <w:r>
              <w:rPr>
                <w:rFonts w:hint="eastAsia" w:ascii="宋体" w:hAnsi="黑体"/>
                <w:szCs w:val="22"/>
              </w:rPr>
              <w:t>天目路-石佛路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trPr>
        <w:tc>
          <w:tcPr>
            <w:tcW w:w="1533" w:type="dxa"/>
            <w:noWrap w:val="0"/>
            <w:vAlign w:val="center"/>
          </w:tcPr>
          <w:p>
            <w:pPr>
              <w:jc w:val="center"/>
              <w:rPr>
                <w:rFonts w:ascii="宋体" w:hAnsi="黑体"/>
                <w:szCs w:val="22"/>
              </w:rPr>
            </w:pPr>
            <w:r>
              <w:rPr>
                <w:rFonts w:ascii="宋体" w:hAnsi="黑体"/>
                <w:szCs w:val="22"/>
              </w:rPr>
              <w:t>5</w:t>
            </w:r>
          </w:p>
        </w:tc>
        <w:tc>
          <w:tcPr>
            <w:tcW w:w="3262" w:type="dxa"/>
            <w:noWrap w:val="0"/>
            <w:vAlign w:val="center"/>
          </w:tcPr>
          <w:p>
            <w:pPr>
              <w:jc w:val="center"/>
              <w:rPr>
                <w:rFonts w:ascii="宋体" w:hAnsi="黑体"/>
                <w:szCs w:val="22"/>
              </w:rPr>
            </w:pPr>
            <w:r>
              <w:rPr>
                <w:rFonts w:hint="eastAsia" w:ascii="宋体" w:hAnsi="黑体"/>
                <w:szCs w:val="22"/>
              </w:rPr>
              <w:t>环翠路-体育馆路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1533" w:type="dxa"/>
            <w:noWrap w:val="0"/>
            <w:vAlign w:val="center"/>
          </w:tcPr>
          <w:p>
            <w:pPr>
              <w:jc w:val="center"/>
              <w:rPr>
                <w:rFonts w:ascii="宋体" w:hAnsi="黑体"/>
                <w:szCs w:val="22"/>
              </w:rPr>
            </w:pPr>
            <w:r>
              <w:rPr>
                <w:rFonts w:ascii="宋体" w:hAnsi="黑体"/>
                <w:szCs w:val="22"/>
              </w:rPr>
              <w:t>6</w:t>
            </w:r>
          </w:p>
        </w:tc>
        <w:tc>
          <w:tcPr>
            <w:tcW w:w="3262" w:type="dxa"/>
            <w:noWrap w:val="0"/>
            <w:vAlign w:val="center"/>
          </w:tcPr>
          <w:p>
            <w:pPr>
              <w:jc w:val="center"/>
              <w:rPr>
                <w:rFonts w:ascii="宋体" w:hAnsi="黑体"/>
                <w:szCs w:val="22"/>
              </w:rPr>
            </w:pPr>
            <w:r>
              <w:rPr>
                <w:rFonts w:hint="eastAsia" w:ascii="宋体" w:hAnsi="黑体"/>
                <w:szCs w:val="22"/>
              </w:rPr>
              <w:t>独松关路-半岭路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trPr>
        <w:tc>
          <w:tcPr>
            <w:tcW w:w="1533" w:type="dxa"/>
            <w:noWrap w:val="0"/>
            <w:vAlign w:val="center"/>
          </w:tcPr>
          <w:p>
            <w:pPr>
              <w:jc w:val="center"/>
              <w:rPr>
                <w:rFonts w:ascii="宋体" w:hAnsi="黑体"/>
                <w:szCs w:val="22"/>
              </w:rPr>
            </w:pPr>
            <w:r>
              <w:rPr>
                <w:rFonts w:ascii="宋体" w:hAnsi="黑体"/>
                <w:szCs w:val="22"/>
              </w:rPr>
              <w:t>7</w:t>
            </w:r>
          </w:p>
        </w:tc>
        <w:tc>
          <w:tcPr>
            <w:tcW w:w="3262" w:type="dxa"/>
            <w:noWrap w:val="0"/>
            <w:vAlign w:val="center"/>
          </w:tcPr>
          <w:p>
            <w:pPr>
              <w:jc w:val="center"/>
              <w:rPr>
                <w:rFonts w:ascii="宋体" w:hAnsi="黑体"/>
                <w:szCs w:val="22"/>
              </w:rPr>
            </w:pPr>
            <w:r>
              <w:rPr>
                <w:rFonts w:hint="eastAsia" w:ascii="宋体" w:hAnsi="黑体"/>
                <w:szCs w:val="22"/>
              </w:rPr>
              <w:t>天荒坪路-金石路</w:t>
            </w:r>
          </w:p>
        </w:tc>
      </w:tr>
    </w:tbl>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rPr>
          <w:rFonts w:hint="eastAsia"/>
        </w:rPr>
      </w:pPr>
    </w:p>
    <w:p>
      <w:pPr>
        <w:pStyle w:val="6"/>
        <w:ind w:firstLine="480"/>
        <w:rPr>
          <w:rFonts w:hint="eastAsia"/>
        </w:rPr>
      </w:pPr>
    </w:p>
    <w:p>
      <w:pPr>
        <w:pStyle w:val="7"/>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信号控制机功能要求</w:t>
      </w:r>
    </w:p>
    <w:p>
      <w:pPr>
        <w:autoSpaceDE w:val="0"/>
        <w:spacing w:line="360" w:lineRule="auto"/>
        <w:ind w:firstLine="422" w:firstLineChars="200"/>
        <w:rPr>
          <w:b/>
          <w:szCs w:val="21"/>
        </w:rPr>
      </w:pPr>
      <w:r>
        <w:rPr>
          <w:rFonts w:hint="eastAsia" w:ascii="宋体" w:hAnsi="宋体" w:cs="宋体"/>
          <w:b/>
          <w:szCs w:val="21"/>
        </w:rPr>
        <w:t>▲</w:t>
      </w:r>
      <w:r>
        <w:rPr>
          <w:rFonts w:hint="eastAsia" w:ascii="宋体" w:hAnsi="宋体" w:cs="宋体"/>
          <w:b/>
          <w:szCs w:val="21"/>
          <w:lang w:bidi="ar"/>
        </w:rPr>
        <w:t>符合国家公共安全行业标准</w:t>
      </w:r>
      <w:r>
        <w:rPr>
          <w:rFonts w:hint="eastAsia" w:cs="宋体"/>
          <w:b/>
          <w:szCs w:val="21"/>
          <w:lang w:bidi="ar"/>
        </w:rPr>
        <w:t>GB25280-2016</w:t>
      </w:r>
      <w:r>
        <w:rPr>
          <w:rFonts w:hint="eastAsia" w:ascii="宋体" w:hAnsi="宋体" w:cs="宋体"/>
          <w:b/>
          <w:szCs w:val="21"/>
          <w:lang w:bidi="ar"/>
        </w:rPr>
        <w:t>《道路交通信号控制机》，并提供公安部交通安全产品质量监督检测中心出具的检测报告。</w:t>
      </w:r>
    </w:p>
    <w:p>
      <w:pPr>
        <w:autoSpaceDE w:val="0"/>
        <w:spacing w:line="360" w:lineRule="auto"/>
        <w:ind w:firstLine="422" w:firstLineChars="200"/>
        <w:rPr>
          <w:b/>
          <w:bCs w:val="0"/>
          <w:szCs w:val="21"/>
          <w:highlight w:val="none"/>
          <w:u w:val="single"/>
        </w:rPr>
      </w:pPr>
      <w:r>
        <w:rPr>
          <w:rFonts w:hint="eastAsia" w:ascii="宋体" w:hAnsi="宋体" w:cs="宋体"/>
          <w:b/>
          <w:bCs w:val="0"/>
          <w:szCs w:val="21"/>
          <w:highlight w:val="none"/>
          <w:u w:val="single"/>
          <w:lang w:bidi="ar"/>
        </w:rPr>
        <w:t>交通信号控制机软件支持</w:t>
      </w:r>
      <w:r>
        <w:rPr>
          <w:rFonts w:hint="eastAsia" w:cs="宋体"/>
          <w:b/>
          <w:bCs w:val="0"/>
          <w:szCs w:val="21"/>
          <w:highlight w:val="none"/>
          <w:u w:val="single"/>
          <w:lang w:bidi="ar"/>
        </w:rPr>
        <w:t>NTCIP</w:t>
      </w:r>
      <w:r>
        <w:rPr>
          <w:rFonts w:hint="eastAsia" w:ascii="宋体" w:hAnsi="宋体" w:cs="宋体"/>
          <w:b/>
          <w:bCs w:val="0"/>
          <w:szCs w:val="21"/>
          <w:highlight w:val="none"/>
          <w:u w:val="single"/>
          <w:lang w:bidi="ar"/>
        </w:rPr>
        <w:t>协议，符合度不低于99%，提供中国软件评测中心出具的</w:t>
      </w:r>
      <w:r>
        <w:rPr>
          <w:b/>
          <w:bCs w:val="0"/>
          <w:szCs w:val="21"/>
          <w:highlight w:val="none"/>
          <w:u w:val="single"/>
          <w:lang w:bidi="ar"/>
        </w:rPr>
        <w:t>NTCIP</w:t>
      </w:r>
      <w:r>
        <w:rPr>
          <w:rFonts w:hint="eastAsia" w:ascii="宋体" w:hAnsi="宋体" w:cs="宋体"/>
          <w:b/>
          <w:bCs w:val="0"/>
          <w:szCs w:val="21"/>
          <w:highlight w:val="none"/>
          <w:u w:val="single"/>
          <w:lang w:bidi="ar"/>
        </w:rPr>
        <w:t>协议标准符合性测试报告。</w:t>
      </w:r>
    </w:p>
    <w:p>
      <w:pPr>
        <w:autoSpaceDE w:val="0"/>
        <w:spacing w:line="360" w:lineRule="auto"/>
        <w:ind w:firstLine="422" w:firstLineChars="200"/>
        <w:rPr>
          <w:rFonts w:ascii="宋体" w:hAnsi="宋体" w:cs="宋体"/>
          <w:b/>
          <w:bCs w:val="0"/>
          <w:szCs w:val="21"/>
          <w:highlight w:val="none"/>
          <w:u w:val="single"/>
          <w:lang w:bidi="ar"/>
        </w:rPr>
      </w:pPr>
      <w:r>
        <w:rPr>
          <w:rFonts w:hint="eastAsia" w:ascii="宋体" w:hAnsi="宋体" w:cs="宋体"/>
          <w:b/>
          <w:bCs w:val="0"/>
          <w:szCs w:val="21"/>
          <w:highlight w:val="none"/>
          <w:u w:val="single"/>
          <w:lang w:bidi="ar"/>
        </w:rPr>
        <w:t>交通信号机通过</w:t>
      </w:r>
      <w:r>
        <w:rPr>
          <w:rFonts w:hint="eastAsia" w:cs="宋体"/>
          <w:b/>
          <w:bCs w:val="0"/>
          <w:szCs w:val="21"/>
          <w:highlight w:val="none"/>
          <w:u w:val="single"/>
          <w:lang w:bidi="ar"/>
        </w:rPr>
        <w:t>CCC</w:t>
      </w:r>
      <w:r>
        <w:rPr>
          <w:rFonts w:hint="eastAsia" w:ascii="宋体" w:hAnsi="宋体" w:cs="宋体"/>
          <w:b/>
          <w:bCs w:val="0"/>
          <w:szCs w:val="21"/>
          <w:highlight w:val="none"/>
          <w:u w:val="single"/>
          <w:lang w:bidi="ar"/>
        </w:rPr>
        <w:t>认证，并提供认证证书。</w:t>
      </w:r>
    </w:p>
    <w:p>
      <w:pPr>
        <w:autoSpaceDE w:val="0"/>
        <w:spacing w:line="360" w:lineRule="auto"/>
        <w:ind w:firstLine="422" w:firstLineChars="200"/>
        <w:rPr>
          <w:rFonts w:hint="eastAsia" w:ascii="宋体" w:hAnsi="宋体" w:cs="宋体"/>
          <w:b/>
          <w:bCs w:val="0"/>
          <w:szCs w:val="21"/>
          <w:highlight w:val="none"/>
          <w:u w:val="single"/>
          <w:lang w:bidi="ar"/>
        </w:rPr>
      </w:pPr>
      <w:r>
        <w:rPr>
          <w:rFonts w:hint="eastAsia" w:ascii="宋体" w:hAnsi="宋体" w:cs="宋体"/>
          <w:b/>
          <w:bCs w:val="0"/>
          <w:szCs w:val="21"/>
          <w:highlight w:val="none"/>
          <w:u w:val="single"/>
          <w:lang w:bidi="ar"/>
        </w:rPr>
        <w:t>交通信号控制机应通过国家检测机构的环境适应性检测并具有检测报告。</w:t>
      </w:r>
    </w:p>
    <w:p>
      <w:pPr>
        <w:autoSpaceDE w:val="0"/>
        <w:spacing w:line="360" w:lineRule="auto"/>
        <w:ind w:firstLine="420" w:firstLineChars="200"/>
        <w:rPr>
          <w:szCs w:val="21"/>
        </w:rPr>
      </w:pPr>
      <w:r>
        <w:rPr>
          <w:rFonts w:hint="eastAsia" w:ascii="宋体" w:hAnsi="宋体" w:cs="宋体"/>
          <w:szCs w:val="21"/>
          <w:lang w:bidi="ar"/>
        </w:rPr>
        <w:t>为保证信号控制系统的运行效率和可靠性，信号控制机</w:t>
      </w:r>
      <w:r>
        <w:rPr>
          <w:szCs w:val="21"/>
          <w:lang w:bidi="ar"/>
        </w:rPr>
        <w:t>CPU</w:t>
      </w:r>
      <w:r>
        <w:rPr>
          <w:rFonts w:hint="eastAsia" w:ascii="宋体" w:hAnsi="宋体" w:cs="宋体"/>
          <w:szCs w:val="21"/>
          <w:lang w:bidi="ar"/>
        </w:rPr>
        <w:t>必须采用</w:t>
      </w:r>
      <w:r>
        <w:rPr>
          <w:szCs w:val="21"/>
          <w:lang w:bidi="ar"/>
        </w:rPr>
        <w:t xml:space="preserve">ARM9 </w:t>
      </w:r>
      <w:r>
        <w:rPr>
          <w:rFonts w:hint="eastAsia" w:ascii="宋体" w:hAnsi="宋体" w:cs="宋体"/>
          <w:szCs w:val="21"/>
          <w:lang w:bidi="ar"/>
        </w:rPr>
        <w:t>以上的</w:t>
      </w:r>
      <w:r>
        <w:rPr>
          <w:szCs w:val="21"/>
          <w:lang w:bidi="ar"/>
        </w:rPr>
        <w:t>32</w:t>
      </w:r>
      <w:r>
        <w:rPr>
          <w:rFonts w:hint="eastAsia" w:ascii="宋体" w:hAnsi="宋体" w:cs="宋体"/>
          <w:szCs w:val="21"/>
          <w:lang w:bidi="ar"/>
        </w:rPr>
        <w:t>位嵌入式处理器和嵌入式实时操作系统；</w:t>
      </w:r>
    </w:p>
    <w:p>
      <w:pPr>
        <w:autoSpaceDE w:val="0"/>
        <w:spacing w:line="360" w:lineRule="auto"/>
        <w:ind w:firstLine="420" w:firstLineChars="200"/>
        <w:rPr>
          <w:szCs w:val="21"/>
        </w:rPr>
      </w:pPr>
      <w:r>
        <w:rPr>
          <w:rFonts w:hint="eastAsia" w:ascii="宋体" w:hAnsi="宋体" w:cs="宋体"/>
          <w:szCs w:val="21"/>
          <w:lang w:bidi="ar"/>
        </w:rPr>
        <w:t>支持多时段定时控制、人工手动控制、感应控制（半感应、全感应）、自适应控制、干线协调控制、指挥中心联网控制、区域协调控制等多种控制方式。具有信号控制自动降级功能，在控制方式转换、配时方案变化时，信号机能实现平滑过渡；</w:t>
      </w:r>
    </w:p>
    <w:p>
      <w:pPr>
        <w:autoSpaceDE w:val="0"/>
        <w:spacing w:line="360" w:lineRule="auto"/>
        <w:ind w:firstLine="420" w:firstLineChars="200"/>
        <w:rPr>
          <w:szCs w:val="21"/>
        </w:rPr>
      </w:pPr>
      <w:r>
        <w:rPr>
          <w:rFonts w:hint="eastAsia" w:ascii="宋体" w:hAnsi="宋体" w:cs="宋体"/>
          <w:szCs w:val="21"/>
          <w:lang w:bidi="ar"/>
        </w:rPr>
        <w:t>机柜上应设有独立手动控制侧门，使用者可以在不用打开主机柜门的情况下使用手动，由</w:t>
      </w:r>
      <w:r>
        <w:rPr>
          <w:szCs w:val="21"/>
          <w:lang w:bidi="ar"/>
        </w:rPr>
        <w:t>1</w:t>
      </w:r>
      <w:r>
        <w:rPr>
          <w:rFonts w:hint="eastAsia" w:ascii="宋体" w:hAnsi="宋体" w:cs="宋体"/>
          <w:szCs w:val="21"/>
          <w:lang w:bidi="ar"/>
        </w:rPr>
        <w:t>只二档位开关（手动</w:t>
      </w:r>
      <w:r>
        <w:rPr>
          <w:szCs w:val="21"/>
          <w:lang w:bidi="ar"/>
        </w:rPr>
        <w:t>/</w:t>
      </w:r>
      <w:r>
        <w:rPr>
          <w:rFonts w:hint="eastAsia" w:ascii="宋体" w:hAnsi="宋体" w:cs="宋体"/>
          <w:szCs w:val="21"/>
          <w:lang w:bidi="ar"/>
        </w:rPr>
        <w:t>自动）、</w:t>
      </w:r>
      <w:r>
        <w:rPr>
          <w:szCs w:val="21"/>
          <w:lang w:bidi="ar"/>
        </w:rPr>
        <w:t>1</w:t>
      </w:r>
      <w:r>
        <w:rPr>
          <w:rFonts w:hint="eastAsia" w:ascii="宋体" w:hAnsi="宋体" w:cs="宋体"/>
          <w:szCs w:val="21"/>
          <w:lang w:bidi="ar"/>
        </w:rPr>
        <w:t>只二档位开关（强制黄闪</w:t>
      </w:r>
      <w:r>
        <w:rPr>
          <w:szCs w:val="21"/>
          <w:lang w:bidi="ar"/>
        </w:rPr>
        <w:t>/</w:t>
      </w:r>
      <w:r>
        <w:rPr>
          <w:rFonts w:hint="eastAsia" w:ascii="宋体" w:hAnsi="宋体" w:cs="宋体"/>
          <w:szCs w:val="21"/>
          <w:lang w:bidi="ar"/>
        </w:rPr>
        <w:t>程序控制）、手柄按钮（手动换相）等部分组成。</w:t>
      </w:r>
    </w:p>
    <w:p>
      <w:pPr>
        <w:autoSpaceDE w:val="0"/>
        <w:spacing w:line="360" w:lineRule="auto"/>
        <w:ind w:firstLine="420" w:firstLineChars="200"/>
        <w:rPr>
          <w:szCs w:val="21"/>
        </w:rPr>
      </w:pPr>
      <w:r>
        <w:rPr>
          <w:rFonts w:hint="eastAsia" w:ascii="宋体" w:hAnsi="宋体" w:cs="宋体"/>
          <w:szCs w:val="21"/>
          <w:lang w:bidi="ar"/>
        </w:rPr>
        <w:t>系统应具有系统崩溃（区域控制计算机发生故障、通信断线等）的紧急预案，一旦出现崩溃系统应确保路口交通正常运行。信号控制机无法正常工作时，具有独立的黄闪控制装置将信号输出切换为强制黄闪状态，保证路口通行安全。</w:t>
      </w:r>
    </w:p>
    <w:p>
      <w:pPr>
        <w:autoSpaceDE w:val="0"/>
        <w:spacing w:line="360" w:lineRule="auto"/>
        <w:ind w:firstLine="420" w:firstLineChars="200"/>
        <w:rPr>
          <w:szCs w:val="21"/>
        </w:rPr>
      </w:pPr>
      <w:r>
        <w:rPr>
          <w:rFonts w:hint="eastAsia" w:ascii="宋体" w:hAnsi="宋体" w:cs="宋体"/>
          <w:szCs w:val="21"/>
          <w:lang w:bidi="ar"/>
        </w:rPr>
        <w:t>具有专用控制面板，提供完善的人机交流界面，可通过信号控制机控制面板监控信号机运行状态，进行相位增减时、控制模式切换、相位手动切换及各种控制参数的修改和操作。</w:t>
      </w:r>
    </w:p>
    <w:p>
      <w:pPr>
        <w:autoSpaceDE w:val="0"/>
        <w:spacing w:line="360" w:lineRule="auto"/>
        <w:ind w:firstLine="420" w:firstLineChars="200"/>
        <w:rPr>
          <w:szCs w:val="21"/>
        </w:rPr>
      </w:pPr>
      <w:r>
        <w:rPr>
          <w:rFonts w:hint="eastAsia" w:ascii="宋体" w:hAnsi="宋体" w:cs="宋体"/>
          <w:szCs w:val="21"/>
          <w:lang w:bidi="ar"/>
        </w:rPr>
        <w:t>具有灯具电压电流检测，完善的绿冲突、灯组全灭、灯组红灯、绿灯同时点亮等故障检测；</w:t>
      </w:r>
    </w:p>
    <w:p>
      <w:pPr>
        <w:autoSpaceDE w:val="0"/>
        <w:spacing w:line="360" w:lineRule="auto"/>
        <w:ind w:firstLine="420" w:firstLineChars="200"/>
        <w:rPr>
          <w:szCs w:val="21"/>
        </w:rPr>
      </w:pPr>
      <w:r>
        <w:rPr>
          <w:rFonts w:hint="eastAsia" w:ascii="宋体" w:hAnsi="宋体" w:cs="宋体"/>
          <w:szCs w:val="21"/>
          <w:lang w:bidi="ar"/>
        </w:rPr>
        <w:t>对检测器、灯回路、通信等外部设备的工作状态进行监控，发生故障，能够功能降级的情况下继续正常工作；</w:t>
      </w:r>
    </w:p>
    <w:p>
      <w:pPr>
        <w:autoSpaceDE w:val="0"/>
        <w:spacing w:line="360" w:lineRule="auto"/>
        <w:ind w:firstLine="420" w:firstLineChars="200"/>
        <w:rPr>
          <w:szCs w:val="21"/>
        </w:rPr>
      </w:pPr>
      <w:r>
        <w:rPr>
          <w:rFonts w:hint="eastAsia" w:ascii="宋体" w:hAnsi="宋体" w:cs="宋体"/>
          <w:szCs w:val="21"/>
          <w:lang w:bidi="ar"/>
        </w:rPr>
        <w:t>每套信号控制机可以支持无线遥控设备（选配），在路口</w:t>
      </w:r>
      <w:r>
        <w:rPr>
          <w:szCs w:val="21"/>
          <w:lang w:bidi="ar"/>
        </w:rPr>
        <w:t>50</w:t>
      </w:r>
      <w:r>
        <w:rPr>
          <w:rFonts w:hint="eastAsia" w:ascii="宋体" w:hAnsi="宋体" w:cs="宋体"/>
          <w:szCs w:val="21"/>
          <w:lang w:bidi="ar"/>
        </w:rPr>
        <w:t>米范围内能够遥控信号灯相位变化；</w:t>
      </w:r>
    </w:p>
    <w:p>
      <w:pPr>
        <w:autoSpaceDE w:val="0"/>
        <w:spacing w:line="360" w:lineRule="auto"/>
        <w:ind w:firstLine="420" w:firstLineChars="200"/>
        <w:rPr>
          <w:szCs w:val="21"/>
        </w:rPr>
      </w:pPr>
      <w:r>
        <w:rPr>
          <w:rFonts w:hint="eastAsia" w:ascii="宋体" w:hAnsi="宋体" w:cs="宋体"/>
          <w:szCs w:val="21"/>
          <w:lang w:bidi="ar"/>
        </w:rPr>
        <w:t>特征参数可远程上载和下载，具有独立的信号控制机参数配置工具软件，可脱机设置信号控制机参数，支持信号控制机特征参数的追溯和自动备份；</w:t>
      </w:r>
    </w:p>
    <w:p>
      <w:pPr>
        <w:autoSpaceDE w:val="0"/>
        <w:spacing w:line="360" w:lineRule="auto"/>
        <w:ind w:firstLine="420" w:firstLineChars="200"/>
        <w:rPr>
          <w:szCs w:val="21"/>
        </w:rPr>
      </w:pPr>
      <w:r>
        <w:rPr>
          <w:rFonts w:hint="eastAsia" w:ascii="宋体" w:hAnsi="宋体" w:cs="宋体"/>
          <w:szCs w:val="21"/>
          <w:lang w:bidi="ar"/>
        </w:rPr>
        <w:t>机柜内侧应设有存放用户手册、说明书、接线图、维修记录等资料的存储盒；有备用机架，可用于放置光端机、交换机等其它设备。</w:t>
      </w:r>
    </w:p>
    <w:p>
      <w:pPr>
        <w:autoSpaceDE w:val="0"/>
        <w:spacing w:line="360" w:lineRule="auto"/>
        <w:ind w:firstLine="420" w:firstLineChars="200"/>
        <w:rPr>
          <w:szCs w:val="21"/>
        </w:rPr>
      </w:pPr>
      <w:r>
        <w:rPr>
          <w:rFonts w:hint="eastAsia" w:ascii="宋体" w:hAnsi="宋体" w:cs="宋体"/>
          <w:szCs w:val="21"/>
          <w:lang w:bidi="ar"/>
        </w:rPr>
        <w:t>设备采用通用机架，系统电路板应采用插卡式安装，插槽采用欧标插卡式接口设计；</w:t>
      </w:r>
    </w:p>
    <w:p>
      <w:pPr>
        <w:autoSpaceDE w:val="0"/>
        <w:spacing w:line="360" w:lineRule="auto"/>
        <w:ind w:firstLine="420" w:firstLineChars="200"/>
        <w:rPr>
          <w:szCs w:val="21"/>
        </w:rPr>
      </w:pPr>
      <w:r>
        <w:rPr>
          <w:rFonts w:hint="eastAsia" w:ascii="宋体" w:hAnsi="宋体" w:cs="宋体"/>
          <w:szCs w:val="21"/>
          <w:lang w:bidi="ar"/>
        </w:rPr>
        <w:t>具有多种形式的联网通讯接口，包括</w:t>
      </w:r>
      <w:r>
        <w:rPr>
          <w:szCs w:val="21"/>
          <w:lang w:bidi="ar"/>
        </w:rPr>
        <w:t>RS232</w:t>
      </w:r>
      <w:r>
        <w:rPr>
          <w:rFonts w:hint="eastAsia" w:ascii="宋体" w:hAnsi="宋体" w:cs="宋体"/>
          <w:szCs w:val="21"/>
          <w:lang w:bidi="ar"/>
        </w:rPr>
        <w:t>、</w:t>
      </w:r>
      <w:r>
        <w:rPr>
          <w:szCs w:val="21"/>
          <w:lang w:bidi="ar"/>
        </w:rPr>
        <w:t>RS485</w:t>
      </w:r>
      <w:r>
        <w:rPr>
          <w:rFonts w:hint="eastAsia" w:ascii="宋体" w:hAnsi="宋体" w:cs="宋体"/>
          <w:szCs w:val="21"/>
          <w:lang w:bidi="ar"/>
        </w:rPr>
        <w:t>串行通信接口、</w:t>
      </w:r>
      <w:r>
        <w:rPr>
          <w:szCs w:val="21"/>
          <w:lang w:bidi="ar"/>
        </w:rPr>
        <w:t>RJ45</w:t>
      </w:r>
      <w:r>
        <w:rPr>
          <w:rFonts w:hint="eastAsia" w:ascii="宋体" w:hAnsi="宋体" w:cs="宋体"/>
          <w:szCs w:val="21"/>
          <w:lang w:bidi="ar"/>
        </w:rPr>
        <w:t>网络通信接口等；</w:t>
      </w:r>
    </w:p>
    <w:p>
      <w:pPr>
        <w:autoSpaceDE w:val="0"/>
        <w:spacing w:line="360" w:lineRule="auto"/>
        <w:ind w:firstLine="420" w:firstLineChars="200"/>
        <w:rPr>
          <w:szCs w:val="21"/>
        </w:rPr>
      </w:pPr>
      <w:r>
        <w:rPr>
          <w:rFonts w:hint="eastAsia" w:ascii="宋体" w:hAnsi="宋体" w:cs="宋体"/>
          <w:szCs w:val="21"/>
          <w:lang w:bidi="ar"/>
        </w:rPr>
        <w:t>输出设备采用可控硅方式，保证长期、可靠运行，每路输出至少提供</w:t>
      </w:r>
      <w:r>
        <w:rPr>
          <w:szCs w:val="21"/>
          <w:lang w:bidi="ar"/>
        </w:rPr>
        <w:t>1A</w:t>
      </w:r>
      <w:r>
        <w:rPr>
          <w:rFonts w:hint="eastAsia" w:ascii="宋体" w:hAnsi="宋体" w:cs="宋体"/>
          <w:szCs w:val="21"/>
          <w:lang w:bidi="ar"/>
        </w:rPr>
        <w:t>以上电流负载；</w:t>
      </w:r>
    </w:p>
    <w:p>
      <w:pPr>
        <w:autoSpaceDE w:val="0"/>
        <w:spacing w:line="360" w:lineRule="auto"/>
        <w:ind w:firstLine="420" w:firstLineChars="200"/>
        <w:rPr>
          <w:szCs w:val="21"/>
        </w:rPr>
      </w:pPr>
      <w:r>
        <w:rPr>
          <w:rFonts w:hint="eastAsia" w:ascii="宋体" w:hAnsi="宋体" w:cs="宋体"/>
          <w:szCs w:val="21"/>
          <w:lang w:bidi="ar"/>
        </w:rPr>
        <w:t>采用了</w:t>
      </w:r>
      <w:r>
        <w:rPr>
          <w:szCs w:val="21"/>
          <w:lang w:bidi="ar"/>
        </w:rPr>
        <w:t>EMC</w:t>
      </w:r>
      <w:r>
        <w:rPr>
          <w:rFonts w:hint="eastAsia" w:ascii="宋体" w:hAnsi="宋体" w:cs="宋体"/>
          <w:szCs w:val="21"/>
          <w:lang w:bidi="ar"/>
        </w:rPr>
        <w:t>电磁兼容性设计技术，具有良好的防电网浪涌、防雷击措施；具有漏电保护功能；</w:t>
      </w:r>
      <w:r>
        <w:rPr>
          <w:rFonts w:hint="eastAsia" w:cs="宋体"/>
          <w:szCs w:val="21"/>
          <w:lang w:bidi="ar"/>
        </w:rPr>
        <w:t xml:space="preserve"> </w:t>
      </w:r>
    </w:p>
    <w:p>
      <w:pPr>
        <w:autoSpaceDE w:val="0"/>
        <w:spacing w:line="360" w:lineRule="auto"/>
        <w:ind w:firstLine="420" w:firstLineChars="200"/>
        <w:rPr>
          <w:szCs w:val="21"/>
        </w:rPr>
      </w:pPr>
      <w:r>
        <w:rPr>
          <w:rFonts w:hint="eastAsia" w:ascii="宋体" w:hAnsi="宋体" w:cs="宋体"/>
          <w:szCs w:val="21"/>
          <w:lang w:bidi="ar"/>
        </w:rPr>
        <w:t>至少支持</w:t>
      </w:r>
      <w:r>
        <w:rPr>
          <w:szCs w:val="21"/>
          <w:lang w:bidi="ar"/>
        </w:rPr>
        <w:t>44</w:t>
      </w:r>
      <w:r>
        <w:rPr>
          <w:rFonts w:hint="eastAsia" w:ascii="宋体" w:hAnsi="宋体" w:cs="宋体"/>
          <w:szCs w:val="21"/>
          <w:lang w:bidi="ar"/>
        </w:rPr>
        <w:t>路信号灯输出，可以方便扩展；每路信号输出可以相互独立，每路信号都可以支持迟起、早断，相位间灯组持续功能；</w:t>
      </w:r>
    </w:p>
    <w:p>
      <w:pPr>
        <w:autoSpaceDE w:val="0"/>
        <w:spacing w:line="360" w:lineRule="auto"/>
        <w:ind w:firstLine="420" w:firstLineChars="200"/>
        <w:rPr>
          <w:szCs w:val="21"/>
        </w:rPr>
      </w:pPr>
      <w:r>
        <w:rPr>
          <w:rFonts w:hint="eastAsia" w:ascii="宋体" w:hAnsi="宋体" w:cs="宋体"/>
          <w:szCs w:val="21"/>
          <w:lang w:bidi="ar"/>
        </w:rPr>
        <w:t>提供</w:t>
      </w:r>
      <w:r>
        <w:rPr>
          <w:szCs w:val="21"/>
          <w:lang w:bidi="ar"/>
        </w:rPr>
        <w:t>8</w:t>
      </w:r>
      <w:r>
        <w:rPr>
          <w:rFonts w:hint="eastAsia" w:ascii="宋体" w:hAnsi="宋体" w:cs="宋体"/>
          <w:szCs w:val="21"/>
          <w:lang w:bidi="ar"/>
        </w:rPr>
        <w:t>个以上行人请求接口，支持行人二次过街；</w:t>
      </w:r>
    </w:p>
    <w:p>
      <w:pPr>
        <w:autoSpaceDE w:val="0"/>
        <w:spacing w:line="360" w:lineRule="auto"/>
        <w:ind w:firstLine="420" w:firstLineChars="200"/>
        <w:rPr>
          <w:szCs w:val="21"/>
        </w:rPr>
      </w:pPr>
      <w:r>
        <w:rPr>
          <w:rFonts w:hint="eastAsia" w:ascii="宋体" w:hAnsi="宋体" w:cs="宋体"/>
          <w:szCs w:val="21"/>
          <w:lang w:bidi="ar"/>
        </w:rPr>
        <w:t>支持</w:t>
      </w:r>
      <w:r>
        <w:rPr>
          <w:szCs w:val="21"/>
          <w:lang w:bidi="ar"/>
        </w:rPr>
        <w:t>4</w:t>
      </w:r>
      <w:r>
        <w:rPr>
          <w:rFonts w:hint="eastAsia" w:ascii="宋体" w:hAnsi="宋体" w:cs="宋体"/>
          <w:szCs w:val="21"/>
          <w:lang w:bidi="ar"/>
        </w:rPr>
        <w:t>个以上可变车道牌接入，能够与信号配时方案关联，实现自动控制；</w:t>
      </w:r>
    </w:p>
    <w:p>
      <w:pPr>
        <w:autoSpaceDE w:val="0"/>
        <w:spacing w:line="360" w:lineRule="auto"/>
        <w:ind w:firstLine="420" w:firstLineChars="200"/>
        <w:rPr>
          <w:szCs w:val="21"/>
        </w:rPr>
      </w:pPr>
      <w:r>
        <w:rPr>
          <w:rFonts w:hint="eastAsia" w:ascii="宋体" w:hAnsi="宋体" w:cs="宋体"/>
          <w:szCs w:val="21"/>
          <w:lang w:bidi="ar"/>
        </w:rPr>
        <w:t>运行控制模块化设计，强弱电隔离，安装与维护方便、安全；</w:t>
      </w:r>
    </w:p>
    <w:p>
      <w:pPr>
        <w:autoSpaceDE w:val="0"/>
        <w:spacing w:line="360" w:lineRule="auto"/>
        <w:ind w:firstLine="420" w:firstLineChars="200"/>
        <w:rPr>
          <w:szCs w:val="21"/>
        </w:rPr>
      </w:pPr>
      <w:r>
        <w:rPr>
          <w:rFonts w:hint="eastAsia" w:ascii="宋体" w:hAnsi="宋体" w:cs="宋体"/>
          <w:szCs w:val="21"/>
          <w:lang w:bidi="ar"/>
        </w:rPr>
        <w:t>采用固态继电器控制信号灯，每一路输出有独立的隔离保护，运行稳定；</w:t>
      </w:r>
    </w:p>
    <w:p>
      <w:pPr>
        <w:autoSpaceDE w:val="0"/>
        <w:spacing w:line="360" w:lineRule="auto"/>
        <w:ind w:firstLine="420" w:firstLineChars="200"/>
        <w:rPr>
          <w:szCs w:val="21"/>
        </w:rPr>
      </w:pPr>
      <w:r>
        <w:rPr>
          <w:rFonts w:hint="eastAsia" w:ascii="宋体" w:hAnsi="宋体" w:cs="宋体"/>
          <w:szCs w:val="21"/>
          <w:lang w:bidi="ar"/>
        </w:rPr>
        <w:t>集成环形线圈检测器系统，可支持不同类型外部检测器</w:t>
      </w:r>
      <w:r>
        <w:rPr>
          <w:szCs w:val="21"/>
          <w:lang w:bidi="ar"/>
        </w:rPr>
        <w:t>I/O</w:t>
      </w:r>
      <w:r>
        <w:rPr>
          <w:rFonts w:hint="eastAsia" w:ascii="宋体" w:hAnsi="宋体" w:cs="宋体"/>
          <w:szCs w:val="21"/>
          <w:lang w:bidi="ar"/>
        </w:rPr>
        <w:t>信号输入；</w:t>
      </w:r>
    </w:p>
    <w:p>
      <w:pPr>
        <w:autoSpaceDE w:val="0"/>
        <w:spacing w:line="360" w:lineRule="auto"/>
        <w:ind w:firstLine="420" w:firstLineChars="200"/>
        <w:rPr>
          <w:szCs w:val="21"/>
        </w:rPr>
      </w:pPr>
      <w:r>
        <w:rPr>
          <w:rFonts w:hint="eastAsia" w:ascii="宋体" w:hAnsi="宋体" w:cs="宋体"/>
          <w:szCs w:val="21"/>
          <w:lang w:bidi="ar"/>
        </w:rPr>
        <w:t>通过前端检测与中心算法结合，实现特殊车辆、公交优先，支持警卫路线定灯控制；</w:t>
      </w:r>
    </w:p>
    <w:p>
      <w:pPr>
        <w:autoSpaceDE w:val="0"/>
        <w:spacing w:line="360" w:lineRule="auto"/>
        <w:ind w:firstLine="420" w:firstLineChars="200"/>
        <w:rPr>
          <w:szCs w:val="21"/>
        </w:rPr>
      </w:pPr>
      <w:r>
        <w:rPr>
          <w:rFonts w:hint="eastAsia" w:ascii="宋体" w:hAnsi="宋体" w:cs="宋体"/>
          <w:szCs w:val="21"/>
          <w:lang w:bidi="ar"/>
        </w:rPr>
        <w:t>可利用主流闯红灯系统设备的信号输出，采集流量信息，减少路口设备的重复建设；</w:t>
      </w:r>
    </w:p>
    <w:p>
      <w:pPr>
        <w:autoSpaceDE w:val="0"/>
        <w:spacing w:line="360" w:lineRule="auto"/>
        <w:ind w:firstLine="420" w:firstLineChars="200"/>
        <w:rPr>
          <w:szCs w:val="21"/>
        </w:rPr>
      </w:pPr>
      <w:r>
        <w:rPr>
          <w:rFonts w:hint="eastAsia" w:ascii="宋体" w:hAnsi="宋体" w:cs="宋体"/>
          <w:szCs w:val="21"/>
          <w:lang w:bidi="ar"/>
        </w:rPr>
        <w:t>支持</w:t>
      </w:r>
      <w:r>
        <w:rPr>
          <w:szCs w:val="21"/>
          <w:lang w:bidi="ar"/>
        </w:rPr>
        <w:t>GPS</w:t>
      </w:r>
      <w:r>
        <w:rPr>
          <w:rFonts w:hint="eastAsia" w:ascii="宋体" w:hAnsi="宋体" w:cs="宋体"/>
          <w:szCs w:val="21"/>
          <w:lang w:bidi="ar"/>
        </w:rPr>
        <w:t>授时的方式保证系统的精确时钟；</w:t>
      </w:r>
    </w:p>
    <w:p>
      <w:pPr>
        <w:autoSpaceDE w:val="0"/>
        <w:spacing w:line="360" w:lineRule="auto"/>
        <w:ind w:firstLine="420" w:firstLineChars="200"/>
        <w:rPr>
          <w:szCs w:val="21"/>
        </w:rPr>
      </w:pPr>
      <w:r>
        <w:rPr>
          <w:rFonts w:hint="eastAsia" w:ascii="宋体" w:hAnsi="宋体" w:cs="宋体"/>
          <w:szCs w:val="21"/>
          <w:lang w:bidi="ar"/>
        </w:rPr>
        <w:t>具有误操作过滤功能，对错误操作发出警告并禁止执行。</w:t>
      </w:r>
    </w:p>
    <w:p>
      <w:pPr>
        <w:autoSpaceDE w:val="0"/>
        <w:spacing w:line="360" w:lineRule="auto"/>
        <w:ind w:firstLine="420" w:firstLineChars="200"/>
        <w:rPr>
          <w:rFonts w:ascii="宋体" w:hAnsi="宋体" w:cs="宋体"/>
          <w:szCs w:val="21"/>
          <w:lang w:bidi="ar"/>
        </w:rPr>
      </w:pPr>
      <w:r>
        <w:rPr>
          <w:rFonts w:hint="eastAsia" w:ascii="宋体" w:hAnsi="宋体" w:cs="宋体"/>
          <w:szCs w:val="21"/>
          <w:lang w:bidi="ar"/>
        </w:rPr>
        <w:t>提供标准的网络接口，操作员可通过联网的中心控制系统、管理配置软件或专用手持终端对信号控制机进行配置、调整以及故障排查。包括：查询信号控制机故障信息、查询运行日志、监视信号控制机运行状态、修改配时数据、执行手动控制命令等。</w:t>
      </w:r>
    </w:p>
    <w:p>
      <w:pPr>
        <w:pStyle w:val="3"/>
        <w:widowControl/>
        <w:numPr>
          <w:ilvl w:val="0"/>
          <w:numId w:val="0"/>
        </w:numPr>
        <w:ind w:leftChars="0"/>
        <w:rPr>
          <w:rFonts w:hint="eastAsia" w:ascii="宋体" w:hAnsi="宋体" w:cs="宋体"/>
          <w:b/>
          <w:bCs/>
          <w:szCs w:val="21"/>
          <w:lang w:val="en-US" w:eastAsia="zh-CN"/>
        </w:rPr>
      </w:pPr>
      <w:r>
        <w:rPr>
          <w:rFonts w:hint="eastAsia" w:ascii="宋体" w:hAnsi="宋体" w:cs="宋体"/>
          <w:b/>
          <w:bCs/>
          <w:szCs w:val="21"/>
          <w:lang w:val="en-US" w:eastAsia="zh-CN"/>
        </w:rPr>
        <w:t>流量监测系统功能</w:t>
      </w:r>
    </w:p>
    <w:p>
      <w:pPr>
        <w:pStyle w:val="3"/>
        <w:widowControl/>
        <w:numPr>
          <w:ilvl w:val="0"/>
          <w:numId w:val="0"/>
        </w:numPr>
        <w:ind w:leftChars="0"/>
        <w:rPr>
          <w:rFonts w:hint="eastAsia" w:ascii="宋体" w:hAnsi="宋体" w:cs="宋体"/>
          <w:b/>
          <w:bCs/>
          <w:szCs w:val="21"/>
          <w:lang w:val="en-US" w:eastAsia="zh-CN"/>
        </w:rPr>
      </w:pPr>
      <w:r>
        <w:rPr>
          <w:rFonts w:hint="eastAsia" w:ascii="宋体" w:hAnsi="宋体" w:cs="宋体"/>
          <w:b/>
          <w:bCs/>
          <w:szCs w:val="21"/>
          <w:lang w:val="en-US" w:eastAsia="zh-CN"/>
        </w:rPr>
        <w:t>交通数据统计</w:t>
      </w:r>
    </w:p>
    <w:p>
      <w:pPr>
        <w:spacing w:line="360" w:lineRule="auto"/>
        <w:ind w:firstLine="420" w:firstLineChars="200"/>
      </w:pPr>
      <w:r>
        <w:rPr>
          <w:rFonts w:hint="eastAsia"/>
        </w:rPr>
        <w:t>系统支持按照周期统计交通数据信息。如下表：</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98"/>
        <w:gridCol w:w="59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998" w:type="dxa"/>
            <w:tcBorders>
              <w:top w:val="single" w:color="auto" w:sz="2" w:space="0"/>
              <w:bottom w:val="single" w:color="auto" w:sz="6" w:space="0"/>
              <w:right w:val="single" w:color="auto" w:sz="2" w:space="0"/>
            </w:tcBorders>
            <w:shd w:val="clear" w:color="auto" w:fill="D9D9D9"/>
            <w:noWrap w:val="0"/>
            <w:vAlign w:val="center"/>
          </w:tcPr>
          <w:p>
            <w:pPr>
              <w:widowControl/>
              <w:jc w:val="center"/>
              <w:textAlignment w:val="center"/>
              <w:rPr>
                <w:rFonts w:ascii="宋体" w:hAnsi="宋体" w:cs="黑体"/>
                <w:b/>
                <w:bCs/>
              </w:rPr>
            </w:pPr>
            <w:r>
              <w:rPr>
                <w:rFonts w:hint="eastAsia" w:ascii="宋体" w:hAnsi="宋体" w:cs="黑体"/>
                <w:b/>
                <w:bCs/>
              </w:rPr>
              <w:t>交通数据</w:t>
            </w:r>
          </w:p>
        </w:tc>
        <w:tc>
          <w:tcPr>
            <w:tcW w:w="5925" w:type="dxa"/>
            <w:tcBorders>
              <w:top w:val="single" w:color="auto" w:sz="2" w:space="0"/>
              <w:left w:val="single" w:color="auto" w:sz="2" w:space="0"/>
              <w:bottom w:val="single" w:color="auto" w:sz="6" w:space="0"/>
            </w:tcBorders>
            <w:shd w:val="clear" w:color="auto" w:fill="D9D9D9"/>
            <w:noWrap w:val="0"/>
            <w:vAlign w:val="center"/>
          </w:tcPr>
          <w:p>
            <w:pPr>
              <w:widowControl/>
              <w:jc w:val="center"/>
              <w:textAlignment w:val="center"/>
              <w:rPr>
                <w:rFonts w:ascii="宋体" w:hAnsi="宋体" w:cs="黑体"/>
                <w:b/>
                <w:bCs/>
              </w:rPr>
            </w:pPr>
            <w:r>
              <w:rPr>
                <w:rFonts w:hint="eastAsia" w:ascii="宋体" w:hAnsi="宋体" w:cs="黑体"/>
                <w:b/>
                <w:bCs/>
              </w:rPr>
              <w:t>描述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998" w:type="dxa"/>
            <w:tcBorders>
              <w:top w:val="single" w:color="auto" w:sz="2" w:space="0"/>
              <w:bottom w:val="single" w:color="auto" w:sz="6" w:space="0"/>
              <w:right w:val="single" w:color="auto" w:sz="2" w:space="0"/>
            </w:tcBorders>
            <w:noWrap w:val="0"/>
            <w:vAlign w:val="center"/>
          </w:tcPr>
          <w:p>
            <w:pPr>
              <w:widowControl/>
              <w:jc w:val="center"/>
              <w:textAlignment w:val="center"/>
              <w:rPr>
                <w:rFonts w:ascii="宋体" w:hAnsi="宋体" w:cs="黑体"/>
                <w:bCs/>
              </w:rPr>
            </w:pPr>
            <w:r>
              <w:rPr>
                <w:rFonts w:hint="eastAsia" w:ascii="宋体" w:hAnsi="宋体" w:cs="黑体"/>
                <w:bCs/>
              </w:rPr>
              <w:t>车流量</w:t>
            </w:r>
          </w:p>
        </w:tc>
        <w:tc>
          <w:tcPr>
            <w:tcW w:w="5925" w:type="dxa"/>
            <w:tcBorders>
              <w:top w:val="single" w:color="auto" w:sz="2" w:space="0"/>
              <w:left w:val="single" w:color="auto" w:sz="2" w:space="0"/>
              <w:bottom w:val="single" w:color="auto" w:sz="6" w:space="0"/>
            </w:tcBorders>
            <w:noWrap w:val="0"/>
            <w:vAlign w:val="center"/>
          </w:tcPr>
          <w:p>
            <w:pPr>
              <w:widowControl/>
              <w:jc w:val="center"/>
              <w:textAlignment w:val="center"/>
              <w:rPr>
                <w:rFonts w:ascii="宋体" w:hAnsi="宋体" w:cs="黑体"/>
                <w:bCs/>
              </w:rPr>
            </w:pPr>
            <w:r>
              <w:rPr>
                <w:rFonts w:hint="eastAsia" w:ascii="宋体" w:hAnsi="宋体" w:cs="黑体"/>
                <w:bCs/>
              </w:rPr>
              <w:t>车道内通过的车辆数目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998" w:type="dxa"/>
            <w:tcBorders>
              <w:top w:val="single" w:color="auto" w:sz="2" w:space="0"/>
              <w:bottom w:val="single" w:color="auto" w:sz="2" w:space="0"/>
              <w:right w:val="single" w:color="auto" w:sz="2" w:space="0"/>
            </w:tcBorders>
            <w:noWrap w:val="0"/>
            <w:vAlign w:val="center"/>
          </w:tcPr>
          <w:p>
            <w:pPr>
              <w:widowControl/>
              <w:jc w:val="center"/>
              <w:textAlignment w:val="center"/>
              <w:rPr>
                <w:rFonts w:ascii="宋体" w:hAnsi="宋体" w:cs="黑体"/>
                <w:bCs/>
              </w:rPr>
            </w:pPr>
            <w:r>
              <w:rPr>
                <w:rFonts w:hint="eastAsia" w:ascii="宋体" w:hAnsi="宋体" w:cs="黑体"/>
                <w:bCs/>
              </w:rPr>
              <w:t>车道时间占有率</w:t>
            </w:r>
          </w:p>
        </w:tc>
        <w:tc>
          <w:tcPr>
            <w:tcW w:w="5925" w:type="dxa"/>
            <w:tcBorders>
              <w:top w:val="single" w:color="auto" w:sz="2" w:space="0"/>
              <w:left w:val="single" w:color="auto" w:sz="2" w:space="0"/>
              <w:bottom w:val="single" w:color="auto" w:sz="2" w:space="0"/>
            </w:tcBorders>
            <w:noWrap w:val="0"/>
            <w:vAlign w:val="center"/>
          </w:tcPr>
          <w:p>
            <w:pPr>
              <w:widowControl/>
              <w:jc w:val="center"/>
              <w:textAlignment w:val="center"/>
              <w:rPr>
                <w:rFonts w:ascii="宋体" w:hAnsi="宋体" w:cs="黑体"/>
                <w:bCs/>
              </w:rPr>
            </w:pPr>
            <w:r>
              <w:rPr>
                <w:rFonts w:hint="eastAsia" w:ascii="宋体" w:hAnsi="宋体" w:cs="黑体"/>
                <w:bCs/>
              </w:rPr>
              <w:t>车辆通过时间的累积值与观测总时间的比值，以百分比表示</w:t>
            </w:r>
          </w:p>
        </w:tc>
      </w:tr>
    </w:tbl>
    <w:p>
      <w:pPr>
        <w:pStyle w:val="3"/>
        <w:widowControl/>
        <w:numPr>
          <w:ilvl w:val="0"/>
          <w:numId w:val="0"/>
        </w:numPr>
        <w:ind w:leftChars="0"/>
        <w:rPr>
          <w:rFonts w:hint="eastAsia" w:ascii="宋体" w:hAnsi="宋体" w:cs="宋体"/>
          <w:b/>
          <w:bCs/>
          <w:szCs w:val="21"/>
          <w:lang w:val="en-US" w:eastAsia="zh-CN"/>
        </w:rPr>
      </w:pPr>
      <w:r>
        <w:rPr>
          <w:rFonts w:hint="eastAsia" w:ascii="宋体" w:hAnsi="宋体" w:cs="宋体"/>
          <w:b/>
          <w:bCs/>
          <w:szCs w:val="21"/>
          <w:lang w:val="en-US" w:eastAsia="zh-CN"/>
        </w:rPr>
        <w:t>车辆流量数据输出</w:t>
      </w:r>
    </w:p>
    <w:p>
      <w:pPr>
        <w:spacing w:line="360" w:lineRule="auto"/>
        <w:ind w:firstLine="420"/>
        <w:rPr>
          <w:rFonts w:hint="eastAsia"/>
        </w:rPr>
      </w:pPr>
      <w:r>
        <w:rPr>
          <w:rFonts w:hint="eastAsia"/>
        </w:rPr>
        <w:t>该系统支持根据车道分别输出实时交通流量数据。这类实时的车辆数据可为信号控制系统提供用作路口级的实时信号配时调整的数据。</w:t>
      </w:r>
    </w:p>
    <w:p>
      <w:pPr>
        <w:pStyle w:val="3"/>
        <w:widowControl/>
        <w:numPr>
          <w:ilvl w:val="0"/>
          <w:numId w:val="0"/>
        </w:numPr>
        <w:ind w:leftChars="0"/>
        <w:rPr>
          <w:rFonts w:hint="eastAsia" w:ascii="宋体" w:hAnsi="宋体" w:cs="宋体"/>
          <w:b/>
          <w:bCs/>
          <w:szCs w:val="21"/>
          <w:lang w:val="en-US" w:eastAsia="zh-CN"/>
        </w:rPr>
      </w:pPr>
      <w:r>
        <w:rPr>
          <w:rFonts w:hint="eastAsia" w:ascii="宋体" w:hAnsi="宋体" w:cs="宋体"/>
          <w:b/>
          <w:bCs/>
          <w:szCs w:val="21"/>
          <w:lang w:val="en-US" w:eastAsia="zh-CN"/>
        </w:rPr>
        <w:t>排队长度检测</w:t>
      </w:r>
    </w:p>
    <w:p>
      <w:pPr>
        <w:spacing w:line="360" w:lineRule="auto"/>
        <w:ind w:firstLine="420"/>
        <w:rPr>
          <w:rFonts w:hint="eastAsia"/>
        </w:rPr>
      </w:pPr>
      <w:r>
        <w:rPr>
          <w:rFonts w:hint="eastAsia"/>
        </w:rPr>
        <w:t>设备支持对排队长度的检测，通过处理可为平台算法提供数据依靠，也可反映周期内该路口的排队长度，判断该路口是否拥堵。</w:t>
      </w:r>
    </w:p>
    <w:p>
      <w:pPr>
        <w:pStyle w:val="3"/>
        <w:widowControl/>
        <w:numPr>
          <w:ilvl w:val="0"/>
          <w:numId w:val="0"/>
        </w:numPr>
        <w:ind w:leftChars="0"/>
        <w:rPr>
          <w:rFonts w:hint="eastAsia" w:ascii="宋体" w:hAnsi="宋体" w:cs="宋体"/>
          <w:b/>
          <w:bCs/>
          <w:szCs w:val="21"/>
          <w:lang w:val="en-US" w:eastAsia="zh-CN"/>
        </w:rPr>
      </w:pPr>
      <w:r>
        <w:rPr>
          <w:rFonts w:hint="eastAsia" w:ascii="宋体" w:hAnsi="宋体" w:cs="宋体"/>
          <w:b/>
          <w:bCs/>
          <w:szCs w:val="21"/>
          <w:lang w:val="en-US" w:eastAsia="zh-CN"/>
        </w:rPr>
        <w:t>区域协调自适应控制</w:t>
      </w:r>
    </w:p>
    <w:p>
      <w:pPr>
        <w:spacing w:line="360" w:lineRule="auto"/>
        <w:ind w:firstLine="420"/>
        <w:rPr>
          <w:rFonts w:hint="eastAsia"/>
        </w:rPr>
      </w:pPr>
      <w:r>
        <w:rPr>
          <w:rFonts w:hint="eastAsia"/>
        </w:rPr>
        <w:t>系统能够根据区域各路口检测的交通流信息自动进行交通控制参数的优化并执行优化配时方案，实现区域协调控制，提高区域通行能力。</w:t>
      </w:r>
    </w:p>
    <w:p>
      <w:pPr>
        <w:pStyle w:val="3"/>
        <w:widowControl/>
        <w:numPr>
          <w:ilvl w:val="0"/>
          <w:numId w:val="0"/>
        </w:numPr>
        <w:ind w:leftChars="0"/>
        <w:rPr>
          <w:rFonts w:hint="eastAsia" w:ascii="宋体" w:hAnsi="宋体" w:cs="宋体"/>
          <w:b/>
          <w:bCs/>
          <w:szCs w:val="21"/>
          <w:lang w:val="en-US" w:eastAsia="zh-CN"/>
        </w:rPr>
      </w:pPr>
      <w:r>
        <w:rPr>
          <w:rFonts w:hint="eastAsia" w:ascii="宋体" w:hAnsi="宋体" w:cs="宋体"/>
          <w:b/>
          <w:bCs/>
          <w:szCs w:val="21"/>
          <w:lang w:val="en-US" w:eastAsia="zh-CN"/>
        </w:rPr>
        <w:t>视频监控功能</w:t>
      </w:r>
    </w:p>
    <w:p>
      <w:pPr>
        <w:spacing w:line="360" w:lineRule="auto"/>
        <w:ind w:firstLine="420"/>
        <w:rPr>
          <w:rFonts w:hint="eastAsia"/>
        </w:rPr>
      </w:pPr>
      <w:r>
        <w:rPr>
          <w:rFonts w:hint="eastAsia"/>
        </w:rPr>
        <w:t>视频检测系统除了可以采集交通信息，还可以对视场覆盖范围内的路面信息进行实时监控。</w:t>
      </w:r>
    </w:p>
    <w:p>
      <w:pPr>
        <w:pStyle w:val="3"/>
        <w:widowControl/>
        <w:numPr>
          <w:ilvl w:val="0"/>
          <w:numId w:val="0"/>
        </w:numPr>
        <w:ind w:leftChars="0"/>
        <w:rPr>
          <w:rFonts w:hint="eastAsia" w:ascii="宋体" w:hAnsi="宋体" w:cs="宋体"/>
          <w:b/>
          <w:bCs/>
          <w:szCs w:val="21"/>
          <w:lang w:val="en-US" w:eastAsia="zh-CN"/>
        </w:rPr>
      </w:pPr>
      <w:r>
        <w:rPr>
          <w:rFonts w:hint="eastAsia" w:ascii="宋体" w:hAnsi="宋体" w:cs="宋体"/>
          <w:b/>
          <w:bCs/>
          <w:szCs w:val="21"/>
          <w:lang w:val="en-US" w:eastAsia="zh-CN"/>
        </w:rPr>
        <w:t>主要设备参数</w:t>
      </w:r>
    </w:p>
    <w:p>
      <w:pPr>
        <w:pStyle w:val="3"/>
        <w:widowControl/>
        <w:numPr>
          <w:ilvl w:val="0"/>
          <w:numId w:val="0"/>
        </w:numPr>
        <w:ind w:leftChars="0"/>
        <w:rPr>
          <w:rFonts w:hint="eastAsia" w:ascii="宋体" w:hAnsi="宋体" w:cs="宋体"/>
          <w:b/>
          <w:bCs/>
          <w:szCs w:val="21"/>
          <w:lang w:val="en-US" w:eastAsia="zh-CN"/>
        </w:rPr>
      </w:pPr>
      <w:r>
        <w:rPr>
          <w:rFonts w:hint="eastAsia" w:ascii="宋体" w:hAnsi="宋体" w:cs="宋体"/>
          <w:b/>
          <w:bCs/>
          <w:szCs w:val="21"/>
          <w:lang w:val="en-US" w:eastAsia="zh-CN"/>
        </w:rPr>
        <w:t>信号控制机</w:t>
      </w:r>
    </w:p>
    <w:p>
      <w:pPr>
        <w:spacing w:line="360" w:lineRule="auto"/>
        <w:ind w:firstLine="420" w:firstLineChars="200"/>
      </w:pPr>
      <w:r>
        <w:rPr>
          <w:rFonts w:hint="eastAsia"/>
          <w:lang w:bidi="ar"/>
        </w:rPr>
        <w:t>1、信号控制机技术指标</w:t>
      </w:r>
    </w:p>
    <w:p>
      <w:pPr>
        <w:spacing w:line="360" w:lineRule="auto"/>
        <w:ind w:firstLine="420" w:firstLineChars="200"/>
      </w:pPr>
      <w:r>
        <w:rPr>
          <w:rFonts w:hint="eastAsia"/>
          <w:lang w:bidi="ar"/>
        </w:rPr>
        <w:t>至少16相位控制，相序可由用户设置。</w:t>
      </w:r>
    </w:p>
    <w:p>
      <w:pPr>
        <w:spacing w:line="360" w:lineRule="auto"/>
        <w:ind w:firstLine="420" w:firstLineChars="200"/>
      </w:pPr>
      <w:r>
        <w:rPr>
          <w:rFonts w:hint="eastAsia"/>
          <w:lang w:bidi="ar"/>
        </w:rPr>
        <w:t>44路灯控输出，可扩展。</w:t>
      </w:r>
    </w:p>
    <w:p>
      <w:pPr>
        <w:spacing w:line="360" w:lineRule="auto"/>
        <w:ind w:firstLine="420" w:firstLineChars="200"/>
      </w:pPr>
      <w:r>
        <w:rPr>
          <w:rFonts w:hint="eastAsia"/>
          <w:lang w:bidi="ar"/>
        </w:rPr>
        <w:t>支持16路线圈检测器，可扩充到</w:t>
      </w:r>
      <w:r>
        <w:rPr>
          <w:lang w:bidi="ar"/>
        </w:rPr>
        <w:t>32</w:t>
      </w:r>
      <w:r>
        <w:rPr>
          <w:rFonts w:hint="eastAsia"/>
          <w:lang w:bidi="ar"/>
        </w:rPr>
        <w:t>路；可接不同类型的车辆检测器</w:t>
      </w:r>
      <w:r>
        <w:rPr>
          <w:lang w:bidi="ar"/>
        </w:rPr>
        <w:t>(</w:t>
      </w:r>
      <w:r>
        <w:rPr>
          <w:rFonts w:hint="eastAsia"/>
          <w:lang w:bidi="ar"/>
        </w:rPr>
        <w:t>环形线圈检测器、视频检测器</w:t>
      </w:r>
      <w:r>
        <w:rPr>
          <w:lang w:bidi="ar"/>
        </w:rPr>
        <w:t>)</w:t>
      </w:r>
      <w:r>
        <w:rPr>
          <w:rFonts w:hint="eastAsia"/>
          <w:lang w:bidi="ar"/>
        </w:rPr>
        <w:t>。</w:t>
      </w:r>
    </w:p>
    <w:p>
      <w:pPr>
        <w:spacing w:line="360" w:lineRule="auto"/>
        <w:ind w:firstLine="420" w:firstLineChars="200"/>
      </w:pPr>
      <w:r>
        <w:rPr>
          <w:rFonts w:hint="eastAsia"/>
          <w:lang w:bidi="ar"/>
        </w:rPr>
        <w:t>设有“节假日”、“星期”两种模式，可指定多于</w:t>
      </w:r>
      <w:r>
        <w:rPr>
          <w:lang w:bidi="ar"/>
        </w:rPr>
        <w:t>30</w:t>
      </w:r>
      <w:r>
        <w:rPr>
          <w:rFonts w:hint="eastAsia"/>
          <w:lang w:bidi="ar"/>
        </w:rPr>
        <w:t>个特殊日配时方案，每天可设</w:t>
      </w:r>
      <w:r>
        <w:rPr>
          <w:lang w:bidi="ar"/>
        </w:rPr>
        <w:t>16</w:t>
      </w:r>
      <w:r>
        <w:rPr>
          <w:rFonts w:hint="eastAsia"/>
          <w:lang w:bidi="ar"/>
        </w:rPr>
        <w:t>个时段和</w:t>
      </w:r>
      <w:r>
        <w:rPr>
          <w:lang w:bidi="ar"/>
        </w:rPr>
        <w:t>10</w:t>
      </w:r>
      <w:r>
        <w:rPr>
          <w:rFonts w:hint="eastAsia"/>
          <w:lang w:bidi="ar"/>
        </w:rPr>
        <w:t>种配时方案。</w:t>
      </w:r>
    </w:p>
    <w:p>
      <w:pPr>
        <w:spacing w:line="360" w:lineRule="auto"/>
        <w:ind w:firstLine="420" w:firstLineChars="200"/>
      </w:pPr>
      <w:r>
        <w:rPr>
          <w:rFonts w:hint="eastAsia"/>
          <w:lang w:bidi="ar"/>
        </w:rPr>
        <w:t>能提供8个行人按钮检测器接口。</w:t>
      </w:r>
    </w:p>
    <w:p>
      <w:pPr>
        <w:spacing w:line="360" w:lineRule="auto"/>
        <w:ind w:firstLine="420" w:firstLineChars="200"/>
      </w:pPr>
      <w:r>
        <w:rPr>
          <w:rFonts w:hint="eastAsia"/>
          <w:lang w:bidi="ar"/>
        </w:rPr>
        <w:t>2、信号控制机硬件结构指标</w:t>
      </w:r>
    </w:p>
    <w:p>
      <w:pPr>
        <w:spacing w:line="360" w:lineRule="auto"/>
        <w:ind w:firstLine="420" w:firstLineChars="200"/>
      </w:pPr>
      <w:r>
        <w:rPr>
          <w:rFonts w:hint="eastAsia"/>
          <w:lang w:bidi="ar"/>
        </w:rPr>
        <w:t>主处理单元采用32位运算控制器；</w:t>
      </w:r>
    </w:p>
    <w:p>
      <w:pPr>
        <w:spacing w:line="360" w:lineRule="auto"/>
        <w:ind w:firstLine="420" w:firstLineChars="200"/>
      </w:pPr>
      <w:r>
        <w:rPr>
          <w:rFonts w:hint="eastAsia"/>
          <w:lang w:bidi="ar"/>
        </w:rPr>
        <w:t>具备液晶显示人机交互界面，方便现场操作；</w:t>
      </w:r>
    </w:p>
    <w:p>
      <w:pPr>
        <w:spacing w:line="360" w:lineRule="auto"/>
        <w:ind w:firstLine="420" w:firstLineChars="200"/>
      </w:pPr>
      <w:r>
        <w:rPr>
          <w:rFonts w:hint="eastAsia"/>
          <w:lang w:bidi="ar"/>
        </w:rPr>
        <w:t>标注19英寸机架式结构，方便现场安装。</w:t>
      </w:r>
    </w:p>
    <w:p>
      <w:pPr>
        <w:spacing w:line="360" w:lineRule="auto"/>
        <w:ind w:firstLine="420" w:firstLineChars="200"/>
      </w:pPr>
      <w:r>
        <w:rPr>
          <w:rFonts w:hint="eastAsia"/>
          <w:lang w:bidi="ar"/>
        </w:rPr>
        <w:t>3、信号控制机电气指标</w:t>
      </w:r>
    </w:p>
    <w:p>
      <w:pPr>
        <w:spacing w:line="360" w:lineRule="auto"/>
        <w:ind w:firstLine="420" w:firstLineChars="200"/>
      </w:pPr>
      <w:r>
        <w:rPr>
          <w:rFonts w:hint="eastAsia"/>
          <w:lang w:bidi="ar"/>
        </w:rPr>
        <w:t>电源：信号控制机电源额定电压：AC220V±</w:t>
      </w:r>
      <w:r>
        <w:rPr>
          <w:lang w:bidi="ar"/>
        </w:rPr>
        <w:t>44V</w:t>
      </w:r>
      <w:r>
        <w:rPr>
          <w:rFonts w:hint="eastAsia"/>
          <w:lang w:bidi="ar"/>
        </w:rPr>
        <w:t>，</w:t>
      </w:r>
      <w:r>
        <w:rPr>
          <w:lang w:bidi="ar"/>
        </w:rPr>
        <w:t>50Hz</w:t>
      </w:r>
      <w:r>
        <w:rPr>
          <w:rFonts w:hint="eastAsia"/>
          <w:lang w:bidi="ar"/>
        </w:rPr>
        <w:t>±</w:t>
      </w:r>
      <w:r>
        <w:rPr>
          <w:lang w:bidi="ar"/>
        </w:rPr>
        <w:t>2Hz</w:t>
      </w:r>
      <w:r>
        <w:rPr>
          <w:rFonts w:hint="eastAsia"/>
          <w:lang w:bidi="ar"/>
        </w:rPr>
        <w:t>；</w:t>
      </w:r>
    </w:p>
    <w:p>
      <w:pPr>
        <w:spacing w:line="360" w:lineRule="auto"/>
        <w:ind w:firstLine="420" w:firstLineChars="200"/>
      </w:pPr>
      <w:r>
        <w:rPr>
          <w:rFonts w:hint="eastAsia"/>
          <w:lang w:bidi="ar"/>
        </w:rPr>
        <w:t>驱动功率：信号控制机每路的最大驱动功率为：800W；</w:t>
      </w:r>
    </w:p>
    <w:p>
      <w:pPr>
        <w:spacing w:line="360" w:lineRule="auto"/>
        <w:ind w:firstLine="420" w:firstLineChars="200"/>
      </w:pPr>
      <w:r>
        <w:rPr>
          <w:rFonts w:hint="eastAsia"/>
          <w:lang w:bidi="ar"/>
        </w:rPr>
        <w:t>整机功耗：信号控制机整机功耗为：30W；</w:t>
      </w:r>
    </w:p>
    <w:p>
      <w:pPr>
        <w:spacing w:line="360" w:lineRule="auto"/>
        <w:ind w:firstLine="420" w:firstLineChars="200"/>
      </w:pPr>
      <w:r>
        <w:rPr>
          <w:rFonts w:hint="eastAsia"/>
          <w:lang w:bidi="ar"/>
        </w:rPr>
        <w:t>绝缘电阻：信号控制机绝缘电阻大于100MΩ；</w:t>
      </w:r>
    </w:p>
    <w:p>
      <w:pPr>
        <w:spacing w:line="360" w:lineRule="auto"/>
        <w:ind w:firstLine="420" w:firstLineChars="200"/>
      </w:pPr>
      <w:r>
        <w:rPr>
          <w:rFonts w:hint="eastAsia"/>
          <w:lang w:bidi="ar"/>
        </w:rPr>
        <w:t>耐压：在电源电极或与电源电极相连的其它导电电路和机柜、安装机箱等易触及部件之间施加1500V、</w:t>
      </w:r>
      <w:r>
        <w:rPr>
          <w:lang w:bidi="ar"/>
        </w:rPr>
        <w:t>50Hz</w:t>
      </w:r>
      <w:r>
        <w:rPr>
          <w:rFonts w:hint="eastAsia"/>
          <w:lang w:bidi="ar"/>
        </w:rPr>
        <w:t>电压，不出现击穿现象；</w:t>
      </w:r>
    </w:p>
    <w:p>
      <w:pPr>
        <w:spacing w:line="360" w:lineRule="auto"/>
        <w:ind w:firstLine="420" w:firstLineChars="200"/>
      </w:pPr>
      <w:r>
        <w:rPr>
          <w:rFonts w:hint="eastAsia"/>
          <w:lang w:bidi="ar"/>
        </w:rPr>
        <w:t>电磁抗扰度：交通信号控制机在静电放电、电快速瞬变脉冲群、浪涌、电压短时中断等电磁骚扰环境下不出现电气故障。</w:t>
      </w:r>
    </w:p>
    <w:p>
      <w:pPr>
        <w:spacing w:line="360" w:lineRule="auto"/>
        <w:ind w:firstLine="420" w:firstLineChars="200"/>
      </w:pPr>
      <w:r>
        <w:rPr>
          <w:rFonts w:hint="eastAsia"/>
          <w:lang w:bidi="ar"/>
        </w:rPr>
        <w:t>4、信号控制机环境指标</w:t>
      </w:r>
    </w:p>
    <w:p>
      <w:pPr>
        <w:spacing w:line="360" w:lineRule="auto"/>
        <w:ind w:firstLine="420" w:firstLineChars="200"/>
      </w:pPr>
      <w:r>
        <w:rPr>
          <w:rFonts w:hint="eastAsia"/>
          <w:lang w:bidi="ar"/>
        </w:rPr>
        <w:t>工作温度：信号控制机正常的工作温度：-40～＋</w:t>
      </w:r>
      <w:r>
        <w:rPr>
          <w:lang w:bidi="ar"/>
        </w:rPr>
        <w:t>70</w:t>
      </w:r>
      <w:r>
        <w:rPr>
          <w:rFonts w:hint="eastAsia"/>
          <w:lang w:bidi="ar"/>
        </w:rPr>
        <w:t>℃；</w:t>
      </w:r>
    </w:p>
    <w:p>
      <w:pPr>
        <w:spacing w:line="360" w:lineRule="auto"/>
        <w:ind w:firstLine="420" w:firstLineChars="200"/>
      </w:pPr>
      <w:r>
        <w:rPr>
          <w:rFonts w:hint="eastAsia"/>
          <w:lang w:bidi="ar"/>
        </w:rPr>
        <w:t>工作湿度：信号控制机正常工作的相对湿度：45%～</w:t>
      </w:r>
      <w:r>
        <w:rPr>
          <w:lang w:bidi="ar"/>
        </w:rPr>
        <w:t>95%</w:t>
      </w:r>
      <w:r>
        <w:rPr>
          <w:rFonts w:hint="eastAsia"/>
          <w:lang w:bidi="ar"/>
        </w:rPr>
        <w:t>；</w:t>
      </w:r>
    </w:p>
    <w:p>
      <w:pPr>
        <w:spacing w:line="360" w:lineRule="auto"/>
        <w:ind w:firstLine="420" w:firstLineChars="200"/>
        <w:rPr>
          <w:rFonts w:hint="eastAsia"/>
        </w:rPr>
      </w:pPr>
      <w:r>
        <w:rPr>
          <w:rFonts w:hint="eastAsia"/>
          <w:lang w:bidi="ar"/>
        </w:rPr>
        <w:t>耐温级别A级</w:t>
      </w:r>
    </w:p>
    <w:p>
      <w:pPr>
        <w:spacing w:line="360" w:lineRule="auto"/>
        <w:ind w:firstLine="420" w:firstLineChars="200"/>
      </w:pPr>
      <w:r>
        <w:rPr>
          <w:rFonts w:hint="eastAsia"/>
          <w:lang w:bidi="ar"/>
        </w:rPr>
        <w:t>防水：通过雨淋试验，信号控制机机柜内部无渗水或积水现象；</w:t>
      </w:r>
    </w:p>
    <w:p>
      <w:pPr>
        <w:spacing w:line="360" w:lineRule="auto"/>
        <w:ind w:firstLine="420" w:firstLineChars="200"/>
      </w:pPr>
      <w:r>
        <w:rPr>
          <w:rFonts w:hint="eastAsia"/>
          <w:lang w:bidi="ar"/>
        </w:rPr>
        <w:t>防尘：交通控制机在承受粉尘试验中及试验后，工作均应正常，信号控制机机柜内部无大量积尘；</w:t>
      </w:r>
    </w:p>
    <w:p>
      <w:pPr>
        <w:spacing w:line="360" w:lineRule="auto"/>
        <w:ind w:firstLine="420" w:firstLineChars="200"/>
      </w:pPr>
      <w:r>
        <w:rPr>
          <w:rFonts w:hint="eastAsia"/>
          <w:lang w:bidi="ar"/>
        </w:rPr>
        <w:t>防锈蚀：信号控制机在承受盐雾试验后，工作正常，信号控制机机柜、内部机架等金属部件没有严重锈蚀情况。</w:t>
      </w:r>
    </w:p>
    <w:p>
      <w:pPr>
        <w:pStyle w:val="3"/>
        <w:widowControl/>
        <w:numPr>
          <w:ilvl w:val="0"/>
          <w:numId w:val="0"/>
        </w:numPr>
        <w:ind w:leftChars="0"/>
        <w:rPr>
          <w:rFonts w:hint="eastAsia" w:ascii="宋体" w:hAnsi="宋体" w:cs="宋体"/>
          <w:b/>
          <w:bCs/>
          <w:szCs w:val="21"/>
          <w:lang w:val="en-US" w:eastAsia="zh-CN"/>
        </w:rPr>
      </w:pPr>
      <w:r>
        <w:rPr>
          <w:rFonts w:hint="eastAsia" w:ascii="宋体" w:hAnsi="宋体" w:cs="宋体"/>
          <w:b/>
          <w:bCs/>
          <w:szCs w:val="21"/>
          <w:lang w:val="en-US" w:eastAsia="zh-CN"/>
        </w:rPr>
        <w:t>信号控制机机箱</w:t>
      </w:r>
    </w:p>
    <w:p>
      <w:pPr>
        <w:spacing w:line="360" w:lineRule="auto"/>
        <w:ind w:firstLine="420" w:firstLineChars="200"/>
      </w:pPr>
      <w:r>
        <w:rPr>
          <w:rFonts w:hint="eastAsia"/>
          <w:lang w:bidi="ar"/>
        </w:rPr>
        <w:t>机柜采用双开门设计，将强电和弱电分开接线，保证人员安全；</w:t>
      </w:r>
    </w:p>
    <w:p>
      <w:pPr>
        <w:spacing w:line="360" w:lineRule="auto"/>
        <w:ind w:firstLine="420" w:firstLineChars="200"/>
      </w:pPr>
      <w:r>
        <w:rPr>
          <w:rFonts w:hint="eastAsia"/>
          <w:lang w:bidi="ar"/>
        </w:rPr>
        <w:t>整体机柜采用喷塑工艺，保证外壳的美观和耐腐蚀性；</w:t>
      </w:r>
    </w:p>
    <w:p>
      <w:pPr>
        <w:spacing w:line="360" w:lineRule="auto"/>
        <w:ind w:firstLine="420" w:firstLineChars="200"/>
      </w:pPr>
      <w:r>
        <w:rPr>
          <w:rFonts w:hint="eastAsia"/>
          <w:lang w:bidi="ar"/>
        </w:rPr>
        <w:t>机柜采用标准19英寸设计，可以容乃符合国际标准尺寸的外添设备；</w:t>
      </w:r>
    </w:p>
    <w:p>
      <w:pPr>
        <w:spacing w:line="360" w:lineRule="auto"/>
        <w:ind w:firstLine="420" w:firstLineChars="200"/>
        <w:rPr>
          <w:lang w:bidi="ar"/>
        </w:rPr>
      </w:pPr>
      <w:r>
        <w:rPr>
          <w:rFonts w:hint="eastAsia"/>
          <w:lang w:bidi="ar"/>
        </w:rPr>
        <w:t>双面开门，防撬门锁，喷塑。</w:t>
      </w:r>
    </w:p>
    <w:p>
      <w:pPr>
        <w:pStyle w:val="3"/>
        <w:widowControl/>
        <w:numPr>
          <w:ilvl w:val="0"/>
          <w:numId w:val="0"/>
        </w:numPr>
        <w:ind w:leftChars="0"/>
        <w:rPr>
          <w:rFonts w:hint="eastAsia" w:ascii="宋体" w:hAnsi="宋体" w:cs="宋体"/>
          <w:b/>
          <w:bCs/>
          <w:szCs w:val="21"/>
          <w:lang w:val="en-US" w:eastAsia="zh-CN"/>
        </w:rPr>
      </w:pPr>
      <w:r>
        <w:rPr>
          <w:rFonts w:hint="eastAsia" w:ascii="宋体" w:hAnsi="宋体" w:cs="宋体"/>
          <w:b/>
          <w:bCs/>
          <w:szCs w:val="21"/>
          <w:lang w:val="en-US" w:eastAsia="zh-CN"/>
        </w:rPr>
        <w:t>视频流量检测器</w:t>
      </w:r>
    </w:p>
    <w:p>
      <w:pPr>
        <w:spacing w:line="360" w:lineRule="auto"/>
        <w:ind w:firstLine="420"/>
        <w:rPr>
          <w:rFonts w:hint="eastAsia"/>
        </w:rPr>
      </w:pPr>
      <w:r>
        <w:rPr>
          <w:rFonts w:hint="eastAsia"/>
        </w:rPr>
        <w:t>摄像机与检测器集成于一体，放置于美观紧凑的防护罩内，含安装支架；</w:t>
      </w:r>
    </w:p>
    <w:p>
      <w:pPr>
        <w:spacing w:line="360" w:lineRule="auto"/>
        <w:ind w:firstLine="420"/>
        <w:rPr>
          <w:rFonts w:hint="eastAsia"/>
        </w:rPr>
      </w:pPr>
      <w:r>
        <w:rPr>
          <w:rFonts w:hint="eastAsia"/>
        </w:rPr>
        <w:t>传感器：1/2.8"逐行扫描HDIS传感器</w:t>
      </w:r>
    </w:p>
    <w:p>
      <w:pPr>
        <w:spacing w:line="360" w:lineRule="auto"/>
        <w:ind w:firstLine="420"/>
        <w:rPr>
          <w:rFonts w:hint="eastAsia"/>
        </w:rPr>
      </w:pPr>
      <w:r>
        <w:rPr>
          <w:rFonts w:hint="eastAsia"/>
        </w:rPr>
        <w:t>图像像素：200万像素</w:t>
      </w:r>
    </w:p>
    <w:p>
      <w:pPr>
        <w:spacing w:line="360" w:lineRule="auto"/>
        <w:ind w:firstLine="420"/>
        <w:rPr>
          <w:rFonts w:hint="eastAsia"/>
        </w:rPr>
      </w:pPr>
      <w:r>
        <w:rPr>
          <w:rFonts w:hint="eastAsia"/>
        </w:rPr>
        <w:t>检测参数：车流量、占有率、排队长度，可覆盖4车道</w:t>
      </w:r>
    </w:p>
    <w:p>
      <w:pPr>
        <w:spacing w:line="360" w:lineRule="auto"/>
        <w:ind w:firstLine="420"/>
        <w:rPr>
          <w:rFonts w:hint="eastAsia"/>
        </w:rPr>
      </w:pPr>
      <w:r>
        <w:rPr>
          <w:rFonts w:hint="eastAsia"/>
        </w:rPr>
        <w:t>功能：线圈模拟、预置位检测</w:t>
      </w:r>
    </w:p>
    <w:p>
      <w:pPr>
        <w:spacing w:line="360" w:lineRule="auto"/>
        <w:ind w:firstLine="420"/>
        <w:rPr>
          <w:rFonts w:hint="eastAsia"/>
        </w:rPr>
      </w:pPr>
      <w:r>
        <w:rPr>
          <w:rFonts w:hint="eastAsia"/>
        </w:rPr>
        <w:t>平均检测精度：白天≥95%</w:t>
      </w:r>
    </w:p>
    <w:p>
      <w:pPr>
        <w:spacing w:line="360" w:lineRule="auto"/>
        <w:ind w:firstLine="420"/>
        <w:rPr>
          <w:rFonts w:hint="eastAsia"/>
        </w:rPr>
      </w:pPr>
      <w:r>
        <w:rPr>
          <w:rFonts w:hint="eastAsia"/>
        </w:rPr>
        <w:t>视频压缩：High Profile H.264/High Profile H.265</w:t>
      </w:r>
    </w:p>
    <w:p>
      <w:pPr>
        <w:spacing w:line="360" w:lineRule="auto"/>
        <w:ind w:firstLine="420"/>
        <w:rPr>
          <w:rFonts w:hint="eastAsia"/>
        </w:rPr>
      </w:pPr>
      <w:r>
        <w:rPr>
          <w:rFonts w:hint="eastAsia"/>
        </w:rPr>
        <w:t>码流：1080P</w:t>
      </w:r>
    </w:p>
    <w:p>
      <w:pPr>
        <w:spacing w:line="360" w:lineRule="auto"/>
        <w:ind w:firstLine="420"/>
        <w:rPr>
          <w:rFonts w:hint="eastAsia"/>
        </w:rPr>
      </w:pPr>
      <w:r>
        <w:rPr>
          <w:rFonts w:hint="eastAsia"/>
        </w:rPr>
        <w:t>最大图像尺寸：1920×1080/25fps</w:t>
      </w:r>
    </w:p>
    <w:p>
      <w:pPr>
        <w:spacing w:line="360" w:lineRule="auto"/>
        <w:ind w:firstLine="420"/>
        <w:rPr>
          <w:rFonts w:hint="eastAsia"/>
        </w:rPr>
      </w:pPr>
      <w:r>
        <w:rPr>
          <w:rFonts w:hint="eastAsia"/>
        </w:rPr>
        <w:t>RS485：支持外接485控制  A+  B-</w:t>
      </w:r>
    </w:p>
    <w:p>
      <w:pPr>
        <w:spacing w:line="360" w:lineRule="auto"/>
        <w:ind w:firstLine="420"/>
        <w:rPr>
          <w:rFonts w:hint="eastAsia"/>
        </w:rPr>
      </w:pPr>
      <w:r>
        <w:rPr>
          <w:rFonts w:hint="eastAsia"/>
        </w:rPr>
        <w:t>支持的协议：IPV4、TCP/IP、UDP、HTTP、RTP/RTCP/RTSP、FTP、UPnP、DDNS、NTP、IGMP、ICMP</w:t>
      </w:r>
    </w:p>
    <w:p>
      <w:pPr>
        <w:spacing w:line="360" w:lineRule="auto"/>
        <w:ind w:firstLine="420"/>
        <w:rPr>
          <w:rFonts w:hint="eastAsia"/>
        </w:rPr>
      </w:pPr>
      <w:r>
        <w:rPr>
          <w:rFonts w:hint="eastAsia"/>
        </w:rPr>
        <w:t>网络接口：RJ45 10Base-T/100Base-TX</w:t>
      </w:r>
    </w:p>
    <w:p>
      <w:pPr>
        <w:spacing w:line="360" w:lineRule="auto"/>
        <w:ind w:firstLine="420"/>
        <w:rPr>
          <w:rFonts w:hint="eastAsia"/>
        </w:rPr>
      </w:pPr>
      <w:r>
        <w:rPr>
          <w:rFonts w:hint="eastAsia"/>
        </w:rPr>
        <w:t>电源：电压输入范围85 ~ 264VAC</w:t>
      </w:r>
    </w:p>
    <w:p>
      <w:pPr>
        <w:spacing w:line="360" w:lineRule="auto"/>
        <w:ind w:firstLine="420"/>
        <w:rPr>
          <w:rFonts w:hint="eastAsia"/>
        </w:rPr>
      </w:pPr>
      <w:r>
        <w:rPr>
          <w:rFonts w:hint="eastAsia"/>
        </w:rPr>
        <w:t>工作温度/湿度：工作温度-25°C~+70°C 储存温度 -40°C~+85°C 相对湿度93%</w:t>
      </w:r>
    </w:p>
    <w:p>
      <w:pPr>
        <w:pStyle w:val="3"/>
        <w:widowControl/>
        <w:numPr>
          <w:ilvl w:val="0"/>
          <w:numId w:val="0"/>
        </w:numPr>
        <w:ind w:leftChars="0"/>
        <w:rPr>
          <w:rFonts w:hint="eastAsia" w:ascii="宋体" w:hAnsi="宋体" w:cs="宋体"/>
          <w:b/>
          <w:bCs/>
          <w:szCs w:val="21"/>
          <w:lang w:val="en-US" w:eastAsia="zh-CN"/>
        </w:rPr>
      </w:pPr>
      <w:r>
        <w:rPr>
          <w:rFonts w:hint="eastAsia" w:ascii="宋体" w:hAnsi="宋体" w:cs="宋体"/>
          <w:b/>
          <w:bCs/>
          <w:szCs w:val="21"/>
          <w:lang w:val="en-US" w:eastAsia="zh-CN"/>
        </w:rPr>
        <w:t>3.高清电子警察系统</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概述</w:t>
      </w:r>
    </w:p>
    <w:p>
      <w:pPr>
        <w:spacing w:line="360" w:lineRule="auto"/>
        <w:ind w:firstLine="420"/>
        <w:rPr>
          <w:rFonts w:hint="eastAsia"/>
        </w:rPr>
      </w:pPr>
      <w:r>
        <w:rPr>
          <w:rFonts w:hint="eastAsia"/>
        </w:rPr>
        <w:t>高清电子警察系统可实现在无人值守的条件下对闯红灯、逆行、压线、不按规定导向车道行驶等违法行为自动检测抓拍及记录，为非现场处罚系统提供扎实、准确的依据，加大处罚和打击力度，增加违法成本，以此警示出行公众进而减少上述违法驾车行为、提升公众出行安全系数、稳定交通路况。同时为道路监控提供实时视频图像和高清视频录像，采集路口、路段车流量、饱和度、占有率等交通参数，与信号控制、交通诱导等交通系统共享基础数据，为最终实现城市交通管理的规范化、正常化、标准化打下良好的基础，提高城市交通的管理水平。</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建设内容</w:t>
      </w:r>
    </w:p>
    <w:p>
      <w:pPr>
        <w:spacing w:line="360" w:lineRule="auto"/>
        <w:ind w:firstLine="420"/>
      </w:pPr>
      <w:r>
        <w:rPr>
          <w:rFonts w:hint="eastAsia"/>
        </w:rPr>
        <w:t>安吉城区浦源大道、天荒坪路等部分路口建设年代久远，设备老化严重，技术水平也跟不上最新设备要求，因此需要对相关设备进行改造升级。而城区部分路口则因为修路的原因，暂时未进行电子警察的建设。综合考虑项目建设要求、道路条件、资金等因素，本次电子警察新建及改造点位清单如下：</w:t>
      </w:r>
    </w:p>
    <w:tbl>
      <w:tblPr>
        <w:tblStyle w:val="36"/>
        <w:tblW w:w="0" w:type="auto"/>
        <w:jc w:val="center"/>
        <w:tblLayout w:type="fixed"/>
        <w:tblCellMar>
          <w:top w:w="15" w:type="dxa"/>
          <w:left w:w="15" w:type="dxa"/>
          <w:bottom w:w="15" w:type="dxa"/>
          <w:right w:w="15" w:type="dxa"/>
        </w:tblCellMar>
      </w:tblPr>
      <w:tblGrid>
        <w:gridCol w:w="708"/>
        <w:gridCol w:w="2552"/>
        <w:gridCol w:w="1555"/>
      </w:tblGrid>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rPr>
                <w:rFonts w:ascii="宋体" w:hAnsi="黑体"/>
                <w:b/>
                <w:szCs w:val="22"/>
              </w:rPr>
            </w:pPr>
            <w:r>
              <w:rPr>
                <w:rFonts w:hint="eastAsia" w:ascii="宋体" w:hAnsi="黑体"/>
                <w:b/>
                <w:szCs w:val="22"/>
              </w:rPr>
              <w:t>序号</w:t>
            </w:r>
          </w:p>
        </w:tc>
        <w:tc>
          <w:tcPr>
            <w:tcW w:w="255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rPr>
                <w:rFonts w:ascii="宋体" w:hAnsi="黑体"/>
                <w:b/>
                <w:szCs w:val="22"/>
              </w:rPr>
            </w:pPr>
            <w:r>
              <w:rPr>
                <w:rFonts w:hint="eastAsia" w:ascii="宋体" w:hAnsi="黑体"/>
                <w:b/>
                <w:szCs w:val="22"/>
              </w:rPr>
              <w:t>路口名称</w:t>
            </w:r>
          </w:p>
        </w:tc>
        <w:tc>
          <w:tcPr>
            <w:tcW w:w="1555" w:type="dxa"/>
            <w:tcBorders>
              <w:top w:val="single" w:color="000000" w:sz="4" w:space="0"/>
              <w:left w:val="single" w:color="000000" w:sz="4" w:space="0"/>
              <w:right w:val="single" w:color="000000" w:sz="4" w:space="0"/>
            </w:tcBorders>
            <w:shd w:val="clear" w:color="auto" w:fill="D9D9D9"/>
            <w:noWrap w:val="0"/>
            <w:vAlign w:val="center"/>
          </w:tcPr>
          <w:p>
            <w:pPr>
              <w:jc w:val="center"/>
              <w:rPr>
                <w:rFonts w:ascii="宋体" w:hAnsi="黑体"/>
                <w:b/>
                <w:szCs w:val="22"/>
              </w:rPr>
            </w:pPr>
            <w:r>
              <w:rPr>
                <w:rFonts w:hint="eastAsia" w:ascii="宋体" w:hAnsi="黑体"/>
                <w:b/>
                <w:szCs w:val="22"/>
              </w:rPr>
              <w:t>备注</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1</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穆王路-灵峰路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新建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2</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穆王路-体育场路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新建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3</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浦源大道-递铺路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新建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4</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天目路-石佛路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新建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5</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环翠路-体育馆路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新建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6</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独松关路-半岭路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新建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7</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天荒坪路-金石路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新建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8</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云鸿路-九龙路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改建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9</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云鸿路-灵峰路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改建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10</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云鸿路-横威路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改建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11</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云鸿路-迎宾大道</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改建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12</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云鸿路-天荒坪路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改建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13</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云鸿路-凤凰路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改建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14</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云鸿路-玉磬路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改建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15</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绕城南线-灵峰路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改建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16</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望山路-玉磬路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改建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17</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望山路-凤凰路</w:t>
            </w:r>
          </w:p>
        </w:tc>
        <w:tc>
          <w:tcPr>
            <w:tcW w:w="1555" w:type="dxa"/>
            <w:tcBorders>
              <w:top w:val="single" w:color="000000" w:sz="4" w:space="0"/>
              <w:left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新建</w:t>
            </w:r>
          </w:p>
        </w:tc>
      </w:tr>
      <w:tr>
        <w:tblPrEx>
          <w:tblCellMar>
            <w:top w:w="15" w:type="dxa"/>
            <w:left w:w="15" w:type="dxa"/>
            <w:bottom w:w="15" w:type="dxa"/>
            <w:right w:w="15" w:type="dxa"/>
          </w:tblCellMar>
        </w:tblPrEx>
        <w:trPr>
          <w:wBefore w:w="0" w:type="dxa"/>
          <w:wAfter w:w="0" w:type="dxa"/>
          <w:trHeight w:val="33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18</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环翠路-凤凰路</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黑体"/>
                <w:szCs w:val="22"/>
              </w:rPr>
            </w:pPr>
            <w:r>
              <w:rPr>
                <w:rFonts w:hint="eastAsia" w:ascii="宋体" w:hAnsi="黑体"/>
                <w:szCs w:val="22"/>
              </w:rPr>
              <w:t>新建</w:t>
            </w:r>
          </w:p>
        </w:tc>
      </w:tr>
    </w:tbl>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系统组成</w:t>
      </w:r>
    </w:p>
    <w:p>
      <w:pPr>
        <w:spacing w:line="360" w:lineRule="auto"/>
        <w:ind w:firstLine="420"/>
        <w:rPr>
          <w:rFonts w:hint="eastAsia"/>
        </w:rPr>
      </w:pPr>
      <w:r>
        <w:rPr>
          <w:rFonts w:hint="eastAsia"/>
        </w:rPr>
        <w:t>高清电子警察系统由前端子系统、网络传输子系统以及后端管理子系统三大部分组成，实现对路口机动车闯红灯、逆行、压线、不按所需行进方向驶入导向车道、不按规定车道行驶等交通违法行为的自动抓拍、记录、传输和处理，同时系统还兼具卡口功能，能够实时记录通行车辆信息。</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系统功能要求</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闯红灯违法抓拍功能</w:t>
      </w:r>
    </w:p>
    <w:p>
      <w:pPr>
        <w:spacing w:line="360" w:lineRule="auto"/>
        <w:ind w:firstLine="420"/>
        <w:rPr>
          <w:rFonts w:hint="eastAsia"/>
        </w:rPr>
      </w:pPr>
      <w:r>
        <w:rPr>
          <w:rFonts w:hint="eastAsia"/>
        </w:rPr>
        <w:t>系统可以实现对单方向各车道闯红灯车辆的监测、图像抓拍等功能。每一违法记录拍摄连续3张反映闯红灯过程的图片，其中第一个位置的图片反映机动车未到达停止线的情况，并能清晰辨别车辆类型、交通信号灯红灯、停止线；第二个位置的图片反映机动车已越过停止线的情况，并能清晰辨别车辆类型、号牌号码、交通信号灯红灯、停止线；第三个位置的图片反映机动车越过停止线继续前行的情况，并能清晰辨别车辆类型、交通信号灯红灯、停止线。</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卡口监测记录功能</w:t>
      </w:r>
    </w:p>
    <w:p>
      <w:pPr>
        <w:spacing w:line="360" w:lineRule="auto"/>
        <w:ind w:firstLine="420"/>
        <w:rPr>
          <w:rFonts w:hint="eastAsia"/>
        </w:rPr>
      </w:pPr>
      <w:r>
        <w:rPr>
          <w:rFonts w:hint="eastAsia"/>
        </w:rPr>
        <w:t>系统能够准确捕获、记录车辆通行信息（车辆尾部的图片），对通过车辆的捕获率不小于92%。记录的车辆信息除包含图像信息外，还包括文本信息，如日期、时间（精确到秒）、地点、方向、号牌号码等。车辆信息写入关联数据库，并将相关文本信息叠加到图片上。</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其他交通违法行为记录功能</w:t>
      </w:r>
    </w:p>
    <w:p>
      <w:pPr>
        <w:spacing w:line="240" w:lineRule="auto"/>
        <w:ind w:firstLine="420" w:firstLineChars="200"/>
        <w:rPr>
          <w:rFonts w:ascii="宋体" w:hAnsi="宋体"/>
          <w:szCs w:val="28"/>
        </w:rPr>
      </w:pPr>
      <w:r>
        <w:rPr>
          <w:rFonts w:hint="eastAsia"/>
        </w:rPr>
        <w:t>系统在路口电子警察设备可检测的</w:t>
      </w:r>
      <w:r>
        <w:rPr>
          <w:rFonts w:hint="eastAsia" w:ascii="宋体" w:hAnsi="宋体"/>
          <w:szCs w:val="28"/>
        </w:rPr>
        <w:t>范围条件允许的情况内，具体功能如下：</w:t>
      </w:r>
    </w:p>
    <w:p>
      <w:pPr>
        <w:numPr>
          <w:ilvl w:val="0"/>
          <w:numId w:val="9"/>
        </w:numPr>
        <w:spacing w:line="240" w:lineRule="auto"/>
        <w:rPr>
          <w:rFonts w:ascii="宋体" w:hAnsi="宋体"/>
          <w:szCs w:val="28"/>
        </w:rPr>
      </w:pPr>
      <w:r>
        <w:rPr>
          <w:rFonts w:ascii="宋体" w:hAnsi="宋体"/>
          <w:szCs w:val="28"/>
        </w:rPr>
        <w:t>不按所需行进方向驶入导向车道记录</w:t>
      </w:r>
    </w:p>
    <w:p>
      <w:pPr>
        <w:numPr>
          <w:ilvl w:val="0"/>
          <w:numId w:val="9"/>
        </w:numPr>
        <w:spacing w:line="240" w:lineRule="auto"/>
        <w:rPr>
          <w:rFonts w:ascii="宋体" w:hAnsi="宋体"/>
          <w:szCs w:val="28"/>
        </w:rPr>
      </w:pPr>
      <w:r>
        <w:rPr>
          <w:rFonts w:hint="eastAsia" w:ascii="宋体" w:hAnsi="宋体"/>
          <w:szCs w:val="28"/>
        </w:rPr>
        <w:t>逆行记录</w:t>
      </w:r>
    </w:p>
    <w:p>
      <w:pPr>
        <w:numPr>
          <w:ilvl w:val="0"/>
          <w:numId w:val="9"/>
        </w:numPr>
        <w:spacing w:line="240" w:lineRule="auto"/>
        <w:rPr>
          <w:rFonts w:ascii="宋体" w:hAnsi="宋体"/>
          <w:szCs w:val="28"/>
        </w:rPr>
      </w:pPr>
      <w:r>
        <w:rPr>
          <w:rFonts w:ascii="宋体" w:hAnsi="宋体"/>
          <w:szCs w:val="28"/>
        </w:rPr>
        <w:t>不按规定车道行驶记录</w:t>
      </w:r>
    </w:p>
    <w:p>
      <w:pPr>
        <w:numPr>
          <w:ilvl w:val="0"/>
          <w:numId w:val="9"/>
        </w:numPr>
        <w:spacing w:line="240" w:lineRule="auto"/>
        <w:rPr>
          <w:rFonts w:ascii="宋体" w:hAnsi="宋体"/>
          <w:szCs w:val="28"/>
        </w:rPr>
      </w:pPr>
      <w:r>
        <w:rPr>
          <w:rFonts w:hint="eastAsia" w:ascii="宋体" w:hAnsi="宋体"/>
          <w:szCs w:val="28"/>
        </w:rPr>
        <w:t>压线/变道记录</w:t>
      </w:r>
    </w:p>
    <w:p>
      <w:pPr>
        <w:numPr>
          <w:ilvl w:val="0"/>
          <w:numId w:val="9"/>
        </w:numPr>
        <w:spacing w:line="240" w:lineRule="auto"/>
        <w:rPr>
          <w:rFonts w:ascii="宋体" w:hAnsi="宋体"/>
          <w:szCs w:val="28"/>
        </w:rPr>
      </w:pPr>
      <w:r>
        <w:rPr>
          <w:rFonts w:hint="eastAsia" w:ascii="宋体" w:hAnsi="宋体"/>
          <w:szCs w:val="28"/>
        </w:rPr>
        <w:t>路口停车</w:t>
      </w:r>
    </w:p>
    <w:p>
      <w:pPr>
        <w:numPr>
          <w:ilvl w:val="0"/>
          <w:numId w:val="9"/>
        </w:numPr>
        <w:spacing w:line="240" w:lineRule="auto"/>
        <w:rPr>
          <w:rFonts w:ascii="宋体" w:hAnsi="宋体"/>
          <w:szCs w:val="28"/>
        </w:rPr>
      </w:pPr>
      <w:r>
        <w:rPr>
          <w:rFonts w:hint="eastAsia" w:ascii="宋体" w:hAnsi="宋体"/>
          <w:szCs w:val="28"/>
        </w:rPr>
        <w:t>机占非</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车辆牌照自动识别功能</w:t>
      </w:r>
    </w:p>
    <w:p>
      <w:pPr>
        <w:spacing w:line="360" w:lineRule="auto"/>
        <w:ind w:firstLine="420" w:firstLineChars="200"/>
        <w:rPr>
          <w:rFonts w:ascii="宋体" w:hAnsi="宋体"/>
          <w:szCs w:val="28"/>
        </w:rPr>
      </w:pPr>
      <w:r>
        <w:rPr>
          <w:rFonts w:ascii="宋体" w:hAnsi="宋体"/>
          <w:szCs w:val="28"/>
        </w:rPr>
        <w:t>系统可自动对车辆牌照进行识别，包括车牌号码、车牌颜色的识别。</w:t>
      </w:r>
    </w:p>
    <w:p>
      <w:pPr>
        <w:spacing w:line="360" w:lineRule="auto"/>
        <w:ind w:left="480"/>
        <w:rPr>
          <w:rFonts w:ascii="宋体" w:hAnsi="宋体"/>
          <w:b/>
        </w:rPr>
      </w:pPr>
      <w:r>
        <w:rPr>
          <w:rFonts w:hint="eastAsia" w:ascii="宋体" w:hAnsi="宋体"/>
          <w:b/>
        </w:rPr>
        <w:t>1）</w:t>
      </w:r>
      <w:r>
        <w:rPr>
          <w:rFonts w:ascii="宋体" w:hAnsi="宋体"/>
          <w:b/>
        </w:rPr>
        <w:t>车牌号码</w:t>
      </w:r>
      <w:r>
        <w:rPr>
          <w:rFonts w:ascii="宋体" w:hAnsi="宋体"/>
          <w:b/>
          <w:szCs w:val="24"/>
        </w:rPr>
        <w:t>自动</w:t>
      </w:r>
      <w:r>
        <w:rPr>
          <w:rFonts w:ascii="宋体" w:hAnsi="宋体"/>
          <w:b/>
        </w:rPr>
        <w:t>识别</w:t>
      </w:r>
    </w:p>
    <w:p>
      <w:pPr>
        <w:spacing w:line="360" w:lineRule="auto"/>
        <w:ind w:firstLine="420" w:firstLineChars="200"/>
        <w:rPr>
          <w:rFonts w:ascii="宋体" w:hAnsi="宋体"/>
          <w:szCs w:val="28"/>
        </w:rPr>
      </w:pPr>
      <w:r>
        <w:rPr>
          <w:rFonts w:ascii="宋体" w:hAnsi="宋体"/>
          <w:szCs w:val="28"/>
        </w:rPr>
        <w:t>在实时记录通行车辆图像的同时，还具备对</w:t>
      </w:r>
      <w:r>
        <w:rPr>
          <w:rFonts w:hint="eastAsia" w:ascii="宋体" w:hAnsi="宋体"/>
          <w:szCs w:val="28"/>
        </w:rPr>
        <w:t>符合</w:t>
      </w:r>
      <w:r>
        <w:rPr>
          <w:rFonts w:ascii="宋体" w:hAnsi="宋体"/>
          <w:szCs w:val="28"/>
        </w:rPr>
        <w:t>“GA36-92”</w:t>
      </w:r>
      <w:r>
        <w:rPr>
          <w:rFonts w:hint="eastAsia" w:ascii="宋体" w:hAnsi="宋体"/>
          <w:szCs w:val="28"/>
        </w:rPr>
        <w:t>（</w:t>
      </w:r>
      <w:r>
        <w:rPr>
          <w:rFonts w:ascii="宋体" w:hAnsi="宋体"/>
          <w:szCs w:val="28"/>
        </w:rPr>
        <w:t>92</w:t>
      </w:r>
      <w:r>
        <w:rPr>
          <w:rFonts w:hint="eastAsia" w:ascii="宋体" w:hAnsi="宋体"/>
          <w:szCs w:val="28"/>
        </w:rPr>
        <w:t>式牌照） 、</w:t>
      </w:r>
      <w:r>
        <w:rPr>
          <w:rFonts w:ascii="宋体" w:hAnsi="宋体"/>
          <w:szCs w:val="28"/>
        </w:rPr>
        <w:t>“GA36-2007”</w:t>
      </w:r>
      <w:r>
        <w:rPr>
          <w:rFonts w:hint="eastAsia" w:ascii="宋体" w:hAnsi="宋体"/>
          <w:szCs w:val="28"/>
        </w:rPr>
        <w:t>（新号牌标准）、</w:t>
      </w:r>
      <w:r>
        <w:rPr>
          <w:rFonts w:ascii="宋体" w:hAnsi="宋体"/>
          <w:szCs w:val="28"/>
        </w:rPr>
        <w:t>“GA36.1-2001”</w:t>
      </w:r>
      <w:r>
        <w:rPr>
          <w:rFonts w:hint="eastAsia" w:ascii="宋体" w:hAnsi="宋体"/>
          <w:szCs w:val="28"/>
        </w:rPr>
        <w:t>（</w:t>
      </w:r>
      <w:r>
        <w:rPr>
          <w:rFonts w:ascii="宋体" w:hAnsi="宋体"/>
          <w:szCs w:val="28"/>
        </w:rPr>
        <w:t>02</w:t>
      </w:r>
      <w:r>
        <w:rPr>
          <w:rFonts w:hint="eastAsia" w:ascii="宋体" w:hAnsi="宋体"/>
          <w:szCs w:val="28"/>
        </w:rPr>
        <w:t>式新牌照）标准的</w:t>
      </w:r>
      <w:r>
        <w:rPr>
          <w:rFonts w:ascii="宋体" w:hAnsi="宋体"/>
          <w:szCs w:val="28"/>
        </w:rPr>
        <w:t>民用车牌、警用车牌、军用车牌、武警车牌的车牌自动识别能力，包括</w:t>
      </w:r>
      <w:r>
        <w:rPr>
          <w:rFonts w:hint="eastAsia" w:ascii="宋体" w:hAnsi="宋体"/>
          <w:szCs w:val="28"/>
        </w:rPr>
        <w:t>2012式军牌、2012式武警车牌</w:t>
      </w:r>
      <w:r>
        <w:rPr>
          <w:rFonts w:ascii="宋体" w:hAnsi="宋体"/>
          <w:szCs w:val="28"/>
        </w:rPr>
        <w:t>。所能识别的字符包括:</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62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noWrap w:val="0"/>
            <w:vAlign w:val="center"/>
          </w:tcPr>
          <w:p>
            <w:pPr>
              <w:spacing w:line="240" w:lineRule="auto"/>
              <w:rPr>
                <w:rFonts w:ascii="宋体" w:hAnsi="宋体"/>
                <w:szCs w:val="21"/>
              </w:rPr>
            </w:pPr>
            <w:r>
              <w:rPr>
                <w:rFonts w:ascii="宋体" w:hAnsi="宋体"/>
                <w:szCs w:val="21"/>
              </w:rPr>
              <w:t>阿拉伯数字</w:t>
            </w:r>
          </w:p>
        </w:tc>
        <w:tc>
          <w:tcPr>
            <w:tcW w:w="6274" w:type="dxa"/>
            <w:noWrap w:val="0"/>
            <w:vAlign w:val="center"/>
          </w:tcPr>
          <w:p>
            <w:pPr>
              <w:spacing w:line="240" w:lineRule="auto"/>
              <w:rPr>
                <w:rFonts w:ascii="宋体" w:hAnsi="宋体"/>
                <w:szCs w:val="21"/>
              </w:rPr>
            </w:pPr>
            <w:r>
              <w:rPr>
                <w:rFonts w:ascii="宋体" w:hAnsi="宋体"/>
                <w:szCs w:val="21"/>
              </w:rPr>
              <w:t>“0～9”十个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noWrap w:val="0"/>
            <w:vAlign w:val="center"/>
          </w:tcPr>
          <w:p>
            <w:pPr>
              <w:spacing w:line="240" w:lineRule="auto"/>
              <w:rPr>
                <w:rFonts w:ascii="宋体" w:hAnsi="宋体"/>
                <w:szCs w:val="21"/>
              </w:rPr>
            </w:pPr>
            <w:r>
              <w:rPr>
                <w:rFonts w:ascii="宋体" w:hAnsi="宋体"/>
                <w:szCs w:val="21"/>
              </w:rPr>
              <w:t>英文字母</w:t>
            </w:r>
          </w:p>
        </w:tc>
        <w:tc>
          <w:tcPr>
            <w:tcW w:w="6274" w:type="dxa"/>
            <w:noWrap w:val="0"/>
            <w:vAlign w:val="center"/>
          </w:tcPr>
          <w:p>
            <w:pPr>
              <w:spacing w:line="240" w:lineRule="auto"/>
              <w:rPr>
                <w:rFonts w:ascii="宋体" w:hAnsi="宋体"/>
                <w:szCs w:val="21"/>
              </w:rPr>
            </w:pPr>
            <w:r>
              <w:rPr>
                <w:rFonts w:ascii="宋体" w:hAnsi="宋体"/>
                <w:szCs w:val="21"/>
              </w:rPr>
              <w:t>“A～Z”二十六个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noWrap w:val="0"/>
            <w:vAlign w:val="center"/>
          </w:tcPr>
          <w:p>
            <w:pPr>
              <w:spacing w:line="360" w:lineRule="auto"/>
              <w:rPr>
                <w:rFonts w:ascii="宋体" w:hAnsi="宋体"/>
                <w:szCs w:val="21"/>
              </w:rPr>
            </w:pPr>
            <w:r>
              <w:rPr>
                <w:rFonts w:ascii="宋体" w:hAnsi="宋体"/>
                <w:szCs w:val="21"/>
              </w:rPr>
              <w:t>省市区汉字简称</w:t>
            </w:r>
          </w:p>
        </w:tc>
        <w:tc>
          <w:tcPr>
            <w:tcW w:w="6274" w:type="dxa"/>
            <w:noWrap w:val="0"/>
            <w:vAlign w:val="center"/>
          </w:tcPr>
          <w:p>
            <w:pPr>
              <w:spacing w:line="240" w:lineRule="auto"/>
              <w:rPr>
                <w:rFonts w:ascii="宋体" w:hAnsi="宋体"/>
                <w:szCs w:val="21"/>
              </w:rPr>
            </w:pPr>
            <w:r>
              <w:rPr>
                <w:rFonts w:ascii="宋体" w:hAnsi="宋体"/>
                <w:szCs w:val="21"/>
              </w:rPr>
              <w:t>京、津、晋、冀、蒙、辽、吉、黑、沪、苏、浙、皖、闽、赣、鲁、豫、鄂、湘、粤、桂、琼、川、贵、云、藏、陕、甘、青、宁、新、渝、港、澳、台；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noWrap w:val="0"/>
            <w:vAlign w:val="center"/>
          </w:tcPr>
          <w:p>
            <w:pPr>
              <w:spacing w:line="240" w:lineRule="auto"/>
              <w:rPr>
                <w:rFonts w:ascii="宋体" w:hAnsi="宋体"/>
                <w:szCs w:val="21"/>
              </w:rPr>
            </w:pPr>
            <w:r>
              <w:rPr>
                <w:rFonts w:ascii="宋体" w:hAnsi="宋体"/>
                <w:szCs w:val="21"/>
              </w:rPr>
              <w:t>号牌分类用汉字</w:t>
            </w:r>
          </w:p>
        </w:tc>
        <w:tc>
          <w:tcPr>
            <w:tcW w:w="6274" w:type="dxa"/>
            <w:noWrap w:val="0"/>
            <w:vAlign w:val="center"/>
          </w:tcPr>
          <w:p>
            <w:pPr>
              <w:spacing w:line="240" w:lineRule="auto"/>
              <w:rPr>
                <w:rFonts w:ascii="宋体" w:hAnsi="宋体"/>
                <w:szCs w:val="21"/>
              </w:rPr>
            </w:pPr>
            <w:r>
              <w:rPr>
                <w:rFonts w:ascii="宋体" w:hAnsi="宋体"/>
                <w:szCs w:val="21"/>
              </w:rPr>
              <w:t>警、学、使、领、试、</w:t>
            </w:r>
            <w:r>
              <w:rPr>
                <w:rFonts w:hint="eastAsia" w:ascii="宋体" w:hAnsi="宋体"/>
                <w:szCs w:val="21"/>
              </w:rPr>
              <w:t>挂、港、澳、超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noWrap w:val="0"/>
            <w:vAlign w:val="center"/>
          </w:tcPr>
          <w:p>
            <w:pPr>
              <w:spacing w:line="240" w:lineRule="auto"/>
              <w:rPr>
                <w:rFonts w:ascii="宋体" w:hAnsi="宋体"/>
                <w:szCs w:val="21"/>
              </w:rPr>
            </w:pPr>
            <w:r>
              <w:rPr>
                <w:rFonts w:hint="eastAsia" w:ascii="宋体" w:hAnsi="宋体"/>
                <w:szCs w:val="21"/>
              </w:rPr>
              <w:t>12</w:t>
            </w:r>
            <w:r>
              <w:rPr>
                <w:rFonts w:ascii="宋体" w:hAnsi="宋体"/>
                <w:szCs w:val="21"/>
              </w:rPr>
              <w:t>式武警车牌字符</w:t>
            </w:r>
          </w:p>
        </w:tc>
        <w:tc>
          <w:tcPr>
            <w:tcW w:w="6274" w:type="dxa"/>
            <w:noWrap w:val="0"/>
            <w:vAlign w:val="center"/>
          </w:tcPr>
          <w:p>
            <w:pPr>
              <w:spacing w:line="240" w:lineRule="auto"/>
              <w:rPr>
                <w:rFonts w:ascii="宋体" w:hAnsi="宋体"/>
                <w:szCs w:val="21"/>
              </w:rPr>
            </w:pPr>
            <w:r>
              <w:rPr>
                <w:rFonts w:ascii="宋体" w:hAnsi="宋体"/>
                <w:szCs w:val="21"/>
              </w:rPr>
              <w:t>WJ样式的字母</w:t>
            </w:r>
          </w:p>
        </w:tc>
      </w:tr>
    </w:tbl>
    <w:p>
      <w:pPr>
        <w:spacing w:line="360" w:lineRule="auto"/>
        <w:ind w:left="480"/>
        <w:rPr>
          <w:rFonts w:ascii="宋体" w:hAnsi="宋体"/>
          <w:b/>
        </w:rPr>
      </w:pPr>
      <w:r>
        <w:rPr>
          <w:rFonts w:hint="eastAsia" w:ascii="宋体" w:hAnsi="宋体"/>
          <w:b/>
        </w:rPr>
        <w:t>2）</w:t>
      </w:r>
      <w:r>
        <w:rPr>
          <w:rFonts w:ascii="宋体" w:hAnsi="宋体"/>
          <w:b/>
        </w:rPr>
        <w:t>车牌颜色自动识别</w:t>
      </w:r>
    </w:p>
    <w:p>
      <w:pPr>
        <w:spacing w:line="360" w:lineRule="auto"/>
        <w:ind w:firstLine="420" w:firstLineChars="200"/>
        <w:rPr>
          <w:rFonts w:ascii="宋体" w:hAnsi="宋体"/>
        </w:rPr>
      </w:pPr>
      <w:r>
        <w:rPr>
          <w:rFonts w:ascii="宋体" w:hAnsi="宋体"/>
        </w:rPr>
        <w:t>系统能识别黑、白、蓝、黄</w:t>
      </w:r>
      <w:r>
        <w:rPr>
          <w:rFonts w:hint="eastAsia" w:ascii="宋体" w:hAnsi="宋体"/>
        </w:rPr>
        <w:t>、绿五</w:t>
      </w:r>
      <w:r>
        <w:rPr>
          <w:rFonts w:ascii="宋体" w:hAnsi="宋体"/>
        </w:rPr>
        <w:t>种车牌颜色。</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智能补光功能</w:t>
      </w:r>
    </w:p>
    <w:p>
      <w:pPr>
        <w:spacing w:line="360" w:lineRule="auto"/>
        <w:ind w:firstLine="420"/>
        <w:rPr>
          <w:rFonts w:hint="eastAsia"/>
        </w:rPr>
      </w:pPr>
      <w:r>
        <w:rPr>
          <w:rFonts w:hint="eastAsia"/>
        </w:rPr>
        <w:t>系统前端设备能根据光线的变化或时间的控制自动改变摄像设备的工作参数，自动打开或关闭补光设备，确保记录图片的清晰。</w:t>
      </w:r>
    </w:p>
    <w:p>
      <w:pPr>
        <w:spacing w:line="360" w:lineRule="auto"/>
        <w:ind w:firstLine="420"/>
        <w:rPr>
          <w:rFonts w:hint="eastAsia"/>
        </w:rPr>
      </w:pPr>
      <w:r>
        <w:rPr>
          <w:rFonts w:hint="eastAsia"/>
        </w:rPr>
        <w:t>补光灯采用频闪技术，与高清摄像机采集频率完全匹配，在达到最大补光效果的同时降低灯光对周围环境的影响，不会对驾驶人造成直接强光刺激。</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前端备份存储功能</w:t>
      </w:r>
    </w:p>
    <w:p>
      <w:pPr>
        <w:spacing w:line="360" w:lineRule="auto"/>
        <w:ind w:firstLine="420"/>
        <w:rPr>
          <w:rFonts w:hint="eastAsia"/>
        </w:rPr>
      </w:pPr>
      <w:r>
        <w:rPr>
          <w:rFonts w:hint="eastAsia"/>
        </w:rPr>
        <w:t>系统采集的图片、视频可在设备前端做备份存储，按照数据存储时长的要求配置不同容量的硬盘。系统可根据预先的空间分配，优先保证足够的图片存储空间，保证核心数据不丢失。</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车辆缉查布控功能</w:t>
      </w:r>
    </w:p>
    <w:p>
      <w:pPr>
        <w:spacing w:line="360" w:lineRule="auto"/>
        <w:ind w:firstLine="420"/>
        <w:rPr>
          <w:rFonts w:hint="eastAsia"/>
        </w:rPr>
      </w:pPr>
      <w:r>
        <w:rPr>
          <w:rFonts w:hint="eastAsia"/>
        </w:rPr>
        <w:t>系统具备车辆交通安全违法行为监测报警和布控车辆自动比对报警功能，比对方式包括精确比对和模糊比对。</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高清录像功能</w:t>
      </w:r>
    </w:p>
    <w:p>
      <w:pPr>
        <w:spacing w:line="360" w:lineRule="auto"/>
        <w:ind w:firstLine="420"/>
        <w:rPr>
          <w:rFonts w:hint="eastAsia"/>
        </w:rPr>
      </w:pPr>
      <w:r>
        <w:rPr>
          <w:rFonts w:hint="eastAsia"/>
        </w:rPr>
        <w:t>系统支持道路交通情况的实时视频录像存储，视频质量能清晰反映覆盖区域内行驶机动车的车牌号码。视频采用预分配存储机制，前端支持进行滚动存储7天以上。</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交通参数采集功能</w:t>
      </w:r>
    </w:p>
    <w:p>
      <w:pPr>
        <w:spacing w:line="360" w:lineRule="auto"/>
        <w:ind w:firstLine="420"/>
        <w:rPr>
          <w:rFonts w:hint="eastAsia"/>
        </w:rPr>
      </w:pPr>
      <w:r>
        <w:rPr>
          <w:rFonts w:hint="eastAsia"/>
        </w:rPr>
        <w:t>通过检测数据，统计交通流参数，包括流量、车速、时间占有率、车长、车头时距等，其中流量采集准确度不小于90%；交通数据统计周期可按需求进行设置和输出，并支持丰富的图形报表及数据导出。</w:t>
      </w:r>
    </w:p>
    <w:p>
      <w:pPr>
        <w:spacing w:line="360" w:lineRule="auto"/>
        <w:ind w:firstLine="420"/>
        <w:rPr>
          <w:rFonts w:hint="eastAsia"/>
        </w:rPr>
      </w:pPr>
      <w:r>
        <w:rPr>
          <w:rFonts w:hint="eastAsia"/>
        </w:rPr>
        <w:t>同时，可通过网络接口将流量数据信息传递给路口信号机，实现电子警察和信号机的信息互联互通，数据传输符合GA/T 920-2010《道路交通信号控制机与车辆检测器间的通信协议》。</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数据断点续传功能</w:t>
      </w:r>
    </w:p>
    <w:p>
      <w:pPr>
        <w:spacing w:line="360" w:lineRule="auto"/>
        <w:ind w:firstLine="420"/>
        <w:rPr>
          <w:rFonts w:hint="eastAsia"/>
        </w:rPr>
      </w:pPr>
      <w:r>
        <w:rPr>
          <w:rFonts w:hint="eastAsia"/>
        </w:rPr>
        <w:t>系统支持断点续传功能。当遇到网络中断或其他故障时，车辆信息存储在前端设备中，待故障排除后自动续传。</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时间校准功能</w:t>
      </w:r>
    </w:p>
    <w:p>
      <w:pPr>
        <w:spacing w:line="360" w:lineRule="auto"/>
        <w:ind w:firstLine="420"/>
        <w:rPr>
          <w:rFonts w:hint="eastAsia"/>
        </w:rPr>
      </w:pPr>
      <w:r>
        <w:rPr>
          <w:rFonts w:hint="eastAsia"/>
        </w:rPr>
        <w:t>按照《GA/T832-2014道路交通安全违法行为图像取证技术规范》的要求，24h内计时误差不超过1.0s，确保所有前端设备点位每日至少与电子警察中心系统时钟同步一次。</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图像防篡改功能</w:t>
      </w:r>
    </w:p>
    <w:p>
      <w:pPr>
        <w:spacing w:line="360" w:lineRule="auto"/>
        <w:ind w:firstLine="420"/>
        <w:rPr>
          <w:rFonts w:hint="eastAsia"/>
        </w:rPr>
      </w:pPr>
      <w:r>
        <w:rPr>
          <w:rFonts w:hint="eastAsia"/>
        </w:rPr>
        <w:t>系统记录的原始图像信息具备防篡改功能，防止在传输、存储、处理等过程中被人为篡改。</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网络远程维护功能</w:t>
      </w:r>
    </w:p>
    <w:p>
      <w:pPr>
        <w:spacing w:line="360" w:lineRule="auto"/>
        <w:ind w:firstLine="420"/>
        <w:rPr>
          <w:rFonts w:hint="eastAsia"/>
        </w:rPr>
      </w:pPr>
      <w:r>
        <w:rPr>
          <w:rFonts w:hint="eastAsia"/>
        </w:rPr>
        <w:t>系统可以实时查看前端设备的运行状态。能通过网络实现远程维护、远程设置和远程升级等功能。</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主要设备参数</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一体化电警抓拍单元</w:t>
      </w:r>
    </w:p>
    <w:p>
      <w:pPr>
        <w:spacing w:line="360" w:lineRule="auto"/>
        <w:ind w:firstLine="422" w:firstLineChars="200"/>
        <w:rPr>
          <w:b/>
        </w:rPr>
      </w:pPr>
      <w:r>
        <w:rPr>
          <w:rFonts w:hint="eastAsia"/>
          <w:b/>
        </w:rPr>
        <w:t>▲摄像机：采用1英寸900万像素高帧率彩色全局</w:t>
      </w:r>
      <w:r>
        <w:rPr>
          <w:rFonts w:hint="eastAsia"/>
          <w:b/>
          <w:lang w:val="en-US" w:eastAsia="zh-CN"/>
        </w:rPr>
        <w:t xml:space="preserve"> </w:t>
      </w:r>
      <w:r>
        <w:rPr>
          <w:rFonts w:hint="eastAsia"/>
          <w:b/>
        </w:rPr>
        <w:t>曝光CMOS高清智能摄像机</w:t>
      </w:r>
    </w:p>
    <w:p>
      <w:pPr>
        <w:spacing w:line="360" w:lineRule="auto"/>
        <w:ind w:firstLine="420" w:firstLineChars="200"/>
        <w:rPr>
          <w:bCs/>
        </w:rPr>
      </w:pPr>
      <w:r>
        <w:rPr>
          <w:rFonts w:hint="eastAsia"/>
          <w:bCs/>
        </w:rPr>
        <w:t>分辨率：4096(H)×2136(V)</w:t>
      </w:r>
    </w:p>
    <w:p>
      <w:pPr>
        <w:spacing w:line="360" w:lineRule="auto"/>
        <w:ind w:firstLine="420" w:firstLineChars="200"/>
        <w:rPr>
          <w:bCs/>
        </w:rPr>
      </w:pPr>
      <w:r>
        <w:rPr>
          <w:rFonts w:hint="eastAsia"/>
          <w:bCs/>
        </w:rPr>
        <w:t>帧率：25fps</w:t>
      </w:r>
    </w:p>
    <w:p>
      <w:pPr>
        <w:spacing w:line="360" w:lineRule="auto"/>
        <w:ind w:firstLine="420" w:firstLineChars="200"/>
      </w:pPr>
      <w:r>
        <w:rPr>
          <w:rFonts w:hint="eastAsia"/>
        </w:rPr>
        <w:t>内部配置：防尘、防水滴面板，内置网络防雷器及LED车牌补光灯</w:t>
      </w:r>
    </w:p>
    <w:p>
      <w:pPr>
        <w:spacing w:line="360" w:lineRule="auto"/>
        <w:ind w:firstLine="420" w:firstLineChars="200"/>
      </w:pPr>
      <w:r>
        <w:rPr>
          <w:rFonts w:hint="eastAsia"/>
        </w:rPr>
        <w:t>摄像机参数配置功能：曝光速度、AGC控制、白平衡方式控制等</w:t>
      </w:r>
    </w:p>
    <w:p>
      <w:pPr>
        <w:spacing w:line="360" w:lineRule="auto"/>
        <w:ind w:firstLine="420" w:firstLineChars="200"/>
      </w:pPr>
      <w:r>
        <w:rPr>
          <w:rFonts w:hint="eastAsia"/>
        </w:rPr>
        <w:t>视频压缩标准：H.264/H.265</w:t>
      </w:r>
    </w:p>
    <w:p>
      <w:pPr>
        <w:spacing w:line="360" w:lineRule="auto"/>
        <w:ind w:firstLine="420" w:firstLineChars="200"/>
      </w:pPr>
      <w:r>
        <w:rPr>
          <w:rFonts w:hint="eastAsia"/>
        </w:rPr>
        <w:t>输出图片格式：JPEG</w:t>
      </w:r>
    </w:p>
    <w:p>
      <w:pPr>
        <w:spacing w:line="360" w:lineRule="auto"/>
        <w:ind w:firstLine="420" w:firstLineChars="200"/>
      </w:pPr>
      <w:r>
        <w:rPr>
          <w:rFonts w:hint="eastAsia"/>
        </w:rPr>
        <w:t>接口：3个RS-485接口,1个RS-232接口；2个RJ45 10M/100M/1000M自适应以太网口</w:t>
      </w:r>
    </w:p>
    <w:p>
      <w:pPr>
        <w:spacing w:line="360" w:lineRule="auto"/>
        <w:ind w:firstLine="420" w:firstLineChars="200"/>
      </w:pPr>
      <w:r>
        <w:rPr>
          <w:rFonts w:hint="eastAsia"/>
        </w:rPr>
        <w:t>触发输入：4路外部触发输入，1路交通信号灯频闪同步信号输入</w:t>
      </w:r>
    </w:p>
    <w:p>
      <w:pPr>
        <w:spacing w:line="360" w:lineRule="auto"/>
        <w:ind w:firstLine="420" w:firstLineChars="200"/>
      </w:pPr>
      <w:r>
        <w:rPr>
          <w:rFonts w:hint="eastAsia"/>
        </w:rPr>
        <w:t>触发输出：6路（光耦隔离2500VAC），作为补光灯同步输出控制</w:t>
      </w:r>
    </w:p>
    <w:p>
      <w:pPr>
        <w:spacing w:line="360" w:lineRule="auto"/>
        <w:ind w:firstLine="420" w:firstLineChars="200"/>
      </w:pPr>
      <w:r>
        <w:rPr>
          <w:rFonts w:hint="eastAsia"/>
        </w:rPr>
        <w:t>补光控制：LED 频闪灯同步补光</w:t>
      </w:r>
    </w:p>
    <w:p>
      <w:pPr>
        <w:spacing w:line="360" w:lineRule="auto"/>
        <w:ind w:firstLine="420" w:firstLineChars="200"/>
      </w:pPr>
      <w:r>
        <w:rPr>
          <w:rFonts w:hint="eastAsia"/>
        </w:rPr>
        <w:t>基本功能：卡口抓拍、车牌识别、车型识别、车身颜色识别、违章检测、车辆特征检测</w:t>
      </w:r>
    </w:p>
    <w:p>
      <w:pPr>
        <w:spacing w:line="360" w:lineRule="auto"/>
        <w:ind w:firstLine="420" w:firstLineChars="200"/>
      </w:pPr>
      <w:r>
        <w:rPr>
          <w:rFonts w:hint="eastAsia"/>
        </w:rPr>
        <w:t>车辆通行捕获率：白天98.5%，晚上95.8%</w:t>
      </w:r>
    </w:p>
    <w:p>
      <w:pPr>
        <w:spacing w:line="360" w:lineRule="auto"/>
        <w:ind w:firstLine="420" w:firstLineChars="200"/>
      </w:pPr>
      <w:r>
        <w:rPr>
          <w:rFonts w:hint="eastAsia"/>
        </w:rPr>
        <w:t>闯红灯车辆捕获率：白天98%，晚上95%</w:t>
      </w:r>
    </w:p>
    <w:p>
      <w:pPr>
        <w:spacing w:line="360" w:lineRule="auto"/>
        <w:ind w:firstLine="420" w:firstLineChars="200"/>
      </w:pPr>
      <w:r>
        <w:rPr>
          <w:rFonts w:hint="eastAsia"/>
        </w:rPr>
        <w:t>车牌识别准确率：白天98%，晚上95%；</w:t>
      </w:r>
    </w:p>
    <w:p>
      <w:pPr>
        <w:spacing w:line="360" w:lineRule="auto"/>
        <w:ind w:firstLine="420" w:firstLineChars="200"/>
      </w:pPr>
      <w:r>
        <w:rPr>
          <w:rFonts w:hint="eastAsia"/>
        </w:rPr>
        <w:t>识别车牌种类：民用车牌（除5小车辆），警用车牌，2012式新军用车牌，2012式武警车牌</w:t>
      </w:r>
    </w:p>
    <w:p>
      <w:pPr>
        <w:spacing w:line="360" w:lineRule="auto"/>
        <w:ind w:firstLine="420" w:firstLineChars="200"/>
      </w:pPr>
      <w:r>
        <w:rPr>
          <w:rFonts w:hint="eastAsia"/>
        </w:rPr>
        <w:t xml:space="preserve">其他违法检测：具有不按规定车道行驶、逆行、压线/变道、不按所需行进方向驶入导向车道检测功能； </w:t>
      </w:r>
    </w:p>
    <w:p>
      <w:pPr>
        <w:spacing w:line="360" w:lineRule="auto"/>
        <w:ind w:firstLine="420" w:firstLineChars="200"/>
      </w:pPr>
      <w:r>
        <w:rPr>
          <w:rFonts w:hint="eastAsia"/>
        </w:rPr>
        <w:t>终端接入：支持接入终端服务器</w:t>
      </w:r>
    </w:p>
    <w:p>
      <w:pPr>
        <w:spacing w:line="360" w:lineRule="auto"/>
        <w:ind w:firstLine="420" w:firstLineChars="200"/>
      </w:pPr>
      <w:r>
        <w:rPr>
          <w:rFonts w:hint="eastAsia"/>
        </w:rPr>
        <w:t>电压：100VAC～240VAC；频率：48Hz～52Hz</w:t>
      </w:r>
    </w:p>
    <w:p>
      <w:pPr>
        <w:spacing w:line="360" w:lineRule="auto"/>
        <w:ind w:firstLine="420" w:firstLineChars="200"/>
      </w:pPr>
      <w:r>
        <w:rPr>
          <w:rFonts w:hint="eastAsia"/>
        </w:rPr>
        <w:t>功耗：＜20W</w:t>
      </w:r>
    </w:p>
    <w:p>
      <w:pPr>
        <w:spacing w:line="360" w:lineRule="auto"/>
        <w:ind w:firstLine="420" w:firstLineChars="200"/>
      </w:pPr>
      <w:r>
        <w:rPr>
          <w:rFonts w:hint="eastAsia"/>
        </w:rPr>
        <w:t>工作环境温度：-30℃～+60℃</w:t>
      </w:r>
    </w:p>
    <w:p>
      <w:pPr>
        <w:spacing w:line="360" w:lineRule="auto"/>
        <w:ind w:firstLine="420" w:firstLineChars="200"/>
      </w:pPr>
      <w:r>
        <w:rPr>
          <w:rFonts w:hint="eastAsia"/>
        </w:rPr>
        <w:t>工作环境湿度：5%~95%@40℃，无凝结</w:t>
      </w:r>
    </w:p>
    <w:p>
      <w:pPr>
        <w:spacing w:line="360" w:lineRule="auto"/>
        <w:ind w:firstLine="420" w:firstLineChars="200"/>
      </w:pPr>
      <w:r>
        <w:rPr>
          <w:rFonts w:hint="eastAsia"/>
        </w:rPr>
        <w:t>防护等级：IP66</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智能终端管理器</w:t>
      </w:r>
    </w:p>
    <w:p>
      <w:pPr>
        <w:spacing w:line="360" w:lineRule="auto"/>
        <w:ind w:firstLine="420" w:firstLineChars="200"/>
      </w:pPr>
      <w:r>
        <w:rPr>
          <w:rFonts w:hint="eastAsia"/>
        </w:rPr>
        <w:t>处理器：高性能ARM A9双核数字媒体处理器</w:t>
      </w:r>
    </w:p>
    <w:p>
      <w:pPr>
        <w:spacing w:line="360" w:lineRule="auto"/>
        <w:ind w:firstLine="420" w:firstLineChars="200"/>
      </w:pPr>
      <w:r>
        <w:rPr>
          <w:rFonts w:hint="eastAsia"/>
        </w:rPr>
        <w:t>操作系统：嵌入式Linux操作系统</w:t>
      </w:r>
    </w:p>
    <w:p>
      <w:pPr>
        <w:spacing w:line="360" w:lineRule="auto"/>
        <w:ind w:firstLine="420" w:firstLineChars="200"/>
      </w:pPr>
      <w:r>
        <w:rPr>
          <w:rFonts w:hint="eastAsia"/>
        </w:rPr>
        <w:t>操作界面：WEB、VGA、HDMI</w:t>
      </w:r>
    </w:p>
    <w:p>
      <w:pPr>
        <w:spacing w:line="360" w:lineRule="auto"/>
        <w:ind w:firstLine="420" w:firstLineChars="200"/>
      </w:pPr>
      <w:r>
        <w:rPr>
          <w:rFonts w:hint="eastAsia"/>
        </w:rPr>
        <w:t>硬盘存储：4个SATA接口，单SATA接口可支持最大4TB容量硬盘</w:t>
      </w:r>
    </w:p>
    <w:p>
      <w:pPr>
        <w:spacing w:line="360" w:lineRule="auto"/>
        <w:ind w:firstLine="420" w:firstLineChars="200"/>
      </w:pPr>
      <w:r>
        <w:rPr>
          <w:rFonts w:hint="eastAsia"/>
        </w:rPr>
        <w:t>外部硬盘存储：1个外置eSATA硬盘接口</w:t>
      </w:r>
    </w:p>
    <w:p>
      <w:pPr>
        <w:spacing w:line="360" w:lineRule="auto"/>
        <w:ind w:firstLine="420" w:firstLineChars="200"/>
      </w:pPr>
      <w:r>
        <w:rPr>
          <w:rFonts w:hint="eastAsia"/>
        </w:rPr>
        <w:t>RESET按钮：1个重置复位按键</w:t>
      </w:r>
    </w:p>
    <w:p>
      <w:pPr>
        <w:spacing w:line="360" w:lineRule="auto"/>
        <w:ind w:firstLine="420" w:firstLineChars="200"/>
      </w:pPr>
      <w:r>
        <w:rPr>
          <w:rFonts w:hint="eastAsia"/>
        </w:rPr>
        <w:t>指示灯：电源/报警/硬盘/就绪/备份，共5个状态指示灯</w:t>
      </w:r>
    </w:p>
    <w:p>
      <w:pPr>
        <w:spacing w:line="360" w:lineRule="auto"/>
        <w:ind w:firstLine="420" w:firstLineChars="200"/>
      </w:pPr>
      <w:r>
        <w:rPr>
          <w:rFonts w:hint="eastAsia"/>
        </w:rPr>
        <w:t>模拟视频接口：2个标准BNC输入接口，支持2路HD-TVI（或HD-SDI）视频输入；2个标准BNC环通输出接口，支持2路HD-TVI环通输出</w:t>
      </w:r>
    </w:p>
    <w:p>
      <w:pPr>
        <w:spacing w:line="360" w:lineRule="auto"/>
        <w:ind w:firstLine="420" w:firstLineChars="200"/>
      </w:pPr>
      <w:r>
        <w:rPr>
          <w:rFonts w:hint="eastAsia"/>
        </w:rPr>
        <w:t>数字视频接入：可接入12路高清录像</w:t>
      </w:r>
    </w:p>
    <w:p>
      <w:pPr>
        <w:spacing w:line="360" w:lineRule="auto"/>
        <w:ind w:firstLine="420" w:firstLineChars="200"/>
      </w:pPr>
      <w:r>
        <w:rPr>
          <w:rFonts w:hint="eastAsia"/>
        </w:rPr>
        <w:t>可接入车道数：≤12车道</w:t>
      </w:r>
    </w:p>
    <w:p>
      <w:pPr>
        <w:spacing w:line="360" w:lineRule="auto"/>
        <w:ind w:firstLine="420" w:firstLineChars="200"/>
      </w:pPr>
      <w:r>
        <w:rPr>
          <w:rFonts w:hint="eastAsia"/>
        </w:rPr>
        <w:t>音频接口：1个音频输入接口，1个音频输出接口</w:t>
      </w:r>
    </w:p>
    <w:p>
      <w:pPr>
        <w:spacing w:line="360" w:lineRule="auto"/>
        <w:ind w:firstLine="420" w:firstLineChars="200"/>
      </w:pPr>
      <w:r>
        <w:rPr>
          <w:rFonts w:hint="eastAsia"/>
        </w:rPr>
        <w:t>网络接口：16个100M以太网接口及2个10/100/1000M自适应网络接口，其中1个为千兆可光电转换网络接口（需选配光模块）</w:t>
      </w:r>
    </w:p>
    <w:p>
      <w:pPr>
        <w:spacing w:line="360" w:lineRule="auto"/>
        <w:ind w:firstLine="420" w:firstLineChars="200"/>
      </w:pPr>
      <w:r>
        <w:rPr>
          <w:rFonts w:hint="eastAsia"/>
        </w:rPr>
        <w:t>报警接口：4路报警输入；4路报警输出</w:t>
      </w:r>
    </w:p>
    <w:p>
      <w:pPr>
        <w:spacing w:line="360" w:lineRule="auto"/>
        <w:ind w:firstLine="420" w:firstLineChars="200"/>
      </w:pPr>
      <w:r>
        <w:rPr>
          <w:rFonts w:hint="eastAsia"/>
        </w:rPr>
        <w:t>其他接口：2个RS232接口，4个RS485接口，2个外置USB接口；1个VGA接口，1个HDMI接口；1个CVBS输出接口</w:t>
      </w:r>
    </w:p>
    <w:p>
      <w:pPr>
        <w:spacing w:line="360" w:lineRule="auto"/>
        <w:ind w:firstLine="420" w:firstLineChars="200"/>
      </w:pPr>
      <w:r>
        <w:rPr>
          <w:rFonts w:hint="eastAsia"/>
        </w:rPr>
        <w:t>电源输出接口：1个12V电源输出接口、1个5V电源输出接口(总输出功率≤20W)</w:t>
      </w:r>
    </w:p>
    <w:p>
      <w:pPr>
        <w:spacing w:line="360" w:lineRule="auto"/>
        <w:ind w:firstLine="420" w:firstLineChars="200"/>
      </w:pPr>
      <w:r>
        <w:rPr>
          <w:rFonts w:hint="eastAsia"/>
        </w:rPr>
        <w:t>数据存储：支持对通行车辆的信息（记录和图片）存储</w:t>
      </w:r>
    </w:p>
    <w:p>
      <w:pPr>
        <w:spacing w:line="360" w:lineRule="auto"/>
        <w:ind w:firstLine="420" w:firstLineChars="200"/>
      </w:pPr>
      <w:r>
        <w:rPr>
          <w:rFonts w:hint="eastAsia"/>
        </w:rPr>
        <w:t>视频录像：支持录像存储功能，存储时长根据设定的码流大小和配置的硬盘容量确定</w:t>
      </w:r>
    </w:p>
    <w:p>
      <w:pPr>
        <w:spacing w:line="360" w:lineRule="auto"/>
        <w:ind w:firstLine="420" w:firstLineChars="200"/>
      </w:pPr>
      <w:r>
        <w:rPr>
          <w:rFonts w:hint="eastAsia"/>
        </w:rPr>
        <w:t>数据上传：支持交通数据断点续传和手动重传功能</w:t>
      </w:r>
    </w:p>
    <w:p>
      <w:pPr>
        <w:spacing w:line="360" w:lineRule="auto"/>
        <w:ind w:firstLine="420" w:firstLineChars="200"/>
      </w:pPr>
      <w:r>
        <w:rPr>
          <w:rFonts w:hint="eastAsia"/>
        </w:rPr>
        <w:t>网络设置：支持设置双网段IP，节省专网IP地址资源</w:t>
      </w:r>
    </w:p>
    <w:p>
      <w:pPr>
        <w:spacing w:line="360" w:lineRule="auto"/>
        <w:ind w:firstLine="420" w:firstLineChars="200"/>
      </w:pPr>
      <w:r>
        <w:rPr>
          <w:rFonts w:hint="eastAsia"/>
        </w:rPr>
        <w:t>工作电压：DC12V ，包含DC12V/12.5A适配器</w:t>
      </w:r>
    </w:p>
    <w:p>
      <w:pPr>
        <w:spacing w:line="360" w:lineRule="auto"/>
        <w:ind w:firstLine="420" w:firstLineChars="200"/>
      </w:pPr>
      <w:r>
        <w:rPr>
          <w:rFonts w:hint="eastAsia"/>
        </w:rPr>
        <w:t>工作环境：工作温度-40℃～70℃、工作湿度10%～90%</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红绿灯检测器</w:t>
      </w:r>
    </w:p>
    <w:p>
      <w:pPr>
        <w:spacing w:line="360" w:lineRule="auto"/>
        <w:ind w:firstLine="420" w:firstLineChars="200"/>
      </w:pPr>
      <w:r>
        <w:rPr>
          <w:rFonts w:hint="eastAsia"/>
        </w:rPr>
        <w:t>信号输入：16路交通灯交流信号输入接口；</w:t>
      </w:r>
    </w:p>
    <w:p>
      <w:pPr>
        <w:spacing w:line="360" w:lineRule="auto"/>
        <w:ind w:firstLine="420" w:firstLineChars="200"/>
      </w:pPr>
      <w:r>
        <w:rPr>
          <w:rFonts w:hint="eastAsia"/>
        </w:rPr>
        <w:t>信号输出：6个RS485输出接口，1个+5VDC输出接口；</w:t>
      </w:r>
    </w:p>
    <w:p>
      <w:pPr>
        <w:spacing w:line="360" w:lineRule="auto"/>
        <w:ind w:firstLine="420" w:firstLineChars="200"/>
      </w:pPr>
      <w:r>
        <w:rPr>
          <w:rFonts w:hint="eastAsia"/>
        </w:rPr>
        <w:t>检测电压范围：140VAC～270VAC；</w:t>
      </w:r>
    </w:p>
    <w:p>
      <w:pPr>
        <w:spacing w:line="360" w:lineRule="auto"/>
        <w:ind w:firstLine="420" w:firstLineChars="200"/>
      </w:pPr>
      <w:r>
        <w:rPr>
          <w:rFonts w:hint="eastAsia"/>
        </w:rPr>
        <w:t>通讯设置：5路拨码开关，用来设置波特率、地址和上传模式；</w:t>
      </w:r>
    </w:p>
    <w:p>
      <w:pPr>
        <w:spacing w:line="360" w:lineRule="auto"/>
        <w:ind w:firstLine="420" w:firstLineChars="200"/>
      </w:pPr>
      <w:r>
        <w:rPr>
          <w:rFonts w:hint="eastAsia"/>
        </w:rPr>
        <w:t>状态提示：16路交通灯状态指示；</w:t>
      </w:r>
    </w:p>
    <w:p>
      <w:pPr>
        <w:spacing w:line="360" w:lineRule="auto"/>
        <w:ind w:firstLine="420" w:firstLineChars="200"/>
      </w:pPr>
      <w:r>
        <w:rPr>
          <w:rFonts w:hint="eastAsia"/>
        </w:rPr>
        <w:t>稳定性设计：检测、通讯单元采用微控制器设计，稳定可靠；输入接口采用压电保护、光电隔离等防护措施；</w:t>
      </w:r>
    </w:p>
    <w:p>
      <w:pPr>
        <w:spacing w:line="360" w:lineRule="auto"/>
        <w:ind w:firstLine="420" w:firstLineChars="200"/>
      </w:pPr>
      <w:r>
        <w:rPr>
          <w:rFonts w:hint="eastAsia"/>
        </w:rPr>
        <w:t>工作电压：220VAC@50Hz/60Hz；100VAC～240VAC能够正常工作；</w:t>
      </w:r>
    </w:p>
    <w:p>
      <w:pPr>
        <w:spacing w:line="360" w:lineRule="auto"/>
        <w:ind w:firstLine="420" w:firstLineChars="200"/>
      </w:pPr>
      <w:r>
        <w:rPr>
          <w:rFonts w:hint="eastAsia"/>
        </w:rPr>
        <w:t>功耗：＜5W；</w:t>
      </w:r>
    </w:p>
    <w:p>
      <w:pPr>
        <w:spacing w:line="360" w:lineRule="auto"/>
        <w:ind w:firstLine="420" w:firstLineChars="200"/>
      </w:pPr>
      <w:r>
        <w:rPr>
          <w:rFonts w:hint="eastAsia"/>
        </w:rPr>
        <w:t>工作环境温度：-30℃～+70℃；</w:t>
      </w:r>
    </w:p>
    <w:p>
      <w:pPr>
        <w:spacing w:line="360" w:lineRule="auto"/>
        <w:ind w:firstLine="420" w:firstLineChars="200"/>
      </w:pPr>
      <w:r>
        <w:rPr>
          <w:rFonts w:hint="eastAsia"/>
        </w:rPr>
        <w:t>工作环境湿度：5%～95%@40℃，无凝结；</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4.卡口抓拍系统</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概述</w:t>
      </w:r>
    </w:p>
    <w:p>
      <w:pPr>
        <w:spacing w:line="360" w:lineRule="auto"/>
        <w:ind w:firstLine="420" w:firstLineChars="200"/>
      </w:pPr>
      <w:r>
        <w:rPr>
          <w:rFonts w:hint="eastAsia"/>
        </w:rPr>
        <w:t>卡口抓拍系统以机动车图片抓拍、车辆号牌识别等车辆特征数据采集，布控比对报警，查报站出警拦截为主要目的，对道路运行车辆的构成、流量分布，违章情况进行常年不间断的自动记录，为快速纠正交通违章行为、快速侦破交通事故逃逸和机动车盗抢、套牌案件提供重要的技术手段和证据，同时为交通管理、交通规划、道路养护提供重要的基础和运行数据，在城市治安及交通管理过程中发挥了重要的作用，对解决公安警力不足、提高交通执法水平有着十分重要的意义。</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建设内容</w:t>
      </w:r>
    </w:p>
    <w:p>
      <w:pPr>
        <w:spacing w:line="360" w:lineRule="auto"/>
        <w:ind w:firstLine="420" w:firstLineChars="200"/>
        <w:rPr>
          <w:rFonts w:hint="eastAsia"/>
        </w:rPr>
      </w:pPr>
      <w:r>
        <w:rPr>
          <w:rFonts w:hint="eastAsia"/>
        </w:rPr>
        <w:t>选择城区及城区外围1</w:t>
      </w:r>
      <w:r>
        <w:t>0</w:t>
      </w:r>
      <w:r>
        <w:rPr>
          <w:rFonts w:hint="eastAsia"/>
        </w:rPr>
        <w:t>个典型路口建设卡口系统，加强对驾驶员未系安全带、打电话等违章行为的查处力度。具体建设点位清单如下：</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880"/>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D9D9D9"/>
            <w:noWrap w:val="0"/>
            <w:vAlign w:val="center"/>
          </w:tcPr>
          <w:p>
            <w:pPr>
              <w:jc w:val="center"/>
              <w:rPr>
                <w:rFonts w:ascii="宋体" w:hAnsi="黑体"/>
                <w:b/>
                <w:bCs/>
                <w:szCs w:val="22"/>
              </w:rPr>
            </w:pPr>
            <w:r>
              <w:rPr>
                <w:rFonts w:hint="eastAsia" w:ascii="宋体" w:hAnsi="黑体"/>
                <w:b/>
                <w:bCs/>
                <w:szCs w:val="22"/>
              </w:rPr>
              <w:t>序号</w:t>
            </w:r>
          </w:p>
        </w:tc>
        <w:tc>
          <w:tcPr>
            <w:tcW w:w="2880" w:type="dxa"/>
            <w:shd w:val="clear" w:color="auto" w:fill="D9D9D9"/>
            <w:noWrap w:val="0"/>
            <w:vAlign w:val="center"/>
          </w:tcPr>
          <w:p>
            <w:pPr>
              <w:jc w:val="center"/>
              <w:rPr>
                <w:rFonts w:ascii="宋体" w:hAnsi="黑体"/>
                <w:b/>
                <w:bCs/>
                <w:szCs w:val="22"/>
              </w:rPr>
            </w:pPr>
            <w:r>
              <w:rPr>
                <w:rFonts w:hint="eastAsia" w:ascii="宋体" w:hAnsi="黑体"/>
                <w:b/>
                <w:bCs/>
                <w:szCs w:val="22"/>
              </w:rPr>
              <w:t>路口名称</w:t>
            </w:r>
          </w:p>
        </w:tc>
        <w:tc>
          <w:tcPr>
            <w:tcW w:w="1825" w:type="dxa"/>
            <w:shd w:val="clear" w:color="auto" w:fill="D9D9D9"/>
            <w:noWrap w:val="0"/>
            <w:vAlign w:val="center"/>
          </w:tcPr>
          <w:p>
            <w:pPr>
              <w:jc w:val="center"/>
              <w:rPr>
                <w:rFonts w:ascii="宋体" w:hAnsi="黑体"/>
                <w:b/>
                <w:bCs/>
                <w:szCs w:val="22"/>
              </w:rPr>
            </w:pPr>
            <w:r>
              <w:rPr>
                <w:rFonts w:hint="eastAsia" w:ascii="宋体" w:hAnsi="黑体"/>
                <w:b/>
                <w:bCs/>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jc w:val="center"/>
              <w:rPr>
                <w:rFonts w:ascii="宋体" w:hAnsi="黑体"/>
                <w:szCs w:val="22"/>
              </w:rPr>
            </w:pPr>
            <w:r>
              <w:rPr>
                <w:rFonts w:hint="eastAsia" w:ascii="宋体" w:hAnsi="黑体"/>
                <w:szCs w:val="22"/>
              </w:rPr>
              <w:t>1</w:t>
            </w:r>
          </w:p>
        </w:tc>
        <w:tc>
          <w:tcPr>
            <w:tcW w:w="2880" w:type="dxa"/>
            <w:noWrap w:val="0"/>
            <w:vAlign w:val="center"/>
          </w:tcPr>
          <w:p>
            <w:pPr>
              <w:jc w:val="center"/>
              <w:rPr>
                <w:rFonts w:ascii="宋体" w:hAnsi="黑体"/>
                <w:szCs w:val="22"/>
              </w:rPr>
            </w:pPr>
            <w:r>
              <w:rPr>
                <w:rFonts w:hint="eastAsia" w:ascii="宋体" w:hAnsi="黑体"/>
                <w:szCs w:val="22"/>
              </w:rPr>
              <w:t>安吉大道-绕城南线</w:t>
            </w:r>
          </w:p>
        </w:tc>
        <w:tc>
          <w:tcPr>
            <w:tcW w:w="1825" w:type="dxa"/>
            <w:noWrap w:val="0"/>
            <w:vAlign w:val="center"/>
          </w:tcPr>
          <w:p>
            <w:pPr>
              <w:jc w:val="center"/>
              <w:rPr>
                <w:rFonts w:ascii="宋体" w:hAnsi="黑体"/>
                <w:szCs w:val="22"/>
              </w:rPr>
            </w:pPr>
            <w:r>
              <w:rPr>
                <w:rFonts w:hint="eastAsia" w:ascii="宋体" w:hAnsi="黑体"/>
                <w:szCs w:val="22"/>
              </w:rPr>
              <w:t>东、西方向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jc w:val="center"/>
              <w:rPr>
                <w:rFonts w:ascii="宋体" w:hAnsi="黑体"/>
                <w:szCs w:val="22"/>
              </w:rPr>
            </w:pPr>
            <w:r>
              <w:rPr>
                <w:rFonts w:hint="eastAsia" w:ascii="宋体" w:hAnsi="黑体"/>
                <w:szCs w:val="22"/>
              </w:rPr>
              <w:t>2</w:t>
            </w:r>
          </w:p>
        </w:tc>
        <w:tc>
          <w:tcPr>
            <w:tcW w:w="2880" w:type="dxa"/>
            <w:noWrap w:val="0"/>
            <w:vAlign w:val="center"/>
          </w:tcPr>
          <w:p>
            <w:pPr>
              <w:jc w:val="center"/>
              <w:rPr>
                <w:rFonts w:ascii="宋体" w:hAnsi="黑体"/>
                <w:szCs w:val="22"/>
              </w:rPr>
            </w:pPr>
            <w:r>
              <w:rPr>
                <w:rFonts w:hint="eastAsia" w:ascii="宋体" w:hAnsi="黑体"/>
                <w:szCs w:val="22"/>
              </w:rPr>
              <w:t>天荒坪路-绕城南线</w:t>
            </w:r>
          </w:p>
        </w:tc>
        <w:tc>
          <w:tcPr>
            <w:tcW w:w="1825" w:type="dxa"/>
            <w:noWrap w:val="0"/>
            <w:vAlign w:val="center"/>
          </w:tcPr>
          <w:p>
            <w:pPr>
              <w:jc w:val="center"/>
              <w:rPr>
                <w:rFonts w:ascii="宋体" w:hAnsi="黑体"/>
                <w:szCs w:val="22"/>
              </w:rPr>
            </w:pPr>
            <w:r>
              <w:rPr>
                <w:rFonts w:hint="eastAsia" w:ascii="宋体" w:hAnsi="黑体"/>
                <w:szCs w:val="22"/>
              </w:rPr>
              <w:t>南、北方向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jc w:val="center"/>
              <w:rPr>
                <w:rFonts w:ascii="宋体" w:hAnsi="黑体"/>
                <w:szCs w:val="22"/>
              </w:rPr>
            </w:pPr>
            <w:r>
              <w:rPr>
                <w:rFonts w:hint="eastAsia" w:ascii="宋体" w:hAnsi="黑体"/>
                <w:szCs w:val="22"/>
              </w:rPr>
              <w:t>3</w:t>
            </w:r>
          </w:p>
        </w:tc>
        <w:tc>
          <w:tcPr>
            <w:tcW w:w="2880" w:type="dxa"/>
            <w:noWrap w:val="0"/>
            <w:vAlign w:val="center"/>
          </w:tcPr>
          <w:p>
            <w:pPr>
              <w:jc w:val="center"/>
              <w:rPr>
                <w:rFonts w:ascii="宋体" w:hAnsi="黑体"/>
                <w:szCs w:val="22"/>
              </w:rPr>
            </w:pPr>
            <w:r>
              <w:rPr>
                <w:rFonts w:hint="eastAsia" w:ascii="宋体" w:hAnsi="黑体"/>
                <w:szCs w:val="22"/>
              </w:rPr>
              <w:t>天荒坪路-古鄣路</w:t>
            </w:r>
          </w:p>
        </w:tc>
        <w:tc>
          <w:tcPr>
            <w:tcW w:w="1825" w:type="dxa"/>
            <w:noWrap w:val="0"/>
            <w:vAlign w:val="center"/>
          </w:tcPr>
          <w:p>
            <w:pPr>
              <w:jc w:val="center"/>
              <w:rPr>
                <w:rFonts w:ascii="宋体" w:hAnsi="黑体"/>
                <w:szCs w:val="22"/>
              </w:rPr>
            </w:pPr>
            <w:r>
              <w:rPr>
                <w:rFonts w:hint="eastAsia" w:ascii="宋体" w:hAnsi="黑体"/>
                <w:szCs w:val="22"/>
              </w:rPr>
              <w:t>南、北方向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jc w:val="center"/>
              <w:rPr>
                <w:rFonts w:ascii="宋体" w:hAnsi="黑体"/>
                <w:szCs w:val="22"/>
              </w:rPr>
            </w:pPr>
            <w:r>
              <w:rPr>
                <w:rFonts w:hint="eastAsia" w:ascii="宋体" w:hAnsi="黑体"/>
                <w:szCs w:val="22"/>
              </w:rPr>
              <w:t>4</w:t>
            </w:r>
          </w:p>
        </w:tc>
        <w:tc>
          <w:tcPr>
            <w:tcW w:w="2880" w:type="dxa"/>
            <w:noWrap w:val="0"/>
            <w:vAlign w:val="center"/>
          </w:tcPr>
          <w:p>
            <w:pPr>
              <w:jc w:val="center"/>
              <w:rPr>
                <w:rFonts w:ascii="宋体" w:hAnsi="黑体"/>
                <w:szCs w:val="22"/>
              </w:rPr>
            </w:pPr>
            <w:r>
              <w:rPr>
                <w:rFonts w:hint="eastAsia" w:ascii="宋体" w:hAnsi="黑体"/>
                <w:szCs w:val="22"/>
              </w:rPr>
              <w:t>浦源大道-苕溪路</w:t>
            </w:r>
          </w:p>
        </w:tc>
        <w:tc>
          <w:tcPr>
            <w:tcW w:w="1825" w:type="dxa"/>
            <w:noWrap w:val="0"/>
            <w:vAlign w:val="center"/>
          </w:tcPr>
          <w:p>
            <w:pPr>
              <w:jc w:val="center"/>
              <w:rPr>
                <w:rFonts w:ascii="宋体" w:hAnsi="黑体"/>
                <w:szCs w:val="22"/>
              </w:rPr>
            </w:pPr>
            <w:r>
              <w:rPr>
                <w:rFonts w:hint="eastAsia" w:ascii="宋体" w:hAnsi="黑体"/>
                <w:szCs w:val="22"/>
              </w:rPr>
              <w:t>东、西方向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0"/>
            <w:vAlign w:val="center"/>
          </w:tcPr>
          <w:p>
            <w:pPr>
              <w:jc w:val="center"/>
              <w:rPr>
                <w:rFonts w:ascii="宋体" w:hAnsi="黑体"/>
                <w:szCs w:val="22"/>
              </w:rPr>
            </w:pPr>
            <w:r>
              <w:rPr>
                <w:rFonts w:hint="eastAsia" w:ascii="宋体" w:hAnsi="黑体"/>
                <w:szCs w:val="22"/>
              </w:rPr>
              <w:t>5</w:t>
            </w:r>
          </w:p>
        </w:tc>
        <w:tc>
          <w:tcPr>
            <w:tcW w:w="2880" w:type="dxa"/>
            <w:shd w:val="clear" w:color="000000" w:fill="FFFFFF"/>
            <w:noWrap w:val="0"/>
            <w:vAlign w:val="center"/>
          </w:tcPr>
          <w:p>
            <w:pPr>
              <w:jc w:val="center"/>
              <w:rPr>
                <w:rFonts w:ascii="宋体" w:hAnsi="黑体"/>
                <w:szCs w:val="22"/>
              </w:rPr>
            </w:pPr>
            <w:r>
              <w:rPr>
                <w:rFonts w:hint="eastAsia" w:ascii="宋体" w:hAnsi="黑体"/>
                <w:szCs w:val="22"/>
              </w:rPr>
              <w:t>205省道-浮玉路</w:t>
            </w:r>
          </w:p>
        </w:tc>
        <w:tc>
          <w:tcPr>
            <w:tcW w:w="1825" w:type="dxa"/>
            <w:noWrap w:val="0"/>
            <w:vAlign w:val="center"/>
          </w:tcPr>
          <w:p>
            <w:pPr>
              <w:jc w:val="center"/>
              <w:rPr>
                <w:rFonts w:ascii="宋体" w:hAnsi="黑体"/>
                <w:szCs w:val="22"/>
              </w:rPr>
            </w:pPr>
            <w:r>
              <w:rPr>
                <w:rFonts w:hint="eastAsia" w:ascii="宋体" w:hAnsi="黑体"/>
                <w:szCs w:val="22"/>
              </w:rPr>
              <w:t>东、西方向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0"/>
            <w:vAlign w:val="center"/>
          </w:tcPr>
          <w:p>
            <w:pPr>
              <w:jc w:val="center"/>
              <w:rPr>
                <w:rFonts w:ascii="宋体" w:hAnsi="黑体"/>
                <w:szCs w:val="22"/>
              </w:rPr>
            </w:pPr>
            <w:r>
              <w:rPr>
                <w:rFonts w:hint="eastAsia" w:ascii="宋体" w:hAnsi="黑体"/>
                <w:szCs w:val="22"/>
              </w:rPr>
              <w:t>6</w:t>
            </w:r>
          </w:p>
        </w:tc>
        <w:tc>
          <w:tcPr>
            <w:tcW w:w="2880" w:type="dxa"/>
            <w:shd w:val="clear" w:color="000000" w:fill="FFFFFF"/>
            <w:noWrap w:val="0"/>
            <w:vAlign w:val="center"/>
          </w:tcPr>
          <w:p>
            <w:pPr>
              <w:jc w:val="center"/>
              <w:rPr>
                <w:rFonts w:ascii="宋体" w:hAnsi="黑体"/>
                <w:szCs w:val="22"/>
              </w:rPr>
            </w:pPr>
            <w:r>
              <w:rPr>
                <w:rFonts w:hint="eastAsia" w:ascii="宋体" w:hAnsi="黑体"/>
                <w:szCs w:val="22"/>
              </w:rPr>
              <w:t>灵峰路-胜利路</w:t>
            </w:r>
          </w:p>
        </w:tc>
        <w:tc>
          <w:tcPr>
            <w:tcW w:w="1825" w:type="dxa"/>
            <w:noWrap w:val="0"/>
            <w:vAlign w:val="center"/>
          </w:tcPr>
          <w:p>
            <w:pPr>
              <w:jc w:val="center"/>
              <w:rPr>
                <w:rFonts w:ascii="宋体" w:hAnsi="黑体"/>
                <w:szCs w:val="22"/>
              </w:rPr>
            </w:pPr>
            <w:r>
              <w:rPr>
                <w:rFonts w:hint="eastAsia" w:ascii="宋体" w:hAnsi="黑体"/>
                <w:szCs w:val="22"/>
              </w:rPr>
              <w:t>南、北方向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0"/>
            <w:vAlign w:val="center"/>
          </w:tcPr>
          <w:p>
            <w:pPr>
              <w:jc w:val="center"/>
              <w:rPr>
                <w:rFonts w:ascii="宋体" w:hAnsi="黑体"/>
                <w:szCs w:val="22"/>
              </w:rPr>
            </w:pPr>
            <w:r>
              <w:rPr>
                <w:rFonts w:hint="eastAsia" w:ascii="宋体" w:hAnsi="黑体"/>
                <w:szCs w:val="22"/>
              </w:rPr>
              <w:t>7</w:t>
            </w:r>
          </w:p>
        </w:tc>
        <w:tc>
          <w:tcPr>
            <w:tcW w:w="2880" w:type="dxa"/>
            <w:shd w:val="clear" w:color="000000" w:fill="FFFFFF"/>
            <w:noWrap w:val="0"/>
            <w:vAlign w:val="center"/>
          </w:tcPr>
          <w:p>
            <w:pPr>
              <w:jc w:val="center"/>
              <w:rPr>
                <w:rFonts w:ascii="宋体" w:hAnsi="黑体"/>
                <w:szCs w:val="22"/>
              </w:rPr>
            </w:pPr>
            <w:r>
              <w:rPr>
                <w:rFonts w:hint="eastAsia" w:ascii="宋体" w:hAnsi="黑体"/>
                <w:szCs w:val="22"/>
              </w:rPr>
              <w:t>204省道-安吉北高速</w:t>
            </w:r>
          </w:p>
        </w:tc>
        <w:tc>
          <w:tcPr>
            <w:tcW w:w="1825" w:type="dxa"/>
            <w:noWrap w:val="0"/>
            <w:vAlign w:val="center"/>
          </w:tcPr>
          <w:p>
            <w:pPr>
              <w:jc w:val="center"/>
              <w:rPr>
                <w:rFonts w:ascii="宋体" w:hAnsi="黑体"/>
                <w:szCs w:val="22"/>
              </w:rPr>
            </w:pPr>
            <w:r>
              <w:rPr>
                <w:rFonts w:hint="eastAsia" w:ascii="宋体" w:hAnsi="黑体"/>
                <w:szCs w:val="22"/>
              </w:rPr>
              <w:t>南、北方向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0"/>
            <w:vAlign w:val="center"/>
          </w:tcPr>
          <w:p>
            <w:pPr>
              <w:jc w:val="center"/>
              <w:rPr>
                <w:rFonts w:ascii="宋体" w:hAnsi="黑体"/>
                <w:szCs w:val="22"/>
              </w:rPr>
            </w:pPr>
            <w:r>
              <w:rPr>
                <w:rFonts w:hint="eastAsia" w:ascii="宋体" w:hAnsi="黑体"/>
                <w:szCs w:val="22"/>
              </w:rPr>
              <w:t>8</w:t>
            </w:r>
          </w:p>
        </w:tc>
        <w:tc>
          <w:tcPr>
            <w:tcW w:w="2880" w:type="dxa"/>
            <w:shd w:val="clear" w:color="000000" w:fill="FFFFFF"/>
            <w:noWrap w:val="0"/>
            <w:vAlign w:val="center"/>
          </w:tcPr>
          <w:p>
            <w:pPr>
              <w:jc w:val="center"/>
              <w:rPr>
                <w:rFonts w:ascii="宋体" w:hAnsi="黑体"/>
                <w:szCs w:val="22"/>
              </w:rPr>
            </w:pPr>
            <w:r>
              <w:rPr>
                <w:rFonts w:hint="eastAsia" w:ascii="宋体" w:hAnsi="黑体"/>
                <w:szCs w:val="22"/>
              </w:rPr>
              <w:t>浮玉路-独松关路</w:t>
            </w:r>
          </w:p>
        </w:tc>
        <w:tc>
          <w:tcPr>
            <w:tcW w:w="1825" w:type="dxa"/>
            <w:noWrap w:val="0"/>
            <w:vAlign w:val="center"/>
          </w:tcPr>
          <w:p>
            <w:pPr>
              <w:jc w:val="center"/>
              <w:rPr>
                <w:rFonts w:ascii="宋体" w:hAnsi="黑体"/>
                <w:szCs w:val="22"/>
              </w:rPr>
            </w:pPr>
            <w:r>
              <w:rPr>
                <w:rFonts w:hint="eastAsia" w:ascii="宋体" w:hAnsi="黑体"/>
                <w:szCs w:val="22"/>
              </w:rPr>
              <w:t>南、北方向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0"/>
            <w:vAlign w:val="center"/>
          </w:tcPr>
          <w:p>
            <w:pPr>
              <w:jc w:val="center"/>
              <w:rPr>
                <w:rFonts w:ascii="宋体" w:hAnsi="黑体"/>
                <w:szCs w:val="22"/>
              </w:rPr>
            </w:pPr>
            <w:r>
              <w:rPr>
                <w:rFonts w:hint="eastAsia" w:ascii="宋体" w:hAnsi="黑体"/>
                <w:szCs w:val="22"/>
              </w:rPr>
              <w:t>9</w:t>
            </w:r>
          </w:p>
        </w:tc>
        <w:tc>
          <w:tcPr>
            <w:tcW w:w="2880" w:type="dxa"/>
            <w:shd w:val="clear" w:color="000000" w:fill="FFFFFF"/>
            <w:noWrap w:val="0"/>
            <w:vAlign w:val="center"/>
          </w:tcPr>
          <w:p>
            <w:pPr>
              <w:jc w:val="center"/>
              <w:rPr>
                <w:rFonts w:ascii="宋体" w:hAnsi="黑体"/>
                <w:szCs w:val="22"/>
              </w:rPr>
            </w:pPr>
            <w:r>
              <w:rPr>
                <w:rFonts w:hint="eastAsia" w:ascii="宋体" w:hAnsi="黑体"/>
                <w:szCs w:val="22"/>
              </w:rPr>
              <w:t>306省道-垃圾清运站</w:t>
            </w:r>
          </w:p>
        </w:tc>
        <w:tc>
          <w:tcPr>
            <w:tcW w:w="1825" w:type="dxa"/>
            <w:noWrap w:val="0"/>
            <w:vAlign w:val="center"/>
          </w:tcPr>
          <w:p>
            <w:pPr>
              <w:jc w:val="center"/>
              <w:rPr>
                <w:rFonts w:ascii="宋体" w:hAnsi="黑体"/>
                <w:szCs w:val="22"/>
              </w:rPr>
            </w:pPr>
            <w:r>
              <w:rPr>
                <w:rFonts w:hint="eastAsia" w:ascii="宋体" w:hAnsi="黑体"/>
                <w:szCs w:val="22"/>
              </w:rPr>
              <w:t>南、北方向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0"/>
            <w:vAlign w:val="center"/>
          </w:tcPr>
          <w:p>
            <w:pPr>
              <w:jc w:val="center"/>
              <w:rPr>
                <w:rFonts w:ascii="宋体" w:hAnsi="黑体"/>
                <w:szCs w:val="22"/>
              </w:rPr>
            </w:pPr>
            <w:r>
              <w:rPr>
                <w:rFonts w:hint="eastAsia" w:ascii="宋体" w:hAnsi="黑体"/>
                <w:szCs w:val="22"/>
              </w:rPr>
              <w:t>10</w:t>
            </w:r>
          </w:p>
        </w:tc>
        <w:tc>
          <w:tcPr>
            <w:tcW w:w="2880" w:type="dxa"/>
            <w:shd w:val="clear" w:color="000000" w:fill="FFFFFF"/>
            <w:noWrap w:val="0"/>
            <w:vAlign w:val="center"/>
          </w:tcPr>
          <w:p>
            <w:pPr>
              <w:jc w:val="center"/>
              <w:rPr>
                <w:rFonts w:ascii="宋体" w:hAnsi="黑体"/>
                <w:szCs w:val="22"/>
              </w:rPr>
            </w:pPr>
            <w:r>
              <w:rPr>
                <w:rFonts w:hint="eastAsia" w:ascii="宋体" w:hAnsi="黑体"/>
                <w:szCs w:val="22"/>
              </w:rPr>
              <w:t>云鸿路-康山大道</w:t>
            </w:r>
          </w:p>
        </w:tc>
        <w:tc>
          <w:tcPr>
            <w:tcW w:w="1825" w:type="dxa"/>
            <w:noWrap w:val="0"/>
            <w:vAlign w:val="center"/>
          </w:tcPr>
          <w:p>
            <w:pPr>
              <w:jc w:val="center"/>
              <w:rPr>
                <w:rFonts w:ascii="宋体" w:hAnsi="黑体"/>
                <w:szCs w:val="22"/>
              </w:rPr>
            </w:pPr>
            <w:r>
              <w:rPr>
                <w:rFonts w:hint="eastAsia" w:ascii="宋体" w:hAnsi="黑体"/>
                <w:szCs w:val="22"/>
              </w:rPr>
              <w:t>东、西方向</w:t>
            </w:r>
          </w:p>
        </w:tc>
      </w:tr>
    </w:tbl>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系统功能</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车辆捕获功能</w:t>
      </w:r>
    </w:p>
    <w:p>
      <w:pPr>
        <w:spacing w:line="360" w:lineRule="auto"/>
        <w:ind w:firstLine="420" w:firstLineChars="200"/>
      </w:pPr>
      <w:r>
        <w:rPr>
          <w:rFonts w:hint="eastAsia"/>
        </w:rPr>
        <w:t>系统通过视频检测方式实现车辆捕获功能，能对所有经过车辆进行捕获，除了能够捕获在车道上正常行驶的车辆外，还具备捕获跨线行驶及逆向行驶车辆的功能。在正常车速（5km/h～200km/h）范围内的监控区域规范行驶的车辆图像捕获准确率达99%以上。</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车辆速度检测功能</w:t>
      </w:r>
    </w:p>
    <w:p>
      <w:pPr>
        <w:spacing w:line="360" w:lineRule="auto"/>
        <w:ind w:firstLine="420" w:firstLineChars="200"/>
      </w:pPr>
      <w:r>
        <w:rPr>
          <w:rFonts w:hint="eastAsia"/>
        </w:rPr>
        <w:t>在结合各种提高测速精度辅助手段的基础上采用雷达测速方式,从根本上最大程度的解决了系统测速不准和出现异常速度的问题。</w:t>
      </w:r>
    </w:p>
    <w:p>
      <w:pPr>
        <w:spacing w:line="360" w:lineRule="auto"/>
        <w:ind w:firstLine="420" w:firstLineChars="200"/>
      </w:pPr>
      <w:r>
        <w:rPr>
          <w:rFonts w:hint="eastAsia"/>
        </w:rPr>
        <w:t>当机动车速度小于100km/h时，道路实测误差不超过-6km/h～0km/h；当机动车速度大于或等于100km/h时，道路实测误差不超过机动车速度的-6%～0%。</w:t>
      </w:r>
    </w:p>
    <w:p>
      <w:pPr>
        <w:spacing w:line="360" w:lineRule="auto"/>
        <w:ind w:firstLine="420" w:firstLineChars="200"/>
      </w:pPr>
      <w:r>
        <w:rPr>
          <w:rFonts w:hint="eastAsia"/>
        </w:rPr>
        <w:t>系统具备分车型分别设置标志限速和执法限速值的功能。</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车辆图像记录功能</w:t>
      </w:r>
    </w:p>
    <w:p>
      <w:pPr>
        <w:spacing w:line="360" w:lineRule="auto"/>
        <w:ind w:firstLine="420" w:firstLineChars="200"/>
      </w:pPr>
      <w:r>
        <w:rPr>
          <w:rFonts w:hint="eastAsia"/>
        </w:rPr>
        <w:t>系统能够准确捕获、记录通行车辆信息。记录的车辆信息除包含图像信息外，还包括文本信息，如日期、时间（精确到毫秒）、地点、方向、号牌号码、号牌颜色、车身颜色等。车辆信息写入关联数据库，并将相关文本信息叠加到图片上。</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超速抓拍功能</w:t>
      </w:r>
    </w:p>
    <w:p>
      <w:pPr>
        <w:spacing w:line="360" w:lineRule="auto"/>
        <w:ind w:firstLine="420" w:firstLineChars="200"/>
      </w:pPr>
      <w:r>
        <w:rPr>
          <w:rFonts w:hint="eastAsia"/>
        </w:rPr>
        <w:t>系统能够准确捕获机动车超速行驶违法行为，每辆超速车辆采集2幅不同时间或者不同位置的特征图片，记录超速违法行为的完整过程，所记录的图片能清晰辨别机动车车型、车身颜色、号牌号码等基本特征。</w:t>
      </w:r>
    </w:p>
    <w:p>
      <w:pPr>
        <w:spacing w:line="360" w:lineRule="auto"/>
        <w:ind w:firstLine="420" w:firstLineChars="200"/>
      </w:pPr>
      <w:r>
        <w:rPr>
          <w:rFonts w:hint="eastAsia"/>
        </w:rPr>
        <w:t>每幅图片上叠加有交通违法日期、时间、地点、方向、图像取证设备编号、限速值、行驶速度值和超速比例等信息。</w:t>
      </w:r>
    </w:p>
    <w:p>
      <w:pPr>
        <w:spacing w:line="360" w:lineRule="auto"/>
        <w:ind w:firstLine="420" w:firstLineChars="200"/>
      </w:pPr>
      <w:r>
        <w:rPr>
          <w:rFonts w:hint="eastAsia"/>
        </w:rPr>
        <w:t>取证数据满足《道路交通安全违法行为图像取证技术规范》(GA/T832-2014）的相关要求。</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智能补光功能</w:t>
      </w:r>
    </w:p>
    <w:p>
      <w:pPr>
        <w:spacing w:line="360" w:lineRule="auto"/>
        <w:ind w:firstLine="420" w:firstLineChars="200"/>
      </w:pPr>
      <w:r>
        <w:rPr>
          <w:rFonts w:hint="eastAsia"/>
        </w:rPr>
        <w:t>系统综合考虑了车辆前挡风玻璃对光线的反射特性、贴膜情况、环境光线照射情况，采用了特殊的滤光镜头、专门的成像控制策略和补光方式，同时安排了合理的设备布设方式，使得系统全天候对各类车型都能有效解决前挡风玻璃反光和强光直射等问题，确保车身、车牌都清晰可辨。</w:t>
      </w:r>
    </w:p>
    <w:p>
      <w:pPr>
        <w:spacing w:line="360" w:lineRule="auto"/>
        <w:ind w:firstLine="420" w:firstLineChars="200"/>
      </w:pPr>
      <w:r>
        <w:rPr>
          <w:rFonts w:hint="eastAsia"/>
        </w:rPr>
        <w:t>采用补光灯和摄像机成像控制模块之间的反馈控制技术，满足夜间拍摄要求。采用强光抑制技术，避免强逆光、强顺光环境下对拍摄造成的影响。</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车辆牌照自动识别功能</w:t>
      </w:r>
    </w:p>
    <w:p>
      <w:pPr>
        <w:spacing w:line="360" w:lineRule="auto"/>
        <w:ind w:firstLine="420" w:firstLineChars="200"/>
      </w:pPr>
      <w:r>
        <w:rPr>
          <w:rFonts w:hint="eastAsia"/>
        </w:rPr>
        <w:t>系统可自动对车辆牌照进行识别，包括车牌号码、车牌颜色的识别。</w:t>
      </w:r>
    </w:p>
    <w:p>
      <w:pPr>
        <w:spacing w:line="360" w:lineRule="auto"/>
        <w:ind w:firstLine="420" w:firstLineChars="200"/>
        <w:rPr>
          <w:rFonts w:hint="eastAsia"/>
          <w:szCs w:val="22"/>
        </w:rPr>
      </w:pPr>
      <w:r>
        <w:rPr>
          <w:rFonts w:hint="eastAsia"/>
          <w:szCs w:val="22"/>
          <w:lang w:val="en-US" w:eastAsia="zh-CN"/>
        </w:rPr>
        <w:t>1.</w:t>
      </w:r>
      <w:r>
        <w:rPr>
          <w:rFonts w:hint="eastAsia"/>
          <w:szCs w:val="22"/>
        </w:rPr>
        <w:t>车牌号码自动识别</w:t>
      </w:r>
    </w:p>
    <w:p>
      <w:pPr>
        <w:spacing w:line="360" w:lineRule="auto"/>
        <w:ind w:firstLine="420" w:firstLineChars="200"/>
      </w:pPr>
      <w:r>
        <w:rPr>
          <w:rFonts w:hint="eastAsia"/>
        </w:rPr>
        <w:t>系统具备对符合“GA36-2014”标准的民用车牌、警用车牌、使领馆车牌的号牌自动识别能力，并且具备对2012式军车号牌、2012式武警部队号牌的自动识别能力，所能识别的字符包括：</w:t>
      </w:r>
    </w:p>
    <w:p>
      <w:pPr>
        <w:spacing w:line="360" w:lineRule="auto"/>
        <w:jc w:val="center"/>
      </w:pPr>
      <w:r>
        <w:rPr>
          <w:rFonts w:hint="eastAsia"/>
        </w:rPr>
        <w:t>车辆号牌识别字符</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D9D9D9"/>
            <w:noWrap w:val="0"/>
            <w:vAlign w:val="center"/>
          </w:tcPr>
          <w:p>
            <w:pPr>
              <w:jc w:val="center"/>
              <w:rPr>
                <w:rFonts w:ascii="宋体" w:hAnsi="黑体"/>
                <w:b/>
                <w:bCs/>
                <w:szCs w:val="22"/>
              </w:rPr>
            </w:pPr>
            <w:r>
              <w:rPr>
                <w:rFonts w:hint="eastAsia" w:ascii="宋体" w:hAnsi="黑体"/>
                <w:b/>
                <w:bCs/>
                <w:szCs w:val="22"/>
              </w:rPr>
              <w:t>字符种类</w:t>
            </w:r>
          </w:p>
        </w:tc>
        <w:tc>
          <w:tcPr>
            <w:tcW w:w="5804" w:type="dxa"/>
            <w:shd w:val="clear" w:color="auto" w:fill="D9D9D9"/>
            <w:noWrap w:val="0"/>
            <w:vAlign w:val="center"/>
          </w:tcPr>
          <w:p>
            <w:pPr>
              <w:jc w:val="center"/>
              <w:rPr>
                <w:rFonts w:ascii="宋体" w:hAnsi="黑体"/>
                <w:b/>
                <w:bCs/>
                <w:szCs w:val="22"/>
              </w:rPr>
            </w:pPr>
            <w:r>
              <w:rPr>
                <w:rFonts w:hint="eastAsia" w:ascii="宋体" w:hAnsi="黑体"/>
                <w:b/>
                <w:bCs/>
                <w:szCs w:val="22"/>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center"/>
          </w:tcPr>
          <w:p>
            <w:pPr>
              <w:jc w:val="center"/>
              <w:rPr>
                <w:rFonts w:ascii="宋体" w:hAnsi="黑体"/>
                <w:szCs w:val="22"/>
              </w:rPr>
            </w:pPr>
            <w:r>
              <w:rPr>
                <w:rFonts w:hint="eastAsia" w:ascii="宋体" w:hAnsi="黑体"/>
                <w:szCs w:val="22"/>
              </w:rPr>
              <w:t>阿拉伯数字</w:t>
            </w:r>
          </w:p>
        </w:tc>
        <w:tc>
          <w:tcPr>
            <w:tcW w:w="5804" w:type="dxa"/>
            <w:noWrap w:val="0"/>
            <w:vAlign w:val="center"/>
          </w:tcPr>
          <w:p>
            <w:pPr>
              <w:jc w:val="center"/>
              <w:rPr>
                <w:rFonts w:ascii="宋体" w:hAnsi="黑体"/>
                <w:szCs w:val="22"/>
              </w:rPr>
            </w:pPr>
            <w:r>
              <w:rPr>
                <w:rFonts w:hint="eastAsia" w:ascii="宋体" w:hAnsi="黑体"/>
                <w:szCs w:val="22"/>
              </w:rPr>
              <w:t>“0～9”十个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center"/>
          </w:tcPr>
          <w:p>
            <w:pPr>
              <w:jc w:val="center"/>
              <w:rPr>
                <w:rFonts w:ascii="宋体" w:hAnsi="黑体"/>
                <w:szCs w:val="22"/>
              </w:rPr>
            </w:pPr>
            <w:r>
              <w:rPr>
                <w:rFonts w:hint="eastAsia" w:ascii="宋体" w:hAnsi="黑体"/>
                <w:szCs w:val="22"/>
              </w:rPr>
              <w:t>英文字母</w:t>
            </w:r>
          </w:p>
        </w:tc>
        <w:tc>
          <w:tcPr>
            <w:tcW w:w="5804" w:type="dxa"/>
            <w:noWrap w:val="0"/>
            <w:vAlign w:val="center"/>
          </w:tcPr>
          <w:p>
            <w:pPr>
              <w:jc w:val="center"/>
              <w:rPr>
                <w:rFonts w:ascii="宋体" w:hAnsi="黑体"/>
                <w:szCs w:val="22"/>
              </w:rPr>
            </w:pPr>
            <w:r>
              <w:rPr>
                <w:rFonts w:hint="eastAsia" w:ascii="宋体" w:hAnsi="黑体"/>
                <w:szCs w:val="22"/>
              </w:rPr>
              <w:t>“A～Z”二十六个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center"/>
          </w:tcPr>
          <w:p>
            <w:pPr>
              <w:jc w:val="center"/>
              <w:rPr>
                <w:rFonts w:ascii="宋体" w:hAnsi="黑体"/>
                <w:szCs w:val="22"/>
              </w:rPr>
            </w:pPr>
            <w:r>
              <w:rPr>
                <w:rFonts w:hint="eastAsia" w:ascii="宋体" w:hAnsi="黑体"/>
                <w:szCs w:val="22"/>
              </w:rPr>
              <w:t>省、自治区、直辖市简称用汉字</w:t>
            </w:r>
          </w:p>
        </w:tc>
        <w:tc>
          <w:tcPr>
            <w:tcW w:w="5804" w:type="dxa"/>
            <w:noWrap w:val="0"/>
            <w:vAlign w:val="center"/>
          </w:tcPr>
          <w:p>
            <w:pPr>
              <w:jc w:val="both"/>
              <w:rPr>
                <w:rFonts w:ascii="宋体" w:hAnsi="黑体"/>
                <w:szCs w:val="22"/>
              </w:rPr>
            </w:pPr>
            <w:r>
              <w:rPr>
                <w:rFonts w:hint="eastAsia" w:ascii="宋体" w:hAnsi="黑体"/>
                <w:szCs w:val="22"/>
              </w:rPr>
              <w:t>京、津、晋、冀、蒙、辽、吉、黑、沪、苏、浙、皖、闽、赣、鲁、豫、鄂、湘、粤、桂、琼、川、贵、云、藏、陕、甘、青、宁、新、渝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center"/>
          </w:tcPr>
          <w:p>
            <w:pPr>
              <w:jc w:val="center"/>
              <w:rPr>
                <w:rFonts w:ascii="宋体" w:hAnsi="黑体"/>
                <w:szCs w:val="22"/>
              </w:rPr>
            </w:pPr>
            <w:r>
              <w:rPr>
                <w:rFonts w:hint="eastAsia" w:ascii="宋体" w:hAnsi="黑体"/>
                <w:szCs w:val="22"/>
              </w:rPr>
              <w:t>专用号牌简称用汉字</w:t>
            </w:r>
          </w:p>
        </w:tc>
        <w:tc>
          <w:tcPr>
            <w:tcW w:w="5804" w:type="dxa"/>
            <w:noWrap w:val="0"/>
            <w:vAlign w:val="center"/>
          </w:tcPr>
          <w:p>
            <w:pPr>
              <w:jc w:val="both"/>
              <w:rPr>
                <w:rFonts w:ascii="宋体" w:hAnsi="黑体"/>
                <w:szCs w:val="22"/>
              </w:rPr>
            </w:pPr>
            <w:r>
              <w:rPr>
                <w:rFonts w:hint="eastAsia" w:ascii="宋体" w:hAnsi="黑体"/>
                <w:szCs w:val="22"/>
              </w:rPr>
              <w:t>领、使、警、学、挂、港、澳、试、超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center"/>
          </w:tcPr>
          <w:p>
            <w:pPr>
              <w:jc w:val="center"/>
              <w:rPr>
                <w:rFonts w:ascii="宋体" w:hAnsi="黑体"/>
                <w:szCs w:val="22"/>
              </w:rPr>
            </w:pPr>
            <w:r>
              <w:rPr>
                <w:rFonts w:hint="eastAsia" w:ascii="宋体" w:hAnsi="黑体"/>
                <w:szCs w:val="22"/>
              </w:rPr>
              <w:t>12式武警号牌字符</w:t>
            </w:r>
          </w:p>
        </w:tc>
        <w:tc>
          <w:tcPr>
            <w:tcW w:w="5804" w:type="dxa"/>
            <w:noWrap w:val="0"/>
            <w:vAlign w:val="center"/>
          </w:tcPr>
          <w:p>
            <w:pPr>
              <w:jc w:val="both"/>
              <w:rPr>
                <w:rFonts w:ascii="宋体" w:hAnsi="黑体"/>
                <w:szCs w:val="22"/>
              </w:rPr>
            </w:pPr>
            <w:r>
              <w:rPr>
                <w:rFonts w:hint="eastAsia" w:ascii="宋体" w:hAnsi="黑体"/>
                <w:szCs w:val="22"/>
              </w:rPr>
              <w:t>WJ样式的字母、省份简称汉字、警种字母（X、B、T、S、H、J、D）、数字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center"/>
          </w:tcPr>
          <w:p>
            <w:pPr>
              <w:jc w:val="center"/>
              <w:rPr>
                <w:rFonts w:ascii="宋体" w:hAnsi="黑体"/>
                <w:szCs w:val="22"/>
              </w:rPr>
            </w:pPr>
            <w:r>
              <w:rPr>
                <w:rFonts w:hint="eastAsia" w:ascii="宋体" w:hAnsi="黑体"/>
                <w:szCs w:val="22"/>
              </w:rPr>
              <w:t>12式军车号牌字符</w:t>
            </w:r>
          </w:p>
        </w:tc>
        <w:tc>
          <w:tcPr>
            <w:tcW w:w="5804" w:type="dxa"/>
            <w:noWrap w:val="0"/>
            <w:vAlign w:val="center"/>
          </w:tcPr>
          <w:p>
            <w:pPr>
              <w:jc w:val="both"/>
              <w:rPr>
                <w:rFonts w:ascii="宋体" w:hAnsi="黑体"/>
                <w:szCs w:val="22"/>
              </w:rPr>
            </w:pPr>
            <w:r>
              <w:rPr>
                <w:rFonts w:hint="eastAsia" w:ascii="宋体" w:hAnsi="黑体"/>
                <w:szCs w:val="22"/>
              </w:rPr>
              <w:t>各军区/各军兵种部拼音缩写字母、各军区/各军兵种部下辖各部属机构拼音缩写字母、数字</w:t>
            </w:r>
          </w:p>
        </w:tc>
      </w:tr>
    </w:tbl>
    <w:p>
      <w:pPr>
        <w:spacing w:line="360" w:lineRule="auto"/>
        <w:ind w:firstLine="420" w:firstLineChars="200"/>
        <w:rPr>
          <w:rFonts w:hint="eastAsia"/>
          <w:szCs w:val="22"/>
        </w:rPr>
      </w:pPr>
      <w:r>
        <w:rPr>
          <w:rFonts w:hint="eastAsia"/>
          <w:szCs w:val="22"/>
          <w:lang w:val="en-US" w:eastAsia="zh-CN"/>
        </w:rPr>
        <w:t>2.</w:t>
      </w:r>
      <w:r>
        <w:rPr>
          <w:rFonts w:hint="eastAsia"/>
          <w:szCs w:val="22"/>
        </w:rPr>
        <w:t>车牌颜色自动识别</w:t>
      </w:r>
    </w:p>
    <w:p>
      <w:pPr>
        <w:spacing w:line="360" w:lineRule="auto"/>
        <w:ind w:firstLine="420" w:firstLineChars="200"/>
        <w:rPr>
          <w:rFonts w:hint="eastAsia"/>
          <w:szCs w:val="22"/>
        </w:rPr>
      </w:pPr>
      <w:r>
        <w:rPr>
          <w:rFonts w:hint="eastAsia"/>
          <w:szCs w:val="22"/>
        </w:rPr>
        <w:t>系统能识别黑、白、蓝、黄、绿五种车牌颜色。</w:t>
      </w:r>
    </w:p>
    <w:p>
      <w:pPr>
        <w:spacing w:line="360" w:lineRule="auto"/>
        <w:ind w:firstLine="420" w:firstLineChars="200"/>
        <w:rPr>
          <w:rFonts w:hint="eastAsia"/>
          <w:szCs w:val="22"/>
        </w:rPr>
      </w:pPr>
      <w:r>
        <w:rPr>
          <w:rFonts w:hint="eastAsia"/>
          <w:szCs w:val="22"/>
          <w:lang w:val="en-US" w:eastAsia="zh-CN"/>
        </w:rPr>
        <w:t>3.</w:t>
      </w:r>
      <w:r>
        <w:rPr>
          <w:rFonts w:hint="eastAsia"/>
          <w:szCs w:val="22"/>
        </w:rPr>
        <w:t>系统识别的车牌类型部分示例</w:t>
      </w:r>
    </w:p>
    <w:p>
      <w:pPr>
        <w:spacing w:line="360" w:lineRule="auto"/>
        <w:ind w:firstLine="420" w:firstLineChars="200"/>
        <w:rPr>
          <w:rFonts w:hint="eastAsia"/>
          <w:szCs w:val="22"/>
        </w:rPr>
      </w:pPr>
      <w:r>
        <w:rPr>
          <w:rFonts w:hint="eastAsia"/>
          <w:szCs w:val="22"/>
          <w:lang w:val="en-US" w:eastAsia="zh-CN"/>
        </w:rPr>
        <w:t>4.</w:t>
      </w:r>
      <w:r>
        <w:rPr>
          <w:rFonts w:hint="eastAsia"/>
          <w:szCs w:val="22"/>
        </w:rPr>
        <w:t>前端识别技术</w:t>
      </w:r>
    </w:p>
    <w:p>
      <w:pPr>
        <w:spacing w:line="360" w:lineRule="auto"/>
        <w:ind w:firstLine="420" w:firstLineChars="200"/>
        <w:rPr>
          <w:rFonts w:hint="eastAsia"/>
          <w:szCs w:val="22"/>
        </w:rPr>
      </w:pPr>
      <w:r>
        <w:rPr>
          <w:rFonts w:hint="eastAsia"/>
          <w:szCs w:val="22"/>
        </w:rPr>
        <w:t>车辆牌照自动识别算法（车牌识别、车牌颜色识别）集成在卡口抓拍单元中，识别结果由卡口抓拍单元直接输出。</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车身颜色识别功能</w:t>
      </w:r>
    </w:p>
    <w:p>
      <w:pPr>
        <w:spacing w:line="360" w:lineRule="auto"/>
        <w:ind w:firstLine="420" w:firstLineChars="200"/>
      </w:pPr>
      <w:r>
        <w:rPr>
          <w:rFonts w:hint="eastAsia"/>
        </w:rPr>
        <w:t>系统可自动对车身深浅和颜色进行识别，可供用户根据车身颜色来查询通行车辆，为公安交通管理和刑侦案件侦破提供了科技新手段。</w:t>
      </w:r>
    </w:p>
    <w:p>
      <w:pPr>
        <w:spacing w:line="360" w:lineRule="auto"/>
        <w:ind w:firstLine="420" w:firstLineChars="200"/>
      </w:pPr>
      <w:r>
        <w:rPr>
          <w:rFonts w:hint="eastAsia"/>
        </w:rPr>
        <w:t>系统可自动区分出车辆为深色车辆还是浅色车辆；并识别出11种常见车身颜色，11种颜色包括：白，灰(银)，黄、粉、红、绿、蓝、棕、黑、紫、青。</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车型判别功能</w:t>
      </w:r>
    </w:p>
    <w:p>
      <w:pPr>
        <w:spacing w:line="360" w:lineRule="auto"/>
        <w:ind w:firstLine="420" w:firstLineChars="200"/>
      </w:pPr>
      <w:r>
        <w:rPr>
          <w:rFonts w:hint="eastAsia"/>
        </w:rPr>
        <w:t>系统采用车牌颜色和视频检测技术结合的方法对车辆类型进行判别，可对13种车型进行识别（SUV、MVP、两厢轿车、三厢轿车、轿跑、小型轿车、微型轿车、面包车、皮卡车、小型货车(包括微卡、轻卡及中卡)、大型货车、小型客车、大型客车）。</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车标识别功能</w:t>
      </w:r>
    </w:p>
    <w:p>
      <w:pPr>
        <w:spacing w:line="360" w:lineRule="auto"/>
        <w:ind w:firstLine="420" w:firstLineChars="200"/>
      </w:pPr>
      <w:r>
        <w:rPr>
          <w:rFonts w:hint="eastAsia"/>
        </w:rPr>
        <w:t>系统采用视频检测技术对车标进行识别，可对250种车标进行识别，可供用户根据车标来查询通行车辆，为公安交通管理和刑侦案件侦破提供了科技新手段。</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车辆子品牌识别功能</w:t>
      </w:r>
    </w:p>
    <w:p>
      <w:pPr>
        <w:spacing w:line="360" w:lineRule="auto"/>
        <w:ind w:firstLine="420" w:firstLineChars="200"/>
      </w:pPr>
      <w:r>
        <w:rPr>
          <w:rFonts w:hint="eastAsia"/>
        </w:rPr>
        <w:t>系统采用视频检测技术对车辆子品牌进行识别，可对3000种车辆子品牌进行识别，可供用户根据车辆子品牌来查询通行车辆。</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未系安全带检测功能</w:t>
      </w:r>
    </w:p>
    <w:p>
      <w:pPr>
        <w:spacing w:line="360" w:lineRule="auto"/>
        <w:ind w:firstLine="420" w:firstLineChars="200"/>
      </w:pPr>
      <w:r>
        <w:rPr>
          <w:rFonts w:hint="eastAsia"/>
        </w:rPr>
        <w:t>系统采用视频检测技术，对主驾驶人员和副驾驶人员的未系安全带行为进行检测，分别输出主副驾驶未系安全带行为的特征抠图，为交警查处未系安全带违法行为提供了科技新手段，从而规范驾驶人安全驾驶行为。</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黄标车检测功能</w:t>
      </w:r>
    </w:p>
    <w:p>
      <w:pPr>
        <w:spacing w:line="360" w:lineRule="auto"/>
        <w:ind w:firstLine="420" w:firstLineChars="200"/>
      </w:pPr>
      <w:r>
        <w:rPr>
          <w:rFonts w:hint="eastAsia"/>
        </w:rPr>
        <w:t>系统采用视频检测技术，对车辆车窗进行定位和分析，输出黄标车特征识别信息，为交警进行黄标车辆管控和治理提供了有效的科技有段，从而提高交警车辆管控的效率。</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危险品车检测功能</w:t>
      </w:r>
    </w:p>
    <w:p>
      <w:pPr>
        <w:spacing w:line="360" w:lineRule="auto"/>
        <w:ind w:firstLine="420" w:firstLineChars="200"/>
      </w:pPr>
      <w:r>
        <w:rPr>
          <w:rFonts w:hint="eastAsia"/>
        </w:rPr>
        <w:t>系统采用视频检测技术，实现车辆危险品标志的检测识别，为危险品车辆管控、运行路线规范提供了有效的数据支撑，为城市交通管理提供了更加细致的数据，保证交警对危险品车辆的有效监管。</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驾驶室内挂件检测功能</w:t>
      </w:r>
    </w:p>
    <w:p>
      <w:pPr>
        <w:spacing w:line="360" w:lineRule="auto"/>
        <w:ind w:firstLine="420" w:firstLineChars="200"/>
      </w:pPr>
      <w:r>
        <w:rPr>
          <w:rFonts w:hint="eastAsia"/>
        </w:rPr>
        <w:t>系统采用视频检测技术，实现车辆驾驶室内挂件的检测识别，为城市交通管理和车辆管控提供了更加细致的数据，提高车辆特征的可检索性，为城市交通事件处理、车辆管控提供更加细致的数据支撑。</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接打电话检测功能</w:t>
      </w:r>
    </w:p>
    <w:p>
      <w:pPr>
        <w:spacing w:line="360" w:lineRule="auto"/>
        <w:ind w:firstLine="420" w:firstLineChars="200"/>
      </w:pPr>
      <w:r>
        <w:rPr>
          <w:rFonts w:hint="eastAsia"/>
        </w:rPr>
        <w:t>系统采用视频检测技术，实现对前排驾驶人接打电话状态的检测，为规范驾驶人安全驾驶行为提供威慑新手段。</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人脸特征抠图</w:t>
      </w:r>
    </w:p>
    <w:p>
      <w:pPr>
        <w:spacing w:line="360" w:lineRule="auto"/>
        <w:ind w:firstLine="420" w:firstLineChars="200"/>
      </w:pPr>
      <w:r>
        <w:rPr>
          <w:rFonts w:hint="eastAsia"/>
        </w:rPr>
        <w:t>系统采用视频检测技术对驾驶室人脸特征进行检测，并将人脸特征抠出，为公安交通管理和刑侦案件侦破提供了科技手段。</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打开遮阳板检测</w:t>
      </w:r>
    </w:p>
    <w:p>
      <w:pPr>
        <w:spacing w:line="360" w:lineRule="auto"/>
        <w:ind w:firstLine="420" w:firstLineChars="200"/>
      </w:pPr>
      <w:r>
        <w:rPr>
          <w:rFonts w:hint="eastAsia"/>
        </w:rPr>
        <w:t>系统采用视频检测技术对打开遮阳板进行检测，为公安交通管理和刑侦案件侦破提供了科技新手段。</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交通流量数据采集功能</w:t>
      </w:r>
    </w:p>
    <w:p>
      <w:pPr>
        <w:spacing w:line="360" w:lineRule="auto"/>
        <w:ind w:firstLine="420" w:firstLineChars="200"/>
      </w:pPr>
      <w:r>
        <w:rPr>
          <w:rFonts w:hint="eastAsia"/>
        </w:rPr>
        <w:t>系统能够按车道和时段进行车辆流量、平均速度、车辆类型、占有率、平均车头时距、平均排队长度、饱和度等数据的统计。所有统计数据应支持以报表形式输出。</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前端备份存储功能</w:t>
      </w:r>
    </w:p>
    <w:p>
      <w:pPr>
        <w:spacing w:line="360" w:lineRule="auto"/>
        <w:ind w:firstLine="420" w:firstLineChars="200"/>
      </w:pPr>
      <w:r>
        <w:rPr>
          <w:rFonts w:hint="eastAsia"/>
        </w:rPr>
        <w:t>系统前端采用大容量工业级硬盘作为存储介质，能够保存≥200万辆通行车辆信息 或 ≥100万辆的违法车辆信息记录，当超出最大存储容量时，自动对车辆信息和图片进行循环覆盖。</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数据断点续传功能</w:t>
      </w:r>
    </w:p>
    <w:p>
      <w:pPr>
        <w:spacing w:line="360" w:lineRule="auto"/>
        <w:ind w:firstLine="420" w:firstLineChars="200"/>
      </w:pPr>
      <w:r>
        <w:rPr>
          <w:rFonts w:hint="eastAsia"/>
        </w:rPr>
        <w:t>系统支持断点续传功能。网络传输通道故障时，终端服务器能在一定时间内临时缓存完整的数据信息，当通信恢复以后，临时存储的数据能自动续传，补录到中心管理平台集中存储。续传策略有两种：历史数据优先上传、最新数据优先上传。</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图像防篡改功能</w:t>
      </w:r>
    </w:p>
    <w:p>
      <w:pPr>
        <w:spacing w:line="360" w:lineRule="auto"/>
        <w:ind w:firstLine="420" w:firstLineChars="200"/>
      </w:pPr>
      <w:r>
        <w:rPr>
          <w:rFonts w:hint="eastAsia"/>
        </w:rPr>
        <w:t>系统记录的原始图像信息具备防篡改功能，避免在传输、存储、处理等过程中被人为篡改。</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网络远程维护功能</w:t>
      </w:r>
    </w:p>
    <w:p>
      <w:pPr>
        <w:spacing w:line="360" w:lineRule="auto"/>
        <w:ind w:firstLine="420" w:firstLineChars="200"/>
      </w:pPr>
      <w:r>
        <w:rPr>
          <w:rFonts w:hint="eastAsia"/>
        </w:rPr>
        <w:t>卡口前端子系统预留了时间校正接口、参数设置接口、运行情况的诊断接口和恢复接口，可对前端设备进行设置、调试及维护。管理员可以实时查看前端设备的运行状态。可通过网络实现远程维护、远程设置和远程升级等功能。</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主要设备参数</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一体化卡口抓拍单元</w:t>
      </w:r>
    </w:p>
    <w:p>
      <w:pPr>
        <w:spacing w:line="360" w:lineRule="auto"/>
        <w:ind w:firstLine="422" w:firstLineChars="200"/>
        <w:rPr>
          <w:b/>
        </w:rPr>
      </w:pPr>
      <w:r>
        <w:rPr>
          <w:rFonts w:hint="eastAsia"/>
          <w:b/>
        </w:rPr>
        <w:t>▲摄像机：采用1英寸900万像素彩色逐行扫描GMOS 高清智能摄像机</w:t>
      </w:r>
    </w:p>
    <w:p>
      <w:pPr>
        <w:spacing w:line="360" w:lineRule="auto"/>
        <w:ind w:firstLine="420" w:firstLineChars="200"/>
      </w:pPr>
      <w:r>
        <w:rPr>
          <w:rFonts w:hint="eastAsia"/>
        </w:rPr>
        <w:t>分辨率：4096(H)×2136(V)</w:t>
      </w:r>
    </w:p>
    <w:p>
      <w:pPr>
        <w:spacing w:line="360" w:lineRule="auto"/>
        <w:ind w:firstLine="420" w:firstLineChars="200"/>
      </w:pPr>
      <w:r>
        <w:rPr>
          <w:rFonts w:hint="eastAsia"/>
        </w:rPr>
        <w:t>视频帧率：25fps</w:t>
      </w:r>
    </w:p>
    <w:p>
      <w:pPr>
        <w:spacing w:line="360" w:lineRule="auto"/>
        <w:ind w:firstLine="420" w:firstLineChars="200"/>
      </w:pPr>
      <w:r>
        <w:rPr>
          <w:rFonts w:hint="eastAsia"/>
        </w:rPr>
        <w:t>内部配置：4722防护罩(防尘、防水滴面板)，内置LED补光灯、网络防雷器</w:t>
      </w:r>
    </w:p>
    <w:p>
      <w:pPr>
        <w:spacing w:line="360" w:lineRule="auto"/>
        <w:ind w:firstLine="420" w:firstLineChars="200"/>
      </w:pPr>
      <w:r>
        <w:rPr>
          <w:rFonts w:hint="eastAsia"/>
        </w:rPr>
        <w:t>视频编码：支持H.264/H.265/MJPEG码流输出</w:t>
      </w:r>
    </w:p>
    <w:p>
      <w:pPr>
        <w:spacing w:line="360" w:lineRule="auto"/>
        <w:ind w:firstLine="420" w:firstLineChars="200"/>
      </w:pPr>
      <w:r>
        <w:rPr>
          <w:rFonts w:hint="eastAsia"/>
        </w:rPr>
        <w:t>图片格式：JPEG</w:t>
      </w:r>
    </w:p>
    <w:p>
      <w:pPr>
        <w:spacing w:line="360" w:lineRule="auto"/>
        <w:ind w:firstLine="420" w:firstLineChars="200"/>
      </w:pPr>
      <w:r>
        <w:rPr>
          <w:rFonts w:hint="eastAsia"/>
        </w:rPr>
        <w:t>本地存储：支持断网时本地SD卡存储</w:t>
      </w:r>
    </w:p>
    <w:p>
      <w:pPr>
        <w:spacing w:line="360" w:lineRule="auto"/>
        <w:ind w:firstLine="420" w:firstLineChars="200"/>
      </w:pPr>
      <w:r>
        <w:rPr>
          <w:rFonts w:hint="eastAsia"/>
        </w:rPr>
        <w:t>通讯接口：2个100M/1000M 自适应RJ45 接口；3个RS－485 半双工接口；</w:t>
      </w:r>
    </w:p>
    <w:p>
      <w:pPr>
        <w:spacing w:line="360" w:lineRule="auto"/>
        <w:ind w:firstLine="420" w:firstLineChars="200"/>
      </w:pPr>
      <w:r>
        <w:rPr>
          <w:rFonts w:hint="eastAsia"/>
        </w:rPr>
        <w:t>触发输入：4路外部触发输入</w:t>
      </w:r>
    </w:p>
    <w:p>
      <w:pPr>
        <w:spacing w:line="360" w:lineRule="auto"/>
        <w:ind w:firstLine="420" w:firstLineChars="200"/>
      </w:pPr>
      <w:r>
        <w:rPr>
          <w:rFonts w:hint="eastAsia"/>
        </w:rPr>
        <w:t>触发输出：6路（光耦隔离2500VAC），作为补光灯同步输出控制</w:t>
      </w:r>
    </w:p>
    <w:p>
      <w:pPr>
        <w:spacing w:line="360" w:lineRule="auto"/>
        <w:ind w:firstLine="420" w:firstLineChars="200"/>
      </w:pPr>
      <w:r>
        <w:rPr>
          <w:rFonts w:hint="eastAsia"/>
        </w:rPr>
        <w:t>补光控制：支持闪光灯或LED 频闪灯同步补光</w:t>
      </w:r>
    </w:p>
    <w:p>
      <w:pPr>
        <w:spacing w:line="360" w:lineRule="auto"/>
        <w:ind w:firstLine="420" w:firstLineChars="200"/>
      </w:pPr>
      <w:r>
        <w:rPr>
          <w:rFonts w:hint="eastAsia"/>
        </w:rPr>
        <w:t>功能：支持车辆检测器接入和雷达接入，支持线圈触发、视频触发，雷达触发，复合式（视频+线圈）触发等触发模式；具有车牌识别、车身颜色识别、车型识别、车标识别、车辆子品牌识别、未系安全带检测、人脸特征抠图、打开遮阳板检测等功能</w:t>
      </w:r>
    </w:p>
    <w:p>
      <w:pPr>
        <w:spacing w:line="360" w:lineRule="auto"/>
        <w:ind w:firstLine="420" w:firstLineChars="200"/>
      </w:pPr>
      <w:r>
        <w:rPr>
          <w:rFonts w:hint="eastAsia"/>
        </w:rPr>
        <w:t>性能：车辆捕获率：≥99%；</w:t>
      </w:r>
    </w:p>
    <w:p>
      <w:pPr>
        <w:spacing w:line="360" w:lineRule="auto"/>
        <w:ind w:firstLine="420" w:firstLineChars="200"/>
      </w:pPr>
      <w:r>
        <w:rPr>
          <w:rFonts w:hint="eastAsia"/>
        </w:rPr>
        <w:t>车牌识别准确率：白天98%，晚上95%</w:t>
      </w:r>
    </w:p>
    <w:p>
      <w:pPr>
        <w:spacing w:line="360" w:lineRule="auto"/>
        <w:ind w:firstLine="420" w:firstLineChars="200"/>
      </w:pPr>
      <w:r>
        <w:rPr>
          <w:rFonts w:hint="eastAsia"/>
        </w:rPr>
        <w:t>识别车牌种类：民用车牌，警用车牌，军用车牌，武警车牌；</w:t>
      </w:r>
    </w:p>
    <w:p>
      <w:pPr>
        <w:spacing w:line="360" w:lineRule="auto"/>
        <w:ind w:firstLine="420" w:firstLineChars="200"/>
      </w:pPr>
      <w:r>
        <w:rPr>
          <w:rFonts w:hint="eastAsia"/>
        </w:rPr>
        <w:t>车身颜色识别准确率： 11种常见车身颜色的识别准确率≥92%；</w:t>
      </w:r>
    </w:p>
    <w:p>
      <w:pPr>
        <w:spacing w:line="360" w:lineRule="auto"/>
        <w:ind w:firstLine="420" w:firstLineChars="200"/>
      </w:pPr>
      <w:r>
        <w:rPr>
          <w:rFonts w:hint="eastAsia"/>
        </w:rPr>
        <w:t xml:space="preserve">车型识别种类：支持13种车型识别； </w:t>
      </w:r>
    </w:p>
    <w:p>
      <w:pPr>
        <w:spacing w:line="360" w:lineRule="auto"/>
        <w:ind w:firstLine="420" w:firstLineChars="200"/>
      </w:pPr>
      <w:r>
        <w:rPr>
          <w:rFonts w:hint="eastAsia"/>
        </w:rPr>
        <w:t xml:space="preserve">车标识别：支持常见的250种车标识别； </w:t>
      </w:r>
    </w:p>
    <w:p>
      <w:pPr>
        <w:spacing w:line="360" w:lineRule="auto"/>
        <w:ind w:firstLine="420" w:firstLineChars="200"/>
      </w:pPr>
      <w:r>
        <w:rPr>
          <w:rFonts w:hint="eastAsia"/>
        </w:rPr>
        <w:t xml:space="preserve">车辆子品牌识别：支持常见的3000种车辆子品牌识别； </w:t>
      </w:r>
    </w:p>
    <w:p>
      <w:pPr>
        <w:spacing w:line="360" w:lineRule="auto"/>
        <w:ind w:firstLine="420" w:firstLineChars="200"/>
      </w:pPr>
      <w:r>
        <w:rPr>
          <w:rFonts w:hint="eastAsia"/>
        </w:rPr>
        <w:t>其他功能：主副驾驶人员不系安全带检测、主副驾驶遮阳板检测、打电话检测、挂件检测、危险品车辆检测、黄标车检测等；</w:t>
      </w:r>
    </w:p>
    <w:p>
      <w:pPr>
        <w:spacing w:line="360" w:lineRule="auto"/>
        <w:ind w:firstLine="420" w:firstLineChars="200"/>
      </w:pPr>
      <w:r>
        <w:rPr>
          <w:rFonts w:hint="eastAsia"/>
        </w:rPr>
        <w:t>终端接入：支持接入终端服务器</w:t>
      </w:r>
    </w:p>
    <w:p>
      <w:pPr>
        <w:spacing w:line="360" w:lineRule="auto"/>
        <w:ind w:firstLine="420" w:firstLineChars="200"/>
      </w:pPr>
      <w:r>
        <w:rPr>
          <w:rFonts w:hint="eastAsia"/>
        </w:rPr>
        <w:t>电压：100VAC～240VAC；频率：48Hz～52Hz</w:t>
      </w:r>
    </w:p>
    <w:p>
      <w:pPr>
        <w:spacing w:line="360" w:lineRule="auto"/>
        <w:ind w:firstLine="420" w:firstLineChars="200"/>
      </w:pPr>
      <w:r>
        <w:rPr>
          <w:rFonts w:hint="eastAsia"/>
        </w:rPr>
        <w:t>功耗：＜20W</w:t>
      </w:r>
    </w:p>
    <w:p>
      <w:pPr>
        <w:spacing w:line="360" w:lineRule="auto"/>
        <w:ind w:firstLine="420" w:firstLineChars="200"/>
      </w:pPr>
      <w:r>
        <w:rPr>
          <w:rFonts w:hint="eastAsia"/>
        </w:rPr>
        <w:t>工作环境温度：-30℃～+70℃(低于-25℃时，需采用带加热模块)；</w:t>
      </w:r>
    </w:p>
    <w:p>
      <w:pPr>
        <w:spacing w:line="360" w:lineRule="auto"/>
        <w:ind w:firstLine="420" w:firstLineChars="200"/>
      </w:pPr>
      <w:r>
        <w:rPr>
          <w:rFonts w:hint="eastAsia"/>
        </w:rPr>
        <w:t>工作环境湿度：5%~95%@40℃，无凝结</w:t>
      </w:r>
    </w:p>
    <w:p>
      <w:pPr>
        <w:spacing w:line="360" w:lineRule="auto"/>
        <w:ind w:firstLine="420" w:firstLineChars="200"/>
      </w:pPr>
      <w:r>
        <w:rPr>
          <w:rFonts w:hint="eastAsia"/>
        </w:rPr>
        <w:t>防护等级：IP66</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智能终端管理器</w:t>
      </w:r>
    </w:p>
    <w:p>
      <w:pPr>
        <w:spacing w:line="360" w:lineRule="auto"/>
        <w:ind w:firstLine="420" w:firstLineChars="200"/>
      </w:pPr>
      <w:r>
        <w:rPr>
          <w:rFonts w:hint="eastAsia"/>
        </w:rPr>
        <w:t>处理器：高性能ARM A9双核数字媒体处理器</w:t>
      </w:r>
    </w:p>
    <w:p>
      <w:pPr>
        <w:spacing w:line="360" w:lineRule="auto"/>
        <w:ind w:firstLine="420" w:firstLineChars="200"/>
      </w:pPr>
      <w:r>
        <w:rPr>
          <w:rFonts w:hint="eastAsia"/>
        </w:rPr>
        <w:t>操作系统：嵌入式Linux操作系统</w:t>
      </w:r>
    </w:p>
    <w:p>
      <w:pPr>
        <w:spacing w:line="360" w:lineRule="auto"/>
        <w:ind w:firstLine="420" w:firstLineChars="200"/>
      </w:pPr>
      <w:r>
        <w:rPr>
          <w:rFonts w:hint="eastAsia"/>
        </w:rPr>
        <w:t>操作界面：WEB、VGA、HDMI</w:t>
      </w:r>
    </w:p>
    <w:p>
      <w:pPr>
        <w:spacing w:line="360" w:lineRule="auto"/>
        <w:ind w:firstLine="420" w:firstLineChars="200"/>
      </w:pPr>
      <w:r>
        <w:rPr>
          <w:rFonts w:hint="eastAsia"/>
        </w:rPr>
        <w:t>硬盘存储：4个SATA接口，单SATA接口可支持最大4TB容量硬盘</w:t>
      </w:r>
    </w:p>
    <w:p>
      <w:pPr>
        <w:spacing w:line="360" w:lineRule="auto"/>
        <w:ind w:firstLine="420" w:firstLineChars="200"/>
      </w:pPr>
      <w:r>
        <w:rPr>
          <w:rFonts w:hint="eastAsia"/>
        </w:rPr>
        <w:t>外部硬盘存储：1个外置eSATA硬盘接口</w:t>
      </w:r>
    </w:p>
    <w:p>
      <w:pPr>
        <w:spacing w:line="360" w:lineRule="auto"/>
        <w:ind w:firstLine="420" w:firstLineChars="200"/>
      </w:pPr>
      <w:r>
        <w:rPr>
          <w:rFonts w:hint="eastAsia"/>
        </w:rPr>
        <w:t>RESET按钮：1个重置复位按键</w:t>
      </w:r>
    </w:p>
    <w:p>
      <w:pPr>
        <w:spacing w:line="360" w:lineRule="auto"/>
        <w:ind w:firstLine="420" w:firstLineChars="200"/>
      </w:pPr>
      <w:r>
        <w:rPr>
          <w:rFonts w:hint="eastAsia"/>
        </w:rPr>
        <w:t>指示灯：电源/报警/硬盘/就绪/备份，共5个状态指示灯</w:t>
      </w:r>
    </w:p>
    <w:p>
      <w:pPr>
        <w:spacing w:line="360" w:lineRule="auto"/>
        <w:ind w:firstLine="420" w:firstLineChars="200"/>
      </w:pPr>
      <w:r>
        <w:rPr>
          <w:rFonts w:hint="eastAsia"/>
        </w:rPr>
        <w:t>模拟视频接口：2个标准BNC输入接口，支持2路HD-TVI（或HD-SDI）视频输入；2个标准BNC环通输出接口，支持2路HD-TVI环通输出</w:t>
      </w:r>
    </w:p>
    <w:p>
      <w:pPr>
        <w:spacing w:line="360" w:lineRule="auto"/>
        <w:ind w:firstLine="420" w:firstLineChars="200"/>
      </w:pPr>
      <w:r>
        <w:rPr>
          <w:rFonts w:hint="eastAsia"/>
        </w:rPr>
        <w:t>数字视频接入：可接入12路高清录像</w:t>
      </w:r>
    </w:p>
    <w:p>
      <w:pPr>
        <w:spacing w:line="360" w:lineRule="auto"/>
        <w:ind w:firstLine="420" w:firstLineChars="200"/>
      </w:pPr>
      <w:r>
        <w:rPr>
          <w:rFonts w:hint="eastAsia"/>
        </w:rPr>
        <w:t>可接入车道数：≤12车道</w:t>
      </w:r>
    </w:p>
    <w:p>
      <w:pPr>
        <w:spacing w:line="360" w:lineRule="auto"/>
        <w:ind w:firstLine="420" w:firstLineChars="200"/>
      </w:pPr>
      <w:r>
        <w:rPr>
          <w:rFonts w:hint="eastAsia"/>
        </w:rPr>
        <w:t>音频接口：1个音频输入接口，1个音频输出接口</w:t>
      </w:r>
    </w:p>
    <w:p>
      <w:pPr>
        <w:spacing w:line="360" w:lineRule="auto"/>
        <w:ind w:firstLine="420" w:firstLineChars="200"/>
      </w:pPr>
      <w:r>
        <w:rPr>
          <w:rFonts w:hint="eastAsia"/>
        </w:rPr>
        <w:t>网络接口：16个100M以太网接口及2个10/100/1000M自适应网络接口，其中1个为千兆可光电转换网络接口（需选配光模块）</w:t>
      </w:r>
    </w:p>
    <w:p>
      <w:pPr>
        <w:spacing w:line="360" w:lineRule="auto"/>
        <w:ind w:firstLine="420" w:firstLineChars="200"/>
      </w:pPr>
      <w:r>
        <w:rPr>
          <w:rFonts w:hint="eastAsia"/>
        </w:rPr>
        <w:t>报警接口：4路报警输入；4路报警输出</w:t>
      </w:r>
    </w:p>
    <w:p>
      <w:pPr>
        <w:spacing w:line="360" w:lineRule="auto"/>
        <w:ind w:firstLine="420" w:firstLineChars="200"/>
      </w:pPr>
      <w:r>
        <w:rPr>
          <w:rFonts w:hint="eastAsia"/>
        </w:rPr>
        <w:t>其他接口：2个RS232接口，4个RS485接口，2个外置USB接口；1个VGA接口，1个HDMI接口；1个CVBS输出接口</w:t>
      </w:r>
    </w:p>
    <w:p>
      <w:pPr>
        <w:spacing w:line="360" w:lineRule="auto"/>
        <w:ind w:firstLine="420" w:firstLineChars="200"/>
      </w:pPr>
      <w:r>
        <w:rPr>
          <w:rFonts w:hint="eastAsia"/>
        </w:rPr>
        <w:t>电源输出接口：1个12V电源输出接口、1个5V电源输出接口(总输出功率≤20W)</w:t>
      </w:r>
    </w:p>
    <w:p>
      <w:pPr>
        <w:spacing w:line="360" w:lineRule="auto"/>
        <w:ind w:firstLine="420" w:firstLineChars="200"/>
      </w:pPr>
      <w:r>
        <w:rPr>
          <w:rFonts w:hint="eastAsia"/>
        </w:rPr>
        <w:t>数据存储：支持对通行车辆的信息（记录和图片）存储</w:t>
      </w:r>
    </w:p>
    <w:p>
      <w:pPr>
        <w:spacing w:line="360" w:lineRule="auto"/>
        <w:ind w:firstLine="420" w:firstLineChars="200"/>
      </w:pPr>
      <w:r>
        <w:rPr>
          <w:rFonts w:hint="eastAsia"/>
        </w:rPr>
        <w:t>视频录像：支持录像存储功能，存储时长根据设定的码流大小和配置的硬盘容量确定</w:t>
      </w:r>
    </w:p>
    <w:p>
      <w:pPr>
        <w:spacing w:line="360" w:lineRule="auto"/>
        <w:ind w:firstLine="420" w:firstLineChars="200"/>
      </w:pPr>
      <w:r>
        <w:rPr>
          <w:rFonts w:hint="eastAsia"/>
        </w:rPr>
        <w:t>数据上传：支持交通数据断点续传和手动重传功能</w:t>
      </w:r>
    </w:p>
    <w:p>
      <w:pPr>
        <w:spacing w:line="360" w:lineRule="auto"/>
        <w:ind w:firstLine="420" w:firstLineChars="200"/>
      </w:pPr>
      <w:r>
        <w:rPr>
          <w:rFonts w:hint="eastAsia"/>
        </w:rPr>
        <w:t>网络设置：支持设置双网段IP，节省专网IP地址资源</w:t>
      </w:r>
    </w:p>
    <w:p>
      <w:pPr>
        <w:spacing w:line="360" w:lineRule="auto"/>
        <w:ind w:firstLine="420" w:firstLineChars="200"/>
      </w:pPr>
      <w:r>
        <w:rPr>
          <w:rFonts w:hint="eastAsia"/>
        </w:rPr>
        <w:t>工作环境：工作温度-40℃～70℃、工作湿度10%～90%</w:t>
      </w:r>
    </w:p>
    <w:p>
      <w:pPr>
        <w:pStyle w:val="5"/>
      </w:pPr>
      <w:bookmarkStart w:id="6" w:name="_Toc28235"/>
      <w:r>
        <w:rPr>
          <w:rFonts w:hint="eastAsia" w:ascii="宋体" w:hAnsi="宋体" w:cs="宋体"/>
          <w:b/>
          <w:bCs/>
          <w:kern w:val="44"/>
          <w:sz w:val="21"/>
          <w:szCs w:val="21"/>
          <w:lang w:val="en-US" w:eastAsia="zh-CN" w:bidi="ar-SA"/>
        </w:rPr>
        <w:t>5.单行线抓拍系统</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概述</w:t>
      </w:r>
    </w:p>
    <w:p>
      <w:pPr>
        <w:spacing w:line="360" w:lineRule="auto"/>
        <w:ind w:firstLine="420" w:firstLineChars="200"/>
      </w:pPr>
      <w:r>
        <w:rPr>
          <w:rFonts w:hint="eastAsia"/>
        </w:rPr>
        <w:t>采用先进的计算机技术、图形图像处理技术、通信技术、自动化控制技术等，实现对车辆违法行为的自动识别以及利用辅助设备对违法行为抓拍记录，管理部门依据记录的违法行为图像，对违法车辆进行处罚。</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建设内容</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序号</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路口名称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翠竹路-天荒坪路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浦源大道-天目路</w:t>
            </w:r>
          </w:p>
        </w:tc>
      </w:tr>
    </w:tbl>
    <w:p>
      <w:pPr>
        <w:pStyle w:val="2"/>
        <w:spacing w:before="120"/>
        <w:rPr>
          <w:rFonts w:hint="eastAsia"/>
        </w:rPr>
      </w:pP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主要设备参数</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高清一体机</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包含摄像机(带内置偏振镜)、高清镜头、室外防护罩、内置补光灯、摄像机内置偏振镜、风扇、电源适配器、安装万向节等</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像素：320W</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分辨率：最大支持2064*1544</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帧率：25fps</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图像传感器：采用1/1.8" 英寸全局曝光CMOS（GMOS）传感器</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相机：iDS-2CD9136-AES</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ICR：支持</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镜头：25mm镜头</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偏振镜：相机内置偏振镜</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照度：彩色:0.01Lux @(F1.2，AGC ON)</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视频压缩标准：H.265/H.264/MJPEG</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图像输出格式：JPEG</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输出：电平量信号</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通讯接口：2个RJ45 100M/1000M自适应网口，3个RS485接口，1个RS232接口</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外部接口：4路外部触发输入，6路(光耦隔离2500VAC)输出，可作为闪光灯同步输出控制，SYNC信号灯电源同步输入</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存储支持：支持64G TF卡</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自动光圈镜头：支持</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工作电压：100VAC~240VAC；频率：48Hz~52Hz</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功耗：＜20W</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支持智能识别功能：内置视频识别功能，支持车牌识别、视频触发、车身颜色识别、车型识别、车标识别和通行车辆信息捕获</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违停抓拍系统</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概述</w:t>
      </w:r>
    </w:p>
    <w:p>
      <w:pPr>
        <w:spacing w:line="360" w:lineRule="auto"/>
        <w:ind w:firstLine="420" w:firstLineChars="200"/>
      </w:pPr>
      <w:r>
        <w:rPr>
          <w:rFonts w:hint="eastAsia"/>
        </w:rPr>
        <w:t>快速增长的停车需求与供给不足的停车场地产生的矛盾日益突出；同时由于机动车驾驶人的交通安全意识淡薄，机动车违法停车现场突出，每年因违法停车造成的交通拥堵、汽车追尾等情况数以百万计，严重影响着城市的整体交通环境，同时造成人民群众人身财产的损失。因此规范驾驶员的开车行为，对违反停车的行为及时准确的进行取证查处，是创造良好城市交通环境、规范驾驶员停车行为、保证道路畅通安全的重要手段。</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建设内容</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序号</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九州广场-人民路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天目路-云鸿路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九州广场-玉华路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4</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九州广场-胜利路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5</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人民路-胜利路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6</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苕溪路-翠竹路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7</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苕溪路-竹乡特色街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8</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苕溪路（和春大酒店）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9</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芜园路-玉华路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10</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天目路（安吉县规划局）1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11</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天目路（安吉县规划局）2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12</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递铺路-浦源大道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13</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环翠路（龙山体育馆北门）1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14</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环翠路（龙山体育馆北门）2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15</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人民医院西门（天目路）1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16</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人民医院西门（天目路）2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17</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妇保医院东门（安商路）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18</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玉磬路-灵芝路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19</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玉磬路-祥溪路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20</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玉磬路（丽景湾小区）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21</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玉磬路（实验幼儿园）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22</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玉磬路（祥溪花园）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23</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市民路-香樟路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24</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市民路-翠柳路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25</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天荒坪路-竹乡特色街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26</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天荒坪路-云鸿大厦北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27</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天荒坪路-穆王路（商会大厦）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28</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天荒坪路-迎宾大道（丰华天逸城）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29</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迎宾大道-浦源大道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30</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迎宾大道（时代新城西门）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31</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迎宾大道（市民路）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32</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迎宾大道-昌硕路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33</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迎宾大道-穆王路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34</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行政中心西门-吉庆路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35</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浦源大道-祥和路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36</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浦源大道-天荒坪路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37</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浦源大道-天目路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38</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穆王路-横威路（穆王小区）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39</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穆王路（商会大厦南门）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40</w:t>
            </w:r>
          </w:p>
        </w:tc>
        <w:tc>
          <w:tcPr>
            <w:tcW w:w="4120" w:type="dxa"/>
            <w:noWrap w:val="0"/>
            <w:vAlign w:val="top"/>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穆王路-体育馆路</w:t>
            </w:r>
          </w:p>
        </w:tc>
      </w:tr>
    </w:tbl>
    <w:p>
      <w:pPr>
        <w:pStyle w:val="2"/>
        <w:spacing w:before="120"/>
        <w:rPr>
          <w:rFonts w:hint="eastAsia"/>
        </w:rPr>
      </w:pP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系统功能</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违法停车自动取证功能</w:t>
      </w:r>
    </w:p>
    <w:p>
      <w:pPr>
        <w:spacing w:line="360" w:lineRule="auto"/>
        <w:ind w:firstLine="420" w:firstLineChars="200"/>
      </w:pPr>
      <w:r>
        <w:rPr>
          <w:rFonts w:hint="eastAsia"/>
        </w:rPr>
        <w:t>系统能对道路两旁禁停区域违停车辆进行检测和取证。可以根据用户的实际需求调整最大停车时限，当车辆在禁止停车区域停车在限定时间以上的，进行违章抓拍取证。一组取证信息包括不同时间段的三张全景图片、一张能够看清车牌的特写图片、以及一段违章过程录像，图片中叠加时间、地点、车牌号码等信息。</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车牌自动识别功能</w:t>
      </w:r>
    </w:p>
    <w:p>
      <w:pPr>
        <w:spacing w:line="360" w:lineRule="auto"/>
        <w:ind w:firstLine="420" w:firstLineChars="200"/>
      </w:pPr>
      <w:r>
        <w:rPr>
          <w:rFonts w:hint="eastAsia"/>
        </w:rPr>
        <w:t>系统能够自动对违停车辆进行跟踪放大，自动识别车牌号码，减少人工识别输入车牌的工作，提高效率。车牌自动识别功能包括车牌号码和车牌颜色的识别。</w:t>
      </w:r>
    </w:p>
    <w:p>
      <w:pPr>
        <w:spacing w:line="360" w:lineRule="auto"/>
        <w:ind w:firstLine="420" w:firstLineChars="200"/>
      </w:pPr>
      <w:r>
        <w:rPr>
          <w:rFonts w:hint="eastAsia"/>
        </w:rPr>
        <w:t>系统具备符合“GA36-2014”标准的民用车牌、警用车牌、使领馆车牌、新能源车牌的号牌自动识别能力，系统能识别黑、白、蓝、黄、绿五种车牌颜色。</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其它违法行为自动取证功能</w:t>
      </w:r>
    </w:p>
    <w:p>
      <w:pPr>
        <w:spacing w:line="360" w:lineRule="auto"/>
        <w:ind w:firstLine="420" w:firstLineChars="200"/>
      </w:pPr>
      <w:r>
        <w:rPr>
          <w:rFonts w:hint="eastAsia"/>
        </w:rPr>
        <w:t>系统在有效检测范围内，除了能对违停进行自动取证外，还可以对逆行、压线、变道、机占非、违法掉头等其它违法行为进行自动取证，取证信息与违停取证类似，同时也具备车牌自动识别功能。</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手动取证功能</w:t>
      </w:r>
    </w:p>
    <w:p>
      <w:pPr>
        <w:spacing w:line="360" w:lineRule="auto"/>
        <w:ind w:firstLine="420" w:firstLineChars="200"/>
      </w:pPr>
      <w:r>
        <w:rPr>
          <w:rFonts w:hint="eastAsia"/>
        </w:rPr>
        <w:t>系统支持手动取证功能，包括手动跟踪取证和自动跟踪取证。开启手动抓拍取证后，系统能对违法停车、违法压线、违法变道、违法逆行、违法掉头、闯禁左、闯禁右、闯禁行区、机动车非法占用非机动车道等车辆违法行为进行抓拍取证。</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手动跟踪取证模式</w:t>
      </w:r>
    </w:p>
    <w:p>
      <w:pPr>
        <w:spacing w:line="360" w:lineRule="auto"/>
        <w:ind w:firstLine="420" w:firstLineChars="200"/>
      </w:pPr>
      <w:r>
        <w:rPr>
          <w:rFonts w:hint="eastAsia"/>
        </w:rPr>
        <w:t>通过键盘操控跟踪放大，识别车辆，手动抓拍图片。球机与键盘算法的优化，使键盘跟踪控制流畅，延时小。</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自动跟踪取证模式</w:t>
      </w:r>
    </w:p>
    <w:p>
      <w:pPr>
        <w:spacing w:line="360" w:lineRule="auto"/>
        <w:ind w:firstLine="420" w:firstLineChars="200"/>
      </w:pPr>
      <w:r>
        <w:rPr>
          <w:rFonts w:hint="eastAsia"/>
        </w:rPr>
        <w:t xml:space="preserve">此模式下，可以通过鼠标点选或框选车辆，球机就能自动跟踪、变倍放大抓拍、识别车辆。 </w:t>
      </w:r>
    </w:p>
    <w:p>
      <w:pPr>
        <w:spacing w:line="360" w:lineRule="auto"/>
        <w:ind w:firstLine="420" w:firstLineChars="200"/>
      </w:pPr>
      <w:r>
        <w:rPr>
          <w:rFonts w:hint="eastAsia"/>
        </w:rPr>
        <w:t>自动取证工作模式和手动取证工作模式可自由切换，既可通过设置时间段来切换，也可以任意时候手动切换，满足用户不同业务需求。</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多目标处理功能</w:t>
      </w:r>
    </w:p>
    <w:p>
      <w:pPr>
        <w:spacing w:line="360" w:lineRule="auto"/>
        <w:ind w:firstLine="420" w:firstLineChars="200"/>
      </w:pPr>
      <w:r>
        <w:rPr>
          <w:rFonts w:hint="eastAsia"/>
        </w:rPr>
        <w:t>系统可对检测区域内多个违法车辆进行检测取证，可支持同时处理不少于20个目标。</w:t>
      </w:r>
    </w:p>
    <w:p>
      <w:pPr>
        <w:spacing w:line="360" w:lineRule="auto"/>
        <w:ind w:firstLine="420" w:firstLineChars="200"/>
      </w:pPr>
      <w:r>
        <w:rPr>
          <w:rFonts w:hint="eastAsia"/>
        </w:rPr>
        <w:t>对于同一场景下多目标同时进入检测区域的情况，系统首先对检测到的第一个目标采集第一组全景和特写图片，在球机回归预置位后再对检测区域内其它未进入抓拍队列的违法车辆进行第一组全景和特写图片的采集，然后按照设定的取证时限依次对抓拍队列中的车辆进行第二组全景和特写图片的采集及违法记录生成。</w:t>
      </w:r>
    </w:p>
    <w:p>
      <w:pPr>
        <w:spacing w:line="360" w:lineRule="auto"/>
        <w:ind w:firstLine="420" w:firstLineChars="200"/>
      </w:pPr>
      <w:r>
        <w:rPr>
          <w:rFonts w:hint="eastAsia"/>
        </w:rPr>
        <w:t>多于多场景巡航取证时，系统除可以对新进入检测场景的违法车辆进行检测取证，也可以对场景内已停放的车辆进行检测取证。</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多场景快速轮询取证功能</w:t>
      </w:r>
    </w:p>
    <w:p>
      <w:pPr>
        <w:spacing w:line="360" w:lineRule="auto"/>
        <w:ind w:firstLine="420" w:firstLineChars="200"/>
      </w:pPr>
      <w:r>
        <w:rPr>
          <w:rFonts w:hint="eastAsia"/>
        </w:rPr>
        <w:t>针对球机同一个时间只能监控一个场景，而前端监控点可能有多个场景需要监控，各个场景发生违法停车的时间段不同的情况，系统支持多场景巡航取证，可根据实际情况设置巡航计划，最多支持16个预置违法检测场景，能有效提高取证效率。</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图像防篡改功能</w:t>
      </w:r>
    </w:p>
    <w:p>
      <w:pPr>
        <w:spacing w:line="360" w:lineRule="auto"/>
        <w:ind w:firstLine="420" w:firstLineChars="200"/>
      </w:pPr>
      <w:r>
        <w:rPr>
          <w:rFonts w:hint="eastAsia"/>
        </w:rPr>
        <w:t>系统记录的原始图像信息具备防篡改功能，对记录的每条违法记录图片叠加水印等防伪信息，防止在传输、存储、处理等过程中被人为篡改。</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数据断点续传功能</w:t>
      </w:r>
    </w:p>
    <w:p>
      <w:pPr>
        <w:spacing w:line="360" w:lineRule="auto"/>
        <w:ind w:firstLine="420" w:firstLineChars="200"/>
      </w:pPr>
      <w:r>
        <w:rPr>
          <w:rFonts w:hint="eastAsia"/>
        </w:rPr>
        <w:t>系统支持断点续传功能。当遇到网络中断或其他故障时，车辆信息存储在前端设备中，待故障排除后自动续传。</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查询统计及交通违章处理功能</w:t>
      </w:r>
    </w:p>
    <w:p>
      <w:pPr>
        <w:spacing w:line="360" w:lineRule="auto"/>
        <w:ind w:firstLine="420" w:firstLineChars="200"/>
      </w:pPr>
      <w:r>
        <w:rPr>
          <w:rFonts w:hint="eastAsia"/>
        </w:rPr>
        <w:t>系统可以对违章数据按时间、地点等方式进行查询统计；同时可以对违章数据进行审核、修改、自动上传、人工标记等处理功能，实现交通违章事件的处理。</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自动校时功能</w:t>
      </w:r>
    </w:p>
    <w:p>
      <w:pPr>
        <w:spacing w:line="360" w:lineRule="auto"/>
        <w:ind w:firstLine="420" w:firstLineChars="200"/>
      </w:pPr>
      <w:r>
        <w:rPr>
          <w:rFonts w:hint="eastAsia"/>
        </w:rPr>
        <w:t>系统设计24h内的计时误差不超过1.0s，所有前端设备点位每日至少与监控中心系统时钟同步一次。</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网络远程维护功能</w:t>
      </w:r>
    </w:p>
    <w:p>
      <w:pPr>
        <w:spacing w:line="360" w:lineRule="auto"/>
        <w:ind w:firstLine="420" w:firstLineChars="200"/>
      </w:pPr>
      <w:r>
        <w:rPr>
          <w:rFonts w:hint="eastAsia"/>
        </w:rPr>
        <w:t>中心管理软件可以实时查看前端设备的运行状态，支持通过网络实现远程维护、远程设置和远程升级等功能。</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主要设备参数</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违停自动抓拍球机</w:t>
      </w:r>
    </w:p>
    <w:p>
      <w:pPr>
        <w:spacing w:line="360" w:lineRule="auto"/>
        <w:ind w:firstLine="422" w:firstLineChars="200"/>
        <w:rPr>
          <w:rFonts w:ascii="宋体" w:hAnsi="宋体" w:cs="宋体"/>
          <w:b/>
          <w:iCs/>
          <w:kern w:val="0"/>
          <w:szCs w:val="21"/>
        </w:rPr>
      </w:pPr>
      <w:r>
        <w:rPr>
          <w:rFonts w:hint="eastAsia" w:ascii="宋体" w:hAnsi="宋体" w:cs="宋体"/>
          <w:b/>
          <w:kern w:val="0"/>
          <w:szCs w:val="21"/>
        </w:rPr>
        <w:t>▲</w:t>
      </w:r>
      <w:r>
        <w:rPr>
          <w:rFonts w:hint="eastAsia" w:ascii="宋体" w:hAnsi="宋体" w:cs="宋体"/>
          <w:b/>
          <w:iCs/>
          <w:kern w:val="0"/>
          <w:szCs w:val="21"/>
        </w:rPr>
        <w:t>相机焦距范围不小于5-220mm，不低于44倍光学变倍；提供公安部权威机构出具的检测报告复印件并加盖原厂公章。</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视频最大分辨率不小于1920*1080，最大帧率</w:t>
      </w:r>
      <w:r>
        <w:rPr>
          <w:rFonts w:hint="eastAsia" w:ascii="宋体" w:hAnsi="宋体" w:cs="宋体"/>
          <w:kern w:val="0"/>
          <w:szCs w:val="21"/>
        </w:rPr>
        <w:t>不小于50；</w:t>
      </w:r>
    </w:p>
    <w:p>
      <w:pPr>
        <w:spacing w:line="360" w:lineRule="auto"/>
        <w:ind w:firstLine="420" w:firstLineChars="200"/>
        <w:rPr>
          <w:rFonts w:ascii="宋体" w:hAnsi="宋体" w:cs="宋体"/>
          <w:kern w:val="0"/>
          <w:szCs w:val="21"/>
        </w:rPr>
      </w:pPr>
      <w:r>
        <w:rPr>
          <w:rFonts w:hint="eastAsia" w:ascii="宋体" w:hAnsi="宋体" w:cs="宋体"/>
          <w:kern w:val="0"/>
          <w:szCs w:val="21"/>
        </w:rPr>
        <w:t>最大亮度鉴别等级不低于13级</w:t>
      </w:r>
    </w:p>
    <w:p>
      <w:pPr>
        <w:spacing w:line="360" w:lineRule="auto"/>
        <w:ind w:firstLine="420" w:firstLineChars="200"/>
        <w:rPr>
          <w:rFonts w:ascii="宋体" w:hAnsi="宋体" w:cs="宋体"/>
          <w:kern w:val="0"/>
          <w:szCs w:val="21"/>
        </w:rPr>
      </w:pPr>
      <w:r>
        <w:rPr>
          <w:rFonts w:hint="eastAsia" w:ascii="宋体" w:hAnsi="宋体" w:cs="宋体"/>
          <w:kern w:val="0"/>
          <w:szCs w:val="21"/>
        </w:rPr>
        <w:t>信噪比不低于66dB</w:t>
      </w:r>
    </w:p>
    <w:p>
      <w:pPr>
        <w:spacing w:line="360" w:lineRule="auto"/>
        <w:ind w:firstLine="420" w:firstLineChars="200"/>
        <w:rPr>
          <w:rFonts w:ascii="宋体" w:hAnsi="宋体" w:cs="宋体"/>
          <w:kern w:val="0"/>
          <w:szCs w:val="21"/>
        </w:rPr>
      </w:pPr>
      <w:r>
        <w:rPr>
          <w:rFonts w:hint="eastAsia" w:ascii="宋体" w:hAnsi="宋体" w:cs="宋体"/>
          <w:kern w:val="0"/>
          <w:szCs w:val="21"/>
        </w:rPr>
        <w:t>照度适应范围不小于120dB</w:t>
      </w:r>
    </w:p>
    <w:p>
      <w:pPr>
        <w:spacing w:line="360" w:lineRule="auto"/>
        <w:ind w:firstLine="420" w:firstLineChars="200"/>
        <w:rPr>
          <w:rFonts w:ascii="宋体" w:hAnsi="宋体" w:cs="宋体"/>
          <w:kern w:val="0"/>
          <w:szCs w:val="21"/>
        </w:rPr>
      </w:pPr>
      <w:r>
        <w:rPr>
          <w:rFonts w:hint="eastAsia" w:ascii="宋体" w:hAnsi="宋体" w:cs="宋体"/>
          <w:kern w:val="0"/>
          <w:szCs w:val="21"/>
        </w:rPr>
        <w:t>具有1个10M/100M/1000M自适应以太网RJ45接口、1路RS485接口，1个SFP接口；不少于2路告警输入接口，1路告警输出接口</w:t>
      </w:r>
    </w:p>
    <w:p>
      <w:pPr>
        <w:spacing w:line="360" w:lineRule="auto"/>
        <w:ind w:firstLine="420" w:firstLineChars="200"/>
        <w:rPr>
          <w:rFonts w:ascii="宋体" w:hAnsi="宋体" w:cs="宋体"/>
          <w:kern w:val="0"/>
          <w:szCs w:val="21"/>
        </w:rPr>
      </w:pPr>
      <w:r>
        <w:rPr>
          <w:rFonts w:hint="eastAsia" w:ascii="宋体" w:hAnsi="宋体" w:cs="宋体"/>
          <w:kern w:val="0"/>
          <w:szCs w:val="21"/>
        </w:rPr>
        <w:t>相机通过1个网络接口及一个光纤接口实现多台相机间级联</w:t>
      </w:r>
    </w:p>
    <w:p>
      <w:pPr>
        <w:spacing w:line="360" w:lineRule="auto"/>
        <w:ind w:firstLine="420" w:firstLineChars="200"/>
        <w:rPr>
          <w:rFonts w:ascii="宋体" w:hAnsi="宋体" w:cs="宋体"/>
          <w:kern w:val="0"/>
          <w:szCs w:val="21"/>
        </w:rPr>
      </w:pPr>
      <w:r>
        <w:rPr>
          <w:rFonts w:hint="eastAsia" w:ascii="宋体" w:hAnsi="宋体" w:cs="宋体"/>
          <w:kern w:val="0"/>
          <w:szCs w:val="21"/>
        </w:rPr>
        <w:t>样机与IE浏览器或客户端之间用300m五类非屏蔽网线直接连接，使用丢包测试软件发送1000个数据包，重复测试3次，每次丢包数不大于1个</w:t>
      </w:r>
    </w:p>
    <w:p>
      <w:pPr>
        <w:spacing w:line="360" w:lineRule="auto"/>
        <w:ind w:firstLine="420" w:firstLineChars="200"/>
        <w:rPr>
          <w:rFonts w:ascii="宋体" w:hAnsi="宋体" w:cs="宋体"/>
          <w:kern w:val="0"/>
          <w:szCs w:val="21"/>
        </w:rPr>
      </w:pPr>
      <w:r>
        <w:rPr>
          <w:rFonts w:hint="eastAsia" w:ascii="宋体" w:hAnsi="宋体" w:cs="宋体"/>
          <w:kern w:val="0"/>
          <w:szCs w:val="21"/>
        </w:rPr>
        <w:t>支持违停停车、压线、违法变道、逆行等违法行为检测抓拍</w:t>
      </w:r>
    </w:p>
    <w:p>
      <w:pPr>
        <w:spacing w:line="360" w:lineRule="auto"/>
        <w:ind w:firstLine="420" w:firstLineChars="200"/>
        <w:rPr>
          <w:rFonts w:ascii="宋体" w:hAnsi="宋体" w:cs="宋体"/>
          <w:kern w:val="0"/>
          <w:szCs w:val="21"/>
        </w:rPr>
      </w:pPr>
      <w:r>
        <w:rPr>
          <w:rFonts w:hint="eastAsia" w:ascii="宋体" w:hAnsi="宋体" w:cs="宋体"/>
          <w:kern w:val="0"/>
          <w:szCs w:val="21"/>
        </w:rPr>
        <w:t>支持违法取证图片单张上传或者多张合成上传，合成图片数量可配置</w:t>
      </w:r>
    </w:p>
    <w:p>
      <w:pPr>
        <w:spacing w:line="360" w:lineRule="auto"/>
        <w:ind w:firstLine="420" w:firstLineChars="200"/>
        <w:rPr>
          <w:rFonts w:ascii="宋体" w:hAnsi="宋体" w:cs="宋体"/>
          <w:kern w:val="0"/>
          <w:szCs w:val="21"/>
        </w:rPr>
      </w:pPr>
      <w:r>
        <w:rPr>
          <w:rFonts w:hint="eastAsia" w:ascii="宋体" w:hAnsi="宋体" w:cs="宋体"/>
          <w:kern w:val="0"/>
          <w:szCs w:val="21"/>
        </w:rPr>
        <w:t>可在图片上叠加字符，字符可选择项包括监测点时间、地点、方向、车牌号码、车牌颜色、车身颜色、违法类型、设备编号、防伪编码、抓拍类型、自定义，抓拍时间可显示到0.001s</w:t>
      </w:r>
    </w:p>
    <w:p>
      <w:pPr>
        <w:spacing w:line="360" w:lineRule="auto"/>
        <w:ind w:firstLine="420" w:firstLineChars="200"/>
        <w:rPr>
          <w:rFonts w:ascii="宋体" w:hAnsi="宋体" w:cs="宋体"/>
          <w:b/>
          <w:iCs/>
          <w:kern w:val="0"/>
          <w:szCs w:val="21"/>
        </w:rPr>
      </w:pPr>
      <w:r>
        <w:rPr>
          <w:rFonts w:hint="eastAsia"/>
        </w:rPr>
        <w:t>▲</w:t>
      </w:r>
      <w:r>
        <w:rPr>
          <w:rFonts w:hint="eastAsia" w:ascii="宋体" w:hAnsi="宋体" w:cs="宋体"/>
          <w:b/>
          <w:iCs/>
          <w:kern w:val="0"/>
          <w:szCs w:val="21"/>
        </w:rPr>
        <w:t>违停车辆捕获率，白天不低于95%，晚上不低于90%。投标时提供公安部权威机构出具的检测报告复印件并加盖原厂公章。</w:t>
      </w:r>
    </w:p>
    <w:p>
      <w:pPr>
        <w:spacing w:line="360" w:lineRule="auto"/>
        <w:ind w:firstLine="420" w:firstLineChars="200"/>
        <w:rPr>
          <w:rFonts w:ascii="宋体" w:hAnsi="宋体" w:cs="宋体"/>
          <w:b/>
          <w:iCs/>
          <w:kern w:val="0"/>
          <w:szCs w:val="21"/>
        </w:rPr>
      </w:pPr>
      <w:r>
        <w:rPr>
          <w:rFonts w:hint="eastAsia"/>
        </w:rPr>
        <w:t>▲</w:t>
      </w:r>
      <w:r>
        <w:rPr>
          <w:rFonts w:hint="eastAsia" w:ascii="宋体" w:hAnsi="宋体" w:cs="宋体"/>
          <w:b/>
          <w:iCs/>
          <w:kern w:val="0"/>
          <w:szCs w:val="21"/>
        </w:rPr>
        <w:t>违法停车白天有效检测距离不低于200m。投标时提供公安部权威机构出具的检测报告复印件并加盖原厂公章。</w:t>
      </w:r>
    </w:p>
    <w:p>
      <w:pPr>
        <w:spacing w:line="360" w:lineRule="auto"/>
        <w:ind w:firstLine="420" w:firstLineChars="200"/>
        <w:rPr>
          <w:rFonts w:ascii="宋体" w:hAnsi="宋体" w:cs="宋体"/>
          <w:kern w:val="0"/>
          <w:szCs w:val="21"/>
        </w:rPr>
      </w:pPr>
      <w:r>
        <w:rPr>
          <w:rFonts w:hint="eastAsia" w:ascii="宋体" w:hAnsi="宋体" w:cs="宋体"/>
          <w:kern w:val="0"/>
          <w:szCs w:val="21"/>
        </w:rPr>
        <w:t>支持车牌颜色识别功能检测，号牌颜色识别率不低于95%</w:t>
      </w:r>
    </w:p>
    <w:p>
      <w:pPr>
        <w:spacing w:line="360" w:lineRule="auto"/>
        <w:ind w:firstLine="420" w:firstLineChars="200"/>
        <w:rPr>
          <w:rFonts w:ascii="宋体" w:hAnsi="宋体" w:cs="宋体"/>
          <w:kern w:val="0"/>
          <w:szCs w:val="21"/>
        </w:rPr>
      </w:pPr>
      <w:r>
        <w:rPr>
          <w:rFonts w:hint="eastAsia" w:ascii="宋体" w:hAnsi="宋体" w:cs="宋体"/>
          <w:kern w:val="0"/>
          <w:szCs w:val="21"/>
        </w:rPr>
        <w:t>支持行人、自行车、三轮车、摩托车抓拍</w:t>
      </w:r>
      <w:r>
        <w:rPr>
          <w:rFonts w:hint="eastAsia"/>
        </w:rPr>
        <w:t xml:space="preserve">                     </w:t>
      </w:r>
    </w:p>
    <w:p>
      <w:pPr>
        <w:spacing w:line="360" w:lineRule="auto"/>
        <w:ind w:firstLine="422" w:firstLineChars="200"/>
        <w:rPr>
          <w:rFonts w:ascii="宋体" w:hAnsi="宋体" w:cs="宋体"/>
          <w:b/>
          <w:iCs/>
          <w:kern w:val="0"/>
          <w:szCs w:val="21"/>
          <w:u w:val="single"/>
        </w:rPr>
      </w:pPr>
      <w:r>
        <w:rPr>
          <w:rFonts w:hint="eastAsia" w:ascii="宋体" w:hAnsi="宋体" w:cs="宋体"/>
          <w:b/>
          <w:iCs/>
          <w:kern w:val="0"/>
          <w:szCs w:val="21"/>
          <w:u w:val="single"/>
        </w:rPr>
        <w:t>支持对无牌车抓拍或过滤，投标时提供公安部权威机构出具的检测报告复印件并加盖原厂公章。</w:t>
      </w:r>
    </w:p>
    <w:p>
      <w:pPr>
        <w:spacing w:line="360" w:lineRule="auto"/>
        <w:ind w:firstLine="422" w:firstLineChars="200"/>
        <w:rPr>
          <w:rFonts w:hint="eastAsia" w:ascii="宋体" w:hAnsi="宋体" w:cs="宋体"/>
          <w:b/>
          <w:iCs/>
          <w:kern w:val="0"/>
          <w:szCs w:val="21"/>
          <w:u w:val="single"/>
        </w:rPr>
      </w:pPr>
      <w:r>
        <w:rPr>
          <w:rFonts w:hint="eastAsia" w:ascii="宋体" w:hAnsi="宋体" w:cs="宋体"/>
          <w:b/>
          <w:iCs/>
          <w:kern w:val="0"/>
          <w:szCs w:val="21"/>
          <w:u w:val="single"/>
        </w:rPr>
        <w:t>支持违停预警功能，并且支持上报平台。支持违停诱导屏发布功能，违章抓拍后在诱导屏上显示违法车辆信息，投标时提供公安部权威机构出具的检测报告复印件并加盖原厂公章。</w:t>
      </w:r>
    </w:p>
    <w:p>
      <w:pPr>
        <w:spacing w:line="360" w:lineRule="auto"/>
        <w:ind w:firstLine="422" w:firstLineChars="200"/>
        <w:rPr>
          <w:rFonts w:hint="eastAsia" w:ascii="宋体" w:hAnsi="宋体" w:cs="宋体"/>
          <w:b/>
          <w:iCs/>
          <w:kern w:val="0"/>
          <w:szCs w:val="21"/>
          <w:u w:val="single"/>
        </w:rPr>
      </w:pPr>
      <w:r>
        <w:rPr>
          <w:rFonts w:hint="eastAsia" w:ascii="宋体" w:hAnsi="宋体" w:cs="宋体"/>
          <w:b/>
          <w:iCs/>
          <w:kern w:val="0"/>
          <w:szCs w:val="21"/>
          <w:u w:val="single"/>
        </w:rPr>
        <w:t>支持本地存储，存储容量不小于128G。投标时提供公安部权威机构出具的检测报告复印件并加盖原厂公章。</w:t>
      </w:r>
    </w:p>
    <w:p>
      <w:pPr>
        <w:spacing w:line="360" w:lineRule="auto"/>
        <w:ind w:firstLine="422" w:firstLineChars="200"/>
        <w:rPr>
          <w:rFonts w:hint="eastAsia" w:ascii="宋体" w:hAnsi="宋体" w:cs="宋体"/>
          <w:b/>
          <w:iCs/>
          <w:kern w:val="0"/>
          <w:szCs w:val="21"/>
          <w:u w:val="single"/>
        </w:rPr>
      </w:pPr>
      <w:r>
        <w:rPr>
          <w:rFonts w:hint="eastAsia" w:ascii="宋体" w:hAnsi="宋体" w:cs="宋体"/>
          <w:b/>
          <w:iCs/>
          <w:kern w:val="0"/>
          <w:szCs w:val="21"/>
          <w:u w:val="single"/>
        </w:rPr>
        <w:t>支持ARP防攻击功能，具有SNMPV3校验功能，投标时提供公安部权威机构出具的检测报告复印件并加盖原厂公章。</w:t>
      </w:r>
    </w:p>
    <w:p>
      <w:pPr>
        <w:spacing w:line="360" w:lineRule="auto"/>
        <w:ind w:firstLine="420" w:firstLineChars="200"/>
        <w:rPr>
          <w:rFonts w:ascii="宋体" w:hAnsi="宋体" w:cs="宋体"/>
          <w:kern w:val="0"/>
          <w:szCs w:val="21"/>
        </w:rPr>
      </w:pPr>
      <w:r>
        <w:rPr>
          <w:rFonts w:hint="eastAsia" w:ascii="宋体" w:hAnsi="宋体" w:cs="宋体"/>
          <w:kern w:val="0"/>
          <w:szCs w:val="21"/>
        </w:rPr>
        <w:t>设备电子罗盘功能，可在监视画面上叠加镜头当前指向方位和角度</w:t>
      </w:r>
    </w:p>
    <w:p>
      <w:pPr>
        <w:spacing w:line="360" w:lineRule="auto"/>
        <w:ind w:firstLine="420" w:firstLineChars="200"/>
        <w:rPr>
          <w:rFonts w:ascii="宋体" w:hAnsi="宋体" w:cs="宋体"/>
          <w:kern w:val="0"/>
          <w:szCs w:val="21"/>
        </w:rPr>
      </w:pPr>
      <w:r>
        <w:rPr>
          <w:rFonts w:hint="eastAsia" w:ascii="宋体" w:hAnsi="宋体" w:cs="宋体"/>
          <w:kern w:val="0"/>
          <w:szCs w:val="21"/>
        </w:rPr>
        <w:t>具有802.1X终端准入控制功能</w:t>
      </w:r>
    </w:p>
    <w:p>
      <w:pPr>
        <w:spacing w:line="360" w:lineRule="auto"/>
        <w:ind w:firstLine="420" w:firstLineChars="200"/>
        <w:rPr>
          <w:rFonts w:ascii="宋体" w:hAnsi="宋体" w:cs="宋体"/>
          <w:kern w:val="0"/>
          <w:szCs w:val="21"/>
        </w:rPr>
      </w:pPr>
      <w:r>
        <w:rPr>
          <w:rFonts w:hint="eastAsia" w:ascii="宋体" w:hAnsi="宋体" w:cs="宋体"/>
          <w:kern w:val="0"/>
          <w:szCs w:val="21"/>
        </w:rPr>
        <w:t>支持新能源车牌识别</w:t>
      </w:r>
    </w:p>
    <w:p>
      <w:pPr>
        <w:spacing w:line="360" w:lineRule="auto"/>
        <w:ind w:firstLine="420" w:firstLineChars="200"/>
        <w:rPr>
          <w:rFonts w:ascii="宋体" w:hAnsi="宋体" w:cs="宋体"/>
          <w:kern w:val="0"/>
          <w:szCs w:val="21"/>
        </w:rPr>
      </w:pPr>
      <w:r>
        <w:rPr>
          <w:rFonts w:hint="eastAsia" w:ascii="宋体" w:hAnsi="宋体" w:cs="宋体"/>
          <w:kern w:val="0"/>
          <w:szCs w:val="21"/>
        </w:rPr>
        <w:t>设备工作温度范围不小于-45℃~+80℃</w:t>
      </w:r>
    </w:p>
    <w:p>
      <w:pPr>
        <w:spacing w:line="360" w:lineRule="auto"/>
        <w:ind w:firstLine="420" w:firstLineChars="200"/>
        <w:rPr>
          <w:rFonts w:ascii="宋体" w:hAnsi="宋体" w:cs="宋体"/>
          <w:kern w:val="0"/>
          <w:szCs w:val="21"/>
        </w:rPr>
      </w:pPr>
      <w:r>
        <w:rPr>
          <w:rFonts w:hint="eastAsia" w:ascii="宋体" w:hAnsi="宋体" w:cs="宋体"/>
          <w:kern w:val="0"/>
          <w:szCs w:val="21"/>
        </w:rPr>
        <w:t>电源AC24V电压在55%波动下，设备仍正常工作</w:t>
      </w:r>
    </w:p>
    <w:p>
      <w:pPr>
        <w:spacing w:line="360" w:lineRule="auto"/>
        <w:ind w:firstLine="420" w:firstLineChars="200"/>
        <w:rPr>
          <w:rFonts w:ascii="宋体" w:hAnsi="宋体" w:cs="宋体"/>
          <w:bCs/>
          <w:kern w:val="0"/>
          <w:szCs w:val="21"/>
        </w:rPr>
      </w:pPr>
      <w:r>
        <w:rPr>
          <w:rFonts w:hint="eastAsia" w:ascii="宋体" w:hAnsi="宋体" w:cs="宋体"/>
          <w:bCs/>
          <w:kern w:val="0"/>
          <w:szCs w:val="21"/>
        </w:rPr>
        <w:t>防护等级不低于IP66</w:t>
      </w:r>
    </w:p>
    <w:p>
      <w:pPr>
        <w:spacing w:line="360" w:lineRule="auto"/>
        <w:ind w:firstLine="420" w:firstLineChars="200"/>
        <w:rPr>
          <w:rFonts w:ascii="宋体" w:hAnsi="宋体" w:cs="宋体"/>
          <w:bCs/>
          <w:kern w:val="0"/>
          <w:szCs w:val="21"/>
        </w:rPr>
      </w:pPr>
      <w:r>
        <w:rPr>
          <w:rFonts w:hint="eastAsia" w:ascii="宋体" w:hAnsi="宋体" w:cs="宋体"/>
          <w:bCs/>
          <w:kern w:val="0"/>
          <w:szCs w:val="21"/>
        </w:rPr>
        <w:t>支持对无牌车抓拍或过滤；</w:t>
      </w:r>
    </w:p>
    <w:p>
      <w:pPr>
        <w:spacing w:line="360" w:lineRule="auto"/>
        <w:ind w:firstLine="420" w:firstLineChars="200"/>
        <w:rPr>
          <w:rFonts w:ascii="宋体" w:hAnsi="宋体" w:cs="宋体"/>
          <w:color w:val="000000"/>
          <w:kern w:val="0"/>
          <w:szCs w:val="21"/>
        </w:rPr>
      </w:pPr>
      <w:r>
        <w:rPr>
          <w:rFonts w:hint="eastAsia" w:ascii="宋体" w:hAnsi="宋体" w:cs="宋体"/>
          <w:bCs/>
          <w:kern w:val="0"/>
          <w:szCs w:val="21"/>
        </w:rPr>
        <w:t>支持违停预警功能，并且支持上报平台。支持违停诱导屏发布功能，违章抓拍后在诱导屏上显示违法车辆信息</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7.智能交通诱导系统</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概述</w:t>
      </w:r>
    </w:p>
    <w:p>
      <w:pPr>
        <w:spacing w:line="360" w:lineRule="auto"/>
        <w:ind w:firstLine="420" w:firstLineChars="200"/>
      </w:pPr>
      <w:r>
        <w:rPr>
          <w:rFonts w:hint="eastAsia"/>
        </w:rPr>
        <w:t>智能交通诱导系统是现代交通管理科技系统的一个重要组成部分。随着安吉城市现代化，居民汽车拥有量急剧增加，建设交通行车诱导系统对于科学合理均衡交通流、缓解城市交通拥堵具有十分重要的意义。</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建设内容</w:t>
      </w:r>
    </w:p>
    <w:tbl>
      <w:tblPr>
        <w:tblStyle w:val="36"/>
        <w:tblW w:w="0" w:type="auto"/>
        <w:jc w:val="center"/>
        <w:tblLayout w:type="fixed"/>
        <w:tblCellMar>
          <w:top w:w="15" w:type="dxa"/>
          <w:left w:w="15" w:type="dxa"/>
          <w:bottom w:w="15" w:type="dxa"/>
          <w:right w:w="15" w:type="dxa"/>
        </w:tblCellMar>
      </w:tblPr>
      <w:tblGrid>
        <w:gridCol w:w="941"/>
        <w:gridCol w:w="2882"/>
        <w:gridCol w:w="992"/>
      </w:tblGrid>
      <w:tr>
        <w:tblPrEx>
          <w:tblCellMar>
            <w:top w:w="15" w:type="dxa"/>
            <w:left w:w="15" w:type="dxa"/>
            <w:bottom w:w="15" w:type="dxa"/>
            <w:right w:w="15" w:type="dxa"/>
          </w:tblCellMar>
        </w:tblPrEx>
        <w:trPr>
          <w:trHeight w:val="20" w:hRule="atLeast"/>
          <w:jc w:val="center"/>
        </w:trPr>
        <w:tc>
          <w:tcPr>
            <w:tcW w:w="4815" w:type="dxa"/>
            <w:gridSpan w:val="3"/>
            <w:tcBorders>
              <w:top w:val="single" w:color="000000" w:sz="4" w:space="0"/>
              <w:left w:val="single" w:color="000000" w:sz="4" w:space="0"/>
              <w:right w:val="single" w:color="000000" w:sz="4" w:space="0"/>
            </w:tcBorders>
            <w:shd w:val="clear" w:color="auto" w:fill="D9D9D9"/>
            <w:noWrap w:val="0"/>
            <w:vAlign w:val="center"/>
          </w:tcPr>
          <w:p>
            <w:pPr>
              <w:jc w:val="center"/>
              <w:rPr>
                <w:rFonts w:ascii="宋体" w:hAnsi="黑体"/>
                <w:szCs w:val="22"/>
              </w:rPr>
            </w:pPr>
            <w:r>
              <w:rPr>
                <w:rFonts w:hint="eastAsia" w:ascii="宋体" w:hAnsi="黑体"/>
                <w:szCs w:val="22"/>
              </w:rPr>
              <w:t>一级诱导屏</w:t>
            </w:r>
          </w:p>
        </w:tc>
      </w:tr>
      <w:tr>
        <w:tblPrEx>
          <w:tblCellMar>
            <w:top w:w="15" w:type="dxa"/>
            <w:left w:w="15" w:type="dxa"/>
            <w:bottom w:w="15" w:type="dxa"/>
            <w:right w:w="15" w:type="dxa"/>
          </w:tblCellMar>
        </w:tblPrEx>
        <w:trPr>
          <w:trHeight w:val="20"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序号</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路口名称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方向</w:t>
            </w:r>
          </w:p>
        </w:tc>
      </w:tr>
      <w:tr>
        <w:tblPrEx>
          <w:tblCellMar>
            <w:top w:w="15" w:type="dxa"/>
            <w:left w:w="15" w:type="dxa"/>
            <w:bottom w:w="15" w:type="dxa"/>
            <w:right w:w="15" w:type="dxa"/>
          </w:tblCellMar>
        </w:tblPrEx>
        <w:trPr>
          <w:trHeight w:val="20"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1</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浦源大道-灵峰北路西口</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向东</w:t>
            </w:r>
          </w:p>
        </w:tc>
      </w:tr>
      <w:tr>
        <w:tblPrEx>
          <w:tblCellMar>
            <w:top w:w="15" w:type="dxa"/>
            <w:left w:w="15" w:type="dxa"/>
            <w:bottom w:w="15" w:type="dxa"/>
            <w:right w:w="15" w:type="dxa"/>
          </w:tblCellMar>
        </w:tblPrEx>
        <w:trPr>
          <w:trHeight w:val="20"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2</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b/>
                <w:color w:val="FF0000"/>
                <w:szCs w:val="22"/>
              </w:rPr>
            </w:pPr>
            <w:r>
              <w:rPr>
                <w:rFonts w:hint="eastAsia" w:ascii="宋体" w:hAnsi="黑体"/>
                <w:szCs w:val="22"/>
              </w:rPr>
              <w:t>灵峰北路-灵芝路</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向南</w:t>
            </w:r>
          </w:p>
        </w:tc>
      </w:tr>
      <w:tr>
        <w:tblPrEx>
          <w:tblCellMar>
            <w:top w:w="15" w:type="dxa"/>
            <w:left w:w="15" w:type="dxa"/>
            <w:bottom w:w="15" w:type="dxa"/>
            <w:right w:w="15" w:type="dxa"/>
          </w:tblCellMar>
        </w:tblPrEx>
        <w:trPr>
          <w:trHeight w:val="20"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ascii="宋体" w:hAnsi="黑体"/>
                <w:szCs w:val="22"/>
              </w:rPr>
              <w:t>3</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齐云路-灵芝东路东口</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向西</w:t>
            </w:r>
          </w:p>
        </w:tc>
      </w:tr>
      <w:tr>
        <w:tblPrEx>
          <w:tblCellMar>
            <w:top w:w="15" w:type="dxa"/>
            <w:left w:w="15" w:type="dxa"/>
            <w:bottom w:w="15" w:type="dxa"/>
            <w:right w:w="15" w:type="dxa"/>
          </w:tblCellMar>
        </w:tblPrEx>
        <w:trPr>
          <w:trHeight w:val="20"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ascii="宋体" w:hAnsi="黑体"/>
                <w:szCs w:val="22"/>
              </w:rPr>
              <w:t>4</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云鸿西路-灵峰南路东口</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向西</w:t>
            </w:r>
          </w:p>
        </w:tc>
      </w:tr>
      <w:tr>
        <w:tblPrEx>
          <w:tblCellMar>
            <w:top w:w="15" w:type="dxa"/>
            <w:left w:w="15" w:type="dxa"/>
            <w:bottom w:w="15" w:type="dxa"/>
            <w:right w:w="15" w:type="dxa"/>
          </w:tblCellMar>
        </w:tblPrEx>
        <w:trPr>
          <w:trHeight w:val="20" w:hRule="atLeast"/>
          <w:jc w:val="center"/>
        </w:trPr>
        <w:tc>
          <w:tcPr>
            <w:tcW w:w="4815" w:type="dxa"/>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rPr>
                <w:rFonts w:ascii="宋体" w:hAnsi="黑体"/>
                <w:szCs w:val="22"/>
              </w:rPr>
            </w:pPr>
            <w:r>
              <w:rPr>
                <w:rFonts w:hint="eastAsia" w:ascii="宋体" w:hAnsi="黑体"/>
                <w:szCs w:val="22"/>
              </w:rPr>
              <w:t>二级诱导屏</w:t>
            </w:r>
          </w:p>
        </w:tc>
      </w:tr>
      <w:tr>
        <w:tblPrEx>
          <w:tblCellMar>
            <w:top w:w="15" w:type="dxa"/>
            <w:left w:w="15" w:type="dxa"/>
            <w:bottom w:w="15" w:type="dxa"/>
            <w:right w:w="15" w:type="dxa"/>
          </w:tblCellMar>
        </w:tblPrEx>
        <w:trPr>
          <w:trHeight w:val="20"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序号</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路口名称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方向</w:t>
            </w:r>
          </w:p>
        </w:tc>
      </w:tr>
      <w:tr>
        <w:tblPrEx>
          <w:tblCellMar>
            <w:top w:w="15" w:type="dxa"/>
            <w:left w:w="15" w:type="dxa"/>
            <w:bottom w:w="15" w:type="dxa"/>
            <w:right w:w="15" w:type="dxa"/>
          </w:tblCellMar>
        </w:tblPrEx>
        <w:trPr>
          <w:trHeight w:val="20"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ascii="宋体" w:hAnsi="黑体"/>
                <w:szCs w:val="22"/>
              </w:rPr>
              <w:t>1</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吉庆路-浦源大道东口</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向西</w:t>
            </w:r>
          </w:p>
        </w:tc>
      </w:tr>
      <w:tr>
        <w:tblPrEx>
          <w:tblCellMar>
            <w:top w:w="15" w:type="dxa"/>
            <w:left w:w="15" w:type="dxa"/>
            <w:bottom w:w="15" w:type="dxa"/>
            <w:right w:w="15" w:type="dxa"/>
          </w:tblCellMar>
        </w:tblPrEx>
        <w:trPr>
          <w:trHeight w:val="20"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ascii="宋体" w:hAnsi="黑体"/>
                <w:szCs w:val="22"/>
              </w:rPr>
              <w:t>2</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天目中路-灵芝东路东口</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向东</w:t>
            </w:r>
          </w:p>
        </w:tc>
      </w:tr>
      <w:tr>
        <w:tblPrEx>
          <w:tblCellMar>
            <w:top w:w="15" w:type="dxa"/>
            <w:left w:w="15" w:type="dxa"/>
            <w:bottom w:w="15" w:type="dxa"/>
            <w:right w:w="15" w:type="dxa"/>
          </w:tblCellMar>
        </w:tblPrEx>
        <w:trPr>
          <w:trHeight w:val="20"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ascii="宋体" w:hAnsi="黑体"/>
                <w:szCs w:val="22"/>
              </w:rPr>
              <w:t>3</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云鸿西路-恒威路西口</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向西</w:t>
            </w:r>
          </w:p>
        </w:tc>
      </w:tr>
      <w:tr>
        <w:tblPrEx>
          <w:tblCellMar>
            <w:top w:w="15" w:type="dxa"/>
            <w:left w:w="15" w:type="dxa"/>
            <w:bottom w:w="15" w:type="dxa"/>
            <w:right w:w="15" w:type="dxa"/>
          </w:tblCellMar>
        </w:tblPrEx>
        <w:trPr>
          <w:trHeight w:val="20"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ascii="宋体" w:hAnsi="黑体"/>
                <w:szCs w:val="22"/>
              </w:rPr>
              <w:t>4</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云鸿东路-凤凰路东口</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黑体"/>
                <w:szCs w:val="22"/>
              </w:rPr>
            </w:pPr>
            <w:r>
              <w:rPr>
                <w:rFonts w:hint="eastAsia" w:ascii="宋体" w:hAnsi="黑体"/>
                <w:szCs w:val="22"/>
              </w:rPr>
              <w:t>向西</w:t>
            </w:r>
          </w:p>
        </w:tc>
      </w:tr>
    </w:tbl>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系统功能</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视频存储功能</w:t>
      </w:r>
    </w:p>
    <w:p>
      <w:pPr>
        <w:spacing w:line="360" w:lineRule="auto"/>
        <w:ind w:firstLine="420" w:firstLineChars="200"/>
      </w:pPr>
      <w:r>
        <w:rPr>
          <w:rFonts w:hint="eastAsia"/>
        </w:rPr>
        <w:t>视频录像、视频检索、视频回放、视频下载、视频锁定、视频标注、视频删除、周期覆盖。</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交通信息图文发布</w:t>
      </w:r>
    </w:p>
    <w:p>
      <w:pPr>
        <w:spacing w:line="360" w:lineRule="auto"/>
        <w:ind w:firstLine="420" w:firstLineChars="200"/>
      </w:pPr>
      <w:r>
        <w:rPr>
          <w:rFonts w:hint="eastAsia"/>
        </w:rPr>
        <w:t>可以进行交通信息的图文发布，可推送温馨提示、天气预报、文明口号、交通违法车辆信息、景区/景点实况等信息，帮助驾驶员及时了解各种社会、交通动态。</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自动对时功能</w:t>
      </w:r>
    </w:p>
    <w:p>
      <w:pPr>
        <w:spacing w:line="360" w:lineRule="auto"/>
        <w:ind w:firstLine="420" w:firstLineChars="200"/>
      </w:pPr>
      <w:r>
        <w:rPr>
          <w:rFonts w:hint="eastAsia"/>
        </w:rPr>
        <w:t>系统应具有自动校时功能。一天24h内，系统设备的计时误差不超过1.0s。系统中心管理平台每天能够对接入的前端设备进行至少一次设备时钟校准。</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主要设备参数</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一级诱导屏（光带屏）</w:t>
      </w:r>
    </w:p>
    <w:p>
      <w:pPr>
        <w:spacing w:line="360" w:lineRule="auto"/>
        <w:ind w:left="420"/>
        <w:rPr>
          <w:b/>
          <w:bCs/>
          <w:kern w:val="0"/>
          <w:szCs w:val="21"/>
        </w:rPr>
      </w:pPr>
      <w:r>
        <w:rPr>
          <w:rFonts w:hint="eastAsia"/>
          <w:b/>
          <w:bCs/>
          <w:kern w:val="0"/>
          <w:szCs w:val="21"/>
        </w:rPr>
        <w:t>▲外形尺寸：4m×5m</w:t>
      </w:r>
    </w:p>
    <w:p>
      <w:pPr>
        <w:spacing w:line="360" w:lineRule="auto"/>
        <w:ind w:left="420"/>
        <w:rPr>
          <w:kern w:val="0"/>
          <w:szCs w:val="21"/>
        </w:rPr>
      </w:pPr>
      <w:r>
        <w:rPr>
          <w:rFonts w:hint="eastAsia"/>
          <w:kern w:val="0"/>
          <w:szCs w:val="21"/>
        </w:rPr>
        <w:t>光带宽度：</w:t>
      </w:r>
      <w:r>
        <w:rPr>
          <w:kern w:val="0"/>
          <w:szCs w:val="21"/>
        </w:rPr>
        <w:t>132mm</w:t>
      </w:r>
      <w:r>
        <w:rPr>
          <w:rFonts w:hint="eastAsia"/>
          <w:kern w:val="0"/>
          <w:szCs w:val="21"/>
        </w:rPr>
        <w:t>（主线）；</w:t>
      </w:r>
      <w:r>
        <w:rPr>
          <w:kern w:val="0"/>
          <w:szCs w:val="21"/>
        </w:rPr>
        <w:t>110mm</w:t>
      </w:r>
      <w:r>
        <w:rPr>
          <w:rFonts w:hint="eastAsia"/>
          <w:kern w:val="0"/>
          <w:szCs w:val="21"/>
        </w:rPr>
        <w:t>（支线）</w:t>
      </w:r>
    </w:p>
    <w:p>
      <w:pPr>
        <w:spacing w:line="360" w:lineRule="auto"/>
        <w:ind w:left="420"/>
        <w:rPr>
          <w:rFonts w:hint="eastAsia"/>
          <w:b/>
          <w:bCs/>
          <w:kern w:val="0"/>
          <w:szCs w:val="21"/>
        </w:rPr>
      </w:pPr>
      <w:r>
        <w:rPr>
          <w:rFonts w:hint="eastAsia"/>
          <w:b/>
          <w:bCs/>
          <w:kern w:val="0"/>
          <w:szCs w:val="21"/>
        </w:rPr>
        <w:t>▲点 间 距：22mm</w:t>
      </w:r>
    </w:p>
    <w:p>
      <w:pPr>
        <w:spacing w:line="360" w:lineRule="auto"/>
        <w:ind w:left="420"/>
        <w:rPr>
          <w:rFonts w:hint="eastAsia"/>
          <w:b/>
          <w:bCs/>
          <w:kern w:val="0"/>
          <w:szCs w:val="21"/>
        </w:rPr>
      </w:pPr>
      <w:r>
        <w:rPr>
          <w:rFonts w:hint="eastAsia"/>
          <w:b/>
          <w:bCs/>
          <w:kern w:val="0"/>
          <w:szCs w:val="21"/>
        </w:rPr>
        <w:t>▲显示内容：红、绿、黄</w:t>
      </w:r>
    </w:p>
    <w:p>
      <w:pPr>
        <w:spacing w:line="360" w:lineRule="auto"/>
        <w:ind w:left="420"/>
        <w:rPr>
          <w:kern w:val="0"/>
          <w:szCs w:val="21"/>
        </w:rPr>
      </w:pPr>
      <w:r>
        <w:rPr>
          <w:rFonts w:hint="eastAsia"/>
          <w:kern w:val="0"/>
          <w:szCs w:val="21"/>
        </w:rPr>
        <w:t>显示尺寸：</w:t>
      </w:r>
      <w:r>
        <w:rPr>
          <w:kern w:val="0"/>
          <w:szCs w:val="21"/>
        </w:rPr>
        <w:t>960</w:t>
      </w:r>
      <w:r>
        <w:rPr>
          <w:rFonts w:hint="eastAsia"/>
          <w:kern w:val="0"/>
          <w:szCs w:val="21"/>
        </w:rPr>
        <w:t>㎜×</w:t>
      </w:r>
      <w:r>
        <w:rPr>
          <w:kern w:val="0"/>
          <w:szCs w:val="21"/>
        </w:rPr>
        <w:t>3360</w:t>
      </w:r>
      <w:r>
        <w:rPr>
          <w:rFonts w:hint="eastAsia"/>
          <w:kern w:val="0"/>
          <w:szCs w:val="21"/>
        </w:rPr>
        <w:t>㎜</w:t>
      </w:r>
    </w:p>
    <w:p>
      <w:pPr>
        <w:spacing w:line="360" w:lineRule="auto"/>
        <w:ind w:left="420"/>
        <w:rPr>
          <w:kern w:val="0"/>
          <w:szCs w:val="21"/>
        </w:rPr>
      </w:pPr>
      <w:r>
        <w:rPr>
          <w:rFonts w:hint="eastAsia"/>
          <w:kern w:val="0"/>
          <w:szCs w:val="21"/>
        </w:rPr>
        <w:t>显示点阵：</w:t>
      </w:r>
      <w:r>
        <w:rPr>
          <w:kern w:val="0"/>
          <w:szCs w:val="21"/>
        </w:rPr>
        <w:t>48×168</w:t>
      </w:r>
    </w:p>
    <w:p>
      <w:pPr>
        <w:spacing w:line="360" w:lineRule="auto"/>
        <w:ind w:left="420"/>
        <w:rPr>
          <w:kern w:val="0"/>
          <w:szCs w:val="21"/>
        </w:rPr>
      </w:pPr>
      <w:r>
        <w:rPr>
          <w:rFonts w:hint="eastAsia"/>
          <w:kern w:val="0"/>
          <w:szCs w:val="21"/>
        </w:rPr>
        <w:t>点间距：</w:t>
      </w:r>
      <w:r>
        <w:rPr>
          <w:kern w:val="0"/>
          <w:szCs w:val="21"/>
        </w:rPr>
        <w:t>20</w:t>
      </w:r>
      <w:r>
        <w:rPr>
          <w:rFonts w:hint="eastAsia"/>
          <w:kern w:val="0"/>
          <w:szCs w:val="21"/>
        </w:rPr>
        <w:t>㎜</w:t>
      </w:r>
    </w:p>
    <w:p>
      <w:pPr>
        <w:spacing w:line="360" w:lineRule="auto"/>
        <w:ind w:left="420"/>
        <w:rPr>
          <w:kern w:val="0"/>
          <w:szCs w:val="21"/>
        </w:rPr>
      </w:pPr>
      <w:r>
        <w:rPr>
          <w:rFonts w:hint="eastAsia"/>
          <w:kern w:val="0"/>
          <w:szCs w:val="21"/>
        </w:rPr>
        <w:t>配置：</w:t>
      </w:r>
      <w:r>
        <w:rPr>
          <w:kern w:val="0"/>
          <w:szCs w:val="21"/>
        </w:rPr>
        <w:t>2R1G</w:t>
      </w:r>
    </w:p>
    <w:p>
      <w:pPr>
        <w:spacing w:line="360" w:lineRule="auto"/>
        <w:ind w:left="420"/>
        <w:rPr>
          <w:kern w:val="0"/>
          <w:szCs w:val="21"/>
        </w:rPr>
      </w:pPr>
      <w:r>
        <w:rPr>
          <w:rFonts w:hint="eastAsia"/>
          <w:kern w:val="0"/>
          <w:szCs w:val="21"/>
        </w:rPr>
        <w:t>显示字数：</w:t>
      </w:r>
      <w:r>
        <w:rPr>
          <w:kern w:val="0"/>
          <w:szCs w:val="21"/>
        </w:rPr>
        <w:t>24×24</w:t>
      </w:r>
      <w:r>
        <w:rPr>
          <w:rFonts w:hint="eastAsia"/>
          <w:kern w:val="0"/>
          <w:szCs w:val="21"/>
        </w:rPr>
        <w:t>点阵，可显示</w:t>
      </w:r>
      <w:r>
        <w:rPr>
          <w:kern w:val="0"/>
          <w:szCs w:val="21"/>
        </w:rPr>
        <w:t>2</w:t>
      </w:r>
      <w:r>
        <w:rPr>
          <w:rFonts w:hint="eastAsia"/>
          <w:kern w:val="0"/>
          <w:szCs w:val="21"/>
        </w:rPr>
        <w:t>行×</w:t>
      </w:r>
      <w:r>
        <w:rPr>
          <w:kern w:val="0"/>
          <w:szCs w:val="21"/>
        </w:rPr>
        <w:t>7</w:t>
      </w:r>
      <w:r>
        <w:rPr>
          <w:rFonts w:hint="eastAsia"/>
          <w:kern w:val="0"/>
          <w:szCs w:val="21"/>
        </w:rPr>
        <w:t>列共</w:t>
      </w:r>
      <w:r>
        <w:rPr>
          <w:kern w:val="0"/>
          <w:szCs w:val="21"/>
        </w:rPr>
        <w:t>14</w:t>
      </w:r>
      <w:r>
        <w:rPr>
          <w:rFonts w:hint="eastAsia"/>
          <w:kern w:val="0"/>
          <w:szCs w:val="21"/>
        </w:rPr>
        <w:t>个汉字</w:t>
      </w:r>
    </w:p>
    <w:p>
      <w:pPr>
        <w:spacing w:line="360" w:lineRule="auto"/>
        <w:ind w:left="420"/>
        <w:rPr>
          <w:kern w:val="0"/>
          <w:szCs w:val="21"/>
        </w:rPr>
      </w:pPr>
      <w:r>
        <w:rPr>
          <w:rFonts w:hint="eastAsia"/>
          <w:kern w:val="0"/>
          <w:szCs w:val="21"/>
        </w:rPr>
        <w:t>半功率角</w:t>
      </w:r>
      <w:r>
        <w:rPr>
          <w:kern w:val="0"/>
          <w:szCs w:val="21"/>
        </w:rPr>
        <w:t>: 30°</w:t>
      </w:r>
    </w:p>
    <w:p>
      <w:pPr>
        <w:spacing w:line="360" w:lineRule="auto"/>
        <w:ind w:left="420"/>
        <w:rPr>
          <w:kern w:val="0"/>
          <w:szCs w:val="21"/>
        </w:rPr>
      </w:pPr>
      <w:r>
        <w:rPr>
          <w:rFonts w:hint="eastAsia"/>
          <w:kern w:val="0"/>
          <w:szCs w:val="21"/>
        </w:rPr>
        <w:t>亮度：≥</w:t>
      </w:r>
      <w:r>
        <w:rPr>
          <w:kern w:val="0"/>
          <w:szCs w:val="21"/>
        </w:rPr>
        <w:t>8000cd/</w:t>
      </w:r>
      <w:r>
        <w:rPr>
          <w:rFonts w:hint="eastAsia"/>
          <w:kern w:val="0"/>
          <w:szCs w:val="21"/>
        </w:rPr>
        <w:t>㎡</w:t>
      </w:r>
    </w:p>
    <w:p>
      <w:pPr>
        <w:spacing w:line="360" w:lineRule="auto"/>
        <w:ind w:left="420"/>
        <w:rPr>
          <w:kern w:val="0"/>
          <w:szCs w:val="21"/>
        </w:rPr>
      </w:pPr>
      <w:r>
        <w:rPr>
          <w:rFonts w:hint="eastAsia"/>
          <w:kern w:val="0"/>
          <w:szCs w:val="21"/>
        </w:rPr>
        <w:t>箱体材料：冷轧钢板</w:t>
      </w:r>
    </w:p>
    <w:p>
      <w:pPr>
        <w:spacing w:line="360" w:lineRule="auto"/>
        <w:ind w:left="420"/>
        <w:rPr>
          <w:kern w:val="0"/>
          <w:sz w:val="20"/>
          <w:szCs w:val="24"/>
        </w:rPr>
      </w:pPr>
      <w:r>
        <w:rPr>
          <w:rFonts w:hint="eastAsia"/>
          <w:kern w:val="0"/>
          <w:szCs w:val="21"/>
        </w:rPr>
        <w:t>版面材料：采用</w:t>
      </w:r>
      <w:r>
        <w:rPr>
          <w:kern w:val="0"/>
          <w:szCs w:val="21"/>
        </w:rPr>
        <w:t>3mm</w:t>
      </w:r>
      <w:r>
        <w:rPr>
          <w:rFonts w:hint="eastAsia"/>
          <w:kern w:val="0"/>
          <w:szCs w:val="21"/>
        </w:rPr>
        <w:t>铝合金型材，板面采用高强级反光膜，边框、文字、箭头及光带二侧</w:t>
      </w:r>
      <w:r>
        <w:rPr>
          <w:kern w:val="0"/>
          <w:szCs w:val="21"/>
        </w:rPr>
        <w:t>10</w:t>
      </w:r>
      <w:r>
        <w:rPr>
          <w:rFonts w:hint="eastAsia"/>
          <w:kern w:val="0"/>
          <w:szCs w:val="21"/>
        </w:rPr>
        <w:t>㎜宽的边条为白色。</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二级诱导屏（点阵屏）</w:t>
      </w:r>
    </w:p>
    <w:p>
      <w:pPr>
        <w:spacing w:line="360" w:lineRule="auto"/>
        <w:ind w:firstLine="422" w:firstLineChars="200"/>
        <w:rPr>
          <w:b/>
          <w:kern w:val="0"/>
          <w:szCs w:val="21"/>
        </w:rPr>
      </w:pPr>
      <w:r>
        <w:rPr>
          <w:rFonts w:hint="eastAsia" w:ascii="宋体" w:hAnsi="宋体" w:cs="宋体"/>
          <w:b/>
          <w:kern w:val="0"/>
          <w:szCs w:val="21"/>
        </w:rPr>
        <w:t>▲</w:t>
      </w:r>
      <w:r>
        <w:rPr>
          <w:rFonts w:hint="eastAsia"/>
          <w:b/>
          <w:kern w:val="0"/>
          <w:szCs w:val="21"/>
        </w:rPr>
        <w:t>点间距：16mm，像素3906点/㎡，显示模块必须双面灌胶；</w:t>
      </w:r>
    </w:p>
    <w:p>
      <w:pPr>
        <w:spacing w:line="360" w:lineRule="auto"/>
        <w:ind w:firstLine="422" w:firstLineChars="200"/>
        <w:rPr>
          <w:b/>
          <w:kern w:val="0"/>
          <w:szCs w:val="21"/>
        </w:rPr>
      </w:pPr>
      <w:r>
        <w:rPr>
          <w:rFonts w:hint="eastAsia" w:ascii="宋体" w:hAnsi="宋体" w:cs="宋体"/>
          <w:b/>
          <w:kern w:val="0"/>
          <w:szCs w:val="21"/>
        </w:rPr>
        <w:t>▲</w:t>
      </w:r>
      <w:r>
        <w:rPr>
          <w:rFonts w:hint="eastAsia"/>
          <w:b/>
          <w:kern w:val="0"/>
          <w:szCs w:val="21"/>
        </w:rPr>
        <w:t>显示面积：3.072米高，4.096米宽</w:t>
      </w:r>
    </w:p>
    <w:p>
      <w:pPr>
        <w:spacing w:line="360" w:lineRule="auto"/>
        <w:ind w:firstLine="422" w:firstLineChars="200"/>
        <w:rPr>
          <w:b/>
          <w:kern w:val="0"/>
          <w:szCs w:val="21"/>
        </w:rPr>
      </w:pPr>
      <w:r>
        <w:rPr>
          <w:rFonts w:hint="eastAsia"/>
          <w:b/>
          <w:kern w:val="0"/>
          <w:szCs w:val="21"/>
        </w:rPr>
        <w:t>▲LED配置：双基色模组配比为2红1纯绿1蓝；</w:t>
      </w:r>
    </w:p>
    <w:p>
      <w:pPr>
        <w:spacing w:line="360" w:lineRule="auto"/>
        <w:ind w:firstLine="420" w:firstLineChars="200"/>
        <w:rPr>
          <w:kern w:val="0"/>
          <w:szCs w:val="21"/>
        </w:rPr>
      </w:pPr>
      <w:r>
        <w:rPr>
          <w:rFonts w:hint="eastAsia"/>
          <w:kern w:val="0"/>
          <w:szCs w:val="21"/>
        </w:rPr>
        <w:t>LED材质：红色LED采用超高亮度铝、铟、镓、磷四元素管；纯绿、蓝色为超高亮度氮化镓管</w:t>
      </w:r>
    </w:p>
    <w:p>
      <w:pPr>
        <w:spacing w:line="360" w:lineRule="auto"/>
        <w:ind w:firstLine="422" w:firstLineChars="200"/>
        <w:rPr>
          <w:b/>
          <w:kern w:val="0"/>
          <w:szCs w:val="21"/>
        </w:rPr>
      </w:pPr>
      <w:r>
        <w:rPr>
          <w:rFonts w:hint="eastAsia"/>
          <w:b/>
          <w:kern w:val="0"/>
          <w:szCs w:val="21"/>
        </w:rPr>
        <w:t xml:space="preserve">▲发光亮度：≥10000cd/㎡； </w:t>
      </w:r>
    </w:p>
    <w:p>
      <w:pPr>
        <w:spacing w:line="360" w:lineRule="auto"/>
        <w:ind w:firstLine="422" w:firstLineChars="200"/>
        <w:rPr>
          <w:rFonts w:ascii="宋体" w:hAnsi="宋体" w:cs="宋体"/>
          <w:b/>
          <w:iCs/>
          <w:kern w:val="0"/>
          <w:szCs w:val="21"/>
          <w:u w:val="single"/>
        </w:rPr>
      </w:pPr>
      <w:r>
        <w:rPr>
          <w:rFonts w:hint="eastAsia"/>
          <w:b/>
          <w:iCs/>
          <w:szCs w:val="21"/>
          <w:u w:val="single"/>
        </w:rPr>
        <w:t>交流功耗：显示白色，亮度为10000cd/㎡时的功耗≤80W/㎡；投标时提供国家交通安全设施质量监督检验中心出具的测试报告</w:t>
      </w:r>
      <w:r>
        <w:rPr>
          <w:rFonts w:hint="eastAsia" w:ascii="宋体" w:hAnsi="宋体" w:cs="宋体"/>
          <w:b/>
          <w:iCs/>
          <w:kern w:val="0"/>
          <w:szCs w:val="21"/>
          <w:u w:val="single"/>
        </w:rPr>
        <w:t>并加盖原厂公章。</w:t>
      </w:r>
    </w:p>
    <w:p>
      <w:pPr>
        <w:spacing w:line="360" w:lineRule="auto"/>
        <w:ind w:firstLine="422" w:firstLineChars="200"/>
        <w:rPr>
          <w:rFonts w:ascii="宋体" w:hAnsi="宋体" w:cs="宋体"/>
          <w:b/>
          <w:iCs/>
          <w:kern w:val="0"/>
          <w:szCs w:val="21"/>
          <w:u w:val="single"/>
        </w:rPr>
      </w:pPr>
      <w:r>
        <w:rPr>
          <w:rFonts w:hint="eastAsia"/>
          <w:b/>
          <w:iCs/>
          <w:szCs w:val="21"/>
          <w:u w:val="single"/>
        </w:rPr>
        <w:t>开关电源：显示白色，亮度为10000cd/㎡时的功率因素≥0.9；投标时提供国家交通安全设施质量监督检验中心出具的测试报告</w:t>
      </w:r>
      <w:r>
        <w:rPr>
          <w:rFonts w:hint="eastAsia" w:ascii="宋体" w:hAnsi="宋体" w:cs="宋体"/>
          <w:b/>
          <w:iCs/>
          <w:kern w:val="0"/>
          <w:szCs w:val="21"/>
          <w:u w:val="single"/>
        </w:rPr>
        <w:t>并加盖原厂公章。</w:t>
      </w:r>
    </w:p>
    <w:p>
      <w:pPr>
        <w:spacing w:line="360" w:lineRule="auto"/>
        <w:ind w:firstLine="420" w:firstLineChars="200"/>
        <w:rPr>
          <w:kern w:val="0"/>
          <w:szCs w:val="21"/>
        </w:rPr>
      </w:pPr>
      <w:r>
        <w:rPr>
          <w:rFonts w:hint="eastAsia"/>
          <w:kern w:val="0"/>
          <w:szCs w:val="21"/>
        </w:rPr>
        <w:t>视认角：≥30°</w:t>
      </w:r>
    </w:p>
    <w:p>
      <w:pPr>
        <w:spacing w:line="360" w:lineRule="auto"/>
        <w:ind w:firstLine="420" w:firstLineChars="200"/>
        <w:rPr>
          <w:kern w:val="0"/>
          <w:szCs w:val="21"/>
        </w:rPr>
      </w:pPr>
      <w:r>
        <w:rPr>
          <w:rFonts w:hint="eastAsia"/>
          <w:kern w:val="0"/>
          <w:szCs w:val="21"/>
        </w:rPr>
        <w:t>控制器：嵌入式工控机；</w:t>
      </w:r>
    </w:p>
    <w:p>
      <w:pPr>
        <w:spacing w:line="360" w:lineRule="auto"/>
        <w:ind w:firstLine="422" w:firstLineChars="200"/>
        <w:rPr>
          <w:rFonts w:ascii="宋体" w:hAnsi="宋体" w:cs="宋体"/>
          <w:b/>
          <w:iCs/>
          <w:kern w:val="0"/>
          <w:szCs w:val="21"/>
          <w:u w:val="single"/>
        </w:rPr>
      </w:pPr>
      <w:r>
        <w:rPr>
          <w:rFonts w:hint="eastAsia"/>
          <w:b/>
          <w:iCs/>
          <w:szCs w:val="21"/>
          <w:u w:val="single"/>
        </w:rPr>
        <w:t>控制器功能：具备单颗LED管和驱动模块工作状态的检测与故障定位功能；具备“普通模式”与“节能模式”二种工作模式；投标时提供国家交通安全设施质量监督检验中心出具的测试报告</w:t>
      </w:r>
      <w:r>
        <w:rPr>
          <w:rFonts w:hint="eastAsia" w:ascii="宋体" w:hAnsi="宋体" w:cs="宋体"/>
          <w:b/>
          <w:iCs/>
          <w:kern w:val="0"/>
          <w:szCs w:val="21"/>
          <w:u w:val="single"/>
        </w:rPr>
        <w:t>并加盖原厂公章。</w:t>
      </w:r>
    </w:p>
    <w:p>
      <w:pPr>
        <w:spacing w:line="360" w:lineRule="auto"/>
        <w:ind w:firstLine="420" w:firstLineChars="200"/>
        <w:rPr>
          <w:kern w:val="0"/>
          <w:szCs w:val="21"/>
        </w:rPr>
      </w:pPr>
      <w:r>
        <w:rPr>
          <w:rFonts w:hint="eastAsia"/>
          <w:kern w:val="0"/>
          <w:szCs w:val="21"/>
        </w:rPr>
        <w:t>通信接口：2个RS-232、1个RS-485、1个TCP/IP（控制器设备上同时具备4个接口）；</w:t>
      </w:r>
    </w:p>
    <w:p>
      <w:pPr>
        <w:spacing w:line="360" w:lineRule="auto"/>
        <w:ind w:firstLine="420" w:firstLineChars="200"/>
        <w:rPr>
          <w:kern w:val="0"/>
          <w:szCs w:val="21"/>
        </w:rPr>
      </w:pPr>
      <w:r>
        <w:rPr>
          <w:rFonts w:hint="eastAsia"/>
          <w:kern w:val="0"/>
          <w:szCs w:val="21"/>
        </w:rPr>
        <w:t>亮度调节：手动/自动64级；</w:t>
      </w:r>
    </w:p>
    <w:p>
      <w:pPr>
        <w:spacing w:line="360" w:lineRule="auto"/>
        <w:ind w:firstLine="420" w:firstLineChars="200"/>
        <w:rPr>
          <w:kern w:val="0"/>
          <w:szCs w:val="21"/>
        </w:rPr>
      </w:pPr>
      <w:r>
        <w:rPr>
          <w:rFonts w:hint="eastAsia"/>
          <w:kern w:val="0"/>
          <w:szCs w:val="21"/>
        </w:rPr>
        <w:t>温度：-40℃～+65℃；</w:t>
      </w:r>
    </w:p>
    <w:p>
      <w:pPr>
        <w:spacing w:line="360" w:lineRule="auto"/>
        <w:ind w:firstLine="420" w:firstLineChars="200"/>
        <w:rPr>
          <w:kern w:val="0"/>
          <w:szCs w:val="21"/>
        </w:rPr>
      </w:pPr>
      <w:r>
        <w:rPr>
          <w:rFonts w:hint="eastAsia"/>
          <w:kern w:val="0"/>
          <w:szCs w:val="21"/>
        </w:rPr>
        <w:t>湿度： 20%～98%；</w:t>
      </w:r>
    </w:p>
    <w:p>
      <w:pPr>
        <w:spacing w:line="360" w:lineRule="auto"/>
        <w:ind w:firstLine="420" w:firstLineChars="200"/>
        <w:rPr>
          <w:kern w:val="0"/>
          <w:szCs w:val="21"/>
        </w:rPr>
      </w:pPr>
      <w:r>
        <w:rPr>
          <w:rFonts w:hint="eastAsia"/>
          <w:kern w:val="0"/>
          <w:szCs w:val="21"/>
        </w:rPr>
        <w:t>显示内容：全屏编辑、汉字、英文字符、阿拉伯数字、特殊符号、图形等；</w:t>
      </w:r>
    </w:p>
    <w:p>
      <w:pPr>
        <w:spacing w:line="360" w:lineRule="auto"/>
        <w:ind w:firstLine="420" w:firstLineChars="200"/>
        <w:rPr>
          <w:kern w:val="0"/>
          <w:szCs w:val="21"/>
        </w:rPr>
      </w:pPr>
      <w:r>
        <w:rPr>
          <w:rFonts w:hint="eastAsia"/>
          <w:kern w:val="0"/>
          <w:szCs w:val="21"/>
        </w:rPr>
        <w:t>设备的平均无故障时间：≥10000小时；</w:t>
      </w:r>
    </w:p>
    <w:p>
      <w:pPr>
        <w:spacing w:line="360" w:lineRule="auto"/>
        <w:ind w:firstLine="420" w:firstLineChars="200"/>
        <w:rPr>
          <w:kern w:val="0"/>
          <w:szCs w:val="21"/>
        </w:rPr>
      </w:pPr>
      <w:r>
        <w:rPr>
          <w:rFonts w:hint="eastAsia"/>
          <w:kern w:val="0"/>
          <w:szCs w:val="21"/>
        </w:rPr>
        <w:t>失控率：≤1‰ （离散型）；</w:t>
      </w:r>
    </w:p>
    <w:p>
      <w:pPr>
        <w:spacing w:line="360" w:lineRule="auto"/>
        <w:ind w:firstLine="420" w:firstLineChars="200"/>
        <w:rPr>
          <w:kern w:val="0"/>
          <w:szCs w:val="21"/>
        </w:rPr>
      </w:pPr>
      <w:r>
        <w:rPr>
          <w:rFonts w:hint="eastAsia"/>
          <w:kern w:val="0"/>
          <w:szCs w:val="21"/>
        </w:rPr>
        <w:t>电力：AC220V（或AC380）±15%，50Hz±3Hz ；</w:t>
      </w:r>
    </w:p>
    <w:p>
      <w:pPr>
        <w:spacing w:line="360" w:lineRule="auto"/>
        <w:ind w:firstLine="420" w:firstLineChars="200"/>
        <w:rPr>
          <w:kern w:val="0"/>
          <w:szCs w:val="21"/>
        </w:rPr>
      </w:pPr>
      <w:r>
        <w:rPr>
          <w:rFonts w:hint="eastAsia"/>
          <w:kern w:val="0"/>
          <w:szCs w:val="21"/>
        </w:rPr>
        <w:t>传输方式：异步、半双工、以太网，内容不压缩；</w:t>
      </w:r>
    </w:p>
    <w:p>
      <w:pPr>
        <w:spacing w:line="360" w:lineRule="auto"/>
        <w:ind w:firstLine="420" w:firstLineChars="200"/>
        <w:rPr>
          <w:kern w:val="0"/>
          <w:szCs w:val="21"/>
        </w:rPr>
      </w:pPr>
      <w:r>
        <w:rPr>
          <w:rFonts w:hint="eastAsia"/>
          <w:kern w:val="0"/>
          <w:szCs w:val="21"/>
        </w:rPr>
        <w:t>传输速率：2.4kbps～115.2kbps可调或100M以太网；</w:t>
      </w:r>
    </w:p>
    <w:p>
      <w:pPr>
        <w:spacing w:line="360" w:lineRule="auto"/>
        <w:ind w:firstLine="420" w:firstLineChars="200"/>
        <w:rPr>
          <w:kern w:val="0"/>
          <w:szCs w:val="21"/>
        </w:rPr>
      </w:pPr>
      <w:r>
        <w:rPr>
          <w:rFonts w:hint="eastAsia"/>
          <w:kern w:val="0"/>
          <w:szCs w:val="21"/>
        </w:rPr>
        <w:t>可视距离：静态视认距离≥250m；动态视认距离≥210m（车速120km/h）；</w:t>
      </w:r>
    </w:p>
    <w:p>
      <w:pPr>
        <w:spacing w:line="360" w:lineRule="auto"/>
        <w:ind w:firstLine="420" w:firstLineChars="200"/>
        <w:rPr>
          <w:kern w:val="0"/>
          <w:szCs w:val="21"/>
        </w:rPr>
      </w:pPr>
      <w:r>
        <w:rPr>
          <w:rFonts w:hint="eastAsia"/>
          <w:kern w:val="0"/>
          <w:szCs w:val="21"/>
        </w:rPr>
        <w:t>LED采用恒电流驱动，具有过流保护功能；</w:t>
      </w:r>
    </w:p>
    <w:p>
      <w:pPr>
        <w:spacing w:line="360" w:lineRule="auto"/>
        <w:ind w:firstLine="420" w:firstLineChars="200"/>
        <w:rPr>
          <w:kern w:val="0"/>
          <w:szCs w:val="21"/>
        </w:rPr>
      </w:pPr>
      <w:r>
        <w:rPr>
          <w:rFonts w:hint="eastAsia"/>
          <w:kern w:val="0"/>
          <w:szCs w:val="21"/>
        </w:rPr>
        <w:t>箱体结构：机箱全密封，防晒、防水、防尘；</w:t>
      </w:r>
    </w:p>
    <w:p>
      <w:pPr>
        <w:spacing w:line="360" w:lineRule="auto"/>
        <w:ind w:firstLine="420" w:firstLineChars="200"/>
        <w:rPr>
          <w:kern w:val="0"/>
          <w:szCs w:val="21"/>
        </w:rPr>
      </w:pPr>
      <w:r>
        <w:rPr>
          <w:rFonts w:hint="eastAsia"/>
          <w:kern w:val="0"/>
          <w:szCs w:val="21"/>
        </w:rPr>
        <w:t>箱体材料：冷轧钢板；</w:t>
      </w:r>
    </w:p>
    <w:p>
      <w:pPr>
        <w:spacing w:line="360" w:lineRule="auto"/>
        <w:ind w:firstLine="420" w:firstLineChars="200"/>
        <w:rPr>
          <w:kern w:val="0"/>
          <w:szCs w:val="21"/>
        </w:rPr>
      </w:pPr>
      <w:r>
        <w:rPr>
          <w:rFonts w:hint="eastAsia"/>
          <w:kern w:val="0"/>
          <w:szCs w:val="21"/>
        </w:rPr>
        <w:t>防护等级：IP65；</w:t>
      </w:r>
    </w:p>
    <w:p>
      <w:pPr>
        <w:spacing w:line="360" w:lineRule="auto"/>
        <w:ind w:firstLine="420" w:firstLineChars="200"/>
        <w:rPr>
          <w:kern w:val="0"/>
          <w:szCs w:val="21"/>
        </w:rPr>
      </w:pPr>
      <w:r>
        <w:rPr>
          <w:rFonts w:hint="eastAsia"/>
          <w:kern w:val="0"/>
          <w:szCs w:val="21"/>
        </w:rPr>
        <w:t>抗风速：40m/s；</w:t>
      </w:r>
    </w:p>
    <w:p>
      <w:pPr>
        <w:spacing w:line="360" w:lineRule="auto"/>
        <w:ind w:firstLine="420" w:firstLineChars="200"/>
        <w:rPr>
          <w:kern w:val="0"/>
          <w:szCs w:val="21"/>
        </w:rPr>
      </w:pPr>
      <w:r>
        <w:rPr>
          <w:rFonts w:hint="eastAsia"/>
          <w:kern w:val="0"/>
          <w:szCs w:val="21"/>
        </w:rPr>
        <w:t>维护方式：背后维护；</w:t>
      </w:r>
    </w:p>
    <w:p>
      <w:pPr>
        <w:spacing w:line="360" w:lineRule="auto"/>
        <w:ind w:firstLine="420" w:firstLineChars="200"/>
        <w:rPr>
          <w:kern w:val="0"/>
          <w:szCs w:val="21"/>
        </w:rPr>
      </w:pPr>
      <w:r>
        <w:rPr>
          <w:rFonts w:hint="eastAsia"/>
          <w:kern w:val="0"/>
          <w:szCs w:val="21"/>
        </w:rPr>
        <w:t>接地：端子；</w:t>
      </w:r>
    </w:p>
    <w:p>
      <w:pPr>
        <w:spacing w:line="360" w:lineRule="auto"/>
        <w:ind w:firstLine="420" w:firstLineChars="200"/>
        <w:rPr>
          <w:kern w:val="0"/>
          <w:szCs w:val="21"/>
        </w:rPr>
      </w:pPr>
      <w:r>
        <w:rPr>
          <w:rFonts w:hint="eastAsia"/>
          <w:kern w:val="0"/>
          <w:szCs w:val="21"/>
        </w:rPr>
        <w:t>防雷器：具有电源和信号防雷器。</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bookmarkStart w:id="7" w:name="_Hlk7536619"/>
      <w:bookmarkStart w:id="8" w:name="_Toc17245"/>
      <w:r>
        <w:rPr>
          <w:rFonts w:hint="eastAsia" w:ascii="宋体" w:hAnsi="宋体" w:cs="宋体"/>
          <w:b/>
          <w:bCs/>
          <w:kern w:val="44"/>
          <w:sz w:val="21"/>
          <w:szCs w:val="21"/>
          <w:lang w:val="en-US" w:eastAsia="zh-CN" w:bidi="ar-SA"/>
        </w:rPr>
        <w:t>8.行人过街语音警示系统</w:t>
      </w:r>
    </w:p>
    <w:bookmarkEnd w:id="7"/>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概述</w:t>
      </w:r>
    </w:p>
    <w:p>
      <w:pPr>
        <w:spacing w:line="360" w:lineRule="auto"/>
        <w:ind w:firstLine="420" w:firstLineChars="200"/>
      </w:pPr>
      <w:r>
        <w:rPr>
          <w:rFonts w:hint="eastAsia"/>
        </w:rPr>
        <w:t>行人过街语音警示系统通过语音提示，实现对过街行人安全保护和对通行车辆的自动警示，维护道路交通秩序。</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建设内容</w:t>
      </w:r>
    </w:p>
    <w:p>
      <w:pPr>
        <w:spacing w:after="120" w:afterLines="50" w:line="360" w:lineRule="auto"/>
        <w:ind w:firstLine="420" w:firstLineChars="200"/>
      </w:pPr>
      <w:r>
        <w:rPr>
          <w:rFonts w:hint="eastAsia"/>
        </w:rPr>
        <w:t>针对行人过街流量较大的</w:t>
      </w:r>
      <w:r>
        <w:t>8</w:t>
      </w:r>
      <w:r>
        <w:rPr>
          <w:rFonts w:hint="eastAsia"/>
        </w:rPr>
        <w:t>个交叉口，建设行人过街语音警示系统。具体点位清单如下：</w:t>
      </w:r>
    </w:p>
    <w:tbl>
      <w:tblPr>
        <w:tblStyle w:val="36"/>
        <w:tblW w:w="0" w:type="auto"/>
        <w:jc w:val="center"/>
        <w:tblLayout w:type="fixed"/>
        <w:tblCellMar>
          <w:top w:w="0" w:type="dxa"/>
          <w:left w:w="108" w:type="dxa"/>
          <w:bottom w:w="0" w:type="dxa"/>
          <w:right w:w="108" w:type="dxa"/>
        </w:tblCellMar>
      </w:tblPr>
      <w:tblGrid>
        <w:gridCol w:w="1080"/>
        <w:gridCol w:w="4120"/>
      </w:tblGrid>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序号</w:t>
            </w:r>
          </w:p>
        </w:tc>
        <w:tc>
          <w:tcPr>
            <w:tcW w:w="4120" w:type="dxa"/>
            <w:tcBorders>
              <w:top w:val="single" w:color="auto" w:sz="4" w:space="0"/>
              <w:left w:val="nil"/>
              <w:bottom w:val="single" w:color="auto" w:sz="4" w:space="0"/>
              <w:right w:val="single" w:color="auto" w:sz="4" w:space="0"/>
            </w:tcBorders>
            <w:shd w:val="clear" w:color="000000" w:fill="D9D9D9"/>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路口名称</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天目路-胜利路</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天目路-昌硕路</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昌硕路-递铺路</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4</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昌硕路-天荒坪路</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5</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胜利路-人民路</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6</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凤凰路-胜利路</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7</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浦源大道-玉华路</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8</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芜园路-玉磬路</w:t>
            </w:r>
          </w:p>
        </w:tc>
      </w:tr>
    </w:tbl>
    <w:p>
      <w:pPr>
        <w:pStyle w:val="2"/>
        <w:spacing w:before="120"/>
        <w:rPr>
          <w:rFonts w:hint="eastAsia"/>
        </w:rPr>
      </w:pP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系统功能</w:t>
      </w:r>
    </w:p>
    <w:p>
      <w:pPr>
        <w:spacing w:line="360" w:lineRule="auto"/>
        <w:ind w:firstLine="420" w:firstLineChars="200"/>
      </w:pPr>
      <w:r>
        <w:rPr>
          <w:rFonts w:hint="eastAsia"/>
        </w:rPr>
        <w:t>适用于灯控路口斑马线，与红绿灯信号灯同步，绿灯时当行人经过人形横道斑马线，提示桩上的灯珠呈现绿色并语音播报“现在是绿灯，请谨慎通过”提示行人通行；红灯时提示桩上的灯珠呈现红色提示行人禁止通行斑马线，并语音提示“您已闯红灯，请退回等候”，可根据要求定制语音播报内容和时长。</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主要设备参数</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路口智能红外语音警示柱</w:t>
      </w:r>
    </w:p>
    <w:p>
      <w:pPr>
        <w:spacing w:line="360" w:lineRule="auto"/>
        <w:ind w:firstLine="420"/>
      </w:pPr>
      <w:r>
        <w:rPr>
          <w:rFonts w:hint="eastAsia"/>
        </w:rPr>
        <w:t>支持语音提示；支持红绿灯同步；支持时间控制；内置智能斑马线安全交通提示系统。</w:t>
      </w:r>
    </w:p>
    <w:bookmarkEnd w:id="8"/>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9.行人闯红灯抓拍系统</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概述</w:t>
      </w:r>
    </w:p>
    <w:p>
      <w:pPr>
        <w:spacing w:line="360" w:lineRule="auto"/>
        <w:ind w:firstLine="420" w:firstLineChars="200"/>
      </w:pPr>
      <w:r>
        <w:rPr>
          <w:rFonts w:hint="eastAsia"/>
        </w:rPr>
        <w:t>行人闯红灯抓拍系统，是专门针对行人违法的交通管理系统，它综合集成视频分析、运动跟踪、人脸识别等新技术，是新技术在智能交通领域的全新综合应用。行人闯红灯抓拍系统不仅可以大大提升交通管理的智能化水平，而且可以规范行人横穿路口的行为，震慑和遏制行人乱闯红灯的违法行为，促进文明城市的建设。</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建设内容</w:t>
      </w:r>
    </w:p>
    <w:p>
      <w:pPr>
        <w:spacing w:line="360" w:lineRule="auto"/>
        <w:ind w:firstLine="420" w:firstLineChars="200"/>
      </w:pPr>
      <w:r>
        <w:rPr>
          <w:rFonts w:hint="eastAsia"/>
        </w:rPr>
        <w:t>针对行人流量较大、行人闯红灯现象频发的2个交叉口建设行人闯红灯抓拍系统，具体点位为：</w:t>
      </w:r>
    </w:p>
    <w:tbl>
      <w:tblPr>
        <w:tblStyle w:val="36"/>
        <w:tblW w:w="0" w:type="auto"/>
        <w:jc w:val="center"/>
        <w:tblLayout w:type="fixed"/>
        <w:tblCellMar>
          <w:top w:w="0" w:type="dxa"/>
          <w:left w:w="108" w:type="dxa"/>
          <w:bottom w:w="0" w:type="dxa"/>
          <w:right w:w="108" w:type="dxa"/>
        </w:tblCellMar>
      </w:tblPr>
      <w:tblGrid>
        <w:gridCol w:w="1080"/>
        <w:gridCol w:w="4120"/>
      </w:tblGrid>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序号</w:t>
            </w:r>
          </w:p>
        </w:tc>
        <w:tc>
          <w:tcPr>
            <w:tcW w:w="4120" w:type="dxa"/>
            <w:tcBorders>
              <w:top w:val="single" w:color="auto" w:sz="4" w:space="0"/>
              <w:left w:val="nil"/>
              <w:bottom w:val="single" w:color="auto" w:sz="4" w:space="0"/>
              <w:right w:val="single" w:color="auto" w:sz="4" w:space="0"/>
            </w:tcBorders>
            <w:shd w:val="clear" w:color="000000" w:fill="D9D9D9"/>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路口名称</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浦源大道-迎宾大道</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云鸿路-天荒坪路</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安吉大道-齐云路（备选1）</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4</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胜利路-迎宾大道（备选2）</w:t>
            </w:r>
          </w:p>
        </w:tc>
      </w:tr>
    </w:tbl>
    <w:p>
      <w:pPr>
        <w:spacing w:line="360" w:lineRule="auto"/>
        <w:ind w:firstLine="420" w:firstLineChars="200"/>
      </w:pPr>
      <w:r>
        <w:t xml:space="preserve"> </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系统功能</w:t>
      </w:r>
    </w:p>
    <w:p>
      <w:pPr>
        <w:spacing w:line="360" w:lineRule="auto"/>
        <w:ind w:firstLine="420" w:firstLineChars="200"/>
        <w:rPr>
          <w:rFonts w:hint="eastAsia"/>
          <w:szCs w:val="22"/>
        </w:rPr>
      </w:pPr>
      <w:r>
        <w:rPr>
          <w:rFonts w:hint="eastAsia"/>
          <w:szCs w:val="22"/>
          <w:lang w:val="en-US" w:eastAsia="zh-CN"/>
        </w:rPr>
        <w:t>1.</w:t>
      </w:r>
      <w:r>
        <w:rPr>
          <w:rFonts w:hint="eastAsia"/>
          <w:szCs w:val="22"/>
        </w:rPr>
        <w:t>信号灯状态检测功能</w:t>
      </w:r>
    </w:p>
    <w:p>
      <w:pPr>
        <w:spacing w:line="360" w:lineRule="auto"/>
        <w:ind w:firstLine="420" w:firstLineChars="200"/>
      </w:pPr>
      <w:r>
        <w:rPr>
          <w:rFonts w:hint="eastAsia"/>
        </w:rPr>
        <w:t>信号灯检测器可实现信号灯状态的检测，一台信号灯检测器支持8路信号灯状态的检测，每个路口配置一台即可。</w:t>
      </w:r>
    </w:p>
    <w:p>
      <w:pPr>
        <w:spacing w:line="360" w:lineRule="auto"/>
        <w:ind w:firstLine="420" w:firstLineChars="200"/>
        <w:rPr>
          <w:rFonts w:hint="eastAsia"/>
          <w:szCs w:val="22"/>
        </w:rPr>
      </w:pPr>
      <w:r>
        <w:rPr>
          <w:rFonts w:hint="eastAsia"/>
          <w:szCs w:val="22"/>
          <w:lang w:val="en-US" w:eastAsia="zh-CN"/>
        </w:rPr>
        <w:t>2.</w:t>
      </w:r>
      <w:r>
        <w:rPr>
          <w:rFonts w:hint="eastAsia"/>
          <w:szCs w:val="22"/>
        </w:rPr>
        <w:t>行人闯红灯违法行为自动检测功能</w:t>
      </w:r>
    </w:p>
    <w:p>
      <w:pPr>
        <w:spacing w:line="360" w:lineRule="auto"/>
        <w:ind w:firstLine="420" w:firstLineChars="200"/>
      </w:pPr>
      <w:r>
        <w:rPr>
          <w:rFonts w:hint="eastAsia"/>
        </w:rPr>
        <w:t>行人在红灯状态下越过警戒线，进入人行横道的，系统自动检测行人越线行为，抓拍行人闯红灯全景图像，同时联动对向摄像机抓拍图像。</w:t>
      </w:r>
    </w:p>
    <w:p>
      <w:pPr>
        <w:spacing w:line="360" w:lineRule="auto"/>
        <w:ind w:firstLine="420" w:firstLineChars="200"/>
      </w:pPr>
      <w:r>
        <w:rPr>
          <w:rFonts w:hint="eastAsia"/>
        </w:rPr>
        <w:t>系统将三张行人闯红灯过程图片和一张行人特写图像进行自动合成，形成完整的行人闯红灯画面信息。</w:t>
      </w:r>
    </w:p>
    <w:p>
      <w:pPr>
        <w:spacing w:line="360" w:lineRule="auto"/>
        <w:ind w:firstLine="420" w:firstLineChars="200"/>
        <w:rPr>
          <w:rFonts w:hint="eastAsia"/>
          <w:szCs w:val="22"/>
        </w:rPr>
      </w:pPr>
      <w:r>
        <w:rPr>
          <w:rFonts w:hint="eastAsia"/>
          <w:szCs w:val="22"/>
          <w:lang w:val="en-US" w:eastAsia="zh-CN"/>
        </w:rPr>
        <w:t>3.</w:t>
      </w:r>
      <w:r>
        <w:rPr>
          <w:rFonts w:hint="eastAsia"/>
          <w:szCs w:val="22"/>
        </w:rPr>
        <w:t>联动告警功能</w:t>
      </w:r>
    </w:p>
    <w:p>
      <w:pPr>
        <w:spacing w:line="360" w:lineRule="auto"/>
        <w:ind w:firstLine="420" w:firstLineChars="200"/>
      </w:pPr>
      <w:r>
        <w:rPr>
          <w:rFonts w:hint="eastAsia"/>
        </w:rPr>
        <w:t>系统通过语音警示和对违章图片抓拍的即时警示方式，规范行人过马路的交通行为，能够降低行人乱闯红灯引发的交通事故和提高市民文明交通意识。系统采用图像识别自动检测算法，自动检测行人过马路的违章现象；一旦发现违章行为，能够以语音及图像的方式给予警示，并记录违章行为发生的时间、地点及图像，能够为交警部门对违章行为进行处罚提供依据。</w:t>
      </w:r>
    </w:p>
    <w:p>
      <w:pPr>
        <w:spacing w:line="360" w:lineRule="auto"/>
        <w:ind w:firstLine="420" w:firstLineChars="200"/>
        <w:rPr>
          <w:rFonts w:hint="eastAsia"/>
          <w:szCs w:val="22"/>
          <w:lang w:val="en-US" w:eastAsia="zh-CN"/>
        </w:rPr>
      </w:pPr>
      <w:r>
        <w:rPr>
          <w:rFonts w:hint="eastAsia"/>
          <w:szCs w:val="22"/>
          <w:lang w:val="en-US" w:eastAsia="zh-CN"/>
        </w:rPr>
        <w:t>4.广告发布功能</w:t>
      </w:r>
    </w:p>
    <w:p>
      <w:pPr>
        <w:spacing w:line="360" w:lineRule="auto"/>
        <w:ind w:firstLine="420" w:firstLineChars="200"/>
      </w:pPr>
      <w:r>
        <w:rPr>
          <w:rFonts w:hint="eastAsia"/>
        </w:rPr>
        <w:t>系统采用高亮度室外显示屏，不仅可以实时曝光行人的违章行为，还可以播放交通路况信息、交通管制信息、交通宣传标语以及公益性广告等。</w:t>
      </w:r>
    </w:p>
    <w:p>
      <w:pPr>
        <w:spacing w:line="360" w:lineRule="auto"/>
        <w:ind w:firstLine="420" w:firstLineChars="200"/>
      </w:pPr>
      <w:r>
        <w:rPr>
          <w:rFonts w:hint="eastAsia"/>
        </w:rPr>
        <w:t>用户可远程登录系统管理端制作节目，灵活组合背景图、视频、音频、图片、字幕和实时数据等，排版组合成多媒体节目，各区域播放内容使用单独的播放列表进行控制，并可以设置节目单有效播放时间。也可以使用节目模板对界面排版进行快速制作，同时支持节目单导入导出功能，对节目单进行快速更改。实现不同的场所、不同受众、不同时间段播放不同的信息内容。</w:t>
      </w:r>
    </w:p>
    <w:p>
      <w:pPr>
        <w:spacing w:line="360" w:lineRule="auto"/>
        <w:ind w:firstLine="420" w:firstLineChars="200"/>
        <w:rPr>
          <w:rFonts w:hint="eastAsia"/>
          <w:szCs w:val="22"/>
          <w:lang w:val="en-US" w:eastAsia="zh-CN"/>
        </w:rPr>
      </w:pPr>
      <w:r>
        <w:rPr>
          <w:rFonts w:hint="eastAsia"/>
          <w:szCs w:val="22"/>
          <w:lang w:val="en-US" w:eastAsia="zh-CN"/>
        </w:rPr>
        <w:t>5.视频监控及录像功能</w:t>
      </w:r>
    </w:p>
    <w:p>
      <w:pPr>
        <w:spacing w:line="360" w:lineRule="auto"/>
        <w:ind w:firstLine="420" w:firstLineChars="200"/>
      </w:pPr>
      <w:r>
        <w:rPr>
          <w:rFonts w:hint="eastAsia"/>
        </w:rPr>
        <w:t>高清摄像机在进行图像采集、抓拍的同时还能够提供1路高清视频流，在不影响识别的前提下，对道路通行状况进行实时视频监测和录像。900万像素高清摄像机帧率可达到25帧/秒。</w:t>
      </w:r>
    </w:p>
    <w:p>
      <w:pPr>
        <w:spacing w:line="360" w:lineRule="auto"/>
        <w:ind w:firstLine="420" w:firstLineChars="200"/>
        <w:rPr>
          <w:rFonts w:hint="eastAsia"/>
          <w:szCs w:val="22"/>
          <w:lang w:val="en-US" w:eastAsia="zh-CN"/>
        </w:rPr>
      </w:pPr>
      <w:r>
        <w:rPr>
          <w:rFonts w:hint="eastAsia"/>
          <w:szCs w:val="22"/>
          <w:lang w:val="en-US" w:eastAsia="zh-CN"/>
        </w:rPr>
        <w:t>6.远程配置及维护功能</w:t>
      </w:r>
    </w:p>
    <w:p>
      <w:pPr>
        <w:spacing w:line="360" w:lineRule="auto"/>
        <w:ind w:firstLine="420" w:firstLineChars="200"/>
      </w:pPr>
      <w:r>
        <w:rPr>
          <w:rFonts w:hint="eastAsia"/>
        </w:rPr>
        <w:t>系统支持在前端通过人机交互界面进行现场配置和在中心进行远程配置，能够对行人检测区域、行人统计报警阀值、抓拍标记位置等参数进行设置，可实现系统远程重启、复位等远程维护操作。</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主要设备参数</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一体化行人检测单元</w:t>
      </w:r>
    </w:p>
    <w:p>
      <w:pPr>
        <w:spacing w:line="360" w:lineRule="auto"/>
        <w:ind w:left="426"/>
        <w:rPr>
          <w:b/>
          <w:szCs w:val="24"/>
        </w:rPr>
      </w:pPr>
      <w:r>
        <w:rPr>
          <w:rFonts w:hint="eastAsia"/>
          <w:b/>
          <w:szCs w:val="24"/>
        </w:rPr>
        <w:t>▲</w:t>
      </w:r>
      <w:r>
        <w:rPr>
          <w:b/>
          <w:szCs w:val="24"/>
        </w:rPr>
        <w:t>图像传感器：采用1英寸900万像素GMOS智能高清摄像机；</w:t>
      </w:r>
    </w:p>
    <w:p>
      <w:pPr>
        <w:spacing w:line="360" w:lineRule="auto"/>
        <w:ind w:left="426"/>
        <w:rPr>
          <w:szCs w:val="24"/>
        </w:rPr>
      </w:pPr>
      <w:r>
        <w:rPr>
          <w:szCs w:val="24"/>
        </w:rPr>
        <w:t>分辨率：4096(H)×2160(V)；</w:t>
      </w:r>
    </w:p>
    <w:p>
      <w:pPr>
        <w:spacing w:line="360" w:lineRule="auto"/>
        <w:ind w:left="426"/>
        <w:rPr>
          <w:szCs w:val="24"/>
        </w:rPr>
      </w:pPr>
      <w:r>
        <w:rPr>
          <w:szCs w:val="24"/>
        </w:rPr>
        <w:t>帧率：25fps；</w:t>
      </w:r>
    </w:p>
    <w:p>
      <w:pPr>
        <w:spacing w:line="360" w:lineRule="auto"/>
        <w:ind w:left="425"/>
        <w:rPr>
          <w:szCs w:val="24"/>
        </w:rPr>
      </w:pPr>
      <w:r>
        <w:rPr>
          <w:szCs w:val="24"/>
        </w:rPr>
        <w:t>内部配置：防尘、防水滴面板，内置网络防雷器等；</w:t>
      </w:r>
    </w:p>
    <w:p>
      <w:pPr>
        <w:spacing w:line="360" w:lineRule="auto"/>
        <w:ind w:left="425"/>
        <w:rPr>
          <w:szCs w:val="24"/>
        </w:rPr>
      </w:pPr>
      <w:r>
        <w:rPr>
          <w:szCs w:val="24"/>
        </w:rPr>
        <w:t>摄像机参数配置功能：曝光速度、AGC控制、白平衡方式控制等；</w:t>
      </w:r>
    </w:p>
    <w:p>
      <w:pPr>
        <w:spacing w:line="360" w:lineRule="auto"/>
        <w:ind w:left="425"/>
        <w:rPr>
          <w:szCs w:val="24"/>
        </w:rPr>
      </w:pPr>
      <w:r>
        <w:rPr>
          <w:szCs w:val="24"/>
        </w:rPr>
        <w:t>视频压缩标准：H.264/H.265/MJPEG7) 输出图片格式：JPEG；</w:t>
      </w:r>
    </w:p>
    <w:p>
      <w:pPr>
        <w:spacing w:line="360" w:lineRule="auto"/>
        <w:ind w:left="425"/>
        <w:rPr>
          <w:szCs w:val="24"/>
        </w:rPr>
      </w:pPr>
      <w:r>
        <w:rPr>
          <w:szCs w:val="24"/>
        </w:rPr>
        <w:t>接口：2个10M/100M/1000M自适应RJ45接口；3个RS485接口；1个RS232 接口；</w:t>
      </w:r>
    </w:p>
    <w:p>
      <w:pPr>
        <w:spacing w:line="360" w:lineRule="auto"/>
        <w:ind w:left="425"/>
        <w:rPr>
          <w:szCs w:val="24"/>
        </w:rPr>
      </w:pPr>
      <w:r>
        <w:rPr>
          <w:szCs w:val="24"/>
        </w:rPr>
        <w:t>触发输入：4路外部触发输入，1路SYNC信号灯电源同步输入；</w:t>
      </w:r>
    </w:p>
    <w:p>
      <w:pPr>
        <w:spacing w:line="360" w:lineRule="auto"/>
        <w:ind w:left="425"/>
        <w:rPr>
          <w:szCs w:val="24"/>
        </w:rPr>
      </w:pPr>
      <w:r>
        <w:rPr>
          <w:szCs w:val="24"/>
        </w:rPr>
        <w:t>触发输出：6路（光耦隔离2500VAC）,作为补光灯同步输出控制；</w:t>
      </w:r>
    </w:p>
    <w:p>
      <w:pPr>
        <w:spacing w:line="360" w:lineRule="auto"/>
        <w:ind w:left="425"/>
        <w:rPr>
          <w:szCs w:val="24"/>
        </w:rPr>
      </w:pPr>
      <w:r>
        <w:rPr>
          <w:szCs w:val="24"/>
        </w:rPr>
        <w:t>智能功能：违章检测、人脸抠图；</w:t>
      </w:r>
    </w:p>
    <w:p>
      <w:pPr>
        <w:spacing w:line="360" w:lineRule="auto"/>
        <w:ind w:left="425"/>
        <w:rPr>
          <w:szCs w:val="24"/>
        </w:rPr>
      </w:pPr>
      <w:r>
        <w:rPr>
          <w:szCs w:val="24"/>
        </w:rPr>
        <w:t>车牌识别：支持视场倾斜情况下的车辆号牌识别；</w:t>
      </w:r>
    </w:p>
    <w:p>
      <w:pPr>
        <w:spacing w:line="360" w:lineRule="auto"/>
        <w:ind w:left="425"/>
        <w:rPr>
          <w:szCs w:val="24"/>
        </w:rPr>
      </w:pPr>
      <w:r>
        <w:rPr>
          <w:szCs w:val="24"/>
        </w:rPr>
        <w:t>视频功能：支持主码流同时输出不少于30路4096×2160、2Mbps的25帧/s图像以提供客户端浏览；</w:t>
      </w:r>
    </w:p>
    <w:p>
      <w:pPr>
        <w:spacing w:line="360" w:lineRule="auto"/>
        <w:ind w:left="425"/>
        <w:rPr>
          <w:szCs w:val="24"/>
        </w:rPr>
      </w:pPr>
      <w:r>
        <w:rPr>
          <w:szCs w:val="24"/>
        </w:rPr>
        <w:t>车辆抓拍检测：空拍和重拍的图像≤1%；</w:t>
      </w:r>
    </w:p>
    <w:p>
      <w:pPr>
        <w:spacing w:line="360" w:lineRule="auto"/>
        <w:ind w:left="425"/>
        <w:rPr>
          <w:szCs w:val="24"/>
        </w:rPr>
      </w:pPr>
      <w:r>
        <w:rPr>
          <w:szCs w:val="24"/>
        </w:rPr>
        <w:t>车辆子品牌检测：支持车辆子品牌识别检测功能，可识别常见的3600种车辆子品牌，识别准确率白天≥97%，晚上≥90%；</w:t>
      </w:r>
    </w:p>
    <w:p>
      <w:pPr>
        <w:spacing w:line="360" w:lineRule="auto"/>
        <w:ind w:left="425"/>
        <w:rPr>
          <w:szCs w:val="24"/>
        </w:rPr>
      </w:pPr>
      <w:r>
        <w:rPr>
          <w:szCs w:val="24"/>
        </w:rPr>
        <w:t>人脸抠图：支持对行人和非机动车的人脸检测功能；可对扣取的人脸图片的像素大小、亮度、边框放大倍数进行调节；</w:t>
      </w:r>
    </w:p>
    <w:p>
      <w:pPr>
        <w:spacing w:line="360" w:lineRule="auto"/>
        <w:ind w:left="425"/>
        <w:rPr>
          <w:szCs w:val="24"/>
        </w:rPr>
      </w:pPr>
      <w:r>
        <w:rPr>
          <w:szCs w:val="24"/>
        </w:rPr>
        <w:t>终端接入：支持接入终端服务器；</w:t>
      </w:r>
    </w:p>
    <w:p>
      <w:pPr>
        <w:spacing w:line="360" w:lineRule="auto"/>
        <w:ind w:left="425"/>
        <w:rPr>
          <w:szCs w:val="24"/>
        </w:rPr>
      </w:pPr>
      <w:r>
        <w:rPr>
          <w:szCs w:val="24"/>
        </w:rPr>
        <w:t>电压：电源电压在AC55V~310V的范围内变化时，设备能正常工作；</w:t>
      </w:r>
    </w:p>
    <w:p>
      <w:pPr>
        <w:spacing w:line="360" w:lineRule="auto"/>
        <w:ind w:left="425"/>
        <w:rPr>
          <w:szCs w:val="24"/>
        </w:rPr>
      </w:pPr>
      <w:r>
        <w:rPr>
          <w:szCs w:val="24"/>
        </w:rPr>
        <w:t>功耗：＜20W；</w:t>
      </w:r>
    </w:p>
    <w:p>
      <w:pPr>
        <w:spacing w:line="360" w:lineRule="auto"/>
        <w:ind w:left="425"/>
        <w:rPr>
          <w:szCs w:val="24"/>
        </w:rPr>
      </w:pPr>
      <w:r>
        <w:rPr>
          <w:szCs w:val="24"/>
        </w:rPr>
        <w:t>工作环境温度：-30～+60℃ ；</w:t>
      </w:r>
    </w:p>
    <w:p>
      <w:pPr>
        <w:spacing w:line="360" w:lineRule="auto"/>
        <w:ind w:left="425"/>
        <w:rPr>
          <w:szCs w:val="24"/>
        </w:rPr>
      </w:pPr>
      <w:r>
        <w:rPr>
          <w:szCs w:val="24"/>
        </w:rPr>
        <w:t>工作环境湿度：5%～95%@40℃ ，无凝结；</w:t>
      </w:r>
    </w:p>
    <w:p>
      <w:pPr>
        <w:spacing w:line="360" w:lineRule="auto"/>
        <w:ind w:left="425"/>
        <w:rPr>
          <w:szCs w:val="24"/>
        </w:rPr>
      </w:pPr>
      <w:r>
        <w:rPr>
          <w:szCs w:val="24"/>
        </w:rPr>
        <w:t>防护等级：IP65；</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户外LED显示屏</w:t>
      </w:r>
    </w:p>
    <w:p>
      <w:pPr>
        <w:spacing w:line="360" w:lineRule="auto"/>
        <w:ind w:left="425"/>
        <w:rPr>
          <w:szCs w:val="24"/>
        </w:rPr>
      </w:pPr>
      <w:r>
        <w:rPr>
          <w:rFonts w:hint="eastAsia"/>
          <w:szCs w:val="24"/>
        </w:rPr>
        <w:t>点间距</w:t>
      </w:r>
      <w:r>
        <w:rPr>
          <w:szCs w:val="24"/>
        </w:rPr>
        <w:t>：P3.81；</w:t>
      </w:r>
    </w:p>
    <w:p>
      <w:pPr>
        <w:spacing w:line="360" w:lineRule="auto"/>
        <w:ind w:left="425"/>
        <w:rPr>
          <w:szCs w:val="24"/>
        </w:rPr>
      </w:pPr>
      <w:r>
        <w:rPr>
          <w:szCs w:val="24"/>
        </w:rPr>
        <w:t>尺寸：3.267m2；</w:t>
      </w:r>
    </w:p>
    <w:p>
      <w:pPr>
        <w:spacing w:line="360" w:lineRule="auto"/>
        <w:ind w:left="425"/>
        <w:rPr>
          <w:szCs w:val="24"/>
        </w:rPr>
      </w:pPr>
      <w:r>
        <w:rPr>
          <w:szCs w:val="24"/>
        </w:rPr>
        <w:t>像素点间距：3.81mm；</w:t>
      </w:r>
    </w:p>
    <w:p>
      <w:pPr>
        <w:spacing w:line="360" w:lineRule="auto"/>
        <w:ind w:left="425"/>
        <w:rPr>
          <w:szCs w:val="24"/>
        </w:rPr>
      </w:pPr>
      <w:r>
        <w:rPr>
          <w:szCs w:val="24"/>
        </w:rPr>
        <w:t>分辨率：640*352；</w:t>
      </w:r>
    </w:p>
    <w:p>
      <w:pPr>
        <w:spacing w:line="360" w:lineRule="auto"/>
        <w:ind w:left="425"/>
        <w:rPr>
          <w:szCs w:val="24"/>
        </w:rPr>
      </w:pPr>
      <w:r>
        <w:rPr>
          <w:szCs w:val="24"/>
        </w:rPr>
        <w:t>扫描方式：静态；</w:t>
      </w:r>
    </w:p>
    <w:p>
      <w:pPr>
        <w:spacing w:line="360" w:lineRule="auto"/>
        <w:ind w:left="425"/>
        <w:rPr>
          <w:szCs w:val="24"/>
        </w:rPr>
      </w:pPr>
      <w:r>
        <w:rPr>
          <w:szCs w:val="24"/>
        </w:rPr>
        <w:t>像素点密度：3906；</w:t>
      </w:r>
    </w:p>
    <w:p>
      <w:pPr>
        <w:spacing w:line="360" w:lineRule="auto"/>
        <w:ind w:left="425"/>
        <w:rPr>
          <w:szCs w:val="24"/>
        </w:rPr>
      </w:pPr>
      <w:r>
        <w:rPr>
          <w:szCs w:val="24"/>
        </w:rPr>
        <w:t>像素点组成：2R+1G+1B；</w:t>
      </w:r>
    </w:p>
    <w:p>
      <w:pPr>
        <w:spacing w:line="360" w:lineRule="auto"/>
        <w:ind w:left="425"/>
        <w:rPr>
          <w:szCs w:val="24"/>
        </w:rPr>
      </w:pPr>
      <w:r>
        <w:rPr>
          <w:szCs w:val="24"/>
        </w:rPr>
        <w:t>箱体材质：冷轧板（双层门标箱）；</w:t>
      </w:r>
    </w:p>
    <w:p>
      <w:pPr>
        <w:spacing w:line="360" w:lineRule="auto"/>
        <w:ind w:left="425"/>
        <w:rPr>
          <w:szCs w:val="24"/>
        </w:rPr>
      </w:pPr>
      <w:r>
        <w:rPr>
          <w:szCs w:val="24"/>
        </w:rPr>
        <w:t>亮度：8000cd/m2；</w:t>
      </w:r>
    </w:p>
    <w:p>
      <w:pPr>
        <w:spacing w:line="360" w:lineRule="auto"/>
        <w:ind w:left="425"/>
        <w:rPr>
          <w:szCs w:val="24"/>
        </w:rPr>
      </w:pPr>
      <w:r>
        <w:rPr>
          <w:szCs w:val="24"/>
        </w:rPr>
        <w:t>视角（垂直/水平）：H：110°V：55°；</w:t>
      </w:r>
    </w:p>
    <w:p>
      <w:pPr>
        <w:spacing w:line="360" w:lineRule="auto"/>
        <w:ind w:left="425"/>
        <w:rPr>
          <w:szCs w:val="24"/>
        </w:rPr>
      </w:pPr>
      <w:r>
        <w:rPr>
          <w:szCs w:val="24"/>
        </w:rPr>
        <w:t>刷新频率：≥800Hz；</w:t>
      </w:r>
    </w:p>
    <w:p>
      <w:pPr>
        <w:spacing w:line="360" w:lineRule="auto"/>
        <w:ind w:left="425"/>
        <w:rPr>
          <w:szCs w:val="24"/>
        </w:rPr>
      </w:pPr>
      <w:r>
        <w:rPr>
          <w:szCs w:val="24"/>
        </w:rPr>
        <w:t>对比度：10000：1；</w:t>
      </w:r>
    </w:p>
    <w:p>
      <w:pPr>
        <w:spacing w:line="360" w:lineRule="auto"/>
        <w:ind w:left="425"/>
        <w:rPr>
          <w:szCs w:val="24"/>
        </w:rPr>
      </w:pPr>
      <w:r>
        <w:rPr>
          <w:szCs w:val="24"/>
        </w:rPr>
        <w:t>供电电压：AC110、AC220、AC110V～220V；频率：48Hz～52Hz；</w:t>
      </w:r>
    </w:p>
    <w:p>
      <w:pPr>
        <w:spacing w:line="360" w:lineRule="auto"/>
        <w:ind w:left="425"/>
        <w:rPr>
          <w:szCs w:val="24"/>
        </w:rPr>
      </w:pPr>
      <w:r>
        <w:rPr>
          <w:szCs w:val="24"/>
        </w:rPr>
        <w:t>工作电源：采用N+1高可靠容错的开关电源系统，具有稳压、过载、短路、漏电及防雷保护；</w:t>
      </w:r>
    </w:p>
    <w:p>
      <w:pPr>
        <w:spacing w:line="360" w:lineRule="auto"/>
        <w:ind w:left="425"/>
        <w:rPr>
          <w:szCs w:val="24"/>
        </w:rPr>
      </w:pPr>
      <w:r>
        <w:rPr>
          <w:szCs w:val="24"/>
        </w:rPr>
        <w:t>功耗（最大/平均）：800 W/m2(350W)；</w:t>
      </w:r>
    </w:p>
    <w:p>
      <w:pPr>
        <w:spacing w:line="360" w:lineRule="auto"/>
        <w:ind w:left="425"/>
        <w:rPr>
          <w:szCs w:val="24"/>
        </w:rPr>
      </w:pPr>
      <w:r>
        <w:rPr>
          <w:szCs w:val="24"/>
        </w:rPr>
        <w:t>工作温度-20 ~+70℃ ；工作湿度10%～90%RH；</w:t>
      </w:r>
    </w:p>
    <w:p>
      <w:pPr>
        <w:spacing w:line="360" w:lineRule="auto"/>
        <w:ind w:left="425"/>
        <w:rPr>
          <w:szCs w:val="24"/>
        </w:rPr>
      </w:pPr>
      <w:r>
        <w:rPr>
          <w:szCs w:val="24"/>
        </w:rPr>
        <w:t>使用寿命：≥10万小时；</w:t>
      </w:r>
    </w:p>
    <w:p>
      <w:pPr>
        <w:spacing w:line="360" w:lineRule="auto"/>
        <w:ind w:left="425"/>
        <w:rPr>
          <w:szCs w:val="24"/>
        </w:rPr>
      </w:pPr>
      <w:r>
        <w:rPr>
          <w:szCs w:val="24"/>
        </w:rPr>
        <w:t>平均无故障时间(MTBF)：≥5万小时；</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10.行人闯红灯道闸提示系统</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概述</w:t>
      </w:r>
    </w:p>
    <w:p>
      <w:pPr>
        <w:spacing w:line="360" w:lineRule="auto"/>
        <w:ind w:firstLine="420" w:firstLineChars="200"/>
      </w:pPr>
      <w:r>
        <w:rPr>
          <w:rFonts w:hint="eastAsia"/>
        </w:rPr>
        <w:t>行人闯红灯道闸提示系统是一种文明、和谐、安全、公众易接受的软拦截</w:t>
      </w:r>
      <w:r>
        <w:rPr>
          <w:rFonts w:hint="eastAsia"/>
          <w:lang w:eastAsia="zh-CN"/>
        </w:rPr>
        <w:t>；</w:t>
      </w:r>
      <w:r>
        <w:rPr>
          <w:rFonts w:hint="eastAsia"/>
        </w:rPr>
        <w:t>声、光、雾提醒仅在0.5秒内完成，不影响人员通行时间，即便发生小故障也不影响通行。当行人走近斑马线时，可听见“现在是红灯，请不要通行，通行危险”提示音。再走近一些，即可发现5道光栅，再次提醒不能逾越。当疏忽的行人“撞”到了光栅，喷雾系统会启动喷雾，劝阻闯红灯的行人自行退回。</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建设内容</w:t>
      </w:r>
    </w:p>
    <w:p>
      <w:pPr>
        <w:spacing w:line="360" w:lineRule="auto"/>
        <w:ind w:firstLine="420" w:firstLineChars="200"/>
      </w:pPr>
      <w:r>
        <w:rPr>
          <w:rFonts w:hint="eastAsia"/>
        </w:rPr>
        <w:t>针对3个行人过街流量较大的交叉口建设行人闯红灯道闸提示系统，具体点位如下：</w:t>
      </w:r>
    </w:p>
    <w:tbl>
      <w:tblPr>
        <w:tblStyle w:val="36"/>
        <w:tblW w:w="0" w:type="auto"/>
        <w:jc w:val="center"/>
        <w:tblLayout w:type="fixed"/>
        <w:tblCellMar>
          <w:top w:w="0" w:type="dxa"/>
          <w:left w:w="108" w:type="dxa"/>
          <w:bottom w:w="0" w:type="dxa"/>
          <w:right w:w="108" w:type="dxa"/>
        </w:tblCellMar>
      </w:tblPr>
      <w:tblGrid>
        <w:gridCol w:w="1080"/>
        <w:gridCol w:w="4120"/>
      </w:tblGrid>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single" w:color="auto" w:sz="4" w:space="0"/>
              <w:left w:val="single" w:color="auto" w:sz="4" w:space="0"/>
              <w:bottom w:val="single" w:color="auto" w:sz="4" w:space="0"/>
              <w:right w:val="single" w:color="auto" w:sz="4" w:space="0"/>
            </w:tcBorders>
            <w:shd w:val="clear" w:color="000000" w:fill="D8D8D8"/>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序号</w:t>
            </w:r>
          </w:p>
        </w:tc>
        <w:tc>
          <w:tcPr>
            <w:tcW w:w="4120" w:type="dxa"/>
            <w:tcBorders>
              <w:top w:val="single" w:color="auto" w:sz="4" w:space="0"/>
              <w:left w:val="nil"/>
              <w:bottom w:val="single" w:color="auto" w:sz="4" w:space="0"/>
              <w:right w:val="single" w:color="auto" w:sz="4" w:space="0"/>
            </w:tcBorders>
            <w:shd w:val="clear" w:color="000000" w:fill="D8D8D8"/>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路口名称</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1</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天荒坪路-胜利路</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2</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胜利路-天目路</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3</w:t>
            </w:r>
          </w:p>
        </w:tc>
        <w:tc>
          <w:tcPr>
            <w:tcW w:w="4120" w:type="dxa"/>
            <w:tcBorders>
              <w:top w:val="nil"/>
              <w:left w:val="nil"/>
              <w:bottom w:val="single" w:color="auto" w:sz="4" w:space="0"/>
              <w:right w:val="single" w:color="auto" w:sz="4" w:space="0"/>
            </w:tcBorders>
            <w:noWrap w:val="0"/>
            <w:vAlign w:val="center"/>
          </w:tcPr>
          <w:p>
            <w:pPr>
              <w:pStyle w:val="155"/>
              <w:rPr>
                <w:rFonts w:hint="eastAsia" w:ascii="Times New Roman" w:hAnsi="Times New Roman" w:eastAsia="宋体"/>
                <w:kern w:val="2"/>
                <w:sz w:val="21"/>
                <w:szCs w:val="22"/>
                <w:lang w:val="en-US" w:eastAsia="zh-CN" w:bidi="ar-SA"/>
              </w:rPr>
            </w:pPr>
            <w:r>
              <w:rPr>
                <w:rFonts w:hint="eastAsia" w:ascii="Times New Roman" w:hAnsi="Times New Roman" w:eastAsia="宋体"/>
                <w:kern w:val="2"/>
                <w:sz w:val="21"/>
                <w:szCs w:val="22"/>
                <w:lang w:val="en-US" w:eastAsia="zh-CN" w:bidi="ar-SA"/>
              </w:rPr>
              <w:t>天荒坪路-金石路</w:t>
            </w:r>
          </w:p>
        </w:tc>
      </w:tr>
    </w:tbl>
    <w:p>
      <w:pPr>
        <w:pStyle w:val="2"/>
        <w:spacing w:before="120"/>
        <w:rPr>
          <w:rFonts w:hint="eastAsia"/>
        </w:rPr>
      </w:pP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系统功能</w:t>
      </w:r>
    </w:p>
    <w:p>
      <w:pPr>
        <w:numPr>
          <w:ilvl w:val="0"/>
          <w:numId w:val="10"/>
        </w:numPr>
        <w:spacing w:line="360" w:lineRule="auto"/>
        <w:rPr>
          <w:kern w:val="0"/>
          <w:szCs w:val="21"/>
        </w:rPr>
      </w:pPr>
      <w:r>
        <w:rPr>
          <w:rFonts w:hint="eastAsia"/>
          <w:kern w:val="0"/>
          <w:szCs w:val="21"/>
        </w:rPr>
        <w:t>语音提示功能</w:t>
      </w:r>
    </w:p>
    <w:p>
      <w:pPr>
        <w:numPr>
          <w:ilvl w:val="0"/>
          <w:numId w:val="10"/>
        </w:numPr>
        <w:spacing w:line="360" w:lineRule="auto"/>
        <w:rPr>
          <w:kern w:val="0"/>
          <w:szCs w:val="21"/>
        </w:rPr>
      </w:pPr>
      <w:r>
        <w:rPr>
          <w:rFonts w:hint="eastAsia"/>
          <w:kern w:val="0"/>
          <w:szCs w:val="21"/>
        </w:rPr>
        <w:t>喷雾视觉冲击功能</w:t>
      </w:r>
    </w:p>
    <w:p>
      <w:pPr>
        <w:numPr>
          <w:ilvl w:val="0"/>
          <w:numId w:val="10"/>
        </w:numPr>
        <w:spacing w:line="360" w:lineRule="auto"/>
        <w:rPr>
          <w:kern w:val="0"/>
          <w:szCs w:val="21"/>
        </w:rPr>
      </w:pPr>
      <w:r>
        <w:rPr>
          <w:rFonts w:hint="eastAsia"/>
          <w:kern w:val="0"/>
          <w:szCs w:val="21"/>
        </w:rPr>
        <w:t>光幕软拦截功能</w:t>
      </w:r>
    </w:p>
    <w:p>
      <w:pPr>
        <w:numPr>
          <w:ilvl w:val="0"/>
          <w:numId w:val="10"/>
        </w:numPr>
        <w:spacing w:line="360" w:lineRule="auto"/>
        <w:rPr>
          <w:kern w:val="0"/>
          <w:szCs w:val="21"/>
        </w:rPr>
      </w:pPr>
      <w:r>
        <w:rPr>
          <w:rFonts w:hint="eastAsia"/>
          <w:kern w:val="0"/>
          <w:szCs w:val="21"/>
        </w:rPr>
        <w:t>定时开停机功能</w:t>
      </w:r>
    </w:p>
    <w:p>
      <w:pPr>
        <w:numPr>
          <w:ilvl w:val="0"/>
          <w:numId w:val="10"/>
        </w:numPr>
        <w:spacing w:line="360" w:lineRule="auto"/>
        <w:rPr>
          <w:kern w:val="0"/>
          <w:szCs w:val="21"/>
        </w:rPr>
      </w:pPr>
      <w:r>
        <w:rPr>
          <w:rFonts w:hint="eastAsia"/>
          <w:kern w:val="0"/>
          <w:szCs w:val="21"/>
        </w:rPr>
        <w:t>对面延迟者无障碍通行、不报警功能</w:t>
      </w:r>
    </w:p>
    <w:p>
      <w:pPr>
        <w:numPr>
          <w:ilvl w:val="0"/>
          <w:numId w:val="10"/>
        </w:numPr>
        <w:spacing w:line="360" w:lineRule="auto"/>
        <w:rPr>
          <w:kern w:val="0"/>
          <w:szCs w:val="21"/>
        </w:rPr>
      </w:pPr>
      <w:r>
        <w:rPr>
          <w:rFonts w:hint="eastAsia"/>
          <w:kern w:val="0"/>
          <w:szCs w:val="21"/>
        </w:rPr>
        <w:t>语音可定制、音量大小可调节功能</w:t>
      </w:r>
    </w:p>
    <w:p>
      <w:pPr>
        <w:numPr>
          <w:ilvl w:val="0"/>
          <w:numId w:val="10"/>
        </w:numPr>
        <w:spacing w:line="360" w:lineRule="auto"/>
        <w:rPr>
          <w:kern w:val="0"/>
          <w:szCs w:val="21"/>
        </w:rPr>
      </w:pPr>
      <w:r>
        <w:rPr>
          <w:rFonts w:hint="eastAsia"/>
          <w:kern w:val="0"/>
          <w:szCs w:val="21"/>
        </w:rPr>
        <w:t>自动识别是否闯红灯功能</w:t>
      </w:r>
    </w:p>
    <w:p>
      <w:pPr>
        <w:numPr>
          <w:ilvl w:val="0"/>
          <w:numId w:val="10"/>
        </w:numPr>
        <w:spacing w:line="360" w:lineRule="auto"/>
        <w:rPr>
          <w:kern w:val="0"/>
          <w:szCs w:val="21"/>
        </w:rPr>
      </w:pPr>
      <w:r>
        <w:rPr>
          <w:rFonts w:hint="eastAsia"/>
          <w:kern w:val="0"/>
          <w:szCs w:val="21"/>
        </w:rPr>
        <w:t>可与摄像联网，实行抓怕功能</w:t>
      </w:r>
    </w:p>
    <w:p>
      <w:pPr>
        <w:numPr>
          <w:ilvl w:val="0"/>
          <w:numId w:val="10"/>
        </w:numPr>
        <w:spacing w:line="360" w:lineRule="auto"/>
        <w:rPr>
          <w:kern w:val="0"/>
          <w:szCs w:val="21"/>
        </w:rPr>
      </w:pPr>
      <w:r>
        <w:rPr>
          <w:rFonts w:hint="eastAsia"/>
          <w:kern w:val="0"/>
          <w:szCs w:val="21"/>
        </w:rPr>
        <w:t>水雾可清洁城市空气功能</w:t>
      </w:r>
    </w:p>
    <w:p>
      <w:pPr>
        <w:numPr>
          <w:ilvl w:val="0"/>
          <w:numId w:val="10"/>
        </w:numPr>
        <w:spacing w:line="360" w:lineRule="auto"/>
        <w:rPr>
          <w:kern w:val="0"/>
          <w:szCs w:val="21"/>
        </w:rPr>
      </w:pPr>
      <w:r>
        <w:rPr>
          <w:rFonts w:hint="eastAsia"/>
          <w:kern w:val="0"/>
          <w:szCs w:val="21"/>
        </w:rPr>
        <w:t>道闸可与人脸识别系统相连，抓拍违章者，实现出发、公式等功能。</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主要设备参数</w:t>
      </w:r>
    </w:p>
    <w:p>
      <w:pPr>
        <w:spacing w:line="360" w:lineRule="auto"/>
        <w:ind w:firstLine="422" w:firstLineChars="200"/>
        <w:rPr>
          <w:kern w:val="0"/>
          <w:szCs w:val="21"/>
        </w:rPr>
      </w:pPr>
      <w:r>
        <w:rPr>
          <w:rFonts w:hint="eastAsia"/>
          <w:b/>
          <w:bCs/>
          <w:kern w:val="0"/>
          <w:szCs w:val="21"/>
        </w:rPr>
        <w:t>语音系统：</w:t>
      </w:r>
      <w:r>
        <w:rPr>
          <w:rFonts w:hint="eastAsia"/>
          <w:kern w:val="0"/>
          <w:szCs w:val="21"/>
        </w:rPr>
        <w:t>内置音频放大器，单电源供电方式，工作电压:DC9V～24V，额定输出功率:10W，频率相应:800Hz～15KHz，噪声电压:≤50MV，音噪比:≥82db，耐温-30°～60°，可根据人行道红绿灯信号不同而改变语音，并可根据各地不同而定制语音。</w:t>
      </w:r>
    </w:p>
    <w:p>
      <w:pPr>
        <w:spacing w:line="360" w:lineRule="auto"/>
        <w:ind w:firstLine="422" w:firstLineChars="200"/>
        <w:rPr>
          <w:kern w:val="0"/>
          <w:szCs w:val="21"/>
        </w:rPr>
      </w:pPr>
      <w:r>
        <w:rPr>
          <w:rFonts w:hint="eastAsia"/>
          <w:b/>
          <w:bCs/>
          <w:kern w:val="0"/>
          <w:szCs w:val="21"/>
        </w:rPr>
        <w:t>红绿灯立柱：</w:t>
      </w:r>
      <w:r>
        <w:rPr>
          <w:rFonts w:hint="eastAsia"/>
          <w:kern w:val="0"/>
          <w:szCs w:val="21"/>
        </w:rPr>
        <w:t>工作电压:DC12V，额定输出功率:200mW，耐温-30°～60°，红光波长：650nm，功率200mW；绿光波长：532nm，红绿光柱直径10-15mm，红灯时激光灯柱会形成一道光幕，以控制行人闯红灯。</w:t>
      </w:r>
    </w:p>
    <w:p>
      <w:pPr>
        <w:spacing w:line="360" w:lineRule="auto"/>
        <w:ind w:firstLine="422" w:firstLineChars="200"/>
        <w:rPr>
          <w:kern w:val="0"/>
          <w:szCs w:val="21"/>
        </w:rPr>
      </w:pPr>
      <w:r>
        <w:rPr>
          <w:rFonts w:hint="eastAsia"/>
          <w:b/>
          <w:bCs/>
          <w:kern w:val="0"/>
          <w:szCs w:val="21"/>
        </w:rPr>
        <w:t>喷雾桩：</w:t>
      </w:r>
      <w:r>
        <w:rPr>
          <w:rFonts w:hint="eastAsia"/>
          <w:kern w:val="0"/>
          <w:szCs w:val="21"/>
        </w:rPr>
        <w:t>额定电压AC220±10V，绝缘电阻≥500ΜΩ，耐温-30°～60°，水雾喷高1.2米，水雾温度25-30℃，一次喷雾所用水量为600ml-800ml，喷出水雾的风力达到3m/s，当行人闯红灯时会喷出一定量的水雾，以提醒及软拦截。</w:t>
      </w:r>
    </w:p>
    <w:p>
      <w:pPr>
        <w:spacing w:line="360" w:lineRule="auto"/>
        <w:ind w:firstLine="422" w:firstLineChars="200"/>
        <w:rPr>
          <w:kern w:val="0"/>
          <w:szCs w:val="21"/>
        </w:rPr>
      </w:pPr>
      <w:r>
        <w:rPr>
          <w:rFonts w:hint="eastAsia"/>
          <w:b/>
          <w:bCs/>
          <w:kern w:val="0"/>
          <w:szCs w:val="21"/>
        </w:rPr>
        <w:t>地面信号灯：</w:t>
      </w:r>
      <w:r>
        <w:rPr>
          <w:rFonts w:hint="eastAsia"/>
          <w:kern w:val="0"/>
          <w:szCs w:val="21"/>
        </w:rPr>
        <w:t>地面信号灯抗压10^E-5N/mm2，额定电压AC220±10V，耐温-30°～70°，绝缘电阻≥500ΜΩ，防水等级IP67级，与地面平齐，与信号灯颜色同步变化；埋在地下，上端面与地面平齐，并能够随着人行道红绿灯的变化而同步变为红色或绿色。</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11.路段发光斑马线系统</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概述</w:t>
      </w:r>
    </w:p>
    <w:p>
      <w:pPr>
        <w:pStyle w:val="2"/>
        <w:spacing w:before="120"/>
        <w:rPr>
          <w:rFonts w:hint="eastAsia"/>
        </w:rPr>
      </w:pPr>
      <w:r>
        <w:rPr>
          <w:rFonts w:hint="eastAsia"/>
        </w:rPr>
        <w:t>在道路交通安全事故中，很多的事故都是发生在视线不好路况下的斑马线上，尤其在夜间有远光背景的情况下，司机很难看清楚路面的状况，最终导致事故的发生。为避免上述事件发生，将地埋道钉与斑马线相结合，建立了独具特色的“多元智能斑马线”，实现对过街行人安全保护和对通行车辆的自动警示，维护道路交通秩序。</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建设内容</w:t>
      </w:r>
    </w:p>
    <w:p>
      <w:pPr>
        <w:pStyle w:val="2"/>
        <w:spacing w:before="120"/>
        <w:rPr>
          <w:rFonts w:hint="eastAsia"/>
          <w:szCs w:val="22"/>
        </w:rPr>
      </w:pPr>
      <w:r>
        <w:rPr>
          <w:rFonts w:hint="eastAsia"/>
          <w:szCs w:val="22"/>
        </w:rPr>
        <w:t>选择2个行人过街车流量较大的路口，建设路段发光斑马线系统。具体点位如下：</w:t>
      </w:r>
    </w:p>
    <w:tbl>
      <w:tblPr>
        <w:tblStyle w:val="36"/>
        <w:tblW w:w="0" w:type="auto"/>
        <w:jc w:val="center"/>
        <w:tblLayout w:type="fixed"/>
        <w:tblCellMar>
          <w:top w:w="0" w:type="dxa"/>
          <w:left w:w="108" w:type="dxa"/>
          <w:bottom w:w="0" w:type="dxa"/>
          <w:right w:w="108" w:type="dxa"/>
        </w:tblCellMar>
      </w:tblPr>
      <w:tblGrid>
        <w:gridCol w:w="1080"/>
        <w:gridCol w:w="4120"/>
      </w:tblGrid>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pStyle w:val="155"/>
              <w:rPr>
                <w:rFonts w:hint="eastAsia" w:ascii="Helvetica" w:hAnsi="Helvetica" w:eastAsia="宋体"/>
                <w:kern w:val="0"/>
                <w:sz w:val="21"/>
                <w:szCs w:val="22"/>
                <w:lang w:val="en-US" w:eastAsia="zh-CN" w:bidi="ar-SA"/>
              </w:rPr>
            </w:pPr>
            <w:r>
              <w:rPr>
                <w:rFonts w:hint="eastAsia" w:ascii="Helvetica" w:hAnsi="Helvetica" w:eastAsia="宋体"/>
                <w:kern w:val="0"/>
                <w:sz w:val="21"/>
                <w:szCs w:val="22"/>
                <w:lang w:val="en-US" w:eastAsia="zh-CN" w:bidi="ar-SA"/>
              </w:rPr>
              <w:t>序号</w:t>
            </w:r>
          </w:p>
        </w:tc>
        <w:tc>
          <w:tcPr>
            <w:tcW w:w="4120" w:type="dxa"/>
            <w:tcBorders>
              <w:top w:val="single" w:color="auto" w:sz="4" w:space="0"/>
              <w:left w:val="nil"/>
              <w:bottom w:val="single" w:color="auto" w:sz="4" w:space="0"/>
              <w:right w:val="single" w:color="auto" w:sz="4" w:space="0"/>
            </w:tcBorders>
            <w:shd w:val="clear" w:color="000000" w:fill="D9D9D9"/>
            <w:noWrap w:val="0"/>
            <w:vAlign w:val="center"/>
          </w:tcPr>
          <w:p>
            <w:pPr>
              <w:pStyle w:val="155"/>
              <w:rPr>
                <w:rFonts w:hint="eastAsia" w:ascii="Helvetica" w:hAnsi="Helvetica" w:eastAsia="宋体"/>
                <w:kern w:val="0"/>
                <w:sz w:val="21"/>
                <w:szCs w:val="22"/>
                <w:lang w:val="en-US" w:eastAsia="zh-CN" w:bidi="ar-SA"/>
              </w:rPr>
            </w:pPr>
            <w:r>
              <w:rPr>
                <w:rFonts w:hint="eastAsia" w:ascii="Helvetica" w:hAnsi="Helvetica" w:eastAsia="宋体"/>
                <w:kern w:val="0"/>
                <w:sz w:val="21"/>
                <w:szCs w:val="22"/>
                <w:lang w:val="en-US" w:eastAsia="zh-CN" w:bidi="ar-SA"/>
              </w:rPr>
              <w:t>路口名称</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Helvetica" w:hAnsi="Helvetica" w:eastAsia="宋体"/>
                <w:kern w:val="0"/>
                <w:sz w:val="21"/>
                <w:szCs w:val="22"/>
                <w:lang w:val="en-US" w:eastAsia="zh-CN" w:bidi="ar-SA"/>
              </w:rPr>
            </w:pPr>
            <w:r>
              <w:rPr>
                <w:rFonts w:hint="eastAsia" w:ascii="Helvetica" w:hAnsi="Helvetica" w:eastAsia="宋体"/>
                <w:kern w:val="0"/>
                <w:sz w:val="21"/>
                <w:szCs w:val="22"/>
                <w:lang w:val="en-US" w:eastAsia="zh-CN" w:bidi="ar-SA"/>
              </w:rPr>
              <w:t>1</w:t>
            </w:r>
          </w:p>
        </w:tc>
        <w:tc>
          <w:tcPr>
            <w:tcW w:w="4120" w:type="dxa"/>
            <w:tcBorders>
              <w:top w:val="nil"/>
              <w:left w:val="nil"/>
              <w:bottom w:val="single" w:color="auto" w:sz="4" w:space="0"/>
              <w:right w:val="single" w:color="auto" w:sz="4" w:space="0"/>
            </w:tcBorders>
            <w:noWrap w:val="0"/>
            <w:vAlign w:val="center"/>
          </w:tcPr>
          <w:p>
            <w:pPr>
              <w:pStyle w:val="155"/>
              <w:rPr>
                <w:rFonts w:hint="eastAsia" w:ascii="Helvetica" w:hAnsi="Helvetica" w:eastAsia="宋体"/>
                <w:kern w:val="0"/>
                <w:sz w:val="21"/>
                <w:szCs w:val="22"/>
                <w:lang w:val="en-US" w:eastAsia="zh-CN" w:bidi="ar-SA"/>
              </w:rPr>
            </w:pPr>
            <w:r>
              <w:rPr>
                <w:rFonts w:hint="eastAsia" w:ascii="Helvetica" w:hAnsi="Helvetica" w:eastAsia="宋体"/>
                <w:kern w:val="0"/>
                <w:sz w:val="21"/>
                <w:szCs w:val="22"/>
                <w:lang w:val="en-US" w:eastAsia="zh-CN" w:bidi="ar-SA"/>
              </w:rPr>
              <w:t>天荒坪路-大康路</w:t>
            </w:r>
          </w:p>
        </w:tc>
      </w:tr>
      <w:tr>
        <w:tblPrEx>
          <w:tblCellMar>
            <w:top w:w="0" w:type="dxa"/>
            <w:left w:w="108" w:type="dxa"/>
            <w:bottom w:w="0" w:type="dxa"/>
            <w:right w:w="108" w:type="dxa"/>
          </w:tblCellMar>
        </w:tblPrEx>
        <w:trPr>
          <w:wBefore w:w="0" w:type="dxa"/>
          <w:wAfter w:w="0" w:type="dxa"/>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pPr>
              <w:pStyle w:val="155"/>
              <w:rPr>
                <w:rFonts w:hint="eastAsia" w:ascii="Helvetica" w:hAnsi="Helvetica" w:eastAsia="宋体"/>
                <w:kern w:val="0"/>
                <w:sz w:val="21"/>
                <w:szCs w:val="22"/>
                <w:lang w:val="en-US" w:eastAsia="zh-CN" w:bidi="ar-SA"/>
              </w:rPr>
            </w:pPr>
            <w:r>
              <w:rPr>
                <w:rFonts w:hint="eastAsia" w:ascii="Helvetica" w:hAnsi="Helvetica" w:eastAsia="宋体"/>
                <w:kern w:val="0"/>
                <w:sz w:val="21"/>
                <w:szCs w:val="22"/>
                <w:lang w:val="en-US" w:eastAsia="zh-CN" w:bidi="ar-SA"/>
              </w:rPr>
              <w:t>2</w:t>
            </w:r>
          </w:p>
        </w:tc>
        <w:tc>
          <w:tcPr>
            <w:tcW w:w="4120" w:type="dxa"/>
            <w:tcBorders>
              <w:top w:val="nil"/>
              <w:left w:val="nil"/>
              <w:bottom w:val="single" w:color="auto" w:sz="4" w:space="0"/>
              <w:right w:val="single" w:color="auto" w:sz="4" w:space="0"/>
            </w:tcBorders>
            <w:noWrap w:val="0"/>
            <w:vAlign w:val="center"/>
          </w:tcPr>
          <w:p>
            <w:pPr>
              <w:pStyle w:val="155"/>
              <w:rPr>
                <w:rFonts w:hint="eastAsia" w:ascii="Helvetica" w:hAnsi="Helvetica" w:eastAsia="宋体"/>
                <w:kern w:val="0"/>
                <w:sz w:val="21"/>
                <w:szCs w:val="22"/>
                <w:lang w:val="en-US" w:eastAsia="zh-CN" w:bidi="ar-SA"/>
              </w:rPr>
            </w:pPr>
            <w:r>
              <w:rPr>
                <w:rFonts w:hint="eastAsia" w:ascii="Helvetica" w:hAnsi="Helvetica" w:eastAsia="宋体"/>
                <w:kern w:val="0"/>
                <w:sz w:val="21"/>
                <w:szCs w:val="22"/>
                <w:lang w:val="en-US" w:eastAsia="zh-CN" w:bidi="ar-SA"/>
              </w:rPr>
              <w:t>胜利路-玉华路</w:t>
            </w:r>
          </w:p>
        </w:tc>
      </w:tr>
    </w:tbl>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系统功能</w:t>
      </w:r>
    </w:p>
    <w:p>
      <w:pPr>
        <w:pStyle w:val="2"/>
        <w:spacing w:before="120"/>
      </w:pPr>
      <w:r>
        <w:rPr>
          <w:rFonts w:hint="eastAsia"/>
        </w:rPr>
        <w:t>系统在未检测到行人时处于休眠状态， 当人行道系统被触发之后，L</w:t>
      </w:r>
      <w:r>
        <w:t>ED</w:t>
      </w:r>
      <w:r>
        <w:rPr>
          <w:rFonts w:hint="eastAsia"/>
        </w:rPr>
        <w:t>发光装置同步快闪。</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主要设备参数</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LED发光装置</w:t>
      </w:r>
    </w:p>
    <w:p>
      <w:pPr>
        <w:spacing w:line="360" w:lineRule="auto"/>
        <w:ind w:firstLine="420" w:firstLineChars="200"/>
        <w:rPr>
          <w:rFonts w:hint="eastAsia"/>
        </w:rPr>
      </w:pPr>
      <w:r>
        <w:rPr>
          <w:rFonts w:hint="eastAsia"/>
        </w:rPr>
        <w:t>尺寸:400*200*30MM</w:t>
      </w:r>
    </w:p>
    <w:p>
      <w:pPr>
        <w:spacing w:line="360" w:lineRule="auto"/>
        <w:ind w:firstLine="420" w:firstLineChars="200"/>
        <w:rPr>
          <w:rFonts w:hint="eastAsia"/>
        </w:rPr>
      </w:pPr>
      <w:r>
        <w:rPr>
          <w:rFonts w:hint="eastAsia"/>
        </w:rPr>
        <w:t>材质:球墨铁底座+12MM合成材料面罩</w:t>
      </w:r>
    </w:p>
    <w:p>
      <w:pPr>
        <w:spacing w:line="360" w:lineRule="auto"/>
        <w:ind w:firstLine="420" w:firstLineChars="200"/>
        <w:rPr>
          <w:rFonts w:hint="eastAsia"/>
        </w:rPr>
      </w:pPr>
      <w:r>
        <w:rPr>
          <w:rFonts w:hint="eastAsia"/>
        </w:rPr>
        <w:t>颜色:单色(红黄蓝绿白暖白可选)</w:t>
      </w:r>
    </w:p>
    <w:p>
      <w:pPr>
        <w:spacing w:line="360" w:lineRule="auto"/>
        <w:ind w:firstLine="420" w:firstLineChars="200"/>
        <w:rPr>
          <w:rFonts w:hint="eastAsia"/>
        </w:rPr>
      </w:pPr>
      <w:r>
        <w:rPr>
          <w:rFonts w:hint="eastAsia"/>
        </w:rPr>
        <w:t>电压:直流24V</w:t>
      </w:r>
    </w:p>
    <w:p>
      <w:pPr>
        <w:spacing w:line="360" w:lineRule="auto"/>
        <w:ind w:firstLine="420" w:firstLineChars="200"/>
        <w:rPr>
          <w:rFonts w:hint="eastAsia"/>
        </w:rPr>
      </w:pPr>
      <w:r>
        <w:rPr>
          <w:rFonts w:hint="eastAsia"/>
        </w:rPr>
        <w:t>控制方式:内控+普通压感</w:t>
      </w:r>
    </w:p>
    <w:p>
      <w:pPr>
        <w:spacing w:line="360" w:lineRule="auto"/>
        <w:ind w:firstLine="420" w:firstLineChars="200"/>
        <w:rPr>
          <w:rFonts w:hint="eastAsia"/>
        </w:rPr>
      </w:pPr>
      <w:r>
        <w:rPr>
          <w:rFonts w:hint="eastAsia"/>
        </w:rPr>
        <w:t>防护等级:IP66</w:t>
      </w:r>
    </w:p>
    <w:p>
      <w:pPr>
        <w:spacing w:line="360" w:lineRule="auto"/>
        <w:ind w:firstLine="420" w:firstLineChars="200"/>
        <w:rPr>
          <w:szCs w:val="24"/>
        </w:rPr>
      </w:pPr>
      <w:r>
        <w:rPr>
          <w:rFonts w:hint="eastAsia"/>
        </w:rPr>
        <w:t xml:space="preserve">光源:美国科瑞贴片5051  </w:t>
      </w:r>
      <w:r>
        <w:rPr>
          <w:rFonts w:hint="eastAsia"/>
          <w:szCs w:val="24"/>
        </w:rPr>
        <w:t xml:space="preserve">                                         </w:t>
      </w:r>
    </w:p>
    <w:p>
      <w:pPr>
        <w:spacing w:line="360" w:lineRule="auto"/>
        <w:ind w:firstLine="422" w:firstLineChars="200"/>
        <w:rPr>
          <w:rFonts w:ascii="宋体" w:hAnsi="宋体" w:cs="宋体"/>
          <w:b/>
          <w:iCs/>
          <w:kern w:val="0"/>
          <w:szCs w:val="21"/>
          <w:u w:val="single"/>
        </w:rPr>
      </w:pPr>
      <w:r>
        <w:rPr>
          <w:rFonts w:hint="eastAsia" w:ascii="宋体" w:hAnsi="宋体" w:cs="宋体"/>
          <w:b/>
          <w:iCs/>
          <w:kern w:val="0"/>
          <w:szCs w:val="21"/>
          <w:u w:val="single"/>
        </w:rPr>
        <w:t>具备公安部交通安全产品质量监督检测检测中心试验报告并加盖原厂公章</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12.指挥中心大屏更新、后台存储扩容</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指挥中心大屏改造</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概述</w:t>
      </w:r>
    </w:p>
    <w:p>
      <w:pPr>
        <w:spacing w:line="360" w:lineRule="auto"/>
        <w:ind w:firstLine="420" w:firstLineChars="200"/>
      </w:pPr>
      <w:r>
        <w:rPr>
          <w:rFonts w:hint="eastAsia"/>
        </w:rPr>
        <w:t>随着大屏显示信息应用技术的发展，指挥中心大屏在更新换代，指挥中心的原有大屏已使用五六年，在设计在适用新系统方面逐步出现一些问题：如存在明显、较宽的接缝，显示系统老化严重，亮度低，一出现明显的暗边、黑角，屏与屏之间出现色彩与亮度差异，且无法调节复原，满足不了高清图像显示要求等要求。因此本次将大屏显示系统进行升级改造为小间距LED屏。</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建设内容</w:t>
      </w:r>
    </w:p>
    <w:p>
      <w:pPr>
        <w:spacing w:line="360" w:lineRule="auto"/>
        <w:ind w:firstLine="420" w:firstLineChars="200"/>
      </w:pPr>
      <w:r>
        <w:rPr>
          <w:rFonts w:hint="eastAsia"/>
        </w:rPr>
        <w:t>升级改造指挥中心大屏，大屏尺寸长</w:t>
      </w:r>
      <w:r>
        <w:t>9.24</w:t>
      </w:r>
      <w:r>
        <w:rPr>
          <w:rFonts w:hint="eastAsia"/>
        </w:rPr>
        <w:t>米，宽2</w:t>
      </w:r>
      <w:r>
        <w:t>.07</w:t>
      </w:r>
      <w:r>
        <w:rPr>
          <w:rFonts w:hint="eastAsia"/>
        </w:rPr>
        <w:t>米。</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系统功能</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bookmarkStart w:id="9" w:name="_Toc333994244"/>
      <w:r>
        <w:rPr>
          <w:rFonts w:hint="eastAsia" w:ascii="宋体" w:hAnsi="宋体" w:cs="宋体"/>
          <w:b/>
          <w:bCs/>
          <w:kern w:val="44"/>
          <w:sz w:val="21"/>
          <w:szCs w:val="21"/>
          <w:lang w:val="en-US" w:eastAsia="zh-CN" w:bidi="ar-SA"/>
        </w:rPr>
        <w:t>（1）视频编辑、播放功能</w:t>
      </w:r>
      <w:bookmarkEnd w:id="9"/>
    </w:p>
    <w:p>
      <w:pPr>
        <w:widowControl/>
        <w:numPr>
          <w:ilvl w:val="0"/>
          <w:numId w:val="11"/>
        </w:numPr>
        <w:spacing w:line="360" w:lineRule="auto"/>
      </w:pPr>
      <w:r>
        <w:t>使用多类型播出区域分类：图文、滚屏、时钟台标、视频动画，保证制作快速、准确；</w:t>
      </w:r>
    </w:p>
    <w:p>
      <w:pPr>
        <w:widowControl/>
        <w:numPr>
          <w:ilvl w:val="0"/>
          <w:numId w:val="11"/>
        </w:numPr>
        <w:spacing w:line="360" w:lineRule="auto"/>
      </w:pPr>
      <w:r>
        <w:t>独立区域支持多个任务的添加，对每个任务均可设置不同的数据连接；</w:t>
      </w:r>
    </w:p>
    <w:p>
      <w:pPr>
        <w:widowControl/>
        <w:numPr>
          <w:ilvl w:val="0"/>
          <w:numId w:val="11"/>
        </w:numPr>
        <w:spacing w:line="360" w:lineRule="auto"/>
      </w:pPr>
      <w:r>
        <w:t>可独立控制所有任务及播出单元的播出；</w:t>
      </w:r>
    </w:p>
    <w:p>
      <w:pPr>
        <w:widowControl/>
        <w:numPr>
          <w:ilvl w:val="0"/>
          <w:numId w:val="11"/>
        </w:numPr>
        <w:spacing w:line="360" w:lineRule="auto"/>
      </w:pPr>
      <w:r>
        <w:t>系统提供对区域中任务的多种播出方式：循环、固定长度，等等；</w:t>
      </w:r>
    </w:p>
    <w:p>
      <w:pPr>
        <w:widowControl/>
        <w:numPr>
          <w:ilvl w:val="0"/>
          <w:numId w:val="11"/>
        </w:numPr>
        <w:spacing w:line="360" w:lineRule="auto"/>
      </w:pPr>
      <w:r>
        <w:t>提供基于统一时间线的关联任务编排；</w:t>
      </w:r>
    </w:p>
    <w:p>
      <w:pPr>
        <w:widowControl/>
        <w:numPr>
          <w:ilvl w:val="0"/>
          <w:numId w:val="11"/>
        </w:numPr>
        <w:spacing w:line="360" w:lineRule="auto"/>
      </w:pPr>
      <w:r>
        <w:t>支持水平和垂直不同版式，可兼容不同的显示设备需求；</w:t>
      </w:r>
    </w:p>
    <w:p>
      <w:pPr>
        <w:widowControl/>
        <w:numPr>
          <w:ilvl w:val="0"/>
          <w:numId w:val="11"/>
        </w:numPr>
        <w:spacing w:line="360" w:lineRule="auto"/>
      </w:pPr>
      <w:r>
        <w:t>内嵌专业图文动画创作系统，通过模板化的制作实现完美的图文效果；</w:t>
      </w:r>
    </w:p>
    <w:p>
      <w:pPr>
        <w:widowControl/>
        <w:numPr>
          <w:ilvl w:val="0"/>
          <w:numId w:val="11"/>
        </w:numPr>
        <w:spacing w:line="360" w:lineRule="auto"/>
      </w:pPr>
      <w:r>
        <w:t>支持多种编单方式：自动播出、定时播出、即时插播、即时覆盖、垫片播出等。</w:t>
      </w:r>
    </w:p>
    <w:p>
      <w:pPr>
        <w:widowControl/>
        <w:numPr>
          <w:ilvl w:val="0"/>
          <w:numId w:val="11"/>
        </w:numPr>
        <w:spacing w:line="360" w:lineRule="auto"/>
      </w:pPr>
      <w:r>
        <w:t>实时显示真彩色视频图象，转播广播电视、卫星及有线电视信号、摄像机、影碟等视频信号的即时播放，可播出VGA、VCD、DVD、MPEGE1、MPEGE2、TV等视频信号源，实现大型文体演出现场转播。</w:t>
      </w:r>
    </w:p>
    <w:p>
      <w:pPr>
        <w:widowControl/>
        <w:numPr>
          <w:ilvl w:val="0"/>
          <w:numId w:val="11"/>
        </w:numPr>
        <w:spacing w:line="360" w:lineRule="auto"/>
      </w:pPr>
      <w:r>
        <w:t>支持PAL、NTSC 、SECAM、SDI、HD-SDI、DVI、DVI-Dual、S-Video等各种制式播放形式。</w:t>
      </w:r>
    </w:p>
    <w:p>
      <w:pPr>
        <w:widowControl/>
        <w:numPr>
          <w:ilvl w:val="0"/>
          <w:numId w:val="11"/>
        </w:numPr>
        <w:spacing w:line="360" w:lineRule="auto"/>
      </w:pPr>
      <w:r>
        <w:t>支持多种格式文件：AVI、MPG、DAT、WMV、MOV、TS等；(如有任何不能播放的格式，可以通过相关视频转换软件实现无损文件格式转换)。</w:t>
      </w:r>
    </w:p>
    <w:p>
      <w:pPr>
        <w:widowControl/>
        <w:numPr>
          <w:ilvl w:val="0"/>
          <w:numId w:val="11"/>
        </w:numPr>
        <w:spacing w:line="360" w:lineRule="auto"/>
      </w:pPr>
      <w:r>
        <w:t>支持多种压缩格式</w:t>
      </w:r>
      <w:r>
        <w:rPr>
          <w:rFonts w:hint="eastAsia"/>
        </w:rPr>
        <w:t>：</w:t>
      </w:r>
      <w:r>
        <w:t>DV25、DVCPRO、DVCPRO50、MPEG2-I、MPEG-2 IBP、MPEG4以及无压缩视频格式等；</w:t>
      </w:r>
    </w:p>
    <w:p>
      <w:pPr>
        <w:widowControl/>
        <w:numPr>
          <w:ilvl w:val="0"/>
          <w:numId w:val="11"/>
        </w:numPr>
        <w:spacing w:line="360" w:lineRule="auto"/>
      </w:pPr>
      <w:r>
        <w:t>可显示数字、中文、英文、西班牙文、法文、德文、韩文、希腊文、俄文、日文等多种文字，中文字体字型可选择。</w:t>
      </w:r>
    </w:p>
    <w:p>
      <w:pPr>
        <w:widowControl/>
        <w:numPr>
          <w:ilvl w:val="0"/>
          <w:numId w:val="11"/>
        </w:numPr>
        <w:spacing w:line="360" w:lineRule="auto"/>
      </w:pPr>
      <w:r>
        <w:t>通过网络系统可以进入Internet网。支持视音频信号的采集功能；</w:t>
      </w:r>
    </w:p>
    <w:p>
      <w:pPr>
        <w:widowControl/>
        <w:numPr>
          <w:ilvl w:val="0"/>
          <w:numId w:val="11"/>
        </w:numPr>
        <w:spacing w:line="360" w:lineRule="auto"/>
      </w:pPr>
      <w:r>
        <w:t>定义视频区域中IPTV信号相应频道播出的时间、长度；视频文件（广告素材）的播出时间、长度、次数等；</w:t>
      </w:r>
    </w:p>
    <w:p>
      <w:pPr>
        <w:spacing w:line="360" w:lineRule="auto"/>
        <w:ind w:firstLine="422" w:firstLineChars="200"/>
        <w:rPr>
          <w:b/>
        </w:rPr>
      </w:pPr>
      <w:bookmarkStart w:id="10" w:name="_Toc333994245"/>
      <w:r>
        <w:rPr>
          <w:rFonts w:hint="eastAsia"/>
          <w:b/>
        </w:rPr>
        <w:t>（2）网络监控以及远程控制功能</w:t>
      </w:r>
      <w:bookmarkEnd w:id="10"/>
    </w:p>
    <w:p>
      <w:pPr>
        <w:widowControl/>
        <w:numPr>
          <w:ilvl w:val="0"/>
          <w:numId w:val="12"/>
        </w:numPr>
        <w:spacing w:line="360" w:lineRule="auto"/>
      </w:pPr>
      <w:r>
        <w:rPr>
          <w:rFonts w:hint="eastAsia"/>
        </w:rPr>
        <w:t>支持故障自动处理和人工处理；</w:t>
      </w:r>
    </w:p>
    <w:p>
      <w:pPr>
        <w:widowControl/>
        <w:numPr>
          <w:ilvl w:val="0"/>
          <w:numId w:val="12"/>
        </w:numPr>
        <w:spacing w:line="360" w:lineRule="auto"/>
      </w:pPr>
      <w:r>
        <w:rPr>
          <w:rFonts w:hint="eastAsia"/>
        </w:rPr>
        <w:t>重要参数监控，在控制中心监看软件运行情况、处理器温度等状态参数；</w:t>
      </w:r>
    </w:p>
    <w:p>
      <w:pPr>
        <w:widowControl/>
        <w:numPr>
          <w:ilvl w:val="0"/>
          <w:numId w:val="12"/>
        </w:numPr>
        <w:spacing w:line="360" w:lineRule="auto"/>
      </w:pPr>
      <w:r>
        <w:rPr>
          <w:rFonts w:hint="eastAsia"/>
        </w:rPr>
        <w:t>可以对终端设备进行硬件和软件的开启和关闭远程操作；</w:t>
      </w:r>
    </w:p>
    <w:p>
      <w:pPr>
        <w:widowControl/>
        <w:numPr>
          <w:ilvl w:val="0"/>
          <w:numId w:val="12"/>
        </w:numPr>
        <w:spacing w:line="360" w:lineRule="auto"/>
      </w:pPr>
      <w:r>
        <w:rPr>
          <w:rFonts w:hint="eastAsia"/>
        </w:rPr>
        <w:t>完善的地图式终端搜索，能更加快捷的对终端进行定位和查询；</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主要设备参数</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室内LED显示屏</w:t>
      </w:r>
    </w:p>
    <w:p>
      <w:pPr>
        <w:spacing w:line="360" w:lineRule="auto"/>
        <w:ind w:left="420"/>
        <w:rPr>
          <w:b/>
          <w:kern w:val="0"/>
          <w:szCs w:val="21"/>
        </w:rPr>
      </w:pPr>
      <w:r>
        <w:rPr>
          <w:rFonts w:hint="eastAsia"/>
          <w:b/>
          <w:kern w:val="0"/>
          <w:szCs w:val="21"/>
        </w:rPr>
        <w:t>▲点间距≤</w:t>
      </w:r>
      <w:r>
        <w:rPr>
          <w:b/>
          <w:kern w:val="0"/>
          <w:szCs w:val="21"/>
        </w:rPr>
        <w:t>1.26mm</w:t>
      </w:r>
    </w:p>
    <w:p>
      <w:pPr>
        <w:spacing w:line="360" w:lineRule="auto"/>
        <w:ind w:firstLine="420" w:firstLineChars="200"/>
        <w:rPr>
          <w:kern w:val="0"/>
          <w:szCs w:val="21"/>
        </w:rPr>
      </w:pPr>
      <w:r>
        <w:rPr>
          <w:rFonts w:hint="eastAsia"/>
          <w:kern w:val="0"/>
          <w:szCs w:val="21"/>
        </w:rPr>
        <w:t>高清显示屏有效显示尺寸为≥</w:t>
      </w:r>
      <w:r>
        <w:rPr>
          <w:kern w:val="0"/>
          <w:szCs w:val="21"/>
        </w:rPr>
        <w:t>9.12m×2.052m=18.7m2</w:t>
      </w:r>
      <w:r>
        <w:rPr>
          <w:rFonts w:hint="eastAsia"/>
          <w:kern w:val="0"/>
          <w:szCs w:val="21"/>
        </w:rPr>
        <w:t>，分辨率≥</w:t>
      </w:r>
      <w:r>
        <w:rPr>
          <w:kern w:val="0"/>
          <w:szCs w:val="21"/>
        </w:rPr>
        <w:t>7200W*1620H</w:t>
      </w:r>
    </w:p>
    <w:p>
      <w:pPr>
        <w:spacing w:line="360" w:lineRule="auto"/>
        <w:ind w:firstLine="420" w:firstLineChars="200"/>
        <w:rPr>
          <w:kern w:val="0"/>
          <w:szCs w:val="21"/>
        </w:rPr>
      </w:pPr>
      <w:r>
        <w:rPr>
          <w:rFonts w:hint="eastAsia"/>
          <w:kern w:val="0"/>
          <w:szCs w:val="21"/>
        </w:rPr>
        <w:t>显示技术采用：单个发光点采用</w:t>
      </w:r>
      <w:r>
        <w:rPr>
          <w:kern w:val="0"/>
          <w:szCs w:val="21"/>
        </w:rPr>
        <w:t>RGB</w:t>
      </w:r>
      <w:r>
        <w:rPr>
          <w:rFonts w:hint="eastAsia"/>
          <w:kern w:val="0"/>
          <w:szCs w:val="21"/>
        </w:rPr>
        <w:t>三基色</w:t>
      </w:r>
      <w:r>
        <w:rPr>
          <w:kern w:val="0"/>
          <w:szCs w:val="21"/>
        </w:rPr>
        <w:t>LED</w:t>
      </w:r>
      <w:r>
        <w:rPr>
          <w:rFonts w:hint="eastAsia"/>
          <w:kern w:val="0"/>
          <w:szCs w:val="21"/>
        </w:rPr>
        <w:t>裸芯</w:t>
      </w:r>
      <w:r>
        <w:rPr>
          <w:kern w:val="0"/>
          <w:szCs w:val="21"/>
        </w:rPr>
        <w:t>COB</w:t>
      </w:r>
      <w:r>
        <w:rPr>
          <w:rFonts w:hint="eastAsia"/>
          <w:kern w:val="0"/>
          <w:szCs w:val="21"/>
        </w:rPr>
        <w:t>封装，超声波焊线，无二次回流焊，超黑喷墨表面处理，无锡焊焊脚，表面无覆膜；</w:t>
      </w:r>
      <w:r>
        <w:rPr>
          <w:kern w:val="0"/>
          <w:szCs w:val="21"/>
        </w:rPr>
        <w:t xml:space="preserve"> </w:t>
      </w:r>
    </w:p>
    <w:p>
      <w:pPr>
        <w:spacing w:line="360" w:lineRule="auto"/>
        <w:ind w:firstLine="420" w:firstLineChars="200"/>
        <w:rPr>
          <w:kern w:val="0"/>
          <w:szCs w:val="21"/>
        </w:rPr>
      </w:pPr>
      <w:r>
        <w:rPr>
          <w:rFonts w:hint="eastAsia"/>
          <w:kern w:val="0"/>
          <w:szCs w:val="21"/>
        </w:rPr>
        <w:t>采用压铸铝箱体</w:t>
      </w:r>
      <w:r>
        <w:rPr>
          <w:kern w:val="0"/>
          <w:szCs w:val="21"/>
        </w:rPr>
        <w:t xml:space="preserve"> </w:t>
      </w:r>
      <w:r>
        <w:rPr>
          <w:rFonts w:hint="eastAsia"/>
          <w:kern w:val="0"/>
          <w:szCs w:val="21"/>
        </w:rPr>
        <w:t>，为考虑现场安装环境，大屏需采用前安装前维护结构设计</w:t>
      </w:r>
    </w:p>
    <w:p>
      <w:pPr>
        <w:spacing w:line="360" w:lineRule="auto"/>
        <w:ind w:firstLine="420" w:firstLineChars="200"/>
        <w:rPr>
          <w:kern w:val="0"/>
          <w:szCs w:val="21"/>
        </w:rPr>
      </w:pPr>
      <w:r>
        <w:rPr>
          <w:rFonts w:hint="eastAsia"/>
          <w:kern w:val="0"/>
          <w:szCs w:val="21"/>
        </w:rPr>
        <w:t>为了保证大屏观看效果，保证显示锐度和清晰度，显示屏表面采用一层封胶工艺、不增加其他材料、表面覆膜工艺不采用</w:t>
      </w:r>
    </w:p>
    <w:p>
      <w:pPr>
        <w:spacing w:line="360" w:lineRule="auto"/>
        <w:ind w:firstLine="420" w:firstLineChars="200"/>
        <w:rPr>
          <w:kern w:val="0"/>
          <w:szCs w:val="21"/>
        </w:rPr>
      </w:pPr>
      <w:r>
        <w:rPr>
          <w:rFonts w:hint="eastAsia"/>
          <w:kern w:val="0"/>
          <w:szCs w:val="21"/>
        </w:rPr>
        <w:t>模组分辨率</w:t>
      </w:r>
      <w:r>
        <w:rPr>
          <w:kern w:val="0"/>
          <w:szCs w:val="21"/>
        </w:rPr>
        <w:t>240×270</w:t>
      </w:r>
    </w:p>
    <w:p>
      <w:pPr>
        <w:spacing w:line="360" w:lineRule="auto"/>
        <w:ind w:firstLine="420" w:firstLineChars="200"/>
        <w:rPr>
          <w:kern w:val="0"/>
          <w:szCs w:val="21"/>
        </w:rPr>
      </w:pPr>
      <w:r>
        <w:rPr>
          <w:rFonts w:hint="eastAsia"/>
          <w:kern w:val="0"/>
          <w:szCs w:val="21"/>
        </w:rPr>
        <w:t>单元分辨率</w:t>
      </w:r>
      <w:r>
        <w:rPr>
          <w:kern w:val="0"/>
          <w:szCs w:val="21"/>
        </w:rPr>
        <w:t>480×270</w:t>
      </w:r>
    </w:p>
    <w:p>
      <w:pPr>
        <w:spacing w:line="360" w:lineRule="auto"/>
        <w:ind w:firstLine="420" w:firstLineChars="200"/>
        <w:rPr>
          <w:kern w:val="0"/>
          <w:szCs w:val="21"/>
        </w:rPr>
      </w:pPr>
      <w:r>
        <w:rPr>
          <w:rFonts w:hint="eastAsia"/>
          <w:kern w:val="0"/>
          <w:szCs w:val="21"/>
        </w:rPr>
        <w:t>校正后亮度≥</w:t>
      </w:r>
      <w:r>
        <w:rPr>
          <w:kern w:val="0"/>
          <w:szCs w:val="21"/>
        </w:rPr>
        <w:t>600/</w:t>
      </w:r>
      <w:r>
        <w:rPr>
          <w:rFonts w:hint="eastAsia"/>
          <w:kern w:val="0"/>
          <w:szCs w:val="21"/>
        </w:rPr>
        <w:t>㎡，</w:t>
      </w:r>
    </w:p>
    <w:p>
      <w:pPr>
        <w:spacing w:line="360" w:lineRule="auto"/>
        <w:ind w:firstLine="420" w:firstLineChars="200"/>
        <w:rPr>
          <w:kern w:val="0"/>
          <w:szCs w:val="21"/>
        </w:rPr>
      </w:pPr>
      <w:r>
        <w:rPr>
          <w:rFonts w:hint="eastAsia"/>
          <w:kern w:val="0"/>
          <w:szCs w:val="21"/>
        </w:rPr>
        <w:t>像素密度≥</w:t>
      </w:r>
      <w:r>
        <w:rPr>
          <w:kern w:val="0"/>
          <w:szCs w:val="21"/>
        </w:rPr>
        <w:t>623268</w:t>
      </w:r>
      <w:r>
        <w:rPr>
          <w:rFonts w:hint="eastAsia"/>
          <w:kern w:val="0"/>
          <w:szCs w:val="21"/>
        </w:rPr>
        <w:t>点</w:t>
      </w:r>
      <w:r>
        <w:rPr>
          <w:kern w:val="0"/>
          <w:szCs w:val="21"/>
        </w:rPr>
        <w:t>/m2</w:t>
      </w:r>
    </w:p>
    <w:p>
      <w:pPr>
        <w:spacing w:line="360" w:lineRule="auto"/>
        <w:ind w:firstLine="420" w:firstLineChars="200"/>
        <w:rPr>
          <w:kern w:val="0"/>
          <w:szCs w:val="21"/>
        </w:rPr>
      </w:pPr>
      <w:r>
        <w:rPr>
          <w:rFonts w:hint="eastAsia"/>
          <w:kern w:val="0"/>
          <w:szCs w:val="21"/>
        </w:rPr>
        <w:t>刷新率≥</w:t>
      </w:r>
      <w:r>
        <w:rPr>
          <w:kern w:val="0"/>
          <w:szCs w:val="21"/>
        </w:rPr>
        <w:t>3840HZ</w:t>
      </w:r>
    </w:p>
    <w:p>
      <w:pPr>
        <w:spacing w:line="360" w:lineRule="auto"/>
        <w:ind w:firstLine="420" w:firstLineChars="200"/>
        <w:rPr>
          <w:kern w:val="0"/>
          <w:szCs w:val="21"/>
        </w:rPr>
      </w:pPr>
      <w:r>
        <w:rPr>
          <w:rFonts w:hint="eastAsia"/>
          <w:kern w:val="0"/>
          <w:szCs w:val="21"/>
        </w:rPr>
        <w:t>亮度控制：手动</w:t>
      </w:r>
      <w:r>
        <w:rPr>
          <w:kern w:val="0"/>
          <w:szCs w:val="21"/>
        </w:rPr>
        <w:t>/</w:t>
      </w:r>
      <w:r>
        <w:rPr>
          <w:rFonts w:hint="eastAsia"/>
          <w:kern w:val="0"/>
          <w:szCs w:val="21"/>
        </w:rPr>
        <w:t>自动</w:t>
      </w:r>
    </w:p>
    <w:p>
      <w:pPr>
        <w:spacing w:line="360" w:lineRule="auto"/>
        <w:ind w:firstLine="420" w:firstLineChars="200"/>
        <w:rPr>
          <w:kern w:val="0"/>
          <w:szCs w:val="21"/>
        </w:rPr>
      </w:pPr>
      <w:r>
        <w:rPr>
          <w:rFonts w:hint="eastAsia"/>
          <w:kern w:val="0"/>
          <w:szCs w:val="21"/>
        </w:rPr>
        <w:t>对比度：</w:t>
      </w:r>
      <w:r>
        <w:rPr>
          <w:kern w:val="0"/>
          <w:szCs w:val="21"/>
        </w:rPr>
        <w:t>6000:1</w:t>
      </w:r>
    </w:p>
    <w:p>
      <w:pPr>
        <w:spacing w:line="360" w:lineRule="auto"/>
        <w:ind w:firstLine="420" w:firstLineChars="200"/>
        <w:rPr>
          <w:kern w:val="0"/>
          <w:szCs w:val="21"/>
        </w:rPr>
      </w:pPr>
      <w:r>
        <w:rPr>
          <w:rFonts w:hint="eastAsia"/>
          <w:kern w:val="0"/>
          <w:szCs w:val="21"/>
        </w:rPr>
        <w:t>画面帧频：</w:t>
      </w:r>
      <w:r>
        <w:rPr>
          <w:kern w:val="0"/>
          <w:szCs w:val="21"/>
        </w:rPr>
        <w:t>50/60 Hz</w:t>
      </w:r>
    </w:p>
    <w:p>
      <w:pPr>
        <w:spacing w:line="360" w:lineRule="auto"/>
        <w:ind w:firstLine="420" w:firstLineChars="200"/>
        <w:rPr>
          <w:kern w:val="0"/>
          <w:szCs w:val="21"/>
        </w:rPr>
      </w:pPr>
      <w:r>
        <w:rPr>
          <w:rFonts w:hint="eastAsia"/>
          <w:kern w:val="0"/>
          <w:szCs w:val="21"/>
        </w:rPr>
        <w:t>箱体模组平整度≤</w:t>
      </w:r>
      <w:r>
        <w:rPr>
          <w:kern w:val="0"/>
          <w:szCs w:val="21"/>
        </w:rPr>
        <w:t>0.1mm</w:t>
      </w:r>
    </w:p>
    <w:p>
      <w:pPr>
        <w:spacing w:line="360" w:lineRule="auto"/>
        <w:ind w:firstLine="420" w:firstLineChars="200"/>
        <w:rPr>
          <w:kern w:val="0"/>
          <w:szCs w:val="21"/>
        </w:rPr>
      </w:pPr>
      <w:r>
        <w:rPr>
          <w:rFonts w:hint="eastAsia"/>
          <w:kern w:val="0"/>
          <w:szCs w:val="21"/>
        </w:rPr>
        <w:t>色温</w:t>
      </w:r>
      <w:r>
        <w:rPr>
          <w:kern w:val="0"/>
          <w:szCs w:val="21"/>
        </w:rPr>
        <w:t>3200K</w:t>
      </w:r>
      <w:r>
        <w:rPr>
          <w:rFonts w:hint="eastAsia"/>
          <w:kern w:val="0"/>
          <w:szCs w:val="21"/>
        </w:rPr>
        <w:t>－</w:t>
      </w:r>
      <w:r>
        <w:rPr>
          <w:kern w:val="0"/>
          <w:szCs w:val="21"/>
        </w:rPr>
        <w:t>9300K</w:t>
      </w:r>
      <w:r>
        <w:rPr>
          <w:rFonts w:hint="eastAsia"/>
          <w:kern w:val="0"/>
          <w:szCs w:val="21"/>
        </w:rPr>
        <w:t>可调</w:t>
      </w:r>
    </w:p>
    <w:p>
      <w:pPr>
        <w:spacing w:line="360" w:lineRule="auto"/>
        <w:ind w:firstLine="420" w:firstLineChars="200"/>
        <w:rPr>
          <w:kern w:val="0"/>
          <w:szCs w:val="21"/>
        </w:rPr>
      </w:pPr>
      <w:r>
        <w:rPr>
          <w:rFonts w:hint="eastAsia"/>
          <w:kern w:val="0"/>
          <w:szCs w:val="21"/>
        </w:rPr>
        <w:t>视角：水平视角≥</w:t>
      </w:r>
      <w:r>
        <w:rPr>
          <w:kern w:val="0"/>
          <w:szCs w:val="21"/>
        </w:rPr>
        <w:t>160</w:t>
      </w:r>
      <w:r>
        <w:rPr>
          <w:rFonts w:hint="eastAsia"/>
          <w:kern w:val="0"/>
          <w:szCs w:val="21"/>
        </w:rPr>
        <w:t>度，垂直视角≥</w:t>
      </w:r>
      <w:r>
        <w:rPr>
          <w:kern w:val="0"/>
          <w:szCs w:val="21"/>
        </w:rPr>
        <w:t>160</w:t>
      </w:r>
      <w:r>
        <w:rPr>
          <w:rFonts w:hint="eastAsia"/>
          <w:kern w:val="0"/>
          <w:szCs w:val="21"/>
        </w:rPr>
        <w:t>度</w:t>
      </w:r>
    </w:p>
    <w:p>
      <w:pPr>
        <w:spacing w:line="360" w:lineRule="auto"/>
        <w:ind w:firstLine="420" w:firstLineChars="200"/>
        <w:rPr>
          <w:kern w:val="0"/>
          <w:szCs w:val="21"/>
        </w:rPr>
      </w:pPr>
      <w:r>
        <w:rPr>
          <w:kern w:val="0"/>
          <w:szCs w:val="21"/>
        </w:rPr>
        <w:t>LED</w:t>
      </w:r>
      <w:r>
        <w:rPr>
          <w:rFonts w:hint="eastAsia"/>
          <w:kern w:val="0"/>
          <w:szCs w:val="21"/>
        </w:rPr>
        <w:t>屏幕采用无风扇设计，主动式散热；</w:t>
      </w:r>
    </w:p>
    <w:p>
      <w:pPr>
        <w:spacing w:line="360" w:lineRule="auto"/>
        <w:ind w:firstLine="420" w:firstLineChars="200"/>
        <w:rPr>
          <w:kern w:val="0"/>
          <w:szCs w:val="21"/>
        </w:rPr>
      </w:pPr>
      <w:r>
        <w:rPr>
          <w:rFonts w:hint="eastAsia"/>
          <w:kern w:val="0"/>
          <w:szCs w:val="21"/>
        </w:rPr>
        <w:t>模组具有逐点均匀性校正存储功能</w:t>
      </w:r>
    </w:p>
    <w:p>
      <w:pPr>
        <w:spacing w:line="360" w:lineRule="auto"/>
        <w:ind w:firstLine="420" w:firstLineChars="200"/>
        <w:rPr>
          <w:kern w:val="0"/>
          <w:szCs w:val="21"/>
        </w:rPr>
      </w:pPr>
      <w:r>
        <w:rPr>
          <w:rFonts w:hint="eastAsia"/>
          <w:kern w:val="0"/>
          <w:szCs w:val="21"/>
        </w:rPr>
        <w:t>色度均匀性：±</w:t>
      </w:r>
      <w:r>
        <w:rPr>
          <w:kern w:val="0"/>
          <w:szCs w:val="21"/>
        </w:rPr>
        <w:t>0.003Cx</w:t>
      </w:r>
      <w:r>
        <w:rPr>
          <w:rFonts w:hint="eastAsia"/>
          <w:kern w:val="0"/>
          <w:szCs w:val="21"/>
        </w:rPr>
        <w:t>，</w:t>
      </w:r>
      <w:r>
        <w:rPr>
          <w:kern w:val="0"/>
          <w:szCs w:val="21"/>
        </w:rPr>
        <w:t>Cy</w:t>
      </w:r>
      <w:r>
        <w:rPr>
          <w:rFonts w:hint="eastAsia"/>
          <w:kern w:val="0"/>
          <w:szCs w:val="21"/>
        </w:rPr>
        <w:t>之内；</w:t>
      </w:r>
    </w:p>
    <w:p>
      <w:pPr>
        <w:spacing w:line="360" w:lineRule="auto"/>
        <w:ind w:firstLine="420" w:firstLineChars="200"/>
        <w:rPr>
          <w:kern w:val="0"/>
          <w:szCs w:val="21"/>
        </w:rPr>
      </w:pPr>
      <w:r>
        <w:rPr>
          <w:rFonts w:hint="eastAsia"/>
          <w:kern w:val="0"/>
          <w:szCs w:val="21"/>
        </w:rPr>
        <w:t>驱动方式：恒流驱动，电源适应性在</w:t>
      </w:r>
      <w:r>
        <w:rPr>
          <w:kern w:val="0"/>
          <w:szCs w:val="21"/>
        </w:rPr>
        <w:t>AC85</w:t>
      </w:r>
      <w:r>
        <w:rPr>
          <w:rFonts w:hint="eastAsia"/>
          <w:kern w:val="0"/>
          <w:szCs w:val="21"/>
        </w:rPr>
        <w:t>－</w:t>
      </w:r>
      <w:r>
        <w:rPr>
          <w:kern w:val="0"/>
          <w:szCs w:val="21"/>
        </w:rPr>
        <w:t>264V(50-60HZ)</w:t>
      </w:r>
      <w:r>
        <w:rPr>
          <w:rFonts w:hint="eastAsia"/>
          <w:kern w:val="0"/>
          <w:szCs w:val="21"/>
        </w:rPr>
        <w:t>，</w:t>
      </w:r>
    </w:p>
    <w:p>
      <w:pPr>
        <w:spacing w:line="360" w:lineRule="auto"/>
        <w:ind w:firstLine="420" w:firstLineChars="200"/>
        <w:rPr>
          <w:rFonts w:hint="eastAsia"/>
          <w:kern w:val="0"/>
          <w:szCs w:val="21"/>
        </w:rPr>
      </w:pPr>
      <w:r>
        <w:rPr>
          <w:rFonts w:hint="eastAsia"/>
          <w:kern w:val="0"/>
          <w:szCs w:val="21"/>
        </w:rPr>
        <w:t>每平方米最大功耗≤650W，每平方米平均功耗≤217W</w:t>
      </w:r>
    </w:p>
    <w:p>
      <w:pPr>
        <w:spacing w:line="360" w:lineRule="auto"/>
        <w:ind w:firstLine="422" w:firstLineChars="200"/>
        <w:rPr>
          <w:rFonts w:hint="eastAsia"/>
          <w:b/>
          <w:bCs/>
          <w:kern w:val="0"/>
          <w:szCs w:val="21"/>
          <w:u w:val="single"/>
        </w:rPr>
      </w:pPr>
      <w:r>
        <w:rPr>
          <w:rFonts w:hint="eastAsia"/>
          <w:b/>
          <w:bCs/>
          <w:kern w:val="0"/>
          <w:szCs w:val="21"/>
          <w:u w:val="single"/>
        </w:rPr>
        <w:t>屏幕表面防护等级IP65，提供具备CANS资质的第三方权威检测机构出具的的检测报告复印件（报告需包含检测的条件要求）加盖制造厂商公章</w:t>
      </w:r>
    </w:p>
    <w:p>
      <w:pPr>
        <w:spacing w:line="360" w:lineRule="auto"/>
        <w:ind w:firstLine="422" w:firstLineChars="200"/>
        <w:rPr>
          <w:rFonts w:hint="eastAsia"/>
          <w:b/>
          <w:bCs/>
          <w:kern w:val="0"/>
          <w:szCs w:val="21"/>
          <w:u w:val="single"/>
        </w:rPr>
      </w:pPr>
      <w:r>
        <w:rPr>
          <w:rFonts w:hint="eastAsia"/>
          <w:b/>
          <w:bCs/>
          <w:kern w:val="0"/>
          <w:szCs w:val="21"/>
          <w:u w:val="single"/>
        </w:rPr>
        <w:t>投标时提供本项目COB显示屏3C认证证书复印件加盖原厂公章</w:t>
      </w:r>
    </w:p>
    <w:p>
      <w:pPr>
        <w:spacing w:line="360" w:lineRule="auto"/>
        <w:ind w:firstLine="422" w:firstLineChars="200"/>
        <w:rPr>
          <w:rFonts w:hint="eastAsia"/>
          <w:b/>
          <w:bCs/>
          <w:kern w:val="0"/>
          <w:szCs w:val="21"/>
          <w:u w:val="single"/>
        </w:rPr>
      </w:pPr>
      <w:r>
        <w:rPr>
          <w:rFonts w:hint="eastAsia"/>
          <w:b/>
          <w:bCs/>
          <w:kern w:val="0"/>
          <w:szCs w:val="21"/>
          <w:u w:val="single"/>
        </w:rPr>
        <w:t>投标时提供本项目COB显示屏技术发明专利文件复印件加盖原厂公章</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拼控器</w:t>
      </w:r>
    </w:p>
    <w:p>
      <w:pPr>
        <w:spacing w:line="360" w:lineRule="auto"/>
        <w:ind w:left="420"/>
        <w:rPr>
          <w:kern w:val="0"/>
          <w:szCs w:val="21"/>
        </w:rPr>
      </w:pPr>
      <w:r>
        <w:rPr>
          <w:rFonts w:hint="eastAsia"/>
          <w:kern w:val="0"/>
          <w:szCs w:val="21"/>
        </w:rPr>
        <w:t>7U标准机箱</w:t>
      </w:r>
    </w:p>
    <w:p>
      <w:pPr>
        <w:spacing w:line="360" w:lineRule="auto"/>
        <w:ind w:left="420"/>
        <w:rPr>
          <w:kern w:val="0"/>
          <w:szCs w:val="21"/>
        </w:rPr>
      </w:pPr>
      <w:r>
        <w:rPr>
          <w:rFonts w:hint="eastAsia"/>
          <w:kern w:val="0"/>
          <w:szCs w:val="21"/>
        </w:rPr>
        <w:t>标准机架式设计，运营级ATCA机箱系统</w:t>
      </w:r>
    </w:p>
    <w:p>
      <w:pPr>
        <w:spacing w:line="360" w:lineRule="auto"/>
        <w:ind w:left="420"/>
        <w:rPr>
          <w:kern w:val="0"/>
          <w:szCs w:val="21"/>
        </w:rPr>
      </w:pPr>
      <w:r>
        <w:rPr>
          <w:rFonts w:hint="eastAsia"/>
          <w:kern w:val="0"/>
          <w:szCs w:val="21"/>
        </w:rPr>
        <w:t>视频输入口：8路视频输入，DVI口；</w:t>
      </w:r>
    </w:p>
    <w:p>
      <w:pPr>
        <w:spacing w:line="360" w:lineRule="auto"/>
        <w:ind w:left="420"/>
        <w:rPr>
          <w:kern w:val="0"/>
          <w:szCs w:val="21"/>
        </w:rPr>
      </w:pPr>
      <w:r>
        <w:rPr>
          <w:rFonts w:hint="eastAsia"/>
          <w:kern w:val="0"/>
          <w:szCs w:val="21"/>
        </w:rPr>
        <w:t>音频输入口：8路音频输入，1个DB15转BNC接口；</w:t>
      </w:r>
    </w:p>
    <w:p>
      <w:pPr>
        <w:spacing w:line="360" w:lineRule="auto"/>
        <w:ind w:left="420"/>
        <w:rPr>
          <w:kern w:val="0"/>
          <w:szCs w:val="21"/>
        </w:rPr>
      </w:pPr>
      <w:r>
        <w:rPr>
          <w:rFonts w:hint="eastAsia"/>
          <w:kern w:val="0"/>
          <w:szCs w:val="21"/>
        </w:rPr>
        <w:t>编码标准：标准H.264；</w:t>
      </w:r>
    </w:p>
    <w:p>
      <w:pPr>
        <w:spacing w:line="360" w:lineRule="auto"/>
        <w:ind w:left="420"/>
        <w:rPr>
          <w:kern w:val="0"/>
          <w:szCs w:val="21"/>
        </w:rPr>
      </w:pPr>
      <w:r>
        <w:rPr>
          <w:rFonts w:hint="eastAsia"/>
          <w:kern w:val="0"/>
          <w:szCs w:val="21"/>
        </w:rPr>
        <w:t>编码能力：8路，支持的编码分辨率为：1080P/720P/4CIF/CIF/QCIF；</w:t>
      </w:r>
    </w:p>
    <w:p>
      <w:pPr>
        <w:spacing w:line="360" w:lineRule="auto"/>
        <w:ind w:left="420"/>
        <w:rPr>
          <w:kern w:val="0"/>
          <w:szCs w:val="21"/>
        </w:rPr>
      </w:pPr>
      <w:r>
        <w:rPr>
          <w:rFonts w:hint="eastAsia"/>
          <w:kern w:val="0"/>
          <w:szCs w:val="21"/>
        </w:rPr>
        <w:t>8个DVI输出口；</w:t>
      </w:r>
    </w:p>
    <w:p>
      <w:pPr>
        <w:spacing w:line="360" w:lineRule="auto"/>
        <w:ind w:left="420"/>
        <w:rPr>
          <w:kern w:val="0"/>
          <w:szCs w:val="21"/>
        </w:rPr>
      </w:pPr>
      <w:r>
        <w:rPr>
          <w:rFonts w:hint="eastAsia"/>
          <w:kern w:val="0"/>
          <w:szCs w:val="21"/>
        </w:rPr>
        <w:t>1个DB15转8路音频输出；</w:t>
      </w:r>
    </w:p>
    <w:p>
      <w:pPr>
        <w:spacing w:line="360" w:lineRule="auto"/>
        <w:ind w:left="420"/>
        <w:rPr>
          <w:kern w:val="0"/>
          <w:szCs w:val="21"/>
        </w:rPr>
      </w:pPr>
      <w:r>
        <w:rPr>
          <w:rFonts w:hint="eastAsia"/>
          <w:kern w:val="0"/>
          <w:szCs w:val="21"/>
        </w:rPr>
        <w:t>支持小间距全彩显示屏，分辨率适应性更佳</w:t>
      </w:r>
    </w:p>
    <w:p>
      <w:pPr>
        <w:spacing w:line="360" w:lineRule="auto"/>
        <w:ind w:left="420"/>
        <w:rPr>
          <w:kern w:val="0"/>
          <w:szCs w:val="21"/>
        </w:rPr>
      </w:pPr>
      <w:r>
        <w:rPr>
          <w:rFonts w:hint="eastAsia"/>
          <w:kern w:val="0"/>
          <w:szCs w:val="21"/>
        </w:rPr>
        <w:t>支持16路800W/64路1080P/128路720P/256路4CIF解码H.264/H.265解码；</w:t>
      </w:r>
    </w:p>
    <w:p>
      <w:pPr>
        <w:spacing w:line="360" w:lineRule="auto"/>
        <w:ind w:left="420"/>
        <w:rPr>
          <w:kern w:val="0"/>
          <w:szCs w:val="21"/>
        </w:rPr>
      </w:pPr>
      <w:r>
        <w:rPr>
          <w:rFonts w:hint="eastAsia"/>
          <w:kern w:val="0"/>
          <w:szCs w:val="21"/>
        </w:rPr>
        <w:t>支持大屏拼接漫游；</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中心后台存储扩容</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概述</w:t>
      </w:r>
    </w:p>
    <w:p>
      <w:pPr>
        <w:spacing w:line="360" w:lineRule="auto"/>
        <w:ind w:firstLine="420" w:firstLineChars="200"/>
        <w:rPr>
          <w:lang w:val="zh-CN"/>
        </w:rPr>
      </w:pPr>
      <w:r>
        <w:rPr>
          <w:rFonts w:hint="eastAsia"/>
          <w:lang w:val="zh-CN"/>
        </w:rPr>
        <w:t>云存储系统可以同时应用于视频、图片混合存储，承担整个系统内的视频/图片的数据写入/读取工作。云存储系统一方面采用了基于云架构的分布式集群设计和虚拟化设计，在系统内部实现了多设备协同工作、性能和资源的虚拟整合，最大限度利用了硬件资源和存储空间。另一方面，通过将云存储的存储功能、管理功能进行打包，通过开放透明的应用接口和简单易用的管理界面，与上层应用平台整合后，为整个</w:t>
      </w:r>
      <w:r>
        <w:rPr>
          <w:rFonts w:hint="eastAsia"/>
        </w:rPr>
        <w:t>智能交通</w:t>
      </w:r>
      <w:r>
        <w:rPr>
          <w:rFonts w:hint="eastAsia"/>
          <w:lang w:val="zh-CN"/>
        </w:rPr>
        <w:t>系统提供了高效、可靠的数据存储服务。</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建设内容</w:t>
      </w:r>
    </w:p>
    <w:p>
      <w:pPr>
        <w:spacing w:line="360" w:lineRule="auto"/>
        <w:ind w:firstLine="420" w:firstLineChars="200"/>
      </w:pPr>
      <w:r>
        <w:rPr>
          <w:rFonts w:hint="eastAsia"/>
        </w:rPr>
        <w:t>对指挥中心存储容量、服务器进行扩容：视频云存储主机</w:t>
      </w:r>
      <w:r>
        <w:t>6</w:t>
      </w:r>
      <w:r>
        <w:rPr>
          <w:rFonts w:hint="eastAsia"/>
        </w:rPr>
        <w:t>台，专网图片云存储主机</w:t>
      </w:r>
      <w:r>
        <w:t>2</w:t>
      </w:r>
      <w:r>
        <w:rPr>
          <w:rFonts w:hint="eastAsia"/>
        </w:rPr>
        <w:t>台，公安网违法存储主机1台，智慧交通应用服务器2台，数据库热备服务器2台，核心交换机1台，容灾备份与恢复系统1套等。</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后台存储系统功能</w:t>
      </w:r>
    </w:p>
    <w:p>
      <w:pPr>
        <w:numPr>
          <w:ilvl w:val="0"/>
          <w:numId w:val="13"/>
        </w:numPr>
        <w:spacing w:line="360" w:lineRule="auto"/>
        <w:rPr>
          <w:b/>
          <w:kern w:val="0"/>
          <w:szCs w:val="24"/>
        </w:rPr>
      </w:pPr>
      <w:r>
        <w:rPr>
          <w:rFonts w:hint="eastAsia"/>
          <w:b/>
          <w:kern w:val="0"/>
          <w:szCs w:val="24"/>
        </w:rPr>
        <w:t>视频存储功能</w:t>
      </w:r>
    </w:p>
    <w:p>
      <w:pPr>
        <w:spacing w:line="360" w:lineRule="auto"/>
        <w:ind w:firstLine="420" w:firstLineChars="200"/>
      </w:pPr>
      <w:r>
        <w:rPr>
          <w:rFonts w:hint="eastAsia"/>
        </w:rPr>
        <w:t>视频录像、视频检索、视频回放、视频下载、视频锁定、视频标注、视频删除、周期覆盖。</w:t>
      </w:r>
    </w:p>
    <w:p>
      <w:pPr>
        <w:numPr>
          <w:ilvl w:val="0"/>
          <w:numId w:val="13"/>
        </w:numPr>
        <w:spacing w:line="360" w:lineRule="auto"/>
        <w:rPr>
          <w:b/>
          <w:kern w:val="0"/>
          <w:szCs w:val="24"/>
        </w:rPr>
      </w:pPr>
      <w:r>
        <w:rPr>
          <w:rFonts w:hint="eastAsia"/>
          <w:b/>
          <w:kern w:val="0"/>
          <w:szCs w:val="24"/>
        </w:rPr>
        <w:t>图片存储功能</w:t>
      </w:r>
    </w:p>
    <w:p>
      <w:pPr>
        <w:spacing w:line="360" w:lineRule="auto"/>
        <w:ind w:firstLine="420" w:firstLineChars="200"/>
      </w:pPr>
      <w:r>
        <w:rPr>
          <w:rFonts w:hint="eastAsia"/>
        </w:rPr>
        <w:t>图片写入、图片下载、图片压缩、图片锁定、图片删除、周期覆盖。</w:t>
      </w:r>
    </w:p>
    <w:p>
      <w:pPr>
        <w:numPr>
          <w:ilvl w:val="0"/>
          <w:numId w:val="13"/>
        </w:numPr>
        <w:spacing w:line="360" w:lineRule="auto"/>
        <w:rPr>
          <w:b/>
          <w:kern w:val="0"/>
          <w:szCs w:val="24"/>
        </w:rPr>
      </w:pPr>
      <w:r>
        <w:rPr>
          <w:rFonts w:hint="eastAsia"/>
          <w:b/>
          <w:kern w:val="0"/>
          <w:szCs w:val="24"/>
        </w:rPr>
        <w:t>录像管理功能</w:t>
      </w:r>
    </w:p>
    <w:p>
      <w:pPr>
        <w:spacing w:line="360" w:lineRule="auto"/>
        <w:ind w:firstLine="420" w:firstLineChars="200"/>
      </w:pPr>
      <w:r>
        <w:rPr>
          <w:rFonts w:hint="eastAsia"/>
        </w:rPr>
        <w:t>录像计划管理、录像计划执行、移动侦测录像、事件录像。</w:t>
      </w:r>
    </w:p>
    <w:p>
      <w:pPr>
        <w:numPr>
          <w:ilvl w:val="0"/>
          <w:numId w:val="13"/>
        </w:numPr>
        <w:spacing w:line="360" w:lineRule="auto"/>
        <w:rPr>
          <w:b/>
          <w:kern w:val="0"/>
          <w:szCs w:val="24"/>
        </w:rPr>
      </w:pPr>
      <w:r>
        <w:rPr>
          <w:rFonts w:hint="eastAsia"/>
          <w:b/>
          <w:kern w:val="0"/>
          <w:szCs w:val="24"/>
        </w:rPr>
        <w:t>系统管理功能</w:t>
      </w:r>
    </w:p>
    <w:p>
      <w:pPr>
        <w:spacing w:line="360" w:lineRule="auto"/>
        <w:ind w:firstLine="420" w:firstLineChars="200"/>
      </w:pPr>
      <w:r>
        <w:rPr>
          <w:rFonts w:hint="eastAsia"/>
        </w:rPr>
        <w:t>集群化管理、负载均衡管理、虚拟化管理、自动精简管理、分散存储管理、存储空间管理。</w:t>
      </w:r>
    </w:p>
    <w:p>
      <w:pPr>
        <w:numPr>
          <w:ilvl w:val="0"/>
          <w:numId w:val="13"/>
        </w:numPr>
        <w:spacing w:line="360" w:lineRule="auto"/>
        <w:rPr>
          <w:b/>
          <w:kern w:val="0"/>
          <w:szCs w:val="24"/>
        </w:rPr>
      </w:pPr>
      <w:r>
        <w:rPr>
          <w:rFonts w:hint="eastAsia"/>
          <w:b/>
          <w:kern w:val="0"/>
          <w:szCs w:val="24"/>
        </w:rPr>
        <w:t>运维管理功能</w:t>
      </w:r>
    </w:p>
    <w:p>
      <w:pPr>
        <w:spacing w:line="360" w:lineRule="auto"/>
        <w:ind w:firstLine="420" w:firstLineChars="200"/>
      </w:pPr>
      <w:r>
        <w:rPr>
          <w:rFonts w:hint="eastAsia"/>
        </w:rPr>
        <w:t>系统信息获取、系统故障告警、存储设备告警、标准协议对接</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p>
    <w:p>
      <w:pPr>
        <w:pStyle w:val="2"/>
        <w:rPr>
          <w:rFonts w:hint="eastAsia"/>
          <w:lang w:val="en-US" w:eastAsia="zh-CN"/>
        </w:rPr>
      </w:pP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容灾备份与恢复系统功能</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362"/>
        <w:gridCol w:w="6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restart"/>
            <w:shd w:val="clear" w:color="000000" w:fill="FFFFFF"/>
            <w:noWrap w:val="0"/>
            <w:vAlign w:val="center"/>
          </w:tcPr>
          <w:p>
            <w:pPr>
              <w:widowControl/>
              <w:spacing w:line="360" w:lineRule="auto"/>
              <w:jc w:val="center"/>
              <w:rPr>
                <w:rFonts w:ascii="宋体" w:hAnsi="宋体" w:cs="Tahoma"/>
                <w:kern w:val="0"/>
                <w:szCs w:val="21"/>
              </w:rPr>
            </w:pPr>
            <w:r>
              <w:rPr>
                <w:rFonts w:hint="eastAsia" w:ascii="宋体" w:hAnsi="宋体" w:cs="Tahoma"/>
                <w:kern w:val="0"/>
                <w:szCs w:val="21"/>
              </w:rPr>
              <w:t>备份恢复</w:t>
            </w:r>
          </w:p>
        </w:tc>
        <w:tc>
          <w:tcPr>
            <w:tcW w:w="1362"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备份兼容性</w:t>
            </w: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备份系统支持Windows/Linux操作系统，满足对32/64位系统平台及应用支持，满足IT系统复杂性和兼容性需求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备份方式</w:t>
            </w: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支持LAN、LAN-free等多种备份方式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备份安全性</w:t>
            </w: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备份系统为专用基于Linux的64位嵌入式系统，减少病毒感染几率，确保系统稳定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vMerge w:val="restart"/>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同步备份</w:t>
            </w:r>
          </w:p>
        </w:tc>
        <w:tc>
          <w:tcPr>
            <w:tcW w:w="6584" w:type="dxa"/>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产品可实现对物理机环境以及虚拟机环境的的一体化保护（一个备份模块，无需单独配置其他备份模块），实现对机房重要系统的统一备份与管理；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6584" w:type="dxa"/>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产品能实现对应用服务器的一体化备份，实现对服务器上隐藏分区、操作系统分区、数据分区等所有分区一体化直接实时备份成虚拟化磁盘镜像格式(无需第三方工具转换)；</w:t>
            </w:r>
            <w:r>
              <w:rPr>
                <w:rFonts w:hint="eastAsia" w:ascii="宋体" w:hAnsi="宋体" w:cs="Tahoma"/>
                <w:kern w:val="0"/>
                <w:szCs w:val="21"/>
              </w:rPr>
              <w:br w:type="textWrapping"/>
            </w:r>
            <w:r>
              <w:rPr>
                <w:rFonts w:hint="eastAsia" w:ascii="宋体" w:hAnsi="宋体" w:cs="Tahoma"/>
                <w:kern w:val="0"/>
                <w:szCs w:val="21"/>
              </w:rPr>
              <w:t>千兆网环境初始化备份，任何类型应用和数据都能保持速度不低于60MB/s；</w:t>
            </w:r>
            <w:r>
              <w:rPr>
                <w:rFonts w:hint="eastAsia" w:ascii="宋体" w:hAnsi="宋体" w:cs="Tahoma"/>
                <w:kern w:val="0"/>
                <w:szCs w:val="21"/>
              </w:rPr>
              <w:br w:type="textWrapping"/>
            </w:r>
            <w:r>
              <w:rPr>
                <w:rFonts w:hint="eastAsia" w:ascii="宋体" w:hAnsi="宋体" w:cs="Tahoma"/>
                <w:kern w:val="0"/>
                <w:szCs w:val="21"/>
              </w:rPr>
              <w:t>基于磁盘卷变化增量复制，复制系统卷分区大小，属性，权限，加密等要必须完全一致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6584" w:type="dxa"/>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采用块级复制技术，支持数据的增量备份，系统能实现将包括系统、应用以及数据在内的整机直接实时备份成虚拟化磁盘镜像格式，可实现数据的秒级同步；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6584" w:type="dxa"/>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支持对备份数据的快照功能，支持保留不同时间版本的备份数据；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6584" w:type="dxa"/>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支持对备份数据的安全删除策略设置，支持对备份数据集阀值设置；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6584" w:type="dxa"/>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支持对备份速度的限速以及备份资源消耗的限制功能，支持对同步时间段设置；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6584" w:type="dxa"/>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支持将本地备份数据可远程复制到异地，当本地发生场地灾难时，依旧可以通过异地的备份数据进行恢复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6584" w:type="dxa"/>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支持1对1及1对多的多种方式远程复制，最大限度的满足多分支机构的异地数据容灾需要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6584" w:type="dxa"/>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支持断点续传特性，当远程复制过程中出现中断时，恢复正常后可基于上一次断点处进行续传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6584" w:type="dxa"/>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支持流量限速及固定时段暂停传输，当远程复制链路资源比较紧张时，可通过流量限速和在固定时段内暂停远程复制以减小对正常业务的影响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支持整机备份、文件备份以及数据库单独备份等多种备份功能，整机备份支持全盘备份与增量备份，文件备份与数据库备份支持全备份、增量备份以及差异备份等多种模式；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支持主动和被动备份模式，可根据客户端不同和数据隐私性要求，支持客户自行选择备份和管理端发布备份任务两种模式。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支持备份任务自动识别客户端特殊文件夹功能，桌面、我的文档、邮件等；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支持文件过滤功能，通过自定义策略设备，支持对备份文件类型以及不备份文件类型过滤设置功能。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支持备份加密，备份数据能提供多重数据保护机制，对备份数据的标准算法加密功能，如口令密码和USBkey保护等，包括对数据在传输过程中和存储过程中的加密。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支持账户空间配额管理功能，针对客户端账号提供空间配额功能，账户空间配额支持动态划分。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vMerge w:val="restart"/>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业务恢复</w:t>
            </w: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备份数据的远程挂载，备份的格式文件中任何时间点的硬盘分区远程挂载任意设备上，从而实现小文件和单个库文件的恢复。挂载分区属性大小等与原机保持完全一致。直接通过文件拷贝的方式即可实现对单个文件的颗粒级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支持对备份业务系统的分区恢复功能，可直接进行系统分区或者数据分区的单个分区的数据恢复；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提供对备份业务系统的整机恢复功能，可直接实现操作系统、应用环境以及生产数据的一体化整体恢复；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产品支持对不同品牌不同型号不同配置服务器的本地/远程恢复功能，可直接将故障生产系统整机本地/远程恢复到不同品牌不同型号不同配置的服务器上，恢复包括操作系统、应用环境以及生产数据等所有数据，恢复完成之后，开机即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支持按时间点恢复、文件恢复、下载恢复、无缝恢复，支持基于文件名及扩展名等搜索恢复功能。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支持利用CS客户端直接打开备份单个文档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GIS分级管理</w:t>
            </w: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支持基于地图，多系统集中管控，实时信息采集和展示。</w:t>
            </w:r>
            <w:r>
              <w:rPr>
                <w:rFonts w:hint="eastAsia" w:ascii="宋体" w:hAnsi="宋体" w:cs="Tahoma"/>
                <w:kern w:val="0"/>
                <w:szCs w:val="21"/>
              </w:rPr>
              <w:br w:type="textWrapping"/>
            </w:r>
            <w:r>
              <w:rPr>
                <w:rFonts w:hint="eastAsia" w:ascii="宋体" w:hAnsi="宋体" w:cs="Tahoma"/>
                <w:kern w:val="0"/>
                <w:szCs w:val="21"/>
              </w:rPr>
              <w:t>提供精准区域故障报警功能及系统资源分布情况信息。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仿真测试</w:t>
            </w: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平台能模拟机房内任何X86应用环境，一键可仿真原应用生产环境（系统+数据）。可同时启动多个时间版本，整个测试过程对平台作业和生产业务无任何影响。可对测试过程进行手动/自动的流程化记录保存，包括截图、日志等形式，对测试进行全流程管理。支持用户同一套业务包含多台主机的整套环境的模拟；不接受手动搭建、配置任何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vMerge w:val="restart"/>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应急接管</w:t>
            </w: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基于备份即接管方式；支持业务整机备份成虚拟化映像文件，自动分配计算资源，自动桥接网络。不接受预先搭建业务环境方式接管。提供相关技术证明复印件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单台设备须支持50台以上应用设备中任意多台设备故障接管能力；接管业务环境必须保持操作系统，磁盘分区结构，程序配置，加密环境，IP，MAC等与源机完全一致。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 xml:space="preserve">支持业务基于图形化时间轴系统回切，从任意时间点（最短秒级）创建应急接管主机能力，支持自动接管能力；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114" w:type="dxa"/>
            <w:vMerge w:val="continue"/>
            <w:shd w:val="clear" w:color="auto" w:fill="auto"/>
            <w:noWrap w:val="0"/>
            <w:vAlign w:val="center"/>
          </w:tcPr>
          <w:p>
            <w:pPr>
              <w:widowControl/>
              <w:spacing w:line="360" w:lineRule="auto"/>
              <w:jc w:val="left"/>
              <w:rPr>
                <w:rFonts w:ascii="宋体" w:hAnsi="宋体" w:cs="Tahoma"/>
                <w:kern w:val="0"/>
                <w:szCs w:val="21"/>
              </w:rPr>
            </w:pPr>
          </w:p>
        </w:tc>
        <w:tc>
          <w:tcPr>
            <w:tcW w:w="1362" w:type="dxa"/>
            <w:shd w:val="clear" w:color="000000" w:fill="FFFFFF"/>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业务预警</w:t>
            </w: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平台能够监测服务器CPU/内存/网络/IO等性能，对数据库/中间件等其他应用能够监控运行状况；能够模拟用户访问方式对各种应用服务提供运行安全监控，支持用户自定义数据库、应用监控脚本的运行。并提供基于事件的统计报表、生成图表，提供邮件、短信等通知手段。对备份系统各种状况进行统计和报警，并提供各种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4" w:type="dxa"/>
            <w:vMerge w:val="restart"/>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管理监控</w:t>
            </w:r>
          </w:p>
        </w:tc>
        <w:tc>
          <w:tcPr>
            <w:tcW w:w="1362"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管理方式</w:t>
            </w: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要求存储管理、存储快照复制管理、备份管理、远程复制管理、用户及权限管理等均在一个管理界面内，中文界面，基于WEB管理模式，易于管理与维护。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安全认证</w:t>
            </w: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支持USB-key用户身份加强验证，最大限度的确保系统安全；</w:t>
            </w:r>
            <w:r>
              <w:rPr>
                <w:rFonts w:hint="eastAsia" w:ascii="宋体" w:hAnsi="宋体" w:cs="Tahoma"/>
                <w:kern w:val="0"/>
                <w:szCs w:val="21"/>
              </w:rPr>
              <w:br w:type="textWrapping"/>
            </w:r>
            <w:r>
              <w:rPr>
                <w:rFonts w:hint="eastAsia" w:ascii="宋体" w:hAnsi="宋体" w:cs="Tahoma"/>
                <w:kern w:val="0"/>
                <w:szCs w:val="21"/>
              </w:rPr>
              <w:t>支持https方式登录，确保登录安全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restart"/>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用户管理</w:t>
            </w: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具备管理员和审计管理员双管理员角色，保持和备份系统的权限独立；</w:t>
            </w:r>
            <w:r>
              <w:rPr>
                <w:rFonts w:hint="eastAsia" w:ascii="宋体" w:hAnsi="宋体" w:cs="Tahoma"/>
                <w:kern w:val="0"/>
                <w:szCs w:val="21"/>
              </w:rPr>
              <w:br w:type="textWrapping"/>
            </w:r>
            <w:r>
              <w:rPr>
                <w:rFonts w:hint="eastAsia" w:ascii="宋体" w:hAnsi="宋体" w:cs="Tahoma"/>
                <w:kern w:val="0"/>
                <w:szCs w:val="21"/>
              </w:rPr>
              <w:t>审计管理员则可以进行备份内容审计、备份系统安全性审计和备份行为审计，以保证备份的安全性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支持自主备份、强制备份等多种备份需求，支持对数据和操作系统备份管理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支持备份提醒，支持浮动进度条方式提示用户备份进度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restart"/>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告警方式</w:t>
            </w: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支持以邮件或短信告警的方式，针对于备份存储系统的硬件故障、软件故障等等信息及时通知管理员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支持通过原厂商或第三方服务供应商提供的统一远程监管平台，对备份存储系统的软件故障和硬件故障及日常运行信息及时传回原厂商或第三方服务供应商，得到第一时间的技术支持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restart"/>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性能监控</w:t>
            </w: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提供服务端性能监控功能，通过控制界面可实时监控服务端CPU、内存以及存储空间的占用情况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提供客户端系统运行监控系统，通过控制界面可实时监控客户端系统运行状态，包括在线、通讯断开以及离线等功能；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vMerge w:val="continue"/>
            <w:noWrap w:val="0"/>
            <w:vAlign w:val="center"/>
          </w:tcPr>
          <w:p>
            <w:pPr>
              <w:widowControl/>
              <w:spacing w:line="360" w:lineRule="auto"/>
              <w:jc w:val="left"/>
              <w:rPr>
                <w:rFonts w:ascii="宋体" w:hAnsi="宋体" w:cs="Tahoma"/>
                <w:kern w:val="0"/>
                <w:szCs w:val="21"/>
              </w:rPr>
            </w:pPr>
          </w:p>
        </w:tc>
        <w:tc>
          <w:tcPr>
            <w:tcW w:w="6584"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提供客户端的磁盘运行监控功能，通过控制界面可实时了解客户端磁盘运行温度以及状况。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4" w:type="dxa"/>
            <w:vMerge w:val="continue"/>
            <w:noWrap w:val="0"/>
            <w:vAlign w:val="center"/>
          </w:tcPr>
          <w:p>
            <w:pPr>
              <w:widowControl/>
              <w:spacing w:line="360" w:lineRule="auto"/>
              <w:jc w:val="left"/>
              <w:rPr>
                <w:rFonts w:ascii="宋体" w:hAnsi="宋体" w:cs="Tahoma"/>
                <w:kern w:val="0"/>
                <w:szCs w:val="21"/>
              </w:rPr>
            </w:pPr>
          </w:p>
        </w:tc>
        <w:tc>
          <w:tcPr>
            <w:tcW w:w="1362" w:type="dxa"/>
            <w:noWrap w:val="0"/>
            <w:vAlign w:val="center"/>
          </w:tcPr>
          <w:p>
            <w:pPr>
              <w:widowControl/>
              <w:spacing w:line="360" w:lineRule="auto"/>
              <w:jc w:val="left"/>
              <w:rPr>
                <w:rFonts w:ascii="宋体" w:hAnsi="宋体" w:cs="Tahoma"/>
                <w:kern w:val="0"/>
                <w:szCs w:val="21"/>
              </w:rPr>
            </w:pPr>
            <w:r>
              <w:rPr>
                <w:rFonts w:hint="eastAsia" w:ascii="宋体" w:hAnsi="宋体" w:cs="Tahoma"/>
                <w:kern w:val="0"/>
                <w:szCs w:val="21"/>
              </w:rPr>
              <w:t>授权模式</w:t>
            </w:r>
          </w:p>
        </w:tc>
        <w:tc>
          <w:tcPr>
            <w:tcW w:w="6584" w:type="dxa"/>
            <w:noWrap w:val="0"/>
            <w:vAlign w:val="center"/>
          </w:tcPr>
          <w:p>
            <w:pPr>
              <w:widowControl/>
              <w:spacing w:line="360" w:lineRule="auto"/>
              <w:jc w:val="left"/>
              <w:rPr>
                <w:rFonts w:ascii="宋体" w:hAnsi="宋体" w:cs="Tahoma"/>
                <w:b/>
                <w:kern w:val="0"/>
                <w:szCs w:val="21"/>
              </w:rPr>
            </w:pPr>
            <w:r>
              <w:rPr>
                <w:rFonts w:hint="eastAsia" w:ascii="宋体" w:hAnsi="宋体"/>
                <w:b/>
              </w:rPr>
              <w:t>▲</w:t>
            </w:r>
            <w:r>
              <w:rPr>
                <w:rFonts w:hint="eastAsia" w:ascii="宋体" w:hAnsi="宋体" w:cs="Tahoma"/>
                <w:b/>
                <w:kern w:val="0"/>
                <w:szCs w:val="21"/>
              </w:rPr>
              <w:t xml:space="preserve">本次配置5台物理机授权或10台虚拟机授权   </w:t>
            </w:r>
          </w:p>
        </w:tc>
      </w:tr>
    </w:tbl>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bookmarkStart w:id="11" w:name="_Toc9536"/>
      <w:r>
        <w:rPr>
          <w:rFonts w:hint="eastAsia" w:ascii="宋体" w:hAnsi="宋体" w:cs="宋体"/>
          <w:b/>
          <w:bCs/>
          <w:kern w:val="44"/>
          <w:sz w:val="21"/>
          <w:szCs w:val="21"/>
          <w:lang w:val="en-US" w:eastAsia="zh-CN" w:bidi="ar-SA"/>
        </w:rPr>
        <w:t>主要设备参数</w:t>
      </w:r>
      <w:bookmarkEnd w:id="11"/>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专网视频云存储主机</w:t>
      </w:r>
    </w:p>
    <w:p>
      <w:pPr>
        <w:spacing w:line="360" w:lineRule="auto"/>
        <w:ind w:left="420"/>
        <w:rPr>
          <w:kern w:val="0"/>
          <w:szCs w:val="21"/>
        </w:rPr>
      </w:pPr>
      <w:r>
        <w:rPr>
          <w:rFonts w:hint="eastAsia"/>
          <w:kern w:val="0"/>
          <w:szCs w:val="21"/>
        </w:rPr>
        <w:t>单设备应配置≥64位多核处理器，≥4GB内存，内存支持扩展到≥64GB，需配置冗余金牌电源，支持双系统（其中电源仅以照片证明即可）；</w:t>
      </w:r>
    </w:p>
    <w:p>
      <w:pPr>
        <w:spacing w:line="360" w:lineRule="auto"/>
        <w:ind w:left="420"/>
        <w:rPr>
          <w:kern w:val="0"/>
          <w:szCs w:val="21"/>
        </w:rPr>
      </w:pPr>
      <w:r>
        <w:rPr>
          <w:rFonts w:hint="eastAsia"/>
          <w:kern w:val="0"/>
          <w:szCs w:val="21"/>
        </w:rPr>
        <w:t>单设备应标配≥2个千兆网口，可增扩≥4个万兆口或≥8个光纤接口或增配≥4个HDMI接口或≥2个SAS3.0接口，可扩展2个SSD固态硬盘；</w:t>
      </w:r>
    </w:p>
    <w:p>
      <w:pPr>
        <w:spacing w:line="360" w:lineRule="auto"/>
        <w:ind w:left="420"/>
        <w:rPr>
          <w:kern w:val="0"/>
          <w:szCs w:val="21"/>
        </w:rPr>
      </w:pPr>
      <w:r>
        <w:rPr>
          <w:rFonts w:hint="eastAsia"/>
          <w:kern w:val="0"/>
          <w:szCs w:val="21"/>
        </w:rPr>
        <w:t>应支持FCSAN、IPSAN、NAS存储功能；</w:t>
      </w:r>
    </w:p>
    <w:p>
      <w:pPr>
        <w:spacing w:line="360" w:lineRule="auto"/>
        <w:ind w:left="420"/>
        <w:rPr>
          <w:kern w:val="0"/>
          <w:szCs w:val="21"/>
        </w:rPr>
      </w:pPr>
      <w:r>
        <w:rPr>
          <w:rFonts w:hint="eastAsia"/>
          <w:kern w:val="0"/>
          <w:szCs w:val="21"/>
        </w:rPr>
        <w:t>可接入2T/3T/4T/6T/8T/10TSATA磁盘，支持磁盘交错启动和漫游，并支持在线热插拔；</w:t>
      </w:r>
    </w:p>
    <w:p>
      <w:pPr>
        <w:spacing w:line="360" w:lineRule="auto"/>
        <w:ind w:left="420"/>
        <w:rPr>
          <w:kern w:val="0"/>
          <w:szCs w:val="21"/>
        </w:rPr>
      </w:pPr>
      <w:r>
        <w:rPr>
          <w:rFonts w:hint="eastAsia"/>
          <w:kern w:val="0"/>
          <w:szCs w:val="21"/>
        </w:rPr>
        <w:t>可接入硬盘≥48块，支持SATA和SAS混插，并支持≥12级扩展柜级联扩展；</w:t>
      </w:r>
    </w:p>
    <w:p>
      <w:pPr>
        <w:spacing w:line="360" w:lineRule="auto"/>
        <w:ind w:left="420"/>
        <w:rPr>
          <w:kern w:val="0"/>
          <w:szCs w:val="21"/>
        </w:rPr>
      </w:pPr>
      <w:r>
        <w:rPr>
          <w:rFonts w:hint="eastAsia"/>
          <w:kern w:val="0"/>
          <w:szCs w:val="21"/>
        </w:rPr>
        <w:t>系统由管理节点和/或存储节点组成，且系统可扩容，增加管理或存储节点。在多节点系统中，任何一个存储节点出现故障，应不影响数据的正常存取；支持控制流与数据流分离，数据的存储或读取由存储节点并行读写。</w:t>
      </w:r>
    </w:p>
    <w:p>
      <w:pPr>
        <w:spacing w:line="360" w:lineRule="auto"/>
        <w:ind w:left="420"/>
        <w:rPr>
          <w:kern w:val="0"/>
          <w:szCs w:val="21"/>
        </w:rPr>
      </w:pPr>
      <w:r>
        <w:rPr>
          <w:rFonts w:hint="eastAsia"/>
          <w:kern w:val="0"/>
          <w:szCs w:val="21"/>
        </w:rPr>
        <w:t>支持分布式对称架构与非对称架构自由切换，即支持对称架构可升级为非对称架构。</w:t>
      </w:r>
    </w:p>
    <w:p>
      <w:pPr>
        <w:spacing w:line="360" w:lineRule="auto"/>
        <w:ind w:left="420"/>
        <w:rPr>
          <w:kern w:val="0"/>
          <w:szCs w:val="21"/>
        </w:rPr>
      </w:pPr>
      <w:r>
        <w:rPr>
          <w:rFonts w:hint="eastAsia"/>
          <w:kern w:val="0"/>
          <w:szCs w:val="21"/>
        </w:rPr>
        <w:t>管理节点支持单机、HA 主备、集群3 种工作模式，管理节点支持2N+1个节点构成的All-Active 集群方式，最大可支持17个节点，管理节点和存储节点都为对等工作模式对外提供服务，元数据副本数最大可达32个副本。</w:t>
      </w:r>
    </w:p>
    <w:p>
      <w:pPr>
        <w:spacing w:line="360" w:lineRule="auto"/>
        <w:ind w:left="420"/>
        <w:rPr>
          <w:kern w:val="0"/>
          <w:szCs w:val="21"/>
        </w:rPr>
      </w:pPr>
      <w:r>
        <w:rPr>
          <w:rFonts w:hint="eastAsia"/>
          <w:kern w:val="0"/>
          <w:szCs w:val="21"/>
        </w:rPr>
        <w:t>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w:t>
      </w:r>
    </w:p>
    <w:p>
      <w:pPr>
        <w:spacing w:line="360" w:lineRule="auto"/>
        <w:ind w:left="420"/>
        <w:rPr>
          <w:kern w:val="0"/>
          <w:szCs w:val="21"/>
        </w:rPr>
      </w:pPr>
      <w:r>
        <w:rPr>
          <w:rFonts w:hint="eastAsia"/>
          <w:kern w:val="0"/>
          <w:szCs w:val="21"/>
        </w:rPr>
        <w:t>一套云存储系统可对外提供多种类型数据混合存储，同时支持分布式流式存储，分布式对象存储、分布式文件存储、分布式块存储。</w:t>
      </w:r>
    </w:p>
    <w:p>
      <w:pPr>
        <w:spacing w:line="360" w:lineRule="auto"/>
        <w:ind w:left="420"/>
        <w:rPr>
          <w:kern w:val="0"/>
          <w:szCs w:val="21"/>
        </w:rPr>
      </w:pPr>
      <w:r>
        <w:rPr>
          <w:rFonts w:hint="eastAsia"/>
          <w:kern w:val="0"/>
          <w:szCs w:val="21"/>
        </w:rPr>
        <w:t>支持前端设备和存储设备之间直接存储，采用块级存储，不生成文件（即不使用文件系统），无碎片。</w:t>
      </w:r>
    </w:p>
    <w:p>
      <w:pPr>
        <w:spacing w:line="360" w:lineRule="auto"/>
        <w:ind w:left="420"/>
        <w:rPr>
          <w:kern w:val="0"/>
          <w:szCs w:val="21"/>
        </w:rPr>
      </w:pPr>
      <w:r>
        <w:rPr>
          <w:rFonts w:hint="eastAsia"/>
          <w:kern w:val="0"/>
          <w:szCs w:val="21"/>
        </w:rPr>
        <w:t>支持聚合下载，即并发从多台存储节点中下载某一个时间段录像、图片、智能结构化数据、文件</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专网图片云存储主机</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76" w:type="dxa"/>
            <w:vMerge w:val="restart"/>
            <w:noWrap w:val="0"/>
            <w:vAlign w:val="center"/>
          </w:tcPr>
          <w:p>
            <w:pPr>
              <w:jc w:val="center"/>
              <w:rPr>
                <w:rFonts w:ascii="宋体" w:hAnsi="黑体"/>
                <w:szCs w:val="21"/>
              </w:rPr>
            </w:pPr>
            <w:r>
              <w:rPr>
                <w:rFonts w:hint="eastAsia" w:ascii="宋体" w:hAnsi="黑体"/>
                <w:szCs w:val="21"/>
              </w:rPr>
              <w:t>系统架构</w:t>
            </w:r>
          </w:p>
        </w:tc>
        <w:tc>
          <w:tcPr>
            <w:tcW w:w="7722" w:type="dxa"/>
            <w:noWrap w:val="0"/>
            <w:vAlign w:val="center"/>
          </w:tcPr>
          <w:p>
            <w:pPr>
              <w:jc w:val="both"/>
              <w:rPr>
                <w:rFonts w:ascii="宋体" w:hAnsi="黑体"/>
                <w:szCs w:val="21"/>
              </w:rPr>
            </w:pPr>
            <w:r>
              <w:rPr>
                <w:rFonts w:hint="eastAsia" w:ascii="宋体" w:hAnsi="黑体"/>
                <w:szCs w:val="21"/>
              </w:rPr>
              <w:t>采用元数据和数据分离架构，元数据和数据节点物理分离，元数据网络独享，以提供更好的扩展性和数据访问性能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存储节点采用分布式集群存储架构，支持全局单一文件系统和统一命名空间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color w:val="FF0000"/>
                <w:szCs w:val="21"/>
              </w:rPr>
            </w:pPr>
            <w:r>
              <w:rPr>
                <w:rFonts w:hint="eastAsia" w:ascii="宋体" w:hAnsi="黑体"/>
                <w:szCs w:val="21"/>
              </w:rPr>
              <w:t>对外提供服务网络接口数量不少于24个，存储数据交换网络及业务网络采用万兆光纤网络或IB网络（配齐相关辅材）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76" w:type="dxa"/>
            <w:vMerge w:val="restart"/>
            <w:noWrap w:val="0"/>
            <w:vAlign w:val="center"/>
          </w:tcPr>
          <w:p>
            <w:pPr>
              <w:jc w:val="center"/>
              <w:rPr>
                <w:rFonts w:ascii="宋体" w:hAnsi="黑体"/>
                <w:szCs w:val="21"/>
              </w:rPr>
            </w:pPr>
            <w:r>
              <w:rPr>
                <w:rFonts w:hint="eastAsia" w:ascii="宋体" w:hAnsi="黑体"/>
                <w:szCs w:val="21"/>
              </w:rPr>
              <w:t>访问方式</w:t>
            </w:r>
          </w:p>
        </w:tc>
        <w:tc>
          <w:tcPr>
            <w:tcW w:w="7722" w:type="dxa"/>
            <w:noWrap w:val="0"/>
            <w:vAlign w:val="center"/>
          </w:tcPr>
          <w:p>
            <w:pPr>
              <w:jc w:val="both"/>
              <w:rPr>
                <w:rFonts w:ascii="宋体" w:hAnsi="黑体"/>
                <w:szCs w:val="21"/>
              </w:rPr>
            </w:pPr>
            <w:r>
              <w:rPr>
                <w:rFonts w:hint="eastAsia" w:ascii="宋体" w:hAnsi="黑体"/>
                <w:szCs w:val="21"/>
              </w:rPr>
              <w:t>支持Linux和Windows私有客户端以POSIX方式访问存储系统，以获取更高的数据读写性能，且无需对操作系统进行任何修改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76" w:type="dxa"/>
            <w:vMerge w:val="continue"/>
            <w:shd w:val="clear" w:color="auto" w:fill="auto"/>
            <w:noWrap w:val="0"/>
            <w:vAlign w:val="center"/>
          </w:tcPr>
          <w:p>
            <w:pPr>
              <w:jc w:val="center"/>
              <w:rPr>
                <w:rFonts w:ascii="宋体" w:hAnsi="黑体"/>
                <w:szCs w:val="21"/>
              </w:rPr>
            </w:pPr>
          </w:p>
        </w:tc>
        <w:tc>
          <w:tcPr>
            <w:tcW w:w="7722" w:type="dxa"/>
            <w:shd w:val="clear" w:color="auto" w:fill="FFFFFF"/>
            <w:noWrap w:val="0"/>
            <w:vAlign w:val="center"/>
          </w:tcPr>
          <w:p>
            <w:pPr>
              <w:jc w:val="both"/>
              <w:rPr>
                <w:rFonts w:ascii="宋体" w:hAnsi="黑体"/>
                <w:szCs w:val="21"/>
              </w:rPr>
            </w:pPr>
            <w:r>
              <w:rPr>
                <w:rFonts w:hint="eastAsia" w:ascii="宋体" w:hAnsi="黑体"/>
                <w:szCs w:val="21"/>
              </w:rPr>
              <w:t>支持全局共享访问，无须加入第三方共享软件；对外提供FTP、NFS、CIFS、POSIX、HTTP、SNMP、RESTful、HDFS等接口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shd w:val="clear" w:color="auto" w:fill="auto"/>
            <w:noWrap w:val="0"/>
            <w:vAlign w:val="center"/>
          </w:tcPr>
          <w:p>
            <w:pPr>
              <w:jc w:val="center"/>
              <w:rPr>
                <w:rFonts w:ascii="宋体" w:hAnsi="黑体"/>
                <w:szCs w:val="21"/>
              </w:rPr>
            </w:pPr>
          </w:p>
        </w:tc>
        <w:tc>
          <w:tcPr>
            <w:tcW w:w="7722" w:type="dxa"/>
            <w:shd w:val="clear" w:color="auto" w:fill="FFFFFF"/>
            <w:noWrap w:val="0"/>
            <w:vAlign w:val="center"/>
          </w:tcPr>
          <w:p>
            <w:pPr>
              <w:jc w:val="both"/>
              <w:rPr>
                <w:rFonts w:ascii="宋体" w:hAnsi="黑体"/>
                <w:szCs w:val="21"/>
              </w:rPr>
            </w:pPr>
            <w:r>
              <w:rPr>
                <w:rFonts w:hint="eastAsia" w:ascii="宋体" w:hAnsi="黑体"/>
                <w:szCs w:val="21"/>
              </w:rPr>
              <w:t>兼容OpenStack Swift接口，支持Cinder驱动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shd w:val="clear" w:color="auto" w:fill="auto"/>
            <w:noWrap w:val="0"/>
            <w:vAlign w:val="center"/>
          </w:tcPr>
          <w:p>
            <w:pPr>
              <w:jc w:val="center"/>
              <w:rPr>
                <w:rFonts w:ascii="宋体" w:hAnsi="黑体"/>
                <w:szCs w:val="21"/>
              </w:rPr>
            </w:pPr>
          </w:p>
        </w:tc>
        <w:tc>
          <w:tcPr>
            <w:tcW w:w="7722" w:type="dxa"/>
            <w:shd w:val="clear" w:color="auto" w:fill="FFFFFF"/>
            <w:noWrap w:val="0"/>
            <w:vAlign w:val="center"/>
          </w:tcPr>
          <w:p>
            <w:pPr>
              <w:jc w:val="both"/>
              <w:rPr>
                <w:rFonts w:ascii="宋体" w:hAnsi="黑体"/>
                <w:szCs w:val="21"/>
              </w:rPr>
            </w:pPr>
            <w:r>
              <w:rPr>
                <w:rFonts w:hint="eastAsia" w:ascii="宋体" w:hAnsi="黑体"/>
                <w:szCs w:val="21"/>
              </w:rPr>
              <w:t>支持RDMA协议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restart"/>
            <w:noWrap w:val="0"/>
            <w:vAlign w:val="center"/>
          </w:tcPr>
          <w:p>
            <w:pPr>
              <w:jc w:val="center"/>
              <w:rPr>
                <w:rFonts w:ascii="宋体" w:hAnsi="黑体"/>
                <w:szCs w:val="21"/>
              </w:rPr>
            </w:pPr>
            <w:r>
              <w:rPr>
                <w:rFonts w:hint="eastAsia" w:ascii="宋体" w:hAnsi="黑体"/>
                <w:szCs w:val="21"/>
              </w:rPr>
              <w:t>容量要求</w:t>
            </w:r>
          </w:p>
        </w:tc>
        <w:tc>
          <w:tcPr>
            <w:tcW w:w="7722" w:type="dxa"/>
            <w:noWrap w:val="0"/>
            <w:vAlign w:val="center"/>
          </w:tcPr>
          <w:p>
            <w:pPr>
              <w:jc w:val="both"/>
              <w:rPr>
                <w:rFonts w:ascii="宋体" w:hAnsi="黑体"/>
                <w:color w:val="FF0000"/>
                <w:szCs w:val="21"/>
              </w:rPr>
            </w:pPr>
            <w:r>
              <w:rPr>
                <w:rFonts w:hint="eastAsia" w:ascii="宋体" w:hAnsi="黑体"/>
                <w:b/>
                <w:szCs w:val="21"/>
              </w:rPr>
              <w:t>▲单台</w:t>
            </w:r>
            <w:r>
              <w:rPr>
                <w:rFonts w:hint="eastAsia" w:ascii="宋体" w:hAnsi="黑体"/>
                <w:b/>
                <w:bCs/>
                <w:szCs w:val="21"/>
              </w:rPr>
              <w:t>配置36块6T硬盘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shd w:val="clear" w:color="auto" w:fill="auto"/>
            <w:noWrap w:val="0"/>
            <w:vAlign w:val="center"/>
          </w:tcPr>
          <w:p>
            <w:pPr>
              <w:jc w:val="center"/>
              <w:rPr>
                <w:rFonts w:ascii="宋体" w:hAnsi="黑体"/>
                <w:szCs w:val="21"/>
              </w:rPr>
            </w:pPr>
          </w:p>
        </w:tc>
        <w:tc>
          <w:tcPr>
            <w:tcW w:w="7722" w:type="dxa"/>
            <w:shd w:val="clear" w:color="auto" w:fill="FFFFFF"/>
            <w:noWrap w:val="0"/>
            <w:vAlign w:val="center"/>
          </w:tcPr>
          <w:p>
            <w:pPr>
              <w:jc w:val="both"/>
              <w:rPr>
                <w:rFonts w:ascii="宋体" w:hAnsi="黑体"/>
                <w:szCs w:val="21"/>
              </w:rPr>
            </w:pPr>
            <w:r>
              <w:rPr>
                <w:rFonts w:hint="eastAsia" w:ascii="宋体" w:hAnsi="黑体"/>
                <w:szCs w:val="21"/>
              </w:rPr>
              <w:t>存储节点采用传统的X86架构，存储密度最多支持16个3.5寸硬盘位/U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单节点内存最大支持1.5TB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restart"/>
            <w:noWrap w:val="0"/>
            <w:vAlign w:val="center"/>
          </w:tcPr>
          <w:p>
            <w:pPr>
              <w:jc w:val="center"/>
              <w:rPr>
                <w:rFonts w:ascii="宋体" w:hAnsi="黑体"/>
                <w:szCs w:val="21"/>
              </w:rPr>
            </w:pPr>
            <w:r>
              <w:rPr>
                <w:rFonts w:hint="eastAsia" w:ascii="宋体" w:hAnsi="黑体"/>
                <w:szCs w:val="21"/>
              </w:rPr>
              <w:t>扩展能力</w:t>
            </w:r>
          </w:p>
        </w:tc>
        <w:tc>
          <w:tcPr>
            <w:tcW w:w="7722" w:type="dxa"/>
            <w:noWrap w:val="0"/>
            <w:vAlign w:val="center"/>
          </w:tcPr>
          <w:p>
            <w:pPr>
              <w:jc w:val="both"/>
              <w:rPr>
                <w:rFonts w:ascii="宋体" w:hAnsi="黑体"/>
                <w:i/>
                <w:szCs w:val="21"/>
                <w:u w:val="single"/>
              </w:rPr>
            </w:pPr>
            <w:r>
              <w:rPr>
                <w:rFonts w:hint="eastAsia" w:ascii="宋体" w:hAnsi="黑体"/>
                <w:b/>
                <w:iCs/>
                <w:szCs w:val="21"/>
                <w:u w:val="single"/>
              </w:rPr>
              <w:t>单个存储系统可扩展到≥4096个存储节点，最大扩展能力可达EB级别，提供官网截图及链接并加盖原厂公章。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支持在线向存储系统中增加存储节点，增加节点并完成扩容的时间小于1分钟，扩容期间前端在线应用无感知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增加存储节点后，存储节点可自动实现数据负载均衡；存储容量扩展的同时，系统数据吞吐能力也线性增长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restart"/>
            <w:noWrap w:val="0"/>
            <w:vAlign w:val="center"/>
          </w:tcPr>
          <w:p>
            <w:pPr>
              <w:jc w:val="center"/>
              <w:rPr>
                <w:rFonts w:ascii="宋体" w:hAnsi="黑体"/>
                <w:szCs w:val="21"/>
              </w:rPr>
            </w:pPr>
            <w:r>
              <w:rPr>
                <w:rFonts w:hint="eastAsia" w:ascii="宋体" w:hAnsi="黑体"/>
                <w:szCs w:val="21"/>
              </w:rPr>
              <w:t>可靠性要求</w:t>
            </w:r>
          </w:p>
        </w:tc>
        <w:tc>
          <w:tcPr>
            <w:tcW w:w="7722" w:type="dxa"/>
            <w:noWrap w:val="0"/>
            <w:vAlign w:val="center"/>
          </w:tcPr>
          <w:p>
            <w:pPr>
              <w:jc w:val="both"/>
              <w:rPr>
                <w:rFonts w:ascii="宋体" w:hAnsi="黑体"/>
                <w:szCs w:val="21"/>
              </w:rPr>
            </w:pPr>
            <w:r>
              <w:rPr>
                <w:rFonts w:hint="eastAsia" w:ascii="宋体" w:hAnsi="黑体"/>
                <w:szCs w:val="21"/>
              </w:rPr>
              <w:t>支持N+M纠删码数据保护，M可选1、2、4；数据保护不依赖磁盘raid保护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支持副本模式数据保护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全系统无单点故障；任意单个节点失效时，服务不停止，数据不丢失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单一系统能容忍任意4个数据节点同时失效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单一系统能容忍任意4块硬盘同时失效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支持磁盘坏道自动检测和自动纠错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NAS机头支持虚IP漂移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支持节点数据主动重建，零风险删除现有系统节点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restart"/>
            <w:noWrap w:val="0"/>
            <w:vAlign w:val="center"/>
          </w:tcPr>
          <w:p>
            <w:pPr>
              <w:jc w:val="center"/>
              <w:rPr>
                <w:rFonts w:ascii="宋体" w:hAnsi="黑体"/>
                <w:szCs w:val="21"/>
              </w:rPr>
            </w:pPr>
            <w:r>
              <w:rPr>
                <w:rFonts w:hint="eastAsia" w:ascii="宋体" w:hAnsi="黑体"/>
                <w:szCs w:val="21"/>
              </w:rPr>
              <w:t>功能要求</w:t>
            </w:r>
          </w:p>
        </w:tc>
        <w:tc>
          <w:tcPr>
            <w:tcW w:w="7722" w:type="dxa"/>
            <w:noWrap w:val="0"/>
            <w:vAlign w:val="center"/>
          </w:tcPr>
          <w:p>
            <w:pPr>
              <w:jc w:val="both"/>
              <w:rPr>
                <w:rFonts w:ascii="宋体" w:hAnsi="黑体"/>
                <w:szCs w:val="21"/>
              </w:rPr>
            </w:pPr>
            <w:r>
              <w:rPr>
                <w:rFonts w:hint="eastAsia" w:ascii="宋体" w:hAnsi="黑体"/>
                <w:szCs w:val="21"/>
              </w:rPr>
              <w:t>支持以目录为单位设定数据保护策略，不同目录可以设置不同的N+M配比或者副本数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同一个存储节点内支持插入不同类型磁盘（SSD/NL-SAS/SAS/SATA），支持目录级别分级存储， 至少支持基于访问频率、基于时间和基于文件路径名的迁移策略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支持WORM（一次写入，多次读取，不可修改）功能，使文件在设定的保护期内不可被随意篡改和删除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支持远程数据同步功能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支持在同一个存储系统中配置多个文件系统，且支持多个文件系统共享存储空间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支持存储系统划分为多个文件系统，文件系统间物理资源隔离（节点、网络）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76" w:type="dxa"/>
            <w:vMerge w:val="continue"/>
            <w:shd w:val="clear" w:color="auto" w:fill="auto"/>
            <w:noWrap w:val="0"/>
            <w:vAlign w:val="center"/>
          </w:tcPr>
          <w:p>
            <w:pPr>
              <w:jc w:val="center"/>
              <w:rPr>
                <w:rFonts w:ascii="宋体" w:hAnsi="黑体"/>
                <w:szCs w:val="21"/>
              </w:rPr>
            </w:pPr>
          </w:p>
        </w:tc>
        <w:tc>
          <w:tcPr>
            <w:tcW w:w="7722" w:type="dxa"/>
            <w:shd w:val="clear" w:color="auto" w:fill="FFFFFF"/>
            <w:noWrap w:val="0"/>
            <w:vAlign w:val="center"/>
          </w:tcPr>
          <w:p>
            <w:pPr>
              <w:jc w:val="both"/>
              <w:rPr>
                <w:rFonts w:ascii="宋体" w:hAnsi="黑体"/>
                <w:szCs w:val="21"/>
              </w:rPr>
            </w:pPr>
            <w:r>
              <w:rPr>
                <w:rFonts w:hint="eastAsia" w:ascii="宋体" w:hAnsi="黑体"/>
                <w:szCs w:val="21"/>
              </w:rPr>
              <w:t>支持对用户、用户组、目录和文件系统进行硬性和软性的容量配额管理；进行硬性配额时，存储容量达到配额值时禁止新数据写入；进行软性配额时，存储容量达到配额值时发出警告且允许新数据继续写入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支持NFS和CIFS统一用户管理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CIFS协议支持ACL权限管理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支持SSD读缓存功能，提升随机读IOPS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支持回收站功能，数据误删除后在特定时间内可以还原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支持QoS（服务质量控制）功能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自行研发的绿色节能技术，按照既定策略自动进行分区上下电，显著降低整个存储系统的功耗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restart"/>
            <w:shd w:val="clear" w:color="auto" w:fill="FFFFFF"/>
            <w:noWrap w:val="0"/>
            <w:vAlign w:val="center"/>
          </w:tcPr>
          <w:p>
            <w:pPr>
              <w:jc w:val="center"/>
              <w:rPr>
                <w:rFonts w:ascii="宋体" w:hAnsi="黑体"/>
                <w:szCs w:val="21"/>
              </w:rPr>
            </w:pPr>
            <w:r>
              <w:rPr>
                <w:rFonts w:hint="eastAsia" w:ascii="宋体" w:hAnsi="黑体"/>
                <w:szCs w:val="21"/>
              </w:rPr>
              <w:t>性能要求</w:t>
            </w:r>
          </w:p>
        </w:tc>
        <w:tc>
          <w:tcPr>
            <w:tcW w:w="7722" w:type="dxa"/>
            <w:shd w:val="clear" w:color="auto" w:fill="FFFFFF"/>
            <w:noWrap w:val="0"/>
            <w:vAlign w:val="center"/>
          </w:tcPr>
          <w:p>
            <w:pPr>
              <w:jc w:val="both"/>
              <w:rPr>
                <w:rFonts w:ascii="宋体" w:hAnsi="黑体"/>
                <w:szCs w:val="21"/>
              </w:rPr>
            </w:pPr>
            <w:r>
              <w:rPr>
                <w:rFonts w:hint="eastAsia" w:ascii="宋体" w:hAnsi="黑体"/>
                <w:szCs w:val="21"/>
              </w:rPr>
              <w:t>双万兆网络下单节点读写带宽≥1.2GB/s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shd w:val="clear" w:color="auto" w:fill="FFFFFF"/>
            <w:noWrap w:val="0"/>
            <w:vAlign w:val="center"/>
          </w:tcPr>
          <w:p>
            <w:pPr>
              <w:jc w:val="center"/>
              <w:rPr>
                <w:rFonts w:ascii="宋体" w:hAnsi="黑体"/>
                <w:szCs w:val="21"/>
              </w:rPr>
            </w:pPr>
          </w:p>
        </w:tc>
        <w:tc>
          <w:tcPr>
            <w:tcW w:w="7722" w:type="dxa"/>
            <w:shd w:val="clear" w:color="auto" w:fill="FFFFFF"/>
            <w:noWrap w:val="0"/>
            <w:vAlign w:val="center"/>
          </w:tcPr>
          <w:p>
            <w:pPr>
              <w:jc w:val="both"/>
              <w:rPr>
                <w:rFonts w:ascii="宋体" w:hAnsi="黑体"/>
                <w:szCs w:val="21"/>
              </w:rPr>
            </w:pPr>
            <w:r>
              <w:rPr>
                <w:rFonts w:hint="eastAsia" w:ascii="宋体" w:hAnsi="黑体"/>
                <w:szCs w:val="21"/>
              </w:rPr>
              <w:t>56Gb Infiniband RDMA，POSIX协议，4U36盘位单节点读写带宽≥2.5GB/s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76" w:type="dxa"/>
            <w:vMerge w:val="restart"/>
            <w:noWrap w:val="0"/>
            <w:vAlign w:val="center"/>
          </w:tcPr>
          <w:p>
            <w:pPr>
              <w:jc w:val="center"/>
              <w:rPr>
                <w:rFonts w:ascii="宋体" w:hAnsi="黑体"/>
                <w:szCs w:val="21"/>
              </w:rPr>
            </w:pPr>
            <w:r>
              <w:rPr>
                <w:rFonts w:hint="eastAsia" w:ascii="宋体" w:hAnsi="黑体"/>
                <w:szCs w:val="21"/>
              </w:rPr>
              <w:t>管理要求</w:t>
            </w:r>
          </w:p>
        </w:tc>
        <w:tc>
          <w:tcPr>
            <w:tcW w:w="7722" w:type="dxa"/>
            <w:noWrap w:val="0"/>
            <w:vAlign w:val="center"/>
          </w:tcPr>
          <w:p>
            <w:pPr>
              <w:jc w:val="both"/>
              <w:rPr>
                <w:rFonts w:ascii="宋体" w:hAnsi="黑体"/>
                <w:szCs w:val="21"/>
              </w:rPr>
            </w:pPr>
            <w:r>
              <w:rPr>
                <w:rFonts w:hint="eastAsia" w:ascii="宋体" w:hAnsi="黑体"/>
                <w:szCs w:val="21"/>
              </w:rPr>
              <w:t>提供GUI管理界面，能够提供安装、扩容、节点监控、网络监控、磁盘监控、风扇和电源工作状态监控、故障告警等功能；要求提供web管理界面截图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支持空间利用率、系统聚合读写带宽、控制器资源使用率和读写速率等参数的历史报表生成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支持存储系统文件布局展示，文件的存储位置可视化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6" w:type="dxa"/>
            <w:vMerge w:val="continue"/>
            <w:noWrap w:val="0"/>
            <w:vAlign w:val="center"/>
          </w:tcPr>
          <w:p>
            <w:pPr>
              <w:jc w:val="center"/>
              <w:rPr>
                <w:rFonts w:ascii="宋体" w:hAnsi="黑体"/>
                <w:szCs w:val="21"/>
              </w:rPr>
            </w:pPr>
          </w:p>
        </w:tc>
        <w:tc>
          <w:tcPr>
            <w:tcW w:w="7722" w:type="dxa"/>
            <w:noWrap w:val="0"/>
            <w:vAlign w:val="center"/>
          </w:tcPr>
          <w:p>
            <w:pPr>
              <w:jc w:val="both"/>
              <w:rPr>
                <w:rFonts w:ascii="宋体" w:hAnsi="黑体"/>
                <w:szCs w:val="21"/>
              </w:rPr>
            </w:pPr>
            <w:r>
              <w:rPr>
                <w:rFonts w:hint="eastAsia" w:ascii="宋体" w:hAnsi="黑体"/>
                <w:szCs w:val="21"/>
              </w:rPr>
              <w:t>提供磁盘访问热度监控</w:t>
            </w:r>
          </w:p>
        </w:tc>
      </w:tr>
    </w:tbl>
    <w:p>
      <w:pPr>
        <w:spacing w:line="360" w:lineRule="auto"/>
        <w:ind w:firstLine="420" w:firstLineChars="200"/>
      </w:pP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容灾备份与恢复系统</w:t>
      </w:r>
    </w:p>
    <w:p>
      <w:pPr>
        <w:spacing w:line="360" w:lineRule="auto"/>
        <w:ind w:firstLine="420" w:firstLineChars="200"/>
      </w:pPr>
      <w:r>
        <w:rPr>
          <w:rFonts w:hint="eastAsia"/>
        </w:rPr>
        <w:t>主板、机箱（冗余电源）、150G SSD系统盘、RAID卡、4个千兆网口，HBA卡8GB 2口（8GB/双通道／PCI-E)</w:t>
      </w:r>
    </w:p>
    <w:p>
      <w:pPr>
        <w:pStyle w:val="2"/>
        <w:spacing w:before="120"/>
        <w:ind w:firstLine="420"/>
        <w:rPr>
          <w:rFonts w:hint="eastAsia"/>
          <w:b/>
        </w:rPr>
      </w:pPr>
      <w:r>
        <w:rPr>
          <w:rFonts w:hint="eastAsia"/>
          <w:b/>
        </w:rPr>
        <w:t>▲5个物理机备份授权或10个虚拟机应急备份授权</w:t>
      </w:r>
    </w:p>
    <w:p>
      <w:pPr>
        <w:spacing w:line="360" w:lineRule="auto"/>
        <w:ind w:firstLine="420" w:firstLineChars="200"/>
      </w:pPr>
      <w:r>
        <w:rPr>
          <w:rFonts w:hint="eastAsia"/>
        </w:rPr>
        <w:t>2U8盘位 2路CPU硬件平台 2.5/3.5寸硬盘 内存插槽8个 最大支持512GB内存</w:t>
      </w:r>
    </w:p>
    <w:p>
      <w:pPr>
        <w:spacing w:line="360" w:lineRule="auto"/>
        <w:ind w:firstLine="420" w:firstLineChars="200"/>
      </w:pPr>
      <w:r>
        <w:rPr>
          <w:rFonts w:hint="eastAsia"/>
        </w:rPr>
        <w:t>2路1颗六核E5-2603V4</w:t>
      </w:r>
    </w:p>
    <w:p>
      <w:pPr>
        <w:spacing w:line="360" w:lineRule="auto"/>
        <w:ind w:firstLine="420" w:firstLineChars="200"/>
      </w:pPr>
      <w:r>
        <w:t>16GB(16G*2)</w:t>
      </w:r>
    </w:p>
    <w:p>
      <w:pPr>
        <w:spacing w:line="360" w:lineRule="auto"/>
        <w:ind w:firstLine="420" w:firstLineChars="200"/>
      </w:pPr>
      <w:r>
        <w:rPr>
          <w:rFonts w:hint="eastAsia"/>
        </w:rPr>
        <w:t>SAS 4TB(3.5寸/7200转企业级）*5块</w:t>
      </w:r>
    </w:p>
    <w:p>
      <w:pPr>
        <w:spacing w:line="360" w:lineRule="auto"/>
        <w:ind w:firstLine="422" w:firstLineChars="200"/>
        <w:rPr>
          <w:b/>
          <w:iCs/>
          <w:u w:val="single"/>
        </w:rPr>
      </w:pPr>
      <w:r>
        <w:rPr>
          <w:rFonts w:hint="eastAsia"/>
          <w:b/>
          <w:iCs/>
          <w:u w:val="single"/>
        </w:rPr>
        <w:t>软件模块须提供《操作系统迁移软件著作权》复印件并加盖原厂公章</w:t>
      </w:r>
    </w:p>
    <w:p>
      <w:pPr>
        <w:spacing w:line="360" w:lineRule="auto"/>
        <w:ind w:firstLine="422" w:firstLineChars="200"/>
        <w:rPr>
          <w:rFonts w:hint="eastAsia"/>
          <w:b/>
          <w:iCs/>
          <w:u w:val="single"/>
        </w:rPr>
      </w:pPr>
      <w:r>
        <w:rPr>
          <w:rFonts w:hint="eastAsia"/>
          <w:b/>
          <w:iCs/>
          <w:u w:val="single"/>
        </w:rPr>
        <w:t>软件模块需提供《仿真测试软件著作权》复印件并加盖原厂公章</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核心交换机板卡扩容</w:t>
      </w:r>
    </w:p>
    <w:p>
      <w:pPr>
        <w:pStyle w:val="2"/>
        <w:spacing w:before="120"/>
        <w:rPr>
          <w:b/>
        </w:rPr>
      </w:pPr>
      <w:r>
        <w:rPr>
          <w:rFonts w:hint="eastAsia"/>
          <w:b/>
        </w:rPr>
        <w:t>▲用于原有核心设备H3C S7500E扩容；配置24端口万兆以太网光接口模块(SFP+,LC)；配置20个万兆光模块</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数据中心电口交换机</w:t>
      </w:r>
    </w:p>
    <w:p>
      <w:pPr>
        <w:pStyle w:val="2"/>
        <w:snapToGrid w:val="0"/>
        <w:spacing w:before="0" w:beforeLines="0" w:after="0" w:line="360" w:lineRule="auto"/>
        <w:ind w:firstLine="422" w:firstLineChars="200"/>
        <w:rPr>
          <w:rFonts w:hint="eastAsia"/>
          <w:b/>
          <w:u w:val="single"/>
        </w:rPr>
      </w:pPr>
      <w:r>
        <w:rPr>
          <w:rFonts w:hint="eastAsia"/>
          <w:b/>
          <w:u w:val="single"/>
        </w:rPr>
        <w:t>整机交换容量≥598Gbps；包转发率≥252Mpps，如投标产品有多个参数指标的，以较低参数指标为准，投标时提供官网链接及截图并加盖原厂公章；</w:t>
      </w:r>
    </w:p>
    <w:p>
      <w:pPr>
        <w:snapToGrid w:val="0"/>
        <w:spacing w:line="360" w:lineRule="auto"/>
        <w:ind w:firstLine="420" w:firstLineChars="200"/>
        <w:rPr>
          <w:rFonts w:hint="eastAsia"/>
        </w:rPr>
      </w:pPr>
      <w:r>
        <w:rPr>
          <w:rFonts w:hint="eastAsia"/>
        </w:rPr>
        <w:t>支持48个10/100/1000BASE-T端口,支持4个10G/1G BASE-X SFP+端口,支持1个Slot；每台配置双电源，配置双风扇；2个万兆多模光模块；</w:t>
      </w:r>
    </w:p>
    <w:p>
      <w:pPr>
        <w:snapToGrid w:val="0"/>
        <w:spacing w:line="360" w:lineRule="auto"/>
        <w:ind w:firstLine="420" w:firstLineChars="200"/>
        <w:rPr>
          <w:rFonts w:hint="eastAsia"/>
        </w:rPr>
      </w:pPr>
      <w:r>
        <w:rPr>
          <w:rFonts w:hint="eastAsia"/>
        </w:rPr>
        <w:t>扩展插槽支持FW，IPS、负载均衡等高性能OAP模块插卡功能</w:t>
      </w:r>
    </w:p>
    <w:p>
      <w:pPr>
        <w:snapToGrid w:val="0"/>
        <w:spacing w:line="360" w:lineRule="auto"/>
        <w:ind w:firstLine="420" w:firstLineChars="200"/>
        <w:rPr>
          <w:rFonts w:hint="eastAsia"/>
        </w:rPr>
      </w:pPr>
      <w:r>
        <w:rPr>
          <w:rFonts w:hint="eastAsia"/>
        </w:rPr>
        <w:t>支持静态路由，支持RIPv1/v2，RIPng，支持OSPFv1/v2，OSPFv3，支持BGP4，BGP4+ for IPv6，支持IS-IS，IS-IS V6</w:t>
      </w:r>
    </w:p>
    <w:p>
      <w:pPr>
        <w:snapToGrid w:val="0"/>
        <w:spacing w:line="360" w:lineRule="auto"/>
        <w:ind w:firstLine="420" w:firstLineChars="200"/>
      </w:pPr>
      <w:r>
        <w:rPr>
          <w:rFonts w:hint="eastAsia"/>
        </w:rPr>
        <w:t xml:space="preserve">支持基于端口的VLAN，支持基于MAC的VLAN，基于协议的VLAN，基于IP子网的VLAN，支持QinQ，灵活QinQ，支持VLAN Mapping，支持Voice VLAN； </w:t>
      </w:r>
    </w:p>
    <w:p>
      <w:pPr>
        <w:snapToGrid w:val="0"/>
        <w:spacing w:line="360" w:lineRule="auto"/>
        <w:ind w:firstLine="420" w:firstLineChars="200"/>
        <w:rPr>
          <w:rFonts w:hint="eastAsia"/>
        </w:rPr>
      </w:pPr>
      <w:r>
        <w:rPr>
          <w:rFonts w:hint="eastAsia"/>
        </w:rPr>
        <w:t>支持OpenFlow 1.3标准，支持Group table；</w:t>
      </w:r>
    </w:p>
    <w:p>
      <w:pPr>
        <w:snapToGrid w:val="0"/>
        <w:spacing w:line="360" w:lineRule="auto"/>
        <w:ind w:firstLine="420" w:firstLineChars="200"/>
        <w:rPr>
          <w:rFonts w:hint="eastAsia"/>
        </w:rPr>
      </w:pPr>
      <w:r>
        <w:rPr>
          <w:rFonts w:hint="eastAsia"/>
        </w:rPr>
        <w:t>支持VXLAN二层交换及路由交换功能</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数据中心光口交换机</w:t>
      </w:r>
    </w:p>
    <w:p>
      <w:pPr>
        <w:pStyle w:val="2"/>
        <w:snapToGrid w:val="0"/>
        <w:spacing w:before="0" w:beforeLines="0" w:after="0" w:line="360" w:lineRule="auto"/>
        <w:ind w:firstLine="422" w:firstLineChars="200"/>
        <w:rPr>
          <w:rFonts w:hint="eastAsia"/>
          <w:b/>
          <w:u w:val="single"/>
        </w:rPr>
      </w:pPr>
      <w:r>
        <w:rPr>
          <w:b/>
          <w:u w:val="single"/>
        </w:rPr>
        <w:t>整机交换容量≥2.56Tbps；包转发率≥720Mpps，如投标产品有多个参数指标的，以较低参数指标为准，投标时提供官网链接及截图并加盖原厂</w:t>
      </w:r>
      <w:r>
        <w:rPr>
          <w:rFonts w:hint="eastAsia"/>
          <w:b/>
          <w:u w:val="single"/>
        </w:rPr>
        <w:t>公</w:t>
      </w:r>
      <w:r>
        <w:rPr>
          <w:b/>
          <w:u w:val="single"/>
        </w:rPr>
        <w:t>章；</w:t>
      </w:r>
    </w:p>
    <w:p>
      <w:pPr>
        <w:snapToGrid w:val="0"/>
        <w:spacing w:line="360" w:lineRule="auto"/>
        <w:ind w:firstLine="420" w:firstLineChars="200"/>
        <w:rPr>
          <w:rFonts w:hint="eastAsia"/>
        </w:rPr>
      </w:pPr>
      <w:r>
        <w:t>支持24个1/10GE SFP+光接口，2个QSFP+光接口；2个扩展插槽支持扩展10GE/40GE光接口板；每台配置双电源，配置双风扇；2个万兆多模光模块；</w:t>
      </w:r>
    </w:p>
    <w:p>
      <w:pPr>
        <w:snapToGrid w:val="0"/>
        <w:spacing w:line="360" w:lineRule="auto"/>
        <w:ind w:firstLine="420" w:firstLineChars="200"/>
        <w:rPr>
          <w:rFonts w:hint="eastAsia"/>
        </w:rPr>
      </w:pPr>
      <w:r>
        <w:t>扩展插槽支持FW，IPS、负载均衡等高性能OAP模块插卡功能，集成无线控制功能，实现接入层无线/有线本地转发；</w:t>
      </w:r>
    </w:p>
    <w:p>
      <w:pPr>
        <w:snapToGrid w:val="0"/>
        <w:spacing w:line="360" w:lineRule="auto"/>
        <w:ind w:firstLine="420" w:firstLineChars="200"/>
        <w:rPr>
          <w:rFonts w:hint="eastAsia"/>
        </w:rPr>
      </w:pPr>
      <w:r>
        <w:t>支持本地堆叠和远程堆叠；</w:t>
      </w:r>
    </w:p>
    <w:p>
      <w:pPr>
        <w:snapToGrid w:val="0"/>
        <w:spacing w:line="360" w:lineRule="auto"/>
        <w:ind w:firstLine="420" w:firstLineChars="200"/>
        <w:rPr>
          <w:rFonts w:hint="eastAsia"/>
        </w:rPr>
      </w:pPr>
      <w:r>
        <w:t>支持IPv4、IPv6静态路由，RIP等三层动态路由协议，支持策略路由器;，支持RIP v1/2、RIPng，支持等价路由、VRRP、OSPFv1/v2、OSPF v3、BGP、ISIS等增强三层路由协议</w:t>
      </w:r>
    </w:p>
    <w:p>
      <w:pPr>
        <w:snapToGrid w:val="0"/>
        <w:spacing w:line="360" w:lineRule="auto"/>
        <w:ind w:firstLine="420" w:firstLineChars="200"/>
        <w:rPr>
          <w:rFonts w:hint="eastAsia"/>
        </w:rPr>
      </w:pPr>
      <w:r>
        <w:t>支持VXLAN 二层交换，支持VXLAN 路由交换，支持VXLAN 网关，支持OpenFlow+Netconf的VxLAN集中式控制平面；</w:t>
      </w:r>
    </w:p>
    <w:p>
      <w:pPr>
        <w:snapToGrid w:val="0"/>
        <w:spacing w:line="360" w:lineRule="auto"/>
        <w:ind w:firstLine="420" w:firstLineChars="200"/>
        <w:rPr>
          <w:rFonts w:hint="eastAsia"/>
        </w:rPr>
      </w:pPr>
      <w:r>
        <w:t>支持N:4端口镜像，支持本地和远程端口镜像；</w:t>
      </w:r>
    </w:p>
    <w:p>
      <w:pPr>
        <w:snapToGrid w:val="0"/>
        <w:spacing w:line="360" w:lineRule="auto"/>
        <w:ind w:firstLine="420" w:firstLineChars="200"/>
        <w:rPr>
          <w:rFonts w:hint="eastAsia"/>
        </w:rPr>
      </w:pPr>
      <w:r>
        <w:t>支持灵活的队列调度算法，可以同时基于端口和队列进行设置，支持SP、WDRR、WRR、WFQ、SP+WDRR等多种模式，支持L2（Layer 2）~L4（Layer 4）包过滤功能，提供基于源MAC地址、目的MAC地址、源IP(IPv4/IPv6)地址、目的IP(IPv4/IPv6)地址、端口、协议、VLAN的流分类</w:t>
      </w:r>
      <w:r>
        <w:rPr>
          <w:rFonts w:hint="eastAsia"/>
        </w:rPr>
        <w:t>。</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13.平台软件升级</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信号控制平台升级</w:t>
      </w:r>
    </w:p>
    <w:p>
      <w:pPr>
        <w:spacing w:line="360" w:lineRule="auto"/>
        <w:ind w:firstLine="420" w:firstLineChars="200"/>
      </w:pPr>
      <w:r>
        <w:rPr>
          <w:rFonts w:hint="eastAsia"/>
        </w:rPr>
        <w:t>平台可基于直观的路口模型，监视路口实时方案运行信息、信号机故障信息、可变车道牌实时状态、待驶区提示屏状态等，结合路口模型和圆饼图直观呈现。</w:t>
      </w:r>
    </w:p>
    <w:p>
      <w:pPr>
        <w:spacing w:line="360" w:lineRule="auto"/>
        <w:ind w:firstLine="420" w:firstLineChars="200"/>
      </w:pPr>
      <w:r>
        <w:rPr>
          <w:rFonts w:hint="eastAsia"/>
        </w:rPr>
        <w:t>平台具备子区特征参数的查看、上载、下载、导入、导出和配置功能，具备固定绿波、自适应绿波等线、面区域协调设置功能。</w:t>
      </w:r>
    </w:p>
    <w:p>
      <w:pPr>
        <w:spacing w:line="360" w:lineRule="auto"/>
        <w:ind w:firstLine="420" w:firstLineChars="200"/>
      </w:pPr>
      <w:r>
        <w:rPr>
          <w:rFonts w:hint="eastAsia"/>
        </w:rPr>
        <w:t>支持时距图和图形化展示的协调子区运行状态实时监控，支持对整个协调区域或协调子区的交通运行、信号控制状态监测。</w:t>
      </w:r>
      <w:r>
        <w:t xml:space="preserve"> </w:t>
      </w:r>
    </w:p>
    <w:p>
      <w:pPr>
        <w:spacing w:line="360" w:lineRule="auto"/>
        <w:ind w:firstLine="420" w:firstLineChars="200"/>
      </w:pPr>
      <w:r>
        <w:rPr>
          <w:rFonts w:hint="eastAsia"/>
        </w:rPr>
        <w:t>平台具备子区模式控制功能，包括联网定时、联网优化和单点模式控制，并能解锁。</w:t>
      </w:r>
    </w:p>
    <w:p>
      <w:pPr>
        <w:keepNext/>
        <w:keepLines/>
        <w:numPr>
          <w:ilvl w:val="0"/>
          <w:numId w:val="0"/>
        </w:numPr>
        <w:tabs>
          <w:tab w:val="left" w:pos="720"/>
        </w:tabs>
        <w:snapToGrid w:val="0"/>
        <w:ind w:leftChars="0"/>
        <w:outlineLvl w:val="3"/>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平台通行证管理功能</w:t>
      </w:r>
    </w:p>
    <w:p>
      <w:pPr>
        <w:spacing w:line="360" w:lineRule="auto"/>
        <w:ind w:firstLine="420" w:firstLineChars="200"/>
      </w:pPr>
      <w:r>
        <w:rPr>
          <w:rFonts w:hint="eastAsia"/>
        </w:rPr>
        <w:t>限行区域管理：支持限行区域设定功能，通过卡口设备的新增、删除实现限行区域的变更。</w:t>
      </w:r>
    </w:p>
    <w:p>
      <w:pPr>
        <w:keepNext/>
        <w:keepLines/>
        <w:numPr>
          <w:ilvl w:val="0"/>
          <w:numId w:val="0"/>
        </w:numPr>
        <w:tabs>
          <w:tab w:val="left" w:pos="720"/>
        </w:tabs>
        <w:snapToGrid w:val="0"/>
        <w:ind w:leftChars="0"/>
        <w:outlineLvl w:val="3"/>
      </w:pPr>
      <w:r>
        <w:rPr>
          <w:rFonts w:hint="eastAsia"/>
        </w:rPr>
        <w:t>限行规则配置：根据时间、车型等限行规则，设置卡口抓拍条件，如工作日、节假日、早高峰、晚高峰等。</w:t>
      </w:r>
    </w:p>
    <w:p>
      <w:pPr>
        <w:spacing w:line="360" w:lineRule="auto"/>
        <w:ind w:firstLine="420" w:firstLineChars="200"/>
      </w:pPr>
      <w:r>
        <w:rPr>
          <w:rFonts w:hint="eastAsia"/>
        </w:rPr>
        <w:t>限行白名单：支持限行白名单自定义功能，白名单中的车辆在经过卡口时，不予报警。</w:t>
      </w:r>
    </w:p>
    <w:p>
      <w:pPr>
        <w:spacing w:line="360" w:lineRule="auto"/>
        <w:ind w:firstLine="420" w:firstLineChars="200"/>
        <w:rPr>
          <w:rFonts w:hint="eastAsia"/>
        </w:rPr>
      </w:pPr>
      <w:r>
        <w:rPr>
          <w:rFonts w:hint="eastAsia"/>
        </w:rPr>
        <w:t>通行证审批：对驾驶员申请的通行证进行审批，审批合格的可生成通行证，通行证信息包括车牌号码、车辆类型、通行时段、通行路线、通行时间、发证时间等。</w:t>
      </w:r>
      <w:bookmarkEnd w:id="6"/>
    </w:p>
    <w:p>
      <w:pPr>
        <w:pStyle w:val="4"/>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四．采购清单</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98"/>
        <w:gridCol w:w="5902"/>
        <w:gridCol w:w="61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1098" w:type="dxa"/>
            <w:noWrap w:val="0"/>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项目名称</w:t>
            </w:r>
          </w:p>
        </w:tc>
        <w:tc>
          <w:tcPr>
            <w:tcW w:w="5902" w:type="dxa"/>
            <w:noWrap w:val="0"/>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设备参数</w:t>
            </w:r>
          </w:p>
        </w:tc>
        <w:tc>
          <w:tcPr>
            <w:tcW w:w="618" w:type="dxa"/>
            <w:noWrap w:val="0"/>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单位</w:t>
            </w:r>
          </w:p>
        </w:tc>
        <w:tc>
          <w:tcPr>
            <w:tcW w:w="716" w:type="dxa"/>
            <w:noWrap w:val="0"/>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1、信号灯倒计时改造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9秒倒计时改造</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将原有学习型倒计时改造为触发型倒计时</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组</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左转提示屏</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路口左转车辆提示</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组</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单行线提示屏</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单行线道路提示</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组</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2、信号控制系统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信号控制机</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b/>
                <w:bCs/>
                <w:color w:val="000000"/>
                <w:kern w:val="0"/>
                <w:sz w:val="20"/>
              </w:rPr>
              <w:t>▲符合国家公共安全行业标准GB25280-2016《道路交通信号控制机》，并提供公安部交通安全产品质量监督检测中心出具的检测报告。</w:t>
            </w:r>
            <w:r>
              <w:rPr>
                <w:rFonts w:hint="eastAsia" w:ascii="宋体" w:hAnsi="宋体" w:cs="宋体"/>
                <w:color w:val="000000"/>
                <w:kern w:val="0"/>
                <w:sz w:val="20"/>
              </w:rPr>
              <w:br w:type="textWrapping"/>
            </w:r>
            <w:r>
              <w:rPr>
                <w:rFonts w:hint="eastAsia" w:ascii="宋体" w:hAnsi="宋体" w:cs="宋体"/>
                <w:b/>
                <w:bCs/>
                <w:color w:val="000000"/>
                <w:kern w:val="0"/>
                <w:sz w:val="20"/>
              </w:rPr>
              <w:t>交通信号控制机软件支持NTCIP协议，符合度不低于99%，提供中国软件评测中心出具的NTCIP协议标准符合性测试报告并加盖原厂公章。</w:t>
            </w:r>
            <w:r>
              <w:rPr>
                <w:rFonts w:hint="eastAsia" w:ascii="宋体" w:hAnsi="宋体" w:cs="宋体"/>
                <w:b/>
                <w:bCs/>
                <w:color w:val="000000"/>
                <w:kern w:val="0"/>
                <w:sz w:val="20"/>
              </w:rPr>
              <w:br w:type="textWrapping"/>
            </w:r>
            <w:r>
              <w:rPr>
                <w:rFonts w:hint="eastAsia" w:ascii="宋体" w:hAnsi="宋体" w:cs="宋体"/>
                <w:b/>
                <w:bCs/>
                <w:color w:val="000000"/>
                <w:kern w:val="0"/>
                <w:sz w:val="20"/>
              </w:rPr>
              <w:t>交通信号机通过CCC认证，提供认证证书并加盖原厂公章。                                                        交通信号控制机应通过国家检测机构的环境适应性检测并具有检测报告并加盖原厂公章。</w:t>
            </w:r>
            <w:r>
              <w:rPr>
                <w:rFonts w:hint="eastAsia" w:ascii="宋体" w:hAnsi="宋体" w:cs="宋体"/>
                <w:b/>
                <w:bCs/>
                <w:color w:val="000000"/>
                <w:kern w:val="0"/>
                <w:sz w:val="20"/>
              </w:rPr>
              <w:br w:type="textWrapping"/>
            </w:r>
            <w:r>
              <w:rPr>
                <w:rFonts w:hint="eastAsia" w:ascii="宋体" w:hAnsi="宋体" w:cs="宋体"/>
                <w:color w:val="000000"/>
                <w:kern w:val="0"/>
                <w:sz w:val="20"/>
              </w:rPr>
              <w:t>符合GB/T20999-2007开放性标准；</w:t>
            </w:r>
            <w:r>
              <w:rPr>
                <w:rFonts w:hint="eastAsia" w:ascii="宋体" w:hAnsi="宋体" w:cs="宋体"/>
                <w:color w:val="000000"/>
                <w:kern w:val="0"/>
                <w:sz w:val="20"/>
              </w:rPr>
              <w:br w:type="textWrapping"/>
            </w:r>
            <w:r>
              <w:rPr>
                <w:rFonts w:hint="eastAsia" w:ascii="宋体" w:hAnsi="宋体" w:cs="宋体"/>
                <w:color w:val="000000"/>
                <w:kern w:val="0"/>
                <w:sz w:val="20"/>
              </w:rPr>
              <w:t>CPU采用ARM9 以上的32位嵌入式处理器和嵌入式实时操作系统，</w:t>
            </w:r>
            <w:r>
              <w:rPr>
                <w:rFonts w:hint="eastAsia" w:ascii="宋体" w:hAnsi="宋体" w:cs="宋体"/>
                <w:color w:val="000000"/>
                <w:kern w:val="0"/>
                <w:sz w:val="20"/>
              </w:rPr>
              <w:br w:type="textWrapping"/>
            </w:r>
            <w:r>
              <w:rPr>
                <w:rFonts w:hint="eastAsia" w:ascii="宋体" w:hAnsi="宋体" w:cs="宋体"/>
                <w:color w:val="000000"/>
                <w:kern w:val="0"/>
                <w:sz w:val="20"/>
              </w:rPr>
              <w:t>支持多时段定时控制、人工手动控制、干线协调控制、指挥中心联网控制、区域协调控制等多种控制方式，可扩展至自适应优化控制；</w:t>
            </w:r>
            <w:r>
              <w:rPr>
                <w:rFonts w:hint="eastAsia" w:ascii="宋体" w:hAnsi="宋体" w:cs="宋体"/>
                <w:color w:val="000000"/>
                <w:kern w:val="0"/>
                <w:sz w:val="20"/>
              </w:rPr>
              <w:br w:type="textWrapping"/>
            </w:r>
            <w:r>
              <w:rPr>
                <w:rFonts w:hint="eastAsia" w:ascii="宋体" w:hAnsi="宋体" w:cs="宋体"/>
                <w:color w:val="000000"/>
                <w:kern w:val="0"/>
                <w:sz w:val="20"/>
              </w:rPr>
              <w:t>具有故障检测功能；</w:t>
            </w:r>
            <w:r>
              <w:rPr>
                <w:rFonts w:hint="eastAsia" w:ascii="宋体" w:hAnsi="宋体" w:cs="宋体"/>
                <w:color w:val="000000"/>
                <w:kern w:val="0"/>
                <w:sz w:val="20"/>
              </w:rPr>
              <w:br w:type="textWrapping"/>
            </w:r>
            <w:r>
              <w:rPr>
                <w:rFonts w:hint="eastAsia" w:ascii="宋体" w:hAnsi="宋体" w:cs="宋体"/>
                <w:color w:val="000000"/>
                <w:kern w:val="0"/>
                <w:sz w:val="20"/>
              </w:rPr>
              <w:t>支持44路信号灯输出，包括32路机动车信号灯输出和12路人行信号灯输出，可扩展至66路输出；支持4路行人按钮检测器、4路可变车道指示牌；标配LED数码管，可扩展液晶触摸屏控制，有独立的黄闪控制装置；</w:t>
            </w:r>
            <w:r>
              <w:rPr>
                <w:rFonts w:hint="eastAsia" w:ascii="宋体" w:hAnsi="宋体" w:cs="宋体"/>
                <w:color w:val="000000"/>
                <w:kern w:val="0"/>
                <w:sz w:val="20"/>
              </w:rPr>
              <w:br w:type="textWrapping"/>
            </w:r>
            <w:r>
              <w:rPr>
                <w:rFonts w:hint="eastAsia" w:ascii="宋体" w:hAnsi="宋体" w:cs="宋体"/>
                <w:color w:val="000000"/>
                <w:kern w:val="0"/>
                <w:sz w:val="20"/>
              </w:rPr>
              <w:t>支持无缝接入中心信号控制平台；满足视频流量对接要求</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信号控制机机箱</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机柜采用双开门设计，将强电和弱电分开接线，保证人员安全；整体机柜采用喷塑工艺，保证外壳的美观和耐腐蚀性；机柜采用标准19英寸设计，可以容乃符合国际标准尺寸的外添设备。</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接入授权</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接入安吉县已建SUPCON Intellific信号控制平台</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视频流量检测器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包含一体化嵌入式摄像机、室外防护罩、网络信号防雷器、电源适配器等；200万 像素，1/2.8"逐行扫描HDIS传感器；支持车流量、占有率、排队长度检测；支持IPV4、TCP/IP、UDP、HTTP、RTP/RTCP/RTSP、FTP、UPnP、DDNS、NTP、IGMP、ICMP协议；电压输入范围：85 ~ 264VAC；工作温度-25°C~+70°C 储存温度 -40°C~+85°C 相对湿度93%</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安装支架</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视频检测器在杆件安装的配套支架</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协议转换器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支持4个车道的视频流量检测，支持车道流量等开关量数据接入交通信号机</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线缆</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视频流量检测器配套线缆包括电源线、网线、控制线等</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安装调试施工及维护费用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设备安装接线及调试、运维</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3、高清电子警察系统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4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一体化电警抓拍单元</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b/>
                <w:bCs/>
                <w:color w:val="000000"/>
                <w:kern w:val="0"/>
                <w:sz w:val="20"/>
              </w:rPr>
              <w:t>▲采用1英寸900万像素高帧率彩色全局曝光CMOS高清智能摄像机，</w:t>
            </w:r>
            <w:r>
              <w:rPr>
                <w:rFonts w:hint="eastAsia" w:ascii="宋体" w:hAnsi="宋体" w:cs="宋体"/>
                <w:color w:val="000000"/>
                <w:kern w:val="0"/>
                <w:sz w:val="20"/>
              </w:rPr>
              <w:t xml:space="preserve">最大分辨率可达4096×2160，帧率高达25帧；   </w:t>
            </w:r>
            <w:r>
              <w:rPr>
                <w:rFonts w:hint="eastAsia" w:ascii="宋体" w:hAnsi="宋体" w:cs="宋体"/>
                <w:b/>
                <w:bCs/>
                <w:color w:val="000000"/>
                <w:kern w:val="0"/>
                <w:sz w:val="20"/>
              </w:rPr>
              <w:t xml:space="preserve">  </w:t>
            </w:r>
            <w:r>
              <w:rPr>
                <w:rFonts w:hint="eastAsia" w:ascii="宋体" w:hAnsi="宋体" w:cs="宋体"/>
                <w:color w:val="000000"/>
                <w:kern w:val="0"/>
                <w:sz w:val="20"/>
              </w:rPr>
              <w:t xml:space="preserve">                 </w:t>
            </w:r>
            <w:r>
              <w:rPr>
                <w:rFonts w:hint="eastAsia" w:ascii="宋体" w:hAnsi="宋体" w:cs="宋体"/>
                <w:color w:val="000000"/>
                <w:kern w:val="0"/>
                <w:sz w:val="20"/>
              </w:rPr>
              <w:br w:type="textWrapping"/>
            </w:r>
            <w:r>
              <w:rPr>
                <w:rFonts w:hint="eastAsia" w:ascii="宋体" w:hAnsi="宋体" w:cs="宋体"/>
                <w:color w:val="000000"/>
                <w:kern w:val="0"/>
                <w:sz w:val="20"/>
              </w:rPr>
              <w:t>输出图片格式：JPEG；支持LED频闪灯同步补光，防护罩内置LED车牌补光灯，摄像机内置网络防雷；支持车牌、车型、车身颜色等信息识别功能，支持压线、逆行、闯红灯、不按导向行驶等违法检测功能；识别车牌种类多：民用车牌（除5小车辆），警用车牌，2012式新军用车牌，2012式武警车牌，新能源车牌；支持远程数据上传，可将抓拍的图片上传给终端服务器、FTP服务器或者后端平台等；具有防尘、防水、网络防雷、防浪涌等功能。</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环境频闪灯</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16颗原装进口大功率白光LED频闪灯，色温5000K~7000K，单车道环境补光灯；最佳补光距离16m～25m；支持5V电平量触发（可选开关量），最大功率30W</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智能终端管理器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嵌入式Linux实时操作系统；可接入12路高清网络摄像机（支持视频和图片同时接入）、4路标清BNC接口模拟摄像机，最大支持64Mbps码流接入，64Mbps码流转发；视频输入：12路网络压缩高清视频输入，4路模拟视频输入；报警输出：4路，继电器输出；最大支持4个SATA接口硬盘，兼容3.5”/2.5”大小的硬盘；支持断网续传，数据防删改，标配4T硬盘</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机柜及基础</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室外IP65机柜，含机柜保护装置，防雷击保护装置；机柜采用铁制防锈处理外壳，内置供电模块、浪涌保护，具备温控装置，检修插孔，含检修灯；含基础预埋件等</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个</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抱杆机箱</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具有防热、防尘、防水、防盗功能，适应室外工作环境，密封良好，做防锈、防腐处理，预留数据传输设备的空间，预留数据线、电源线接口。机箱表面采用镀锌后喷塑工艺处理，锁具、门轴坚实牢固。IP等级：≥IP54</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三合一卡口型电警处理程序</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含电子警察、卡口图片识别上传软件</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红绿灯检测器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支持红绿灯信号灯检测，并可实时输出红绿灯状态</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路口交换机</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工业级，千兆16口交换机</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9</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光纤收发器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工业级，千兆一光四电，带485口</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10</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线缆及辅材</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含光纤、电源线、接地线、控制线等，网线等</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管道铺设</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人行道、绿化带PE管开槽埋设、预埋，手井制作</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杆件及基础</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立杆根据现场实际情况进行定制，八角杆，立杆壁厚不少于8mm，净高不低于6m，横挑臂6-14m，热镀锌，含抱箍、支架与附件</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3"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安装调试施工及维护费用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设备安装接线及调试、运维</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第三方检测费</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设备使用前，需要有资质的单位出具相应的检测报告</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15</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网络费用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一年</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4、卡口抓拍系统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一体化卡口抓拍单元</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b/>
                <w:bCs/>
                <w:color w:val="000000"/>
                <w:kern w:val="0"/>
                <w:sz w:val="20"/>
              </w:rPr>
              <w:t>▲摄像机：采用1英寸900万像素彩色逐行扫描GMOS 高清智能摄像机</w:t>
            </w:r>
            <w:r>
              <w:rPr>
                <w:rFonts w:hint="eastAsia" w:ascii="宋体" w:hAnsi="宋体" w:cs="宋体"/>
                <w:color w:val="000000"/>
                <w:kern w:val="0"/>
                <w:sz w:val="20"/>
              </w:rPr>
              <w:br w:type="textWrapping"/>
            </w:r>
            <w:r>
              <w:rPr>
                <w:rFonts w:hint="eastAsia" w:ascii="宋体" w:hAnsi="宋体" w:cs="宋体"/>
                <w:color w:val="000000"/>
                <w:kern w:val="0"/>
                <w:sz w:val="20"/>
              </w:rPr>
              <w:t>最大分辨率可达4096×2160，帧率高达25帧；</w:t>
            </w:r>
            <w:r>
              <w:rPr>
                <w:rFonts w:hint="eastAsia" w:ascii="宋体" w:hAnsi="宋体" w:cs="宋体"/>
                <w:color w:val="000000"/>
                <w:kern w:val="0"/>
                <w:sz w:val="20"/>
              </w:rPr>
              <w:br w:type="textWrapping"/>
            </w:r>
            <w:r>
              <w:rPr>
                <w:rFonts w:hint="eastAsia" w:ascii="宋体" w:hAnsi="宋体" w:cs="宋体"/>
                <w:color w:val="000000"/>
                <w:kern w:val="0"/>
                <w:sz w:val="20"/>
              </w:rPr>
              <w:t>抓拍单元防护罩面板具有防尘防水滴功能，且内置LED补光灯，摄像机内置网络防雷；</w:t>
            </w:r>
            <w:r>
              <w:rPr>
                <w:rFonts w:hint="eastAsia" w:ascii="宋体" w:hAnsi="宋体" w:cs="宋体"/>
                <w:color w:val="000000"/>
                <w:kern w:val="0"/>
                <w:sz w:val="20"/>
              </w:rPr>
              <w:br w:type="textWrapping"/>
            </w:r>
            <w:r>
              <w:rPr>
                <w:rFonts w:hint="eastAsia" w:ascii="宋体" w:hAnsi="宋体" w:cs="宋体"/>
                <w:color w:val="000000"/>
                <w:kern w:val="0"/>
                <w:sz w:val="20"/>
              </w:rPr>
              <w:t>输出图片格式：JPEG；</w:t>
            </w:r>
            <w:r>
              <w:rPr>
                <w:rFonts w:hint="eastAsia" w:ascii="宋体" w:hAnsi="宋体" w:cs="宋体"/>
                <w:color w:val="000000"/>
                <w:kern w:val="0"/>
                <w:sz w:val="20"/>
              </w:rPr>
              <w:br w:type="textWrapping"/>
            </w:r>
            <w:r>
              <w:rPr>
                <w:rFonts w:hint="eastAsia" w:ascii="宋体" w:hAnsi="宋体" w:cs="宋体"/>
                <w:color w:val="000000"/>
                <w:kern w:val="0"/>
                <w:sz w:val="20"/>
              </w:rPr>
              <w:t>支持闪光灯和LED频闪灯同步补光；使用闪光灯补光时，抓拍图片可看清司乘人员人脸；</w:t>
            </w:r>
            <w:r>
              <w:rPr>
                <w:rFonts w:hint="eastAsia" w:ascii="宋体" w:hAnsi="宋体" w:cs="宋体"/>
                <w:color w:val="000000"/>
                <w:kern w:val="0"/>
                <w:sz w:val="20"/>
              </w:rPr>
              <w:br w:type="textWrapping"/>
            </w:r>
            <w:r>
              <w:rPr>
                <w:rFonts w:hint="eastAsia" w:ascii="宋体" w:hAnsi="宋体" w:cs="宋体"/>
                <w:color w:val="000000"/>
                <w:kern w:val="0"/>
                <w:sz w:val="20"/>
              </w:rPr>
              <w:t>支持线圈、视频等触发模式；</w:t>
            </w:r>
            <w:r>
              <w:rPr>
                <w:rFonts w:hint="eastAsia" w:ascii="宋体" w:hAnsi="宋体" w:cs="宋体"/>
                <w:color w:val="000000"/>
                <w:kern w:val="0"/>
                <w:sz w:val="20"/>
              </w:rPr>
              <w:br w:type="textWrapping"/>
            </w:r>
            <w:r>
              <w:rPr>
                <w:rFonts w:hint="eastAsia" w:ascii="宋体" w:hAnsi="宋体" w:cs="宋体"/>
                <w:color w:val="000000"/>
                <w:kern w:val="0"/>
                <w:sz w:val="20"/>
              </w:rPr>
              <w:t>支持车牌、车型、车身颜色、车标及车辆子品牌、挂坠、安全带、遮阳板等信息识别；</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环境频闪灯</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16颗原装进口大功率白光LED频闪灯，色温5000K~7000K，单车道环境补光灯；最佳补光距离16m～25m；支持5V电平量触发（可选开关量），最大功率30W</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爆闪灯</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单车道气体爆闪灯，单次闪光能量≥200J，白天可看清前排司乘人员面部特征；</w:t>
            </w:r>
            <w:r>
              <w:rPr>
                <w:rFonts w:hint="eastAsia" w:ascii="宋体" w:hAnsi="宋体" w:cs="宋体"/>
                <w:color w:val="000000"/>
                <w:kern w:val="0"/>
                <w:sz w:val="20"/>
              </w:rPr>
              <w:br w:type="textWrapping"/>
            </w:r>
            <w:r>
              <w:rPr>
                <w:rFonts w:hint="eastAsia" w:ascii="宋体" w:hAnsi="宋体" w:cs="宋体"/>
                <w:color w:val="000000"/>
                <w:kern w:val="0"/>
                <w:sz w:val="20"/>
              </w:rPr>
              <w:t>回电时间＜67ms，支持5V电平量触发(可选开关量)；</w:t>
            </w:r>
            <w:r>
              <w:rPr>
                <w:rFonts w:hint="eastAsia" w:ascii="宋体" w:hAnsi="宋体" w:cs="宋体"/>
                <w:color w:val="000000"/>
                <w:kern w:val="0"/>
                <w:sz w:val="20"/>
              </w:rPr>
              <w:br w:type="textWrapping"/>
            </w:r>
            <w:r>
              <w:rPr>
                <w:rFonts w:hint="eastAsia" w:ascii="宋体" w:hAnsi="宋体" w:cs="宋体"/>
                <w:color w:val="000000"/>
                <w:kern w:val="0"/>
                <w:sz w:val="20"/>
              </w:rPr>
              <w:t>有效补光距离16m～25m；</w:t>
            </w:r>
            <w:r>
              <w:rPr>
                <w:rFonts w:hint="eastAsia" w:ascii="宋体" w:hAnsi="宋体" w:cs="宋体"/>
                <w:color w:val="000000"/>
                <w:kern w:val="0"/>
                <w:sz w:val="20"/>
              </w:rPr>
              <w:br w:type="textWrapping"/>
            </w:r>
            <w:r>
              <w:rPr>
                <w:rFonts w:hint="eastAsia" w:ascii="宋体" w:hAnsi="宋体" w:cs="宋体"/>
                <w:color w:val="000000"/>
                <w:kern w:val="0"/>
                <w:sz w:val="20"/>
              </w:rPr>
              <w:t>工作环境-25～+70℃(-40℃内均可安全使用/有衰减)；</w:t>
            </w:r>
            <w:r>
              <w:rPr>
                <w:rFonts w:hint="eastAsia" w:ascii="宋体" w:hAnsi="宋体" w:cs="宋体"/>
                <w:color w:val="000000"/>
                <w:kern w:val="0"/>
                <w:sz w:val="20"/>
              </w:rPr>
              <w:br w:type="textWrapping"/>
            </w:r>
            <w:r>
              <w:rPr>
                <w:rFonts w:hint="eastAsia" w:ascii="宋体" w:hAnsi="宋体" w:cs="宋体"/>
                <w:color w:val="000000"/>
                <w:kern w:val="0"/>
                <w:sz w:val="20"/>
              </w:rPr>
              <w:t>具有脉冲保护功能，屏蔽≥3Hz持续性的脉冲信号(闪15次后进入1次/S的微闪光提示状态，复原时间为10S)；闪光次数≥2000万次；</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智能终端管理器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嵌入式Linux实时操作系统；可接入12路高清网络摄像机（支持视频和图片同时接入）、4路标清BNC接口模拟摄像机，最大支持64Mbps码流接入，64Mbps码流转发；视频输入：12路网络压缩高清视频输入，4路模拟视频输入；报警输出：4路，继电器输出；最大支持4个SATA接口硬盘，兼容3.5”/2.5”大小的硬盘；支持断网续传，数据防删改，标配4T硬盘</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路口交换机</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工业级，千兆16口交换机</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光纤收发器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工业级，千兆一光四电</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线缆及辅材</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含光纤、电源线、接地线、控制线等，网线等</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安装调试施工及维护费用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设备安装接线及调试、运维等工作</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5、单行线抓拍系统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高清一体机</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包含摄像机(带内置偏振镜)、高清镜头、室外防护罩、内置补光灯、摄像机内置偏振镜、风扇、电源适配器、安装万向节等</w:t>
            </w:r>
            <w:r>
              <w:rPr>
                <w:rFonts w:hint="eastAsia" w:ascii="宋体" w:hAnsi="宋体" w:cs="宋体"/>
                <w:color w:val="000000"/>
                <w:kern w:val="0"/>
                <w:sz w:val="20"/>
              </w:rPr>
              <w:br w:type="textWrapping"/>
            </w:r>
            <w:r>
              <w:rPr>
                <w:rFonts w:hint="eastAsia" w:ascii="宋体" w:hAnsi="宋体" w:cs="宋体"/>
                <w:color w:val="000000"/>
                <w:kern w:val="0"/>
                <w:sz w:val="20"/>
              </w:rPr>
              <w:t>像素：320W</w:t>
            </w:r>
            <w:r>
              <w:rPr>
                <w:rFonts w:hint="eastAsia" w:ascii="宋体" w:hAnsi="宋体" w:cs="宋体"/>
                <w:color w:val="000000"/>
                <w:kern w:val="0"/>
                <w:sz w:val="20"/>
              </w:rPr>
              <w:br w:type="textWrapping"/>
            </w:r>
            <w:r>
              <w:rPr>
                <w:rFonts w:hint="eastAsia" w:ascii="宋体" w:hAnsi="宋体" w:cs="宋体"/>
                <w:color w:val="000000"/>
                <w:kern w:val="0"/>
                <w:sz w:val="20"/>
              </w:rPr>
              <w:t>分辨率：最大支持2064*1544</w:t>
            </w:r>
            <w:r>
              <w:rPr>
                <w:rFonts w:hint="eastAsia" w:ascii="宋体" w:hAnsi="宋体" w:cs="宋体"/>
                <w:color w:val="000000"/>
                <w:kern w:val="0"/>
                <w:sz w:val="20"/>
              </w:rPr>
              <w:br w:type="textWrapping"/>
            </w:r>
            <w:r>
              <w:rPr>
                <w:rFonts w:hint="eastAsia" w:ascii="宋体" w:hAnsi="宋体" w:cs="宋体"/>
                <w:color w:val="000000"/>
                <w:kern w:val="0"/>
                <w:sz w:val="20"/>
              </w:rPr>
              <w:t>帧率：25fps</w:t>
            </w:r>
            <w:r>
              <w:rPr>
                <w:rFonts w:hint="eastAsia" w:ascii="宋体" w:hAnsi="宋体" w:cs="宋体"/>
                <w:color w:val="000000"/>
                <w:kern w:val="0"/>
                <w:sz w:val="20"/>
              </w:rPr>
              <w:br w:type="textWrapping"/>
            </w:r>
            <w:r>
              <w:rPr>
                <w:rFonts w:hint="eastAsia" w:ascii="宋体" w:hAnsi="宋体" w:cs="宋体"/>
                <w:color w:val="000000"/>
                <w:kern w:val="0"/>
                <w:sz w:val="20"/>
              </w:rPr>
              <w:t>图像传感器：采用1/1.8" 英寸全局曝光CMOS（GMOS）传感器</w:t>
            </w:r>
            <w:r>
              <w:rPr>
                <w:rFonts w:hint="eastAsia" w:ascii="宋体" w:hAnsi="宋体" w:cs="宋体"/>
                <w:color w:val="000000"/>
                <w:kern w:val="0"/>
                <w:sz w:val="20"/>
              </w:rPr>
              <w:br w:type="textWrapping"/>
            </w:r>
            <w:r>
              <w:rPr>
                <w:rFonts w:hint="eastAsia" w:ascii="宋体" w:hAnsi="宋体" w:cs="宋体"/>
                <w:color w:val="000000"/>
                <w:kern w:val="0"/>
                <w:sz w:val="20"/>
              </w:rPr>
              <w:t>相机：iDS-2CD9136-AES</w:t>
            </w:r>
            <w:r>
              <w:rPr>
                <w:rFonts w:hint="eastAsia" w:ascii="宋体" w:hAnsi="宋体" w:cs="宋体"/>
                <w:color w:val="000000"/>
                <w:kern w:val="0"/>
                <w:sz w:val="20"/>
              </w:rPr>
              <w:br w:type="textWrapping"/>
            </w:r>
            <w:r>
              <w:rPr>
                <w:rFonts w:hint="eastAsia" w:ascii="宋体" w:hAnsi="宋体" w:cs="宋体"/>
                <w:color w:val="000000"/>
                <w:kern w:val="0"/>
                <w:sz w:val="20"/>
              </w:rPr>
              <w:t>ICR：支持</w:t>
            </w:r>
            <w:r>
              <w:rPr>
                <w:rFonts w:hint="eastAsia" w:ascii="宋体" w:hAnsi="宋体" w:cs="宋体"/>
                <w:color w:val="000000"/>
                <w:kern w:val="0"/>
                <w:sz w:val="20"/>
              </w:rPr>
              <w:br w:type="textWrapping"/>
            </w:r>
            <w:r>
              <w:rPr>
                <w:rFonts w:hint="eastAsia" w:ascii="宋体" w:hAnsi="宋体" w:cs="宋体"/>
                <w:color w:val="000000"/>
                <w:kern w:val="0"/>
                <w:sz w:val="20"/>
              </w:rPr>
              <w:t>镜头：25mm镜头</w:t>
            </w:r>
            <w:r>
              <w:rPr>
                <w:rFonts w:hint="eastAsia" w:ascii="宋体" w:hAnsi="宋体" w:cs="宋体"/>
                <w:color w:val="000000"/>
                <w:kern w:val="0"/>
                <w:sz w:val="20"/>
              </w:rPr>
              <w:br w:type="textWrapping"/>
            </w:r>
            <w:r>
              <w:rPr>
                <w:rFonts w:hint="eastAsia" w:ascii="宋体" w:hAnsi="宋体" w:cs="宋体"/>
                <w:color w:val="000000"/>
                <w:kern w:val="0"/>
                <w:sz w:val="20"/>
              </w:rPr>
              <w:t>偏振镜：相机内置偏振镜</w:t>
            </w:r>
            <w:r>
              <w:rPr>
                <w:rFonts w:hint="eastAsia" w:ascii="宋体" w:hAnsi="宋体" w:cs="宋体"/>
                <w:color w:val="000000"/>
                <w:kern w:val="0"/>
                <w:sz w:val="20"/>
              </w:rPr>
              <w:br w:type="textWrapping"/>
            </w:r>
            <w:r>
              <w:rPr>
                <w:rFonts w:hint="eastAsia" w:ascii="宋体" w:hAnsi="宋体" w:cs="宋体"/>
                <w:color w:val="000000"/>
                <w:kern w:val="0"/>
                <w:sz w:val="20"/>
              </w:rPr>
              <w:t>照度：彩色:0.01Lux @(F1.2，AGC ON)</w:t>
            </w:r>
            <w:r>
              <w:rPr>
                <w:rFonts w:hint="eastAsia" w:ascii="宋体" w:hAnsi="宋体" w:cs="宋体"/>
                <w:color w:val="000000"/>
                <w:kern w:val="0"/>
                <w:sz w:val="20"/>
              </w:rPr>
              <w:br w:type="textWrapping"/>
            </w:r>
            <w:r>
              <w:rPr>
                <w:rFonts w:hint="eastAsia" w:ascii="宋体" w:hAnsi="宋体" w:cs="宋体"/>
                <w:color w:val="000000"/>
                <w:kern w:val="0"/>
                <w:sz w:val="20"/>
              </w:rPr>
              <w:t>视频压缩标准：H.265/H.264/MJPEG</w:t>
            </w:r>
            <w:r>
              <w:rPr>
                <w:rFonts w:hint="eastAsia" w:ascii="宋体" w:hAnsi="宋体" w:cs="宋体"/>
                <w:color w:val="000000"/>
                <w:kern w:val="0"/>
                <w:sz w:val="20"/>
              </w:rPr>
              <w:br w:type="textWrapping"/>
            </w:r>
            <w:r>
              <w:rPr>
                <w:rFonts w:hint="eastAsia" w:ascii="宋体" w:hAnsi="宋体" w:cs="宋体"/>
                <w:color w:val="000000"/>
                <w:kern w:val="0"/>
                <w:sz w:val="20"/>
              </w:rPr>
              <w:t>图像输出格式：JPEG</w:t>
            </w:r>
            <w:r>
              <w:rPr>
                <w:rFonts w:hint="eastAsia" w:ascii="宋体" w:hAnsi="宋体" w:cs="宋体"/>
                <w:color w:val="000000"/>
                <w:kern w:val="0"/>
                <w:sz w:val="20"/>
              </w:rPr>
              <w:br w:type="textWrapping"/>
            </w:r>
            <w:r>
              <w:rPr>
                <w:rFonts w:hint="eastAsia" w:ascii="宋体" w:hAnsi="宋体" w:cs="宋体"/>
                <w:color w:val="000000"/>
                <w:kern w:val="0"/>
                <w:sz w:val="20"/>
              </w:rPr>
              <w:t>输出：电平量信号</w:t>
            </w:r>
            <w:r>
              <w:rPr>
                <w:rFonts w:hint="eastAsia" w:ascii="宋体" w:hAnsi="宋体" w:cs="宋体"/>
                <w:color w:val="000000"/>
                <w:kern w:val="0"/>
                <w:sz w:val="20"/>
              </w:rPr>
              <w:br w:type="textWrapping"/>
            </w:r>
            <w:r>
              <w:rPr>
                <w:rFonts w:hint="eastAsia" w:ascii="宋体" w:hAnsi="宋体" w:cs="宋体"/>
                <w:color w:val="000000"/>
                <w:kern w:val="0"/>
                <w:sz w:val="20"/>
              </w:rPr>
              <w:t>通讯接口：2个RJ45 100M/1000M自适应网口，3个RS485接口，1个RS232接口</w:t>
            </w:r>
            <w:r>
              <w:rPr>
                <w:rFonts w:hint="eastAsia" w:ascii="宋体" w:hAnsi="宋体" w:cs="宋体"/>
                <w:color w:val="000000"/>
                <w:kern w:val="0"/>
                <w:sz w:val="20"/>
              </w:rPr>
              <w:br w:type="textWrapping"/>
            </w:r>
            <w:r>
              <w:rPr>
                <w:rFonts w:hint="eastAsia" w:ascii="宋体" w:hAnsi="宋体" w:cs="宋体"/>
                <w:color w:val="000000"/>
                <w:kern w:val="0"/>
                <w:sz w:val="20"/>
              </w:rPr>
              <w:t>外部接口：4路外部触发输入，6路(光耦隔离2500VAC)输出，可作为闪光灯同步输出控制，SYNC信号灯电源同步输入</w:t>
            </w:r>
            <w:r>
              <w:rPr>
                <w:rFonts w:hint="eastAsia" w:ascii="宋体" w:hAnsi="宋体" w:cs="宋体"/>
                <w:color w:val="000000"/>
                <w:kern w:val="0"/>
                <w:sz w:val="20"/>
              </w:rPr>
              <w:br w:type="textWrapping"/>
            </w:r>
            <w:r>
              <w:rPr>
                <w:rFonts w:hint="eastAsia" w:ascii="宋体" w:hAnsi="宋体" w:cs="宋体"/>
                <w:color w:val="000000"/>
                <w:kern w:val="0"/>
                <w:sz w:val="20"/>
              </w:rPr>
              <w:t>存储支持：支持64G TF卡</w:t>
            </w:r>
            <w:r>
              <w:rPr>
                <w:rFonts w:hint="eastAsia" w:ascii="宋体" w:hAnsi="宋体" w:cs="宋体"/>
                <w:color w:val="000000"/>
                <w:kern w:val="0"/>
                <w:sz w:val="20"/>
              </w:rPr>
              <w:br w:type="textWrapping"/>
            </w:r>
            <w:r>
              <w:rPr>
                <w:rFonts w:hint="eastAsia" w:ascii="宋体" w:hAnsi="宋体" w:cs="宋体"/>
                <w:color w:val="000000"/>
                <w:kern w:val="0"/>
                <w:sz w:val="20"/>
              </w:rPr>
              <w:t>自动光圈镜头：支持</w:t>
            </w:r>
            <w:r>
              <w:rPr>
                <w:rFonts w:hint="eastAsia" w:ascii="宋体" w:hAnsi="宋体" w:cs="宋体"/>
                <w:color w:val="000000"/>
                <w:kern w:val="0"/>
                <w:sz w:val="20"/>
              </w:rPr>
              <w:br w:type="textWrapping"/>
            </w:r>
            <w:r>
              <w:rPr>
                <w:rFonts w:hint="eastAsia" w:ascii="宋体" w:hAnsi="宋体" w:cs="宋体"/>
                <w:color w:val="000000"/>
                <w:kern w:val="0"/>
                <w:sz w:val="20"/>
              </w:rPr>
              <w:t>工作电压：100VAC~240VAC；频率：48Hz~52Hz</w:t>
            </w:r>
            <w:r>
              <w:rPr>
                <w:rFonts w:hint="eastAsia" w:ascii="宋体" w:hAnsi="宋体" w:cs="宋体"/>
                <w:color w:val="000000"/>
                <w:kern w:val="0"/>
                <w:sz w:val="20"/>
              </w:rPr>
              <w:br w:type="textWrapping"/>
            </w:r>
            <w:r>
              <w:rPr>
                <w:rFonts w:hint="eastAsia" w:ascii="宋体" w:hAnsi="宋体" w:cs="宋体"/>
                <w:color w:val="000000"/>
                <w:kern w:val="0"/>
                <w:sz w:val="20"/>
              </w:rPr>
              <w:t>功耗：＜20W</w:t>
            </w:r>
            <w:r>
              <w:rPr>
                <w:rFonts w:hint="eastAsia" w:ascii="宋体" w:hAnsi="宋体" w:cs="宋体"/>
                <w:color w:val="000000"/>
                <w:kern w:val="0"/>
                <w:sz w:val="20"/>
              </w:rPr>
              <w:br w:type="textWrapping"/>
            </w:r>
            <w:r>
              <w:rPr>
                <w:rFonts w:hint="eastAsia" w:ascii="宋体" w:hAnsi="宋体" w:cs="宋体"/>
                <w:color w:val="000000"/>
                <w:kern w:val="0"/>
                <w:sz w:val="20"/>
              </w:rPr>
              <w:t>支持智能识别功能：内置视频识别功能，支持车牌识别、视频触发、车身颜色识别、车型识别、车标识别和通行车辆信息捕获</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环境频闪灯</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16颗原装进口大功率白光LED频闪灯，色温5000K~7000K，单车道环境补光灯；最佳补光距离16m～25m；支持5V电平量触发（可选开关量），最大功率30W</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杆件及基础</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立杆根据现场实际情况进行定制，八角杆，立杆壁厚不少于8mm，净高不低于6m，横挑臂6-14m，热镀锌，含抱箍、支架与附件</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网络防雷器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网络防雷功能</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抱杆机箱</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具有防热、防尘、防水、防盗功能，适应室外工作环境，密封良好，做防锈、防腐处理，预留数据传输设备的空间，预留数据线、电源线接口。机箱表面采用镀锌后喷塑工艺处理，锁具、门轴坚实牢固。IP等级：≥IP54</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光纤收发器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工业级，千兆一光四电</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线缆及辅材</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含光纤、电源线、接地线、控制线等，网线等</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管道及取电工程</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人行道、绿化带PE管开槽埋设、预埋，手井制作以及含取电</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9</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安装调试施工及维护费用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设备安装接线及调试、运维等工作</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6、违停抓拍系统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1" w:hRule="atLeast"/>
        </w:trPr>
        <w:tc>
          <w:tcPr>
            <w:tcW w:w="61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违停自动抓拍球机</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b/>
                <w:bCs/>
                <w:color w:val="000000"/>
                <w:kern w:val="0"/>
                <w:sz w:val="20"/>
              </w:rPr>
              <w:t>▲相机焦距范围不小于5-220mm，不低于44倍光学变倍；提供公安部权威机构出具的检测报告复印件并加盖原厂公章</w:t>
            </w:r>
            <w:r>
              <w:rPr>
                <w:rFonts w:hint="eastAsia" w:ascii="宋体" w:hAnsi="宋体" w:cs="宋体"/>
                <w:color w:val="000000"/>
                <w:kern w:val="0"/>
                <w:sz w:val="20"/>
              </w:rPr>
              <w:t>。</w:t>
            </w:r>
            <w:r>
              <w:rPr>
                <w:rFonts w:hint="eastAsia" w:ascii="宋体" w:hAnsi="宋体" w:cs="宋体"/>
                <w:color w:val="000000"/>
                <w:kern w:val="0"/>
                <w:sz w:val="20"/>
              </w:rPr>
              <w:br w:type="textWrapping"/>
            </w:r>
            <w:r>
              <w:rPr>
                <w:rFonts w:hint="eastAsia" w:ascii="宋体" w:hAnsi="宋体" w:cs="宋体"/>
                <w:color w:val="000000"/>
                <w:kern w:val="0"/>
                <w:sz w:val="20"/>
              </w:rPr>
              <w:t>视频最大分辨率不小于1920*1080，最大帧率不小于50</w:t>
            </w:r>
            <w:r>
              <w:rPr>
                <w:rFonts w:hint="eastAsia" w:ascii="宋体" w:hAnsi="宋体" w:cs="宋体"/>
                <w:color w:val="000000"/>
                <w:kern w:val="0"/>
                <w:sz w:val="20"/>
              </w:rPr>
              <w:br w:type="textWrapping"/>
            </w:r>
            <w:r>
              <w:rPr>
                <w:rFonts w:hint="eastAsia" w:ascii="宋体" w:hAnsi="宋体" w:cs="宋体"/>
                <w:color w:val="000000"/>
                <w:kern w:val="0"/>
                <w:sz w:val="20"/>
              </w:rPr>
              <w:t>黑白模式下最低照度不高于0.0001lx；</w:t>
            </w:r>
            <w:r>
              <w:rPr>
                <w:rFonts w:hint="eastAsia" w:ascii="宋体" w:hAnsi="宋体" w:cs="宋体"/>
                <w:color w:val="000000"/>
                <w:kern w:val="0"/>
                <w:sz w:val="20"/>
              </w:rPr>
              <w:br w:type="textWrapping"/>
            </w:r>
            <w:r>
              <w:rPr>
                <w:rFonts w:hint="eastAsia" w:ascii="宋体" w:hAnsi="宋体" w:cs="宋体"/>
                <w:color w:val="000000"/>
                <w:kern w:val="0"/>
                <w:sz w:val="20"/>
              </w:rPr>
              <w:t>最大亮度鉴别等级不低于13级；</w:t>
            </w:r>
            <w:r>
              <w:rPr>
                <w:rFonts w:hint="eastAsia" w:ascii="宋体" w:hAnsi="宋体" w:cs="宋体"/>
                <w:color w:val="000000"/>
                <w:kern w:val="0"/>
                <w:sz w:val="20"/>
              </w:rPr>
              <w:br w:type="textWrapping"/>
            </w:r>
            <w:r>
              <w:rPr>
                <w:rFonts w:hint="eastAsia" w:ascii="宋体" w:hAnsi="宋体" w:cs="宋体"/>
                <w:color w:val="000000"/>
                <w:kern w:val="0"/>
                <w:sz w:val="20"/>
              </w:rPr>
              <w:t>信噪比不低于66dB；照度适应范围不小于120dB；</w:t>
            </w:r>
            <w:r>
              <w:rPr>
                <w:rFonts w:hint="eastAsia" w:ascii="宋体" w:hAnsi="宋体" w:cs="宋体"/>
                <w:color w:val="000000"/>
                <w:kern w:val="0"/>
                <w:sz w:val="20"/>
              </w:rPr>
              <w:br w:type="textWrapping"/>
            </w:r>
            <w:r>
              <w:rPr>
                <w:rFonts w:hint="eastAsia" w:ascii="宋体" w:hAnsi="宋体" w:cs="宋体"/>
                <w:color w:val="000000"/>
                <w:kern w:val="0"/>
                <w:sz w:val="20"/>
              </w:rPr>
              <w:t>具有1个10M/100M/1000M自适应以太网RJ45接口、1路RS485接口，1个SFP接口；不少于2路告警输入接口，1路告警输出接口；相机通过1个网络接口及一个光纤接口实现多台相机间级联；设备工作温度范围不小于-45℃~+80℃；电源AC24V电压在55%波动下，设备仍正常工作；防护等级不低于IP66；</w:t>
            </w:r>
            <w:r>
              <w:rPr>
                <w:rFonts w:hint="eastAsia" w:ascii="宋体" w:hAnsi="宋体" w:cs="宋体"/>
                <w:color w:val="000000"/>
                <w:kern w:val="0"/>
                <w:sz w:val="20"/>
              </w:rPr>
              <w:br w:type="textWrapping"/>
            </w:r>
            <w:r>
              <w:rPr>
                <w:rFonts w:hint="eastAsia" w:ascii="宋体" w:hAnsi="宋体" w:cs="宋体"/>
                <w:b/>
                <w:bCs/>
                <w:color w:val="000000"/>
                <w:kern w:val="0"/>
                <w:sz w:val="20"/>
              </w:rPr>
              <w:t>▲违停车辆捕获率，白天不低于95%，晚上不低于90%。投标时提供公安部权威机构出具的检测报告复印件并加盖原厂公章。</w:t>
            </w:r>
            <w:r>
              <w:rPr>
                <w:rFonts w:hint="eastAsia" w:ascii="宋体" w:hAnsi="宋体" w:cs="宋体"/>
                <w:b/>
                <w:bCs/>
                <w:color w:val="000000"/>
                <w:kern w:val="0"/>
                <w:sz w:val="20"/>
              </w:rPr>
              <w:br w:type="textWrapping"/>
            </w:r>
            <w:r>
              <w:rPr>
                <w:rFonts w:hint="eastAsia" w:ascii="宋体" w:hAnsi="宋体" w:cs="宋体"/>
                <w:b/>
                <w:bCs/>
                <w:color w:val="000000"/>
                <w:kern w:val="0"/>
                <w:sz w:val="20"/>
              </w:rPr>
              <w:t>▲违法停车白天有效检测距离不低于200m。投标时提供公安部权威机构出具的检测报告复印件并加盖原厂公章。                      支持对无牌车抓拍或过滤，投标时提供公安部权威机构出具的检测报告复印件并加盖原厂公章。                                 支持违停预警功能，并且支持上报平台。支持违停诱导屏发布功能，违章抓拍后在诱导屏上显示违法车辆信息，投标时提供公安部权威机构出具的检测报告复印件并加盖原厂公章。</w:t>
            </w:r>
            <w:r>
              <w:rPr>
                <w:rFonts w:hint="eastAsia" w:ascii="宋体" w:hAnsi="宋体" w:cs="宋体"/>
                <w:b/>
                <w:bCs/>
                <w:color w:val="000000"/>
                <w:kern w:val="0"/>
                <w:sz w:val="20"/>
              </w:rPr>
              <w:br w:type="textWrapping"/>
            </w:r>
            <w:r>
              <w:rPr>
                <w:rFonts w:hint="eastAsia" w:ascii="宋体" w:hAnsi="宋体" w:cs="宋体"/>
                <w:b/>
                <w:bCs/>
                <w:color w:val="000000"/>
                <w:kern w:val="0"/>
                <w:sz w:val="20"/>
              </w:rPr>
              <w:t>支持本地存储，存储容量不小于128G。投标时提供公安部权威机构出具的检测报告复印件并加盖原厂公章。</w:t>
            </w:r>
            <w:r>
              <w:rPr>
                <w:rFonts w:hint="eastAsia" w:ascii="宋体" w:hAnsi="宋体" w:cs="宋体"/>
                <w:b/>
                <w:bCs/>
                <w:color w:val="000000"/>
                <w:kern w:val="0"/>
                <w:sz w:val="20"/>
              </w:rPr>
              <w:br w:type="textWrapping"/>
            </w:r>
            <w:r>
              <w:rPr>
                <w:rFonts w:hint="eastAsia" w:ascii="宋体" w:hAnsi="宋体" w:cs="宋体"/>
                <w:b/>
                <w:bCs/>
                <w:color w:val="000000"/>
                <w:kern w:val="0"/>
                <w:sz w:val="20"/>
              </w:rPr>
              <w:t>支持ARP防攻击功能，具有SNMPV3校验功能，投标时提供公安部权威机构出具的检测报告复印件并加盖原厂公章。</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个</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0" w:hRule="atLeast"/>
        </w:trPr>
        <w:tc>
          <w:tcPr>
            <w:tcW w:w="61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抱杆机箱</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具有防热、防尘、防水、防盗功能，适应室外工作环境，密封良好，做防锈、防腐处理，预留数据传输设备的空间，预留数据线、电源线接口。机箱表面采用镀锌后喷塑工艺处理，锁具、门轴坚实牢固。IP等级：≥IP54</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个</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二合一防雷器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电源、信号防雷器</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个</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倒L型立杆及基础</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净高6m，挑臂根据现场定制，含基础</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管道铺设</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人行道、绿化带PE管开槽埋设、预埋，手井制作</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线缆及辅材</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含光纤、电源线、接地线、控制线等，网线等</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取电费</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从电表到设备控制箱之间的电源接入</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第三方检测费</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设备使用前，需要有资质的单位出具相应的检测报告</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标识标牌</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数量根据现场实际情况配置</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网络费用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一年</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7、智能交通诱导系统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top"/>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7.1、一级诱导屏建设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23"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一级诱导屏（光带屏）</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b/>
                <w:bCs/>
                <w:color w:val="000000"/>
                <w:kern w:val="0"/>
                <w:sz w:val="20"/>
              </w:rPr>
              <w:t>▲外形尺寸：4m×5m</w:t>
            </w:r>
            <w:r>
              <w:rPr>
                <w:rFonts w:hint="eastAsia" w:ascii="宋体" w:hAnsi="宋体" w:cs="宋体"/>
                <w:color w:val="000000"/>
                <w:kern w:val="0"/>
                <w:sz w:val="20"/>
              </w:rPr>
              <w:br w:type="textWrapping"/>
            </w:r>
            <w:r>
              <w:rPr>
                <w:rFonts w:hint="eastAsia" w:ascii="宋体" w:hAnsi="宋体" w:cs="宋体"/>
                <w:color w:val="000000"/>
                <w:kern w:val="0"/>
                <w:sz w:val="20"/>
              </w:rPr>
              <w:t>图形部分：</w:t>
            </w:r>
            <w:r>
              <w:rPr>
                <w:rFonts w:hint="eastAsia" w:ascii="宋体" w:hAnsi="宋体" w:cs="宋体"/>
                <w:color w:val="000000"/>
                <w:kern w:val="0"/>
                <w:sz w:val="20"/>
              </w:rPr>
              <w:br w:type="textWrapping"/>
            </w:r>
            <w:r>
              <w:rPr>
                <w:rFonts w:hint="eastAsia" w:ascii="宋体" w:hAnsi="宋体" w:cs="宋体"/>
                <w:color w:val="000000"/>
                <w:kern w:val="0"/>
                <w:sz w:val="20"/>
              </w:rPr>
              <w:t>光带宽度：132mm（主线）；110mm（支线）</w:t>
            </w:r>
            <w:r>
              <w:rPr>
                <w:rFonts w:hint="eastAsia" w:ascii="宋体" w:hAnsi="宋体" w:cs="宋体"/>
                <w:color w:val="000000"/>
                <w:kern w:val="0"/>
                <w:sz w:val="20"/>
              </w:rPr>
              <w:br w:type="textWrapping"/>
            </w:r>
            <w:r>
              <w:rPr>
                <w:rFonts w:hint="eastAsia" w:ascii="宋体" w:hAnsi="宋体" w:cs="宋体"/>
                <w:b/>
                <w:bCs/>
                <w:color w:val="000000"/>
                <w:kern w:val="0"/>
                <w:sz w:val="20"/>
              </w:rPr>
              <w:t>▲点 间 距：22mm</w:t>
            </w:r>
            <w:r>
              <w:rPr>
                <w:rFonts w:hint="eastAsia" w:ascii="宋体" w:hAnsi="宋体" w:cs="宋体"/>
                <w:b/>
                <w:bCs/>
                <w:color w:val="000000"/>
                <w:kern w:val="0"/>
                <w:sz w:val="20"/>
              </w:rPr>
              <w:br w:type="textWrapping"/>
            </w:r>
            <w:r>
              <w:rPr>
                <w:rFonts w:hint="eastAsia" w:ascii="宋体" w:hAnsi="宋体" w:cs="宋体"/>
                <w:b/>
                <w:bCs/>
                <w:color w:val="000000"/>
                <w:kern w:val="0"/>
                <w:sz w:val="20"/>
              </w:rPr>
              <w:t>▲显示内容：红、绿、黄</w:t>
            </w:r>
            <w:r>
              <w:rPr>
                <w:rFonts w:hint="eastAsia" w:ascii="宋体" w:hAnsi="宋体" w:cs="宋体"/>
                <w:color w:val="000000"/>
                <w:kern w:val="0"/>
                <w:sz w:val="20"/>
              </w:rPr>
              <w:br w:type="textWrapping"/>
            </w:r>
            <w:r>
              <w:rPr>
                <w:rFonts w:hint="eastAsia" w:ascii="宋体" w:hAnsi="宋体" w:cs="宋体"/>
                <w:color w:val="000000"/>
                <w:kern w:val="0"/>
                <w:sz w:val="20"/>
              </w:rPr>
              <w:t>文字部分：</w:t>
            </w:r>
            <w:r>
              <w:rPr>
                <w:rFonts w:hint="eastAsia" w:ascii="宋体" w:hAnsi="宋体" w:cs="宋体"/>
                <w:color w:val="000000"/>
                <w:kern w:val="0"/>
                <w:sz w:val="20"/>
              </w:rPr>
              <w:br w:type="textWrapping"/>
            </w:r>
            <w:r>
              <w:rPr>
                <w:rFonts w:hint="eastAsia" w:ascii="宋体" w:hAnsi="宋体" w:cs="宋体"/>
                <w:color w:val="000000"/>
                <w:kern w:val="0"/>
                <w:sz w:val="20"/>
              </w:rPr>
              <w:t>显示尺寸：960㎜×3360㎜</w:t>
            </w:r>
            <w:r>
              <w:rPr>
                <w:rFonts w:hint="eastAsia" w:ascii="宋体" w:hAnsi="宋体" w:cs="宋体"/>
                <w:color w:val="000000"/>
                <w:kern w:val="0"/>
                <w:sz w:val="20"/>
              </w:rPr>
              <w:br w:type="textWrapping"/>
            </w:r>
            <w:r>
              <w:rPr>
                <w:rFonts w:hint="eastAsia" w:ascii="宋体" w:hAnsi="宋体" w:cs="宋体"/>
                <w:color w:val="000000"/>
                <w:kern w:val="0"/>
                <w:sz w:val="20"/>
              </w:rPr>
              <w:t>显示点阵：48×168</w:t>
            </w:r>
            <w:r>
              <w:rPr>
                <w:rFonts w:hint="eastAsia" w:ascii="宋体" w:hAnsi="宋体" w:cs="宋体"/>
                <w:color w:val="000000"/>
                <w:kern w:val="0"/>
                <w:sz w:val="20"/>
              </w:rPr>
              <w:br w:type="textWrapping"/>
            </w:r>
            <w:r>
              <w:rPr>
                <w:rFonts w:hint="eastAsia" w:ascii="宋体" w:hAnsi="宋体" w:cs="宋体"/>
                <w:color w:val="000000"/>
                <w:kern w:val="0"/>
                <w:sz w:val="20"/>
              </w:rPr>
              <w:t>点 间 距：20㎜</w:t>
            </w:r>
            <w:r>
              <w:rPr>
                <w:rFonts w:hint="eastAsia" w:ascii="宋体" w:hAnsi="宋体" w:cs="宋体"/>
                <w:color w:val="000000"/>
                <w:kern w:val="0"/>
                <w:sz w:val="20"/>
              </w:rPr>
              <w:br w:type="textWrapping"/>
            </w:r>
            <w:r>
              <w:rPr>
                <w:rFonts w:hint="eastAsia" w:ascii="宋体" w:hAnsi="宋体" w:cs="宋体"/>
                <w:color w:val="000000"/>
                <w:kern w:val="0"/>
                <w:sz w:val="20"/>
              </w:rPr>
              <w:t>配    置：2R1G</w:t>
            </w:r>
            <w:r>
              <w:rPr>
                <w:rFonts w:hint="eastAsia" w:ascii="宋体" w:hAnsi="宋体" w:cs="宋体"/>
                <w:color w:val="000000"/>
                <w:kern w:val="0"/>
                <w:sz w:val="20"/>
              </w:rPr>
              <w:br w:type="textWrapping"/>
            </w:r>
            <w:r>
              <w:rPr>
                <w:rFonts w:hint="eastAsia" w:ascii="宋体" w:hAnsi="宋体" w:cs="宋体"/>
                <w:color w:val="000000"/>
                <w:kern w:val="0"/>
                <w:sz w:val="20"/>
              </w:rPr>
              <w:t>显示字数：24×24点阵   可显示2行×7列共14个汉字</w:t>
            </w:r>
            <w:r>
              <w:rPr>
                <w:rFonts w:hint="eastAsia" w:ascii="宋体" w:hAnsi="宋体" w:cs="宋体"/>
                <w:color w:val="000000"/>
                <w:kern w:val="0"/>
                <w:sz w:val="20"/>
              </w:rPr>
              <w:br w:type="textWrapping"/>
            </w:r>
            <w:r>
              <w:rPr>
                <w:rFonts w:hint="eastAsia" w:ascii="宋体" w:hAnsi="宋体" w:cs="宋体"/>
                <w:color w:val="000000"/>
                <w:kern w:val="0"/>
                <w:sz w:val="20"/>
              </w:rPr>
              <w:t>半功率角: 30°</w:t>
            </w:r>
            <w:r>
              <w:rPr>
                <w:rFonts w:hint="eastAsia" w:ascii="宋体" w:hAnsi="宋体" w:cs="宋体"/>
                <w:color w:val="000000"/>
                <w:kern w:val="0"/>
                <w:sz w:val="20"/>
              </w:rPr>
              <w:br w:type="textWrapping"/>
            </w:r>
            <w:r>
              <w:rPr>
                <w:rFonts w:hint="eastAsia" w:ascii="宋体" w:hAnsi="宋体" w:cs="宋体"/>
                <w:color w:val="000000"/>
                <w:kern w:val="0"/>
                <w:sz w:val="20"/>
              </w:rPr>
              <w:t>亮    度：≥8000cd/㎡</w:t>
            </w:r>
            <w:r>
              <w:rPr>
                <w:rFonts w:hint="eastAsia" w:ascii="宋体" w:hAnsi="宋体" w:cs="宋体"/>
                <w:color w:val="000000"/>
                <w:kern w:val="0"/>
                <w:sz w:val="20"/>
              </w:rPr>
              <w:br w:type="textWrapping"/>
            </w:r>
            <w:r>
              <w:rPr>
                <w:rFonts w:hint="eastAsia" w:ascii="宋体" w:hAnsi="宋体" w:cs="宋体"/>
                <w:color w:val="000000"/>
                <w:kern w:val="0"/>
                <w:sz w:val="20"/>
              </w:rPr>
              <w:t>箱体材料：冷轧钢板</w:t>
            </w:r>
            <w:r>
              <w:rPr>
                <w:rFonts w:hint="eastAsia" w:ascii="宋体" w:hAnsi="宋体" w:cs="宋体"/>
                <w:color w:val="000000"/>
                <w:kern w:val="0"/>
                <w:sz w:val="20"/>
              </w:rPr>
              <w:br w:type="textWrapping"/>
            </w:r>
            <w:r>
              <w:rPr>
                <w:rFonts w:hint="eastAsia" w:ascii="宋体" w:hAnsi="宋体" w:cs="宋体"/>
                <w:color w:val="000000"/>
                <w:kern w:val="0"/>
                <w:sz w:val="20"/>
              </w:rPr>
              <w:t xml:space="preserve">版面材料：采用3mm铝合金型材，板面采用高强级反光膜，边框、文字、箭头及光带二侧10㎜宽的边条为白色。                                </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杆件及基础</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采用单立柱方式，高度大于6.5m；直径为Ф377左右，可抗12级台风，镀锌喷塑，含接地</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二合一防雷器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信号、电源防雷器</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抱杆机箱</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具有防热、防尘、防水、防盗功能，适应室外工作环境，密封良好，做防锈、防腐处理，预留数据传输设备的空间，预留数据线、电源线接口。机箱表面采用镀锌后喷塑工艺处理，锁具、门轴坚实牢固。IP等级：≥IP54</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线缆及辅材</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含光纤、电源线、接地线、控制线等，网线等</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取电工程</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取电管道开挖，铺设</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安装调试施工及维护费用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设备安装接线及调试、运维等工作</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路面绿化恢复</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道路绿化恢复原状</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9</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license</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与中心诱导控制软件对接，实现交通诱导信息手动和自动发布</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7.2、二级诱导屏建设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9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二级诱导屏（点阵屏）</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b/>
                <w:bCs/>
                <w:color w:val="000000"/>
                <w:kern w:val="0"/>
                <w:sz w:val="20"/>
              </w:rPr>
              <w:t>▲点间距：16mm，像素3906点/㎡，显示模块必须双面灌胶；</w:t>
            </w:r>
            <w:r>
              <w:rPr>
                <w:rFonts w:hint="eastAsia" w:ascii="宋体" w:hAnsi="宋体" w:cs="宋体"/>
                <w:b/>
                <w:bCs/>
                <w:color w:val="000000"/>
                <w:kern w:val="0"/>
                <w:sz w:val="20"/>
              </w:rPr>
              <w:br w:type="textWrapping"/>
            </w:r>
            <w:r>
              <w:rPr>
                <w:rFonts w:hint="eastAsia" w:ascii="宋体" w:hAnsi="宋体" w:cs="宋体"/>
                <w:b/>
                <w:bCs/>
                <w:color w:val="000000"/>
                <w:kern w:val="0"/>
                <w:sz w:val="20"/>
              </w:rPr>
              <w:t>▲显示面积：3.072米高，4.096米宽</w:t>
            </w:r>
            <w:r>
              <w:rPr>
                <w:rFonts w:hint="eastAsia" w:ascii="宋体" w:hAnsi="宋体" w:cs="宋体"/>
                <w:b/>
                <w:bCs/>
                <w:color w:val="000000"/>
                <w:kern w:val="0"/>
                <w:sz w:val="20"/>
              </w:rPr>
              <w:br w:type="textWrapping"/>
            </w:r>
            <w:r>
              <w:rPr>
                <w:rFonts w:hint="eastAsia" w:ascii="宋体" w:hAnsi="宋体" w:cs="宋体"/>
                <w:b/>
                <w:bCs/>
                <w:color w:val="000000"/>
                <w:kern w:val="0"/>
                <w:sz w:val="20"/>
              </w:rPr>
              <w:t>▲LED配置：双基色模组配比为2红1纯绿1蓝；</w:t>
            </w:r>
            <w:r>
              <w:rPr>
                <w:rFonts w:hint="eastAsia" w:ascii="宋体" w:hAnsi="宋体" w:cs="宋体"/>
                <w:b/>
                <w:bCs/>
                <w:color w:val="000000"/>
                <w:kern w:val="0"/>
                <w:sz w:val="20"/>
              </w:rPr>
              <w:br w:type="textWrapping"/>
            </w:r>
            <w:r>
              <w:rPr>
                <w:rFonts w:hint="eastAsia" w:ascii="宋体" w:hAnsi="宋体" w:cs="宋体"/>
                <w:color w:val="000000"/>
                <w:kern w:val="0"/>
                <w:sz w:val="20"/>
              </w:rPr>
              <w:t>LED材质：红色LED采用超高亮度铝、铟、镓、磷四元素管；纯绿、蓝色为超高亮度氮化镓管</w:t>
            </w:r>
            <w:r>
              <w:rPr>
                <w:rFonts w:hint="eastAsia" w:ascii="宋体" w:hAnsi="宋体" w:cs="宋体"/>
                <w:b/>
                <w:bCs/>
                <w:color w:val="000000"/>
                <w:kern w:val="0"/>
                <w:sz w:val="20"/>
              </w:rPr>
              <w:br w:type="textWrapping"/>
            </w:r>
            <w:r>
              <w:rPr>
                <w:rFonts w:hint="eastAsia" w:ascii="宋体" w:hAnsi="宋体" w:cs="宋体"/>
                <w:b/>
                <w:bCs/>
                <w:color w:val="000000"/>
                <w:kern w:val="0"/>
                <w:sz w:val="20"/>
              </w:rPr>
              <w:t>▲发光亮度：≥10000cd/㎡；</w:t>
            </w:r>
            <w:r>
              <w:rPr>
                <w:rFonts w:hint="eastAsia" w:ascii="宋体" w:hAnsi="宋体" w:cs="宋体"/>
                <w:color w:val="000000"/>
                <w:kern w:val="0"/>
                <w:sz w:val="20"/>
              </w:rPr>
              <w:br w:type="textWrapping"/>
            </w:r>
            <w:r>
              <w:rPr>
                <w:rFonts w:hint="eastAsia" w:ascii="宋体" w:hAnsi="宋体" w:cs="宋体"/>
                <w:b/>
                <w:bCs/>
                <w:color w:val="000000"/>
                <w:kern w:val="0"/>
                <w:sz w:val="20"/>
              </w:rPr>
              <w:t>交流功耗：显示白色，亮度为10000cd/㎡时的功耗≤80W/㎡；投标时提供国家交通安全设施质量监督检验中心出具的测试报告并加盖原厂公章。</w:t>
            </w:r>
            <w:r>
              <w:rPr>
                <w:rFonts w:hint="eastAsia" w:ascii="宋体" w:hAnsi="宋体" w:cs="宋体"/>
                <w:b/>
                <w:bCs/>
                <w:color w:val="000000"/>
                <w:kern w:val="0"/>
                <w:sz w:val="20"/>
              </w:rPr>
              <w:br w:type="textWrapping"/>
            </w:r>
            <w:r>
              <w:rPr>
                <w:rFonts w:hint="eastAsia" w:ascii="宋体" w:hAnsi="宋体" w:cs="宋体"/>
                <w:b/>
                <w:bCs/>
                <w:color w:val="000000"/>
                <w:kern w:val="0"/>
                <w:sz w:val="20"/>
              </w:rPr>
              <w:t>开关电源：显示白色，亮度为10000cd/㎡时的功率因素≥0.9；投标时提供国家交通安全设施质量监督检验中心出具的测试报告并加盖原厂公章。</w:t>
            </w:r>
            <w:r>
              <w:rPr>
                <w:rFonts w:hint="eastAsia" w:ascii="宋体" w:hAnsi="宋体" w:cs="宋体"/>
                <w:b/>
                <w:bCs/>
                <w:color w:val="000000"/>
                <w:kern w:val="0"/>
                <w:sz w:val="20"/>
              </w:rPr>
              <w:br w:type="textWrapping"/>
            </w:r>
            <w:r>
              <w:rPr>
                <w:rFonts w:hint="eastAsia" w:ascii="宋体" w:hAnsi="宋体" w:cs="宋体"/>
                <w:b/>
                <w:bCs/>
                <w:color w:val="000000"/>
                <w:kern w:val="0"/>
                <w:sz w:val="20"/>
              </w:rPr>
              <w:t>视认角：≥30°</w:t>
            </w:r>
            <w:r>
              <w:rPr>
                <w:rFonts w:hint="eastAsia" w:ascii="宋体" w:hAnsi="宋体" w:cs="宋体"/>
                <w:b/>
                <w:bCs/>
                <w:color w:val="000000"/>
                <w:kern w:val="0"/>
                <w:sz w:val="20"/>
              </w:rPr>
              <w:br w:type="textWrapping"/>
            </w:r>
            <w:r>
              <w:rPr>
                <w:rFonts w:hint="eastAsia" w:ascii="宋体" w:hAnsi="宋体" w:cs="宋体"/>
                <w:b/>
                <w:bCs/>
                <w:color w:val="000000"/>
                <w:kern w:val="0"/>
                <w:sz w:val="20"/>
              </w:rPr>
              <w:t>控制器：嵌入式工控机；                                        控制器功能：具备单颗LED管和驱动模块工作状态的检测与故障定位功能；具备“普通模式”与“节能模式”二种工作模式；投标时提供国家交通安全设施质量监督检验中心出具的测试报告并加盖原厂公章。</w:t>
            </w:r>
            <w:r>
              <w:rPr>
                <w:rFonts w:hint="eastAsia" w:ascii="宋体" w:hAnsi="宋体" w:cs="宋体"/>
                <w:b/>
                <w:bCs/>
                <w:color w:val="000000"/>
                <w:kern w:val="0"/>
                <w:sz w:val="20"/>
              </w:rPr>
              <w:br w:type="textWrapping"/>
            </w:r>
            <w:r>
              <w:rPr>
                <w:rFonts w:hint="eastAsia" w:ascii="宋体" w:hAnsi="宋体" w:cs="宋体"/>
                <w:color w:val="000000"/>
                <w:kern w:val="0"/>
                <w:sz w:val="20"/>
              </w:rPr>
              <w:t>通信接口：2个RS-232、1个RS-485、1个TCP/IP（控制器设备上同时具备4个接口）；</w:t>
            </w:r>
            <w:r>
              <w:rPr>
                <w:rFonts w:hint="eastAsia" w:ascii="宋体" w:hAnsi="宋体" w:cs="宋体"/>
                <w:color w:val="000000"/>
                <w:kern w:val="0"/>
                <w:sz w:val="20"/>
              </w:rPr>
              <w:br w:type="textWrapping"/>
            </w:r>
            <w:r>
              <w:rPr>
                <w:rFonts w:hint="eastAsia" w:ascii="宋体" w:hAnsi="宋体" w:cs="宋体"/>
                <w:color w:val="000000"/>
                <w:kern w:val="0"/>
                <w:sz w:val="20"/>
              </w:rPr>
              <w:t>亮度调节：手动/自动64级；</w:t>
            </w:r>
            <w:r>
              <w:rPr>
                <w:rFonts w:hint="eastAsia" w:ascii="宋体" w:hAnsi="宋体" w:cs="宋体"/>
                <w:color w:val="000000"/>
                <w:kern w:val="0"/>
                <w:sz w:val="20"/>
              </w:rPr>
              <w:br w:type="textWrapping"/>
            </w:r>
            <w:r>
              <w:rPr>
                <w:rFonts w:hint="eastAsia" w:ascii="宋体" w:hAnsi="宋体" w:cs="宋体"/>
                <w:color w:val="000000"/>
                <w:kern w:val="0"/>
                <w:sz w:val="20"/>
              </w:rPr>
              <w:t>温度：-40℃～+65℃；</w:t>
            </w:r>
            <w:r>
              <w:rPr>
                <w:rFonts w:hint="eastAsia" w:ascii="宋体" w:hAnsi="宋体" w:cs="宋体"/>
                <w:color w:val="000000"/>
                <w:kern w:val="0"/>
                <w:sz w:val="20"/>
              </w:rPr>
              <w:br w:type="textWrapping"/>
            </w:r>
            <w:r>
              <w:rPr>
                <w:rFonts w:hint="eastAsia" w:ascii="宋体" w:hAnsi="宋体" w:cs="宋体"/>
                <w:color w:val="000000"/>
                <w:kern w:val="0"/>
                <w:sz w:val="20"/>
              </w:rPr>
              <w:t>湿度： 20%～98%；</w:t>
            </w:r>
            <w:r>
              <w:rPr>
                <w:rFonts w:hint="eastAsia" w:ascii="宋体" w:hAnsi="宋体" w:cs="宋体"/>
                <w:color w:val="000000"/>
                <w:kern w:val="0"/>
                <w:sz w:val="20"/>
              </w:rPr>
              <w:br w:type="textWrapping"/>
            </w:r>
            <w:r>
              <w:rPr>
                <w:rFonts w:hint="eastAsia" w:ascii="宋体" w:hAnsi="宋体" w:cs="宋体"/>
                <w:color w:val="000000"/>
                <w:kern w:val="0"/>
                <w:sz w:val="20"/>
              </w:rPr>
              <w:t>显示内容：全屏编辑、汉字、英文字符、阿拉伯数字、特殊符号、图形等；</w:t>
            </w:r>
            <w:r>
              <w:rPr>
                <w:rFonts w:hint="eastAsia" w:ascii="宋体" w:hAnsi="宋体" w:cs="宋体"/>
                <w:color w:val="000000"/>
                <w:kern w:val="0"/>
                <w:sz w:val="20"/>
              </w:rPr>
              <w:br w:type="textWrapping"/>
            </w:r>
            <w:r>
              <w:rPr>
                <w:rFonts w:hint="eastAsia" w:ascii="宋体" w:hAnsi="宋体" w:cs="宋体"/>
                <w:color w:val="000000"/>
                <w:kern w:val="0"/>
                <w:sz w:val="20"/>
              </w:rPr>
              <w:t>设备的平均无故障时间：≥10000小时；</w:t>
            </w:r>
            <w:r>
              <w:rPr>
                <w:rFonts w:hint="eastAsia" w:ascii="宋体" w:hAnsi="宋体" w:cs="宋体"/>
                <w:color w:val="000000"/>
                <w:kern w:val="0"/>
                <w:sz w:val="20"/>
              </w:rPr>
              <w:br w:type="textWrapping"/>
            </w:r>
            <w:r>
              <w:rPr>
                <w:rFonts w:hint="eastAsia" w:ascii="宋体" w:hAnsi="宋体" w:cs="宋体"/>
                <w:color w:val="000000"/>
                <w:kern w:val="0"/>
                <w:sz w:val="20"/>
              </w:rPr>
              <w:t>失控率：≤1‰ （离散型）；</w:t>
            </w:r>
            <w:r>
              <w:rPr>
                <w:rFonts w:hint="eastAsia" w:ascii="宋体" w:hAnsi="宋体" w:cs="宋体"/>
                <w:color w:val="000000"/>
                <w:kern w:val="0"/>
                <w:sz w:val="20"/>
              </w:rPr>
              <w:br w:type="textWrapping"/>
            </w:r>
            <w:r>
              <w:rPr>
                <w:rFonts w:hint="eastAsia" w:ascii="宋体" w:hAnsi="宋体" w:cs="宋体"/>
                <w:color w:val="000000"/>
                <w:kern w:val="0"/>
                <w:sz w:val="20"/>
              </w:rPr>
              <w:t>电力：AC220V（或AC380）±15%，50Hz±3Hz ；</w:t>
            </w:r>
            <w:r>
              <w:rPr>
                <w:rFonts w:hint="eastAsia" w:ascii="宋体" w:hAnsi="宋体" w:cs="宋体"/>
                <w:color w:val="000000"/>
                <w:kern w:val="0"/>
                <w:sz w:val="20"/>
              </w:rPr>
              <w:br w:type="textWrapping"/>
            </w:r>
            <w:r>
              <w:rPr>
                <w:rFonts w:hint="eastAsia" w:ascii="宋体" w:hAnsi="宋体" w:cs="宋体"/>
                <w:color w:val="000000"/>
                <w:kern w:val="0"/>
                <w:sz w:val="20"/>
              </w:rPr>
              <w:t>传输方式：异步、半双工、以太网，内容不压缩；</w:t>
            </w:r>
            <w:r>
              <w:rPr>
                <w:rFonts w:hint="eastAsia" w:ascii="宋体" w:hAnsi="宋体" w:cs="宋体"/>
                <w:color w:val="000000"/>
                <w:kern w:val="0"/>
                <w:sz w:val="20"/>
              </w:rPr>
              <w:br w:type="textWrapping"/>
            </w:r>
            <w:r>
              <w:rPr>
                <w:rFonts w:hint="eastAsia" w:ascii="宋体" w:hAnsi="宋体" w:cs="宋体"/>
                <w:color w:val="000000"/>
                <w:kern w:val="0"/>
                <w:sz w:val="20"/>
              </w:rPr>
              <w:t>传输速率：2.4kbps～115.2kbps可调或100M以太网；</w:t>
            </w:r>
            <w:r>
              <w:rPr>
                <w:rFonts w:hint="eastAsia" w:ascii="宋体" w:hAnsi="宋体" w:cs="宋体"/>
                <w:color w:val="000000"/>
                <w:kern w:val="0"/>
                <w:sz w:val="20"/>
              </w:rPr>
              <w:br w:type="textWrapping"/>
            </w:r>
            <w:r>
              <w:rPr>
                <w:rFonts w:hint="eastAsia" w:ascii="宋体" w:hAnsi="宋体" w:cs="宋体"/>
                <w:color w:val="000000"/>
                <w:kern w:val="0"/>
                <w:sz w:val="20"/>
              </w:rPr>
              <w:t>可视距离：静态视认距离≥250m；动态视认距离≥210m（车速120km/h）；</w:t>
            </w:r>
            <w:r>
              <w:rPr>
                <w:rFonts w:hint="eastAsia" w:ascii="宋体" w:hAnsi="宋体" w:cs="宋体"/>
                <w:color w:val="000000"/>
                <w:kern w:val="0"/>
                <w:sz w:val="20"/>
              </w:rPr>
              <w:br w:type="textWrapping"/>
            </w:r>
            <w:r>
              <w:rPr>
                <w:rFonts w:hint="eastAsia" w:ascii="宋体" w:hAnsi="宋体" w:cs="宋体"/>
                <w:color w:val="000000"/>
                <w:kern w:val="0"/>
                <w:sz w:val="20"/>
              </w:rPr>
              <w:t>LED采用恒电流驱动，具有过流保护功能；</w:t>
            </w:r>
            <w:r>
              <w:rPr>
                <w:rFonts w:hint="eastAsia" w:ascii="宋体" w:hAnsi="宋体" w:cs="宋体"/>
                <w:color w:val="000000"/>
                <w:kern w:val="0"/>
                <w:sz w:val="20"/>
              </w:rPr>
              <w:br w:type="textWrapping"/>
            </w:r>
            <w:r>
              <w:rPr>
                <w:rFonts w:hint="eastAsia" w:ascii="宋体" w:hAnsi="宋体" w:cs="宋体"/>
                <w:color w:val="000000"/>
                <w:kern w:val="0"/>
                <w:sz w:val="20"/>
              </w:rPr>
              <w:t>箱体结构：机箱全密封，防晒、防水、防尘；</w:t>
            </w:r>
            <w:r>
              <w:rPr>
                <w:rFonts w:hint="eastAsia" w:ascii="宋体" w:hAnsi="宋体" w:cs="宋体"/>
                <w:color w:val="000000"/>
                <w:kern w:val="0"/>
                <w:sz w:val="20"/>
              </w:rPr>
              <w:br w:type="textWrapping"/>
            </w:r>
            <w:r>
              <w:rPr>
                <w:rFonts w:hint="eastAsia" w:ascii="宋体" w:hAnsi="宋体" w:cs="宋体"/>
                <w:color w:val="000000"/>
                <w:kern w:val="0"/>
                <w:sz w:val="20"/>
              </w:rPr>
              <w:t>箱体材料：冷轧钢板；</w:t>
            </w:r>
            <w:r>
              <w:rPr>
                <w:rFonts w:hint="eastAsia" w:ascii="宋体" w:hAnsi="宋体" w:cs="宋体"/>
                <w:color w:val="000000"/>
                <w:kern w:val="0"/>
                <w:sz w:val="20"/>
              </w:rPr>
              <w:br w:type="textWrapping"/>
            </w:r>
            <w:r>
              <w:rPr>
                <w:rFonts w:hint="eastAsia" w:ascii="宋体" w:hAnsi="宋体" w:cs="宋体"/>
                <w:color w:val="000000"/>
                <w:kern w:val="0"/>
                <w:sz w:val="20"/>
              </w:rPr>
              <w:t>防护等级：IP65；</w:t>
            </w:r>
            <w:r>
              <w:rPr>
                <w:rFonts w:hint="eastAsia" w:ascii="宋体" w:hAnsi="宋体" w:cs="宋体"/>
                <w:color w:val="000000"/>
                <w:kern w:val="0"/>
                <w:sz w:val="20"/>
              </w:rPr>
              <w:br w:type="textWrapping"/>
            </w:r>
            <w:r>
              <w:rPr>
                <w:rFonts w:hint="eastAsia" w:ascii="宋体" w:hAnsi="宋体" w:cs="宋体"/>
                <w:color w:val="000000"/>
                <w:kern w:val="0"/>
                <w:sz w:val="20"/>
              </w:rPr>
              <w:t>抗风速：40m/s；</w:t>
            </w:r>
            <w:r>
              <w:rPr>
                <w:rFonts w:hint="eastAsia" w:ascii="宋体" w:hAnsi="宋体" w:cs="宋体"/>
                <w:color w:val="000000"/>
                <w:kern w:val="0"/>
                <w:sz w:val="20"/>
              </w:rPr>
              <w:br w:type="textWrapping"/>
            </w:r>
            <w:r>
              <w:rPr>
                <w:rFonts w:hint="eastAsia" w:ascii="宋体" w:hAnsi="宋体" w:cs="宋体"/>
                <w:color w:val="000000"/>
                <w:kern w:val="0"/>
                <w:sz w:val="20"/>
              </w:rPr>
              <w:t>维护方式：背后维护；</w:t>
            </w:r>
            <w:r>
              <w:rPr>
                <w:rFonts w:hint="eastAsia" w:ascii="宋体" w:hAnsi="宋体" w:cs="宋体"/>
                <w:color w:val="000000"/>
                <w:kern w:val="0"/>
                <w:sz w:val="20"/>
              </w:rPr>
              <w:br w:type="textWrapping"/>
            </w:r>
            <w:r>
              <w:rPr>
                <w:rFonts w:hint="eastAsia" w:ascii="宋体" w:hAnsi="宋体" w:cs="宋体"/>
                <w:color w:val="000000"/>
                <w:kern w:val="0"/>
                <w:sz w:val="20"/>
              </w:rPr>
              <w:t>接地：端子；</w:t>
            </w:r>
            <w:r>
              <w:rPr>
                <w:rFonts w:hint="eastAsia" w:ascii="宋体" w:hAnsi="宋体" w:cs="宋体"/>
                <w:color w:val="000000"/>
                <w:kern w:val="0"/>
                <w:sz w:val="20"/>
              </w:rPr>
              <w:br w:type="textWrapping"/>
            </w:r>
            <w:r>
              <w:rPr>
                <w:rFonts w:hint="eastAsia" w:ascii="宋体" w:hAnsi="宋体" w:cs="宋体"/>
                <w:color w:val="000000"/>
                <w:kern w:val="0"/>
                <w:sz w:val="20"/>
              </w:rPr>
              <w:t>防雷器：具有电源和信号防雷器。</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杆件及基础</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采用单立柱方式，高度大于6.5m；直径为Ф377左右，可抗12级台风，镀锌喷塑，含接地</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二合一防雷器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信号、电源防雷器</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抱杆机箱</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机箱具有防热、防尘、防水、防盗功能，适应室外工作环境，密封良好，做防锈、防腐处理，预留数据传输设备的空间，预留数据线、电源线接口。机箱表面采用镀锌后喷塑工艺处理，锁具、门轴坚实牢固。IP等级：≥IP54，含接地</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线缆及辅材</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含光纤、电源线、接地线、控制线、网线等</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取电工程</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取电管道开挖，铺设</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安装调试施工及维护费用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设备安装接线及调试、运维等工作</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路面绿化恢复</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道路绿化恢复原状</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9</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license</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与中心诱导控制软件对接，实现交通诱导信息手动和自动发布</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8、行人过街语音警示系统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路口智能语音警示柱</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支持语音提示；支持红绿灯同步；支持时间控制；内置智能斑马线安全交通提示系统；</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线缆及辅材</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包含RVV2*1，RVV3*1，RVV3*2.5、扎带、绝缘胶带、不锈钢抱箍、螺栓、PVC管、软管等</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安装调试施工及维护费用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设备安装接线及调试、运维等工作</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9、行人闯红灯抓拍系统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1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一体化行人检测单元</w:t>
            </w:r>
          </w:p>
        </w:tc>
        <w:tc>
          <w:tcPr>
            <w:tcW w:w="5902" w:type="dxa"/>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▲图像传感器：采用1英寸900万像素GMOS智能高清摄像机；</w:t>
            </w:r>
            <w:r>
              <w:rPr>
                <w:rFonts w:hint="eastAsia" w:ascii="宋体" w:hAnsi="宋体" w:cs="宋体"/>
                <w:b/>
                <w:bCs/>
                <w:color w:val="000000"/>
                <w:kern w:val="0"/>
                <w:sz w:val="20"/>
              </w:rPr>
              <w:br w:type="textWrapping"/>
            </w:r>
            <w:r>
              <w:rPr>
                <w:rFonts w:hint="eastAsia" w:ascii="宋体" w:hAnsi="宋体" w:cs="宋体"/>
                <w:color w:val="000000"/>
                <w:kern w:val="0"/>
                <w:sz w:val="20"/>
              </w:rPr>
              <w:t>分辨率：4096(H)×2160(V)；</w:t>
            </w:r>
            <w:r>
              <w:rPr>
                <w:rFonts w:hint="eastAsia" w:ascii="宋体" w:hAnsi="宋体" w:cs="宋体"/>
                <w:color w:val="000000"/>
                <w:kern w:val="0"/>
                <w:sz w:val="20"/>
              </w:rPr>
              <w:br w:type="textWrapping"/>
            </w:r>
            <w:r>
              <w:rPr>
                <w:rFonts w:hint="eastAsia" w:ascii="宋体" w:hAnsi="宋体" w:cs="宋体"/>
                <w:color w:val="000000"/>
                <w:kern w:val="0"/>
                <w:sz w:val="20"/>
              </w:rPr>
              <w:t>帧率：25fps；</w:t>
            </w:r>
            <w:r>
              <w:rPr>
                <w:rFonts w:hint="eastAsia" w:ascii="宋体" w:hAnsi="宋体" w:cs="宋体"/>
                <w:color w:val="000000"/>
                <w:kern w:val="0"/>
                <w:sz w:val="20"/>
              </w:rPr>
              <w:br w:type="textWrapping"/>
            </w:r>
            <w:r>
              <w:rPr>
                <w:rFonts w:hint="eastAsia" w:ascii="宋体" w:hAnsi="宋体" w:cs="宋体"/>
                <w:color w:val="000000"/>
                <w:kern w:val="0"/>
                <w:sz w:val="20"/>
              </w:rPr>
              <w:t>镜头：30mm镜头</w:t>
            </w:r>
            <w:r>
              <w:rPr>
                <w:rFonts w:hint="eastAsia" w:ascii="宋体" w:hAnsi="宋体" w:cs="宋体"/>
                <w:color w:val="000000"/>
                <w:kern w:val="0"/>
                <w:sz w:val="20"/>
              </w:rPr>
              <w:br w:type="textWrapping"/>
            </w:r>
            <w:r>
              <w:rPr>
                <w:rFonts w:hint="eastAsia" w:ascii="宋体" w:hAnsi="宋体" w:cs="宋体"/>
                <w:color w:val="000000"/>
                <w:kern w:val="0"/>
                <w:sz w:val="20"/>
              </w:rPr>
              <w:t>照度：彩色:0.1Lux @(F1.2，AGC ON)</w:t>
            </w:r>
            <w:r>
              <w:rPr>
                <w:rFonts w:hint="eastAsia" w:ascii="宋体" w:hAnsi="宋体" w:cs="宋体"/>
                <w:color w:val="000000"/>
                <w:kern w:val="0"/>
                <w:sz w:val="20"/>
              </w:rPr>
              <w:br w:type="textWrapping"/>
            </w:r>
            <w:r>
              <w:rPr>
                <w:rFonts w:hint="eastAsia" w:ascii="宋体" w:hAnsi="宋体" w:cs="宋体"/>
                <w:color w:val="000000"/>
                <w:kern w:val="0"/>
                <w:sz w:val="20"/>
              </w:rPr>
              <w:t>视频压缩标准：H.264/MJPEG</w:t>
            </w:r>
            <w:r>
              <w:rPr>
                <w:rFonts w:hint="eastAsia" w:ascii="宋体" w:hAnsi="宋体" w:cs="宋体"/>
                <w:color w:val="000000"/>
                <w:kern w:val="0"/>
                <w:sz w:val="20"/>
              </w:rPr>
              <w:br w:type="textWrapping"/>
            </w:r>
            <w:r>
              <w:rPr>
                <w:rFonts w:hint="eastAsia" w:ascii="宋体" w:hAnsi="宋体" w:cs="宋体"/>
                <w:color w:val="000000"/>
                <w:kern w:val="0"/>
                <w:sz w:val="20"/>
              </w:rPr>
              <w:t>图像输出格式：JPEG</w:t>
            </w:r>
            <w:r>
              <w:rPr>
                <w:rFonts w:hint="eastAsia" w:ascii="宋体" w:hAnsi="宋体" w:cs="宋体"/>
                <w:color w:val="000000"/>
                <w:kern w:val="0"/>
                <w:sz w:val="20"/>
              </w:rPr>
              <w:br w:type="textWrapping"/>
            </w:r>
            <w:r>
              <w:rPr>
                <w:rFonts w:hint="eastAsia" w:ascii="宋体" w:hAnsi="宋体" w:cs="宋体"/>
                <w:color w:val="000000"/>
                <w:kern w:val="0"/>
                <w:sz w:val="20"/>
              </w:rPr>
              <w:t>输出：电平量信号</w:t>
            </w:r>
            <w:r>
              <w:rPr>
                <w:rFonts w:hint="eastAsia" w:ascii="宋体" w:hAnsi="宋体" w:cs="宋体"/>
                <w:color w:val="000000"/>
                <w:kern w:val="0"/>
                <w:sz w:val="20"/>
              </w:rPr>
              <w:br w:type="textWrapping"/>
            </w:r>
            <w:r>
              <w:rPr>
                <w:rFonts w:hint="eastAsia" w:ascii="宋体" w:hAnsi="宋体" w:cs="宋体"/>
                <w:color w:val="000000"/>
                <w:kern w:val="0"/>
                <w:sz w:val="20"/>
              </w:rPr>
              <w:t>接口：</w:t>
            </w:r>
            <w:r>
              <w:rPr>
                <w:rFonts w:hint="eastAsia" w:ascii="宋体" w:hAnsi="宋体" w:cs="宋体"/>
                <w:color w:val="000000"/>
                <w:kern w:val="0"/>
                <w:sz w:val="20"/>
              </w:rPr>
              <w:br w:type="textWrapping"/>
            </w:r>
            <w:r>
              <w:rPr>
                <w:rFonts w:hint="eastAsia" w:ascii="宋体" w:hAnsi="宋体" w:cs="宋体"/>
                <w:color w:val="000000"/>
                <w:kern w:val="0"/>
                <w:sz w:val="20"/>
              </w:rPr>
              <w:t>通讯接口：1个RJ45 100M/1000M自适应网口，1个RS485接口，1个RS232接口</w:t>
            </w:r>
            <w:r>
              <w:rPr>
                <w:rFonts w:hint="eastAsia" w:ascii="宋体" w:hAnsi="宋体" w:cs="宋体"/>
                <w:color w:val="000000"/>
                <w:kern w:val="0"/>
                <w:sz w:val="20"/>
              </w:rPr>
              <w:br w:type="textWrapping"/>
            </w:r>
            <w:r>
              <w:rPr>
                <w:rFonts w:hint="eastAsia" w:ascii="宋体" w:hAnsi="宋体" w:cs="宋体"/>
                <w:color w:val="000000"/>
                <w:kern w:val="0"/>
                <w:sz w:val="20"/>
              </w:rPr>
              <w:t>外部接口：4路外部触发输入，3路(5V TTL电平量)输出，可作为闪光灯同步输出控制，SYNC信号灯电源同步输入</w:t>
            </w:r>
            <w:r>
              <w:rPr>
                <w:rFonts w:hint="eastAsia" w:ascii="宋体" w:hAnsi="宋体" w:cs="宋体"/>
                <w:color w:val="000000"/>
                <w:kern w:val="0"/>
                <w:sz w:val="20"/>
              </w:rPr>
              <w:br w:type="textWrapping"/>
            </w:r>
            <w:r>
              <w:rPr>
                <w:rFonts w:hint="eastAsia" w:ascii="宋体" w:hAnsi="宋体" w:cs="宋体"/>
                <w:color w:val="000000"/>
                <w:kern w:val="0"/>
                <w:sz w:val="20"/>
              </w:rPr>
              <w:t>存储支持：支持64G SD卡</w:t>
            </w:r>
            <w:r>
              <w:rPr>
                <w:rFonts w:hint="eastAsia" w:ascii="宋体" w:hAnsi="宋体" w:cs="宋体"/>
                <w:color w:val="000000"/>
                <w:kern w:val="0"/>
                <w:sz w:val="20"/>
              </w:rPr>
              <w:br w:type="textWrapping"/>
            </w:r>
            <w:r>
              <w:rPr>
                <w:rFonts w:hint="eastAsia" w:ascii="宋体" w:hAnsi="宋体" w:cs="宋体"/>
                <w:color w:val="000000"/>
                <w:kern w:val="0"/>
                <w:sz w:val="20"/>
              </w:rPr>
              <w:t>自动光圈镜头：支持</w:t>
            </w:r>
            <w:r>
              <w:rPr>
                <w:rFonts w:hint="eastAsia" w:ascii="宋体" w:hAnsi="宋体" w:cs="宋体"/>
                <w:color w:val="000000"/>
                <w:kern w:val="0"/>
                <w:sz w:val="20"/>
              </w:rPr>
              <w:br w:type="textWrapping"/>
            </w:r>
            <w:r>
              <w:rPr>
                <w:rFonts w:hint="eastAsia" w:ascii="宋体" w:hAnsi="宋体" w:cs="宋体"/>
                <w:color w:val="000000"/>
                <w:kern w:val="0"/>
                <w:sz w:val="20"/>
              </w:rPr>
              <w:t>工作电压：100VAC～240VAC；频率：48Hz～52Hz；</w:t>
            </w:r>
            <w:r>
              <w:rPr>
                <w:rFonts w:hint="eastAsia" w:ascii="宋体" w:hAnsi="宋体" w:cs="宋体"/>
                <w:color w:val="000000"/>
                <w:kern w:val="0"/>
                <w:sz w:val="20"/>
              </w:rPr>
              <w:br w:type="textWrapping"/>
            </w:r>
            <w:r>
              <w:rPr>
                <w:rFonts w:hint="eastAsia" w:ascii="宋体" w:hAnsi="宋体" w:cs="宋体"/>
                <w:color w:val="000000"/>
                <w:kern w:val="0"/>
                <w:sz w:val="20"/>
              </w:rPr>
              <w:t>功耗：＜20W</w:t>
            </w:r>
            <w:r>
              <w:rPr>
                <w:rFonts w:hint="eastAsia" w:ascii="宋体" w:hAnsi="宋体" w:cs="宋体"/>
                <w:color w:val="000000"/>
                <w:kern w:val="0"/>
                <w:sz w:val="20"/>
              </w:rPr>
              <w:br w:type="textWrapping"/>
            </w:r>
            <w:r>
              <w:rPr>
                <w:rFonts w:hint="eastAsia" w:ascii="宋体" w:hAnsi="宋体" w:cs="宋体"/>
                <w:color w:val="000000"/>
                <w:kern w:val="0"/>
                <w:sz w:val="20"/>
              </w:rPr>
              <w:t>防护等级IP65</w:t>
            </w:r>
            <w:r>
              <w:rPr>
                <w:rFonts w:hint="eastAsia" w:ascii="宋体" w:hAnsi="宋体" w:cs="宋体"/>
                <w:color w:val="000000"/>
                <w:kern w:val="0"/>
                <w:sz w:val="20"/>
              </w:rPr>
              <w:br w:type="textWrapping"/>
            </w:r>
            <w:r>
              <w:rPr>
                <w:rFonts w:hint="eastAsia" w:ascii="宋体" w:hAnsi="宋体" w:cs="宋体"/>
                <w:color w:val="000000"/>
                <w:kern w:val="0"/>
                <w:sz w:val="20"/>
              </w:rPr>
              <w:t>支持行人闯红灯运动过程抓拍，闯红灯人脸抠图，报警信息输出等功能。</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红绿灯检测器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支持红绿灯信号灯检测，并可实时输出红绿灯状态</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智能终端管理器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嵌入式Linux实时操作系统；可接入12路高清网络摄像机（支持视频和图片同时接入）、4路标清BNC接口模拟摄像机，最大支持64Mbps码流接入，64Mbps码流转发；视频输入：12路网络压缩高清视频输入，4路模拟视频输入；报警输出：4路，继电器输出；最大支持4个SATA接口硬盘，兼容3.5”/2.5”大小的硬盘；支持断网续传，数据防删改，标配4T硬盘</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室外音柱、功放</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接收485信号播放音柱内置音频文件，功率20w，音频信息自定义，音量大小可调节。</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路口交换机</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工业级，千兆16口交换机</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光纤收发器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工业级，千兆一光四电，带485口</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杆件及基础</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高2.5-3米，用于安装闯红灯抓拍及报警设备</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户外LED显示屏</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尺寸：3.267m2；像素点间距：3.81mm；分辨率：640*352；扫描方式：静态；像素点密度：3906；</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9</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户外显示屏杆件及基础</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定制</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10</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信息发布服务器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信息发布硬件服务器，包含软件和授权，最多可管理300台终端</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信息发布播放盒</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安卓播放盒</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线缆及辅材</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含光纤、电源线、接地线、控制线等，网线等</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管道铺设</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路面机械顶管、人行道、绿化带PE管开槽埋设、预埋，手井制作</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安装调试施工及维护费用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设备安装接线及调试、运维等工作</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10、行人闯红灯道闸提示系统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红绿灯立柱</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带红绿灯发光立柱</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个</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语音系统</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采用语音处理核心，内置音频放大器，单电源供电方式，工作电压:DC9V～24V，额定输出功率:10W，频率相应:800Hz～15KHz，噪声电压:≤50MV，音噪比:≥82db，耐温-30°～60°，可根据人行道红绿灯信号不同而改变语音，并可根据各地不同而定制语音。</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个</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喷雾系统</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额定电压AC220±10V，绝缘电阻≥500ΜΩ，耐温-30°～60°，水雾喷高1.2米，水雾温度25-30℃，一次喷雾所用水量为600ml-800ml，喷出水雾的风力达到3m/s，当行人闯红灯时会喷出一定量的水雾，以提醒及软拦截。</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个</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喷雾桩</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带喷雾功能桩</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个</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自动供水系统</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供水系统</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纯水净化机</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定制</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激光发射系统</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工作电压:DC12V，额定输出功率:200mW，耐温-30°～60°，红光波长：650nm，功率200mW；绿光波长：532nm，红绿光柱直径10-15mm，红灯时激光灯柱会形成一道光幕，以控制行人闯红灯。</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9</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红外线发射系统</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采用红外对射传感器，输出形式:直流三线NPN  NO，检测距离0～15米，额定电压:DC6～36V，检测物体:任何反射物体，耐温-30°～60°，能够自动识别闯红灯者和对向通行者，对向延迟者无障碍通行、不报警功能。</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10</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地面信号灯</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地面信号灯抗压10^E-5N/mm2，额定电压AC220±10V，耐温-30°～70°绝缘电阻≥500ΜΩ，防水等级IP67级，与地面平齐，与信号灯颜色同步变化。</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管道铺设含取电工程</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人行道PE管开槽埋设、预埋，含取电工程</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安装调试施工及维护费用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设备安装接线及调试、运维等工作</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11、路段发光斑马线系统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行人驻留检测系统</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激光传感器，人体运动实时检测智能算法，驱动模块，接口模块</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智能人体感应控制系统</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光传感器、主控板，驱动板，电源模块，配电箱、开关控制单元等配件，物联网模块</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4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LED发光装置</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尺寸:400*200*30MM</w:t>
            </w:r>
            <w:r>
              <w:rPr>
                <w:rFonts w:hint="eastAsia" w:ascii="宋体" w:hAnsi="宋体" w:cs="宋体"/>
                <w:color w:val="000000"/>
                <w:kern w:val="0"/>
                <w:sz w:val="20"/>
              </w:rPr>
              <w:br w:type="textWrapping"/>
            </w:r>
            <w:r>
              <w:rPr>
                <w:rFonts w:hint="eastAsia" w:ascii="宋体" w:hAnsi="宋体" w:cs="宋体"/>
                <w:color w:val="000000"/>
                <w:kern w:val="0"/>
                <w:sz w:val="20"/>
              </w:rPr>
              <w:t>材质:球墨铁底座+12MM合成材料面罩</w:t>
            </w:r>
            <w:r>
              <w:rPr>
                <w:rFonts w:hint="eastAsia" w:ascii="宋体" w:hAnsi="宋体" w:cs="宋体"/>
                <w:color w:val="000000"/>
                <w:kern w:val="0"/>
                <w:sz w:val="20"/>
              </w:rPr>
              <w:br w:type="textWrapping"/>
            </w:r>
            <w:r>
              <w:rPr>
                <w:rFonts w:hint="eastAsia" w:ascii="宋体" w:hAnsi="宋体" w:cs="宋体"/>
                <w:color w:val="000000"/>
                <w:kern w:val="0"/>
                <w:sz w:val="20"/>
              </w:rPr>
              <w:t>颜色:单色(红黄蓝绿白暖白可选)</w:t>
            </w:r>
            <w:r>
              <w:rPr>
                <w:rFonts w:hint="eastAsia" w:ascii="宋体" w:hAnsi="宋体" w:cs="宋体"/>
                <w:color w:val="000000"/>
                <w:kern w:val="0"/>
                <w:sz w:val="20"/>
              </w:rPr>
              <w:br w:type="textWrapping"/>
            </w:r>
            <w:r>
              <w:rPr>
                <w:rFonts w:hint="eastAsia" w:ascii="宋体" w:hAnsi="宋体" w:cs="宋体"/>
                <w:color w:val="000000"/>
                <w:kern w:val="0"/>
                <w:sz w:val="20"/>
              </w:rPr>
              <w:t>电压:直流24V</w:t>
            </w:r>
            <w:r>
              <w:rPr>
                <w:rFonts w:hint="eastAsia" w:ascii="宋体" w:hAnsi="宋体" w:cs="宋体"/>
                <w:color w:val="000000"/>
                <w:kern w:val="0"/>
                <w:sz w:val="20"/>
              </w:rPr>
              <w:br w:type="textWrapping"/>
            </w:r>
            <w:r>
              <w:rPr>
                <w:rFonts w:hint="eastAsia" w:ascii="宋体" w:hAnsi="宋体" w:cs="宋体"/>
                <w:color w:val="000000"/>
                <w:kern w:val="0"/>
                <w:sz w:val="20"/>
              </w:rPr>
              <w:t>控制方式:内控+普通压感</w:t>
            </w:r>
            <w:r>
              <w:rPr>
                <w:rFonts w:hint="eastAsia" w:ascii="宋体" w:hAnsi="宋体" w:cs="宋体"/>
                <w:color w:val="000000"/>
                <w:kern w:val="0"/>
                <w:sz w:val="20"/>
              </w:rPr>
              <w:br w:type="textWrapping"/>
            </w:r>
            <w:r>
              <w:rPr>
                <w:rFonts w:hint="eastAsia" w:ascii="宋体" w:hAnsi="宋体" w:cs="宋体"/>
                <w:color w:val="000000"/>
                <w:kern w:val="0"/>
                <w:sz w:val="20"/>
              </w:rPr>
              <w:t>防护等级:IP66</w:t>
            </w:r>
            <w:r>
              <w:rPr>
                <w:rFonts w:hint="eastAsia" w:ascii="宋体" w:hAnsi="宋体" w:cs="宋体"/>
                <w:color w:val="000000"/>
                <w:kern w:val="0"/>
                <w:sz w:val="20"/>
              </w:rPr>
              <w:br w:type="textWrapping"/>
            </w:r>
            <w:r>
              <w:rPr>
                <w:rFonts w:hint="eastAsia" w:ascii="宋体" w:hAnsi="宋体" w:cs="宋体"/>
                <w:color w:val="000000"/>
                <w:kern w:val="0"/>
                <w:sz w:val="20"/>
              </w:rPr>
              <w:t xml:space="preserve">光源:美国科瑞贴片5051                                           </w:t>
            </w:r>
            <w:r>
              <w:rPr>
                <w:rFonts w:hint="eastAsia" w:ascii="宋体" w:hAnsi="宋体" w:cs="宋体"/>
                <w:b/>
                <w:bCs/>
                <w:color w:val="000000"/>
                <w:kern w:val="0"/>
                <w:sz w:val="20"/>
              </w:rPr>
              <w:t>具备公安部交通安全产品质量监督检测检测中心试验报告并加盖原厂公章</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地笼</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尺寸:405*405*200MM 材质:钣金+钢筋（镀锌）</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个</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线缆及辅材</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特制地灯连接线：四通连接线，1.4米母头连接线</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安装调试施工及维护费用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设备安装接线及调试、运维等工作</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道路开槽及恢复</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道路切槽及恢复</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12、指挥中心大屏更新、后台存储扩容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12.1、指挥中心大屏改造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室内LED显示屏</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b/>
                <w:bCs/>
                <w:color w:val="000000"/>
                <w:kern w:val="0"/>
                <w:sz w:val="20"/>
              </w:rPr>
              <w:t>▲点间距≤1.26mm</w:t>
            </w:r>
            <w:r>
              <w:rPr>
                <w:rFonts w:hint="eastAsia" w:ascii="宋体" w:hAnsi="宋体" w:cs="宋体"/>
                <w:b/>
                <w:bCs/>
                <w:color w:val="000000"/>
                <w:kern w:val="0"/>
                <w:sz w:val="20"/>
              </w:rPr>
              <w:br w:type="textWrapping"/>
            </w:r>
            <w:r>
              <w:rPr>
                <w:rFonts w:hint="eastAsia" w:ascii="宋体" w:hAnsi="宋体" w:cs="宋体"/>
                <w:color w:val="000000"/>
                <w:kern w:val="0"/>
                <w:sz w:val="20"/>
              </w:rPr>
              <w:t>分辨率≥7200W*1620H</w:t>
            </w:r>
            <w:r>
              <w:rPr>
                <w:rFonts w:hint="eastAsia" w:ascii="宋体" w:hAnsi="宋体" w:cs="宋体"/>
                <w:color w:val="000000"/>
                <w:kern w:val="0"/>
                <w:sz w:val="20"/>
              </w:rPr>
              <w:br w:type="textWrapping"/>
            </w:r>
            <w:r>
              <w:rPr>
                <w:rFonts w:hint="eastAsia" w:ascii="宋体" w:hAnsi="宋体" w:cs="宋体"/>
                <w:color w:val="000000"/>
                <w:kern w:val="0"/>
                <w:sz w:val="20"/>
              </w:rPr>
              <w:t>▲</w:t>
            </w:r>
            <w:r>
              <w:rPr>
                <w:rFonts w:hint="eastAsia" w:ascii="宋体" w:hAnsi="宋体" w:cs="宋体"/>
                <w:b/>
                <w:bCs/>
                <w:color w:val="000000"/>
                <w:kern w:val="0"/>
                <w:sz w:val="20"/>
              </w:rPr>
              <w:t>显示技术采用：单个发光点采用RGB三基色LED裸芯COB封装，超声波焊线，无二次回流焊，超黑喷墨表面处理，无锡焊焊脚，表面无覆膜；</w:t>
            </w:r>
            <w:r>
              <w:rPr>
                <w:rFonts w:hint="eastAsia" w:ascii="宋体" w:hAnsi="宋体" w:cs="宋体"/>
                <w:color w:val="000000"/>
                <w:kern w:val="0"/>
                <w:sz w:val="20"/>
              </w:rPr>
              <w:br w:type="textWrapping"/>
            </w:r>
            <w:r>
              <w:rPr>
                <w:rFonts w:hint="eastAsia" w:ascii="宋体" w:hAnsi="宋体" w:cs="宋体"/>
                <w:color w:val="000000"/>
                <w:kern w:val="0"/>
                <w:sz w:val="20"/>
              </w:rPr>
              <w:t>采用压铸铝箱体，为考虑现场安装环境，大屏需采用前安装前维护结构设计</w:t>
            </w:r>
            <w:r>
              <w:rPr>
                <w:rFonts w:hint="eastAsia" w:ascii="宋体" w:hAnsi="宋体" w:cs="宋体"/>
                <w:color w:val="000000"/>
                <w:kern w:val="0"/>
                <w:sz w:val="20"/>
              </w:rPr>
              <w:br w:type="textWrapping"/>
            </w:r>
            <w:r>
              <w:rPr>
                <w:rFonts w:hint="eastAsia" w:ascii="宋体" w:hAnsi="宋体" w:cs="宋体"/>
                <w:color w:val="000000"/>
                <w:kern w:val="0"/>
                <w:sz w:val="20"/>
              </w:rPr>
              <w:t>为了保证大屏观看效果，保证显示锐度和清晰度，显示屏表面采用一层封胶工艺、不增加其他材料、表面覆膜工艺不采用</w:t>
            </w:r>
            <w:r>
              <w:rPr>
                <w:rFonts w:hint="eastAsia" w:ascii="宋体" w:hAnsi="宋体" w:cs="宋体"/>
                <w:color w:val="000000"/>
                <w:kern w:val="0"/>
                <w:sz w:val="20"/>
              </w:rPr>
              <w:br w:type="textWrapping"/>
            </w:r>
            <w:r>
              <w:rPr>
                <w:rFonts w:hint="eastAsia" w:ascii="宋体" w:hAnsi="宋体" w:cs="宋体"/>
                <w:color w:val="000000"/>
                <w:kern w:val="0"/>
                <w:sz w:val="20"/>
              </w:rPr>
              <w:t>模组分辨率240×270</w:t>
            </w:r>
            <w:r>
              <w:rPr>
                <w:rFonts w:hint="eastAsia" w:ascii="宋体" w:hAnsi="宋体" w:cs="宋体"/>
                <w:color w:val="000000"/>
                <w:kern w:val="0"/>
                <w:sz w:val="20"/>
              </w:rPr>
              <w:br w:type="textWrapping"/>
            </w:r>
            <w:r>
              <w:rPr>
                <w:rFonts w:hint="eastAsia" w:ascii="宋体" w:hAnsi="宋体" w:cs="宋体"/>
                <w:color w:val="000000"/>
                <w:kern w:val="0"/>
                <w:sz w:val="20"/>
              </w:rPr>
              <w:t>单元分辨率480×270</w:t>
            </w:r>
            <w:r>
              <w:rPr>
                <w:rFonts w:hint="eastAsia" w:ascii="宋体" w:hAnsi="宋体" w:cs="宋体"/>
                <w:color w:val="000000"/>
                <w:kern w:val="0"/>
                <w:sz w:val="20"/>
              </w:rPr>
              <w:br w:type="textWrapping"/>
            </w:r>
            <w:r>
              <w:rPr>
                <w:rFonts w:hint="eastAsia" w:ascii="宋体" w:hAnsi="宋体" w:cs="宋体"/>
                <w:color w:val="000000"/>
                <w:kern w:val="0"/>
                <w:sz w:val="20"/>
              </w:rPr>
              <w:t>校正后亮度≥600/㎡，</w:t>
            </w:r>
            <w:r>
              <w:rPr>
                <w:rFonts w:hint="eastAsia" w:ascii="宋体" w:hAnsi="宋体" w:cs="宋体"/>
                <w:color w:val="000000"/>
                <w:kern w:val="0"/>
                <w:sz w:val="20"/>
              </w:rPr>
              <w:br w:type="textWrapping"/>
            </w:r>
            <w:r>
              <w:rPr>
                <w:rFonts w:hint="eastAsia" w:ascii="宋体" w:hAnsi="宋体" w:cs="宋体"/>
                <w:color w:val="000000"/>
                <w:kern w:val="0"/>
                <w:sz w:val="20"/>
              </w:rPr>
              <w:t>像素密度≥623268点/m2</w:t>
            </w:r>
            <w:r>
              <w:rPr>
                <w:rFonts w:hint="eastAsia" w:ascii="宋体" w:hAnsi="宋体" w:cs="宋体"/>
                <w:color w:val="000000"/>
                <w:kern w:val="0"/>
                <w:sz w:val="20"/>
              </w:rPr>
              <w:br w:type="textWrapping"/>
            </w:r>
            <w:r>
              <w:rPr>
                <w:rFonts w:hint="eastAsia" w:ascii="宋体" w:hAnsi="宋体" w:cs="宋体"/>
                <w:color w:val="000000"/>
                <w:kern w:val="0"/>
                <w:sz w:val="20"/>
              </w:rPr>
              <w:t>刷新率≥3840HZ</w:t>
            </w:r>
            <w:r>
              <w:rPr>
                <w:rFonts w:hint="eastAsia" w:ascii="宋体" w:hAnsi="宋体" w:cs="宋体"/>
                <w:color w:val="000000"/>
                <w:kern w:val="0"/>
                <w:sz w:val="20"/>
              </w:rPr>
              <w:br w:type="textWrapping"/>
            </w:r>
            <w:r>
              <w:rPr>
                <w:rFonts w:hint="eastAsia" w:ascii="宋体" w:hAnsi="宋体" w:cs="宋体"/>
                <w:color w:val="000000"/>
                <w:kern w:val="0"/>
                <w:sz w:val="20"/>
              </w:rPr>
              <w:t>亮度控制：手动/自动</w:t>
            </w:r>
            <w:r>
              <w:rPr>
                <w:rFonts w:hint="eastAsia" w:ascii="宋体" w:hAnsi="宋体" w:cs="宋体"/>
                <w:color w:val="000000"/>
                <w:kern w:val="0"/>
                <w:sz w:val="20"/>
              </w:rPr>
              <w:br w:type="textWrapping"/>
            </w:r>
            <w:r>
              <w:rPr>
                <w:rFonts w:hint="eastAsia" w:ascii="宋体" w:hAnsi="宋体" w:cs="宋体"/>
                <w:color w:val="000000"/>
                <w:kern w:val="0"/>
                <w:sz w:val="20"/>
              </w:rPr>
              <w:t>对比度：6000:1</w:t>
            </w:r>
            <w:r>
              <w:rPr>
                <w:rFonts w:hint="eastAsia" w:ascii="宋体" w:hAnsi="宋体" w:cs="宋体"/>
                <w:color w:val="000000"/>
                <w:kern w:val="0"/>
                <w:sz w:val="20"/>
              </w:rPr>
              <w:br w:type="textWrapping"/>
            </w:r>
            <w:r>
              <w:rPr>
                <w:rFonts w:hint="eastAsia" w:ascii="宋体" w:hAnsi="宋体" w:cs="宋体"/>
                <w:color w:val="000000"/>
                <w:kern w:val="0"/>
                <w:sz w:val="20"/>
              </w:rPr>
              <w:t>画面帧频：50/60 Hz</w:t>
            </w:r>
            <w:r>
              <w:rPr>
                <w:rFonts w:hint="eastAsia" w:ascii="宋体" w:hAnsi="宋体" w:cs="宋体"/>
                <w:color w:val="000000"/>
                <w:kern w:val="0"/>
                <w:sz w:val="20"/>
              </w:rPr>
              <w:br w:type="textWrapping"/>
            </w:r>
            <w:r>
              <w:rPr>
                <w:rFonts w:hint="eastAsia" w:ascii="宋体" w:hAnsi="宋体" w:cs="宋体"/>
                <w:color w:val="000000"/>
                <w:kern w:val="0"/>
                <w:sz w:val="20"/>
              </w:rPr>
              <w:t>箱体模组平整度≤0.1mm</w:t>
            </w:r>
            <w:r>
              <w:rPr>
                <w:rFonts w:hint="eastAsia" w:ascii="宋体" w:hAnsi="宋体" w:cs="宋体"/>
                <w:color w:val="000000"/>
                <w:kern w:val="0"/>
                <w:sz w:val="20"/>
              </w:rPr>
              <w:br w:type="textWrapping"/>
            </w:r>
            <w:r>
              <w:rPr>
                <w:rFonts w:hint="eastAsia" w:ascii="宋体" w:hAnsi="宋体" w:cs="宋体"/>
                <w:color w:val="000000"/>
                <w:kern w:val="0"/>
                <w:sz w:val="20"/>
              </w:rPr>
              <w:t>色温3200K－9300K可调</w:t>
            </w:r>
            <w:r>
              <w:rPr>
                <w:rFonts w:hint="eastAsia" w:ascii="宋体" w:hAnsi="宋体" w:cs="宋体"/>
                <w:color w:val="000000"/>
                <w:kern w:val="0"/>
                <w:sz w:val="20"/>
              </w:rPr>
              <w:br w:type="textWrapping"/>
            </w:r>
            <w:r>
              <w:rPr>
                <w:rFonts w:hint="eastAsia" w:ascii="宋体" w:hAnsi="宋体" w:cs="宋体"/>
                <w:color w:val="000000"/>
                <w:kern w:val="0"/>
                <w:sz w:val="20"/>
              </w:rPr>
              <w:t>视角：水平视角≥160度，垂直视角≥160度</w:t>
            </w:r>
            <w:r>
              <w:rPr>
                <w:rFonts w:hint="eastAsia" w:ascii="宋体" w:hAnsi="宋体" w:cs="宋体"/>
                <w:color w:val="000000"/>
                <w:kern w:val="0"/>
                <w:sz w:val="20"/>
              </w:rPr>
              <w:br w:type="textWrapping"/>
            </w:r>
            <w:r>
              <w:rPr>
                <w:rFonts w:hint="eastAsia" w:ascii="宋体" w:hAnsi="宋体" w:cs="宋体"/>
                <w:color w:val="000000"/>
                <w:kern w:val="0"/>
                <w:sz w:val="20"/>
              </w:rPr>
              <w:t>LED屏幕采用无风扇设计，主动式散热；</w:t>
            </w:r>
            <w:r>
              <w:rPr>
                <w:rFonts w:hint="eastAsia" w:ascii="宋体" w:hAnsi="宋体" w:cs="宋体"/>
                <w:color w:val="000000"/>
                <w:kern w:val="0"/>
                <w:sz w:val="20"/>
              </w:rPr>
              <w:br w:type="textWrapping"/>
            </w:r>
            <w:r>
              <w:rPr>
                <w:rFonts w:hint="eastAsia" w:ascii="宋体" w:hAnsi="宋体" w:cs="宋体"/>
                <w:color w:val="000000"/>
                <w:kern w:val="0"/>
                <w:sz w:val="20"/>
              </w:rPr>
              <w:t>模组具有逐点均匀性校正存储功能</w:t>
            </w:r>
            <w:r>
              <w:rPr>
                <w:rFonts w:hint="eastAsia" w:ascii="宋体" w:hAnsi="宋体" w:cs="宋体"/>
                <w:color w:val="000000"/>
                <w:kern w:val="0"/>
                <w:sz w:val="20"/>
              </w:rPr>
              <w:br w:type="textWrapping"/>
            </w:r>
            <w:r>
              <w:rPr>
                <w:rFonts w:hint="eastAsia" w:ascii="宋体" w:hAnsi="宋体" w:cs="宋体"/>
                <w:color w:val="000000"/>
                <w:kern w:val="0"/>
                <w:sz w:val="20"/>
              </w:rPr>
              <w:t>色度均匀性：±0.003Cx，Cy之内；</w:t>
            </w:r>
            <w:r>
              <w:rPr>
                <w:rFonts w:hint="eastAsia" w:ascii="宋体" w:hAnsi="宋体" w:cs="宋体"/>
                <w:color w:val="000000"/>
                <w:kern w:val="0"/>
                <w:sz w:val="20"/>
              </w:rPr>
              <w:br w:type="textWrapping"/>
            </w:r>
            <w:r>
              <w:rPr>
                <w:rFonts w:hint="eastAsia" w:ascii="宋体" w:hAnsi="宋体" w:cs="宋体"/>
                <w:color w:val="000000"/>
                <w:kern w:val="0"/>
                <w:sz w:val="20"/>
              </w:rPr>
              <w:t>驱动方式：恒流驱动，电源适应性在AC85－264V(50-60HZ)，</w:t>
            </w:r>
            <w:r>
              <w:rPr>
                <w:rFonts w:hint="eastAsia" w:ascii="宋体" w:hAnsi="宋体" w:cs="宋体"/>
                <w:color w:val="000000"/>
                <w:kern w:val="0"/>
                <w:sz w:val="20"/>
              </w:rPr>
              <w:br w:type="textWrapping"/>
            </w:r>
            <w:r>
              <w:rPr>
                <w:rFonts w:hint="eastAsia" w:ascii="宋体" w:hAnsi="宋体" w:cs="宋体"/>
                <w:color w:val="000000"/>
                <w:kern w:val="0"/>
                <w:sz w:val="20"/>
              </w:rPr>
              <w:t>每平方米最大功耗≤650W，每平方米平均功耗≤217W</w:t>
            </w:r>
            <w:r>
              <w:rPr>
                <w:rFonts w:hint="eastAsia" w:ascii="宋体" w:hAnsi="宋体" w:cs="宋体"/>
                <w:color w:val="000000"/>
                <w:kern w:val="0"/>
                <w:sz w:val="20"/>
              </w:rPr>
              <w:br w:type="textWrapping"/>
            </w:r>
            <w:r>
              <w:rPr>
                <w:rFonts w:hint="eastAsia" w:ascii="宋体" w:hAnsi="宋体" w:cs="宋体"/>
                <w:b/>
                <w:bCs/>
                <w:color w:val="000000"/>
                <w:kern w:val="0"/>
                <w:sz w:val="20"/>
              </w:rPr>
              <w:t>屏幕表面防护等级IP65，提供具备CANS资质的第三方权威检测机构出具的的检测报告复印件（报告需包含检测的条件要求）加盖制造厂商公章</w:t>
            </w:r>
            <w:r>
              <w:rPr>
                <w:rFonts w:hint="eastAsia" w:ascii="宋体" w:hAnsi="宋体" w:cs="宋体"/>
                <w:b/>
                <w:bCs/>
                <w:color w:val="000000"/>
                <w:kern w:val="0"/>
                <w:sz w:val="20"/>
              </w:rPr>
              <w:br w:type="textWrapping"/>
            </w:r>
            <w:r>
              <w:rPr>
                <w:rFonts w:hint="eastAsia" w:ascii="宋体" w:hAnsi="宋体" w:cs="宋体"/>
                <w:b/>
                <w:bCs/>
                <w:color w:val="000000"/>
                <w:kern w:val="0"/>
                <w:sz w:val="20"/>
              </w:rPr>
              <w:t xml:space="preserve">提供本项目COB显示屏3C认证证书复印件加盖原厂公章           提供本项目COB显示屏技术发明专利文件复印件加盖原厂公章 </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平方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拼控器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7U标准机箱，满足各种规模的监控需求；标准机架式设计，运营级ATCA机箱系统；插拔式模块化设计，可根据需求灵活扩展；3槽位机箱，双电源适配器，单主控板；业务模块支持热插拔、双电源冗余、智能风扇自动调温，确保系统稳定可靠；双高速无阻塞背板设计，满足大容量视频数据高速交换的需求。输出解码板一块，支持8个DVI输出口，支持小间距全彩显示屏;支持16路800W/64路1080P/128路720P/256路4CIF解码H.264/H.265解码；支持大屏拼接漫游；1个DB15转8路音频输出。输入编码板一块，视频输入口：8路视频输入，DVI口；音频输入口：8路音频输入，1个DB15转BNC接口；编码标准：标准H.264；编码能力：8路，支持的编码分辨率为1080P/720P/4CIF/CIF/QCIF；</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　</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发送盒</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一路 DVI 视频输入； </w:t>
            </w:r>
            <w:r>
              <w:rPr>
                <w:rFonts w:hint="eastAsia" w:ascii="宋体" w:hAnsi="宋体" w:cs="宋体"/>
                <w:color w:val="000000"/>
                <w:kern w:val="0"/>
                <w:sz w:val="20"/>
              </w:rPr>
              <w:br w:type="textWrapping"/>
            </w:r>
            <w:r>
              <w:rPr>
                <w:rFonts w:hint="eastAsia" w:ascii="宋体" w:hAnsi="宋体" w:cs="宋体"/>
                <w:color w:val="000000"/>
                <w:kern w:val="0"/>
                <w:sz w:val="20"/>
              </w:rPr>
              <w:t>一路 HDMI 高清视频输入； </w:t>
            </w:r>
            <w:r>
              <w:rPr>
                <w:rFonts w:hint="eastAsia" w:ascii="宋体" w:hAnsi="宋体" w:cs="宋体"/>
                <w:color w:val="000000"/>
                <w:kern w:val="0"/>
                <w:sz w:val="20"/>
              </w:rPr>
              <w:br w:type="textWrapping"/>
            </w:r>
            <w:r>
              <w:rPr>
                <w:rFonts w:hint="eastAsia" w:ascii="宋体" w:hAnsi="宋体" w:cs="宋体"/>
                <w:color w:val="000000"/>
                <w:kern w:val="0"/>
                <w:sz w:val="20"/>
              </w:rPr>
              <w:t>一路音频输入； </w:t>
            </w:r>
            <w:r>
              <w:rPr>
                <w:rFonts w:hint="eastAsia" w:ascii="宋体" w:hAnsi="宋体" w:cs="宋体"/>
                <w:color w:val="000000"/>
                <w:kern w:val="0"/>
                <w:sz w:val="20"/>
              </w:rPr>
              <w:br w:type="textWrapping"/>
            </w:r>
            <w:r>
              <w:rPr>
                <w:rFonts w:hint="eastAsia" w:ascii="宋体" w:hAnsi="宋体" w:cs="宋体"/>
                <w:color w:val="000000"/>
                <w:kern w:val="0"/>
                <w:sz w:val="20"/>
              </w:rPr>
              <w:t>四路网口输出； </w:t>
            </w:r>
            <w:r>
              <w:rPr>
                <w:rFonts w:hint="eastAsia" w:ascii="宋体" w:hAnsi="宋体" w:cs="宋体"/>
                <w:color w:val="000000"/>
                <w:kern w:val="0"/>
                <w:sz w:val="20"/>
              </w:rPr>
              <w:br w:type="textWrapping"/>
            </w:r>
            <w:r>
              <w:rPr>
                <w:rFonts w:hint="eastAsia" w:ascii="宋体" w:hAnsi="宋体" w:cs="宋体"/>
                <w:color w:val="000000"/>
                <w:kern w:val="0"/>
                <w:sz w:val="20"/>
              </w:rPr>
              <w:t>USB 接口控制，可级联多台进行统一控制； </w:t>
            </w:r>
            <w:r>
              <w:rPr>
                <w:rFonts w:hint="eastAsia" w:ascii="宋体" w:hAnsi="宋体" w:cs="宋体"/>
                <w:color w:val="000000"/>
                <w:kern w:val="0"/>
                <w:sz w:val="20"/>
              </w:rPr>
              <w:br w:type="textWrapping"/>
            </w:r>
            <w:r>
              <w:rPr>
                <w:rFonts w:hint="eastAsia" w:ascii="宋体" w:hAnsi="宋体" w:cs="宋体"/>
                <w:color w:val="000000"/>
                <w:kern w:val="0"/>
                <w:sz w:val="20"/>
              </w:rPr>
              <w:t>最大带载分辨率 2048×1152 或 1920×1200； </w:t>
            </w:r>
            <w:r>
              <w:rPr>
                <w:rFonts w:hint="eastAsia" w:ascii="宋体" w:hAnsi="宋体" w:cs="宋体"/>
                <w:color w:val="000000"/>
                <w:kern w:val="0"/>
                <w:sz w:val="20"/>
              </w:rPr>
              <w:br w:type="textWrapping"/>
            </w:r>
            <w:r>
              <w:rPr>
                <w:rFonts w:hint="eastAsia" w:ascii="宋体" w:hAnsi="宋体" w:cs="宋体"/>
                <w:color w:val="000000"/>
                <w:kern w:val="0"/>
                <w:sz w:val="20"/>
              </w:rPr>
              <w:t>一路光探头接口；</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控制管理软件</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控制软件应可以安装在用户PC机（工作站）上，并与用户系统兼容，不会影响用户原来各种应用系统的运行。                   网络上的工作站安装控制软件后，即可一台控制终端，随时管理控制大屏幕系统；</w:t>
            </w:r>
            <w:r>
              <w:rPr>
                <w:rFonts w:hint="eastAsia" w:ascii="宋体" w:hAnsi="宋体" w:cs="宋体"/>
                <w:color w:val="000000"/>
                <w:kern w:val="0"/>
                <w:sz w:val="20"/>
              </w:rPr>
              <w:br w:type="textWrapping"/>
            </w:r>
            <w:r>
              <w:rPr>
                <w:rFonts w:hint="eastAsia" w:ascii="宋体" w:hAnsi="宋体" w:cs="宋体"/>
                <w:color w:val="000000"/>
                <w:kern w:val="0"/>
                <w:sz w:val="20"/>
              </w:rPr>
              <w:t xml:space="preserve">一路 DVI 视频输入； 一路 HDMI 高清视频输入； 一路音频输入；一路光探头接口； </w:t>
            </w:r>
            <w:r>
              <w:rPr>
                <w:rFonts w:hint="eastAsia" w:ascii="宋体" w:hAnsi="宋体" w:cs="宋体"/>
                <w:color w:val="000000"/>
                <w:kern w:val="0"/>
                <w:sz w:val="20"/>
              </w:rPr>
              <w:br w:type="textWrapping"/>
            </w:r>
            <w:r>
              <w:rPr>
                <w:rFonts w:hint="eastAsia" w:ascii="宋体" w:hAnsi="宋体" w:cs="宋体"/>
                <w:color w:val="000000"/>
                <w:kern w:val="0"/>
                <w:sz w:val="20"/>
              </w:rPr>
              <w:t xml:space="preserve">四路网口输出； USB 接口控制，可级联多台进行统一控制； </w:t>
            </w:r>
            <w:r>
              <w:rPr>
                <w:rFonts w:hint="eastAsia" w:ascii="宋体" w:hAnsi="宋体" w:cs="宋体"/>
                <w:color w:val="000000"/>
                <w:kern w:val="0"/>
                <w:sz w:val="20"/>
              </w:rPr>
              <w:br w:type="textWrapping"/>
            </w:r>
            <w:r>
              <w:rPr>
                <w:rFonts w:hint="eastAsia" w:ascii="宋体" w:hAnsi="宋体" w:cs="宋体"/>
                <w:color w:val="000000"/>
                <w:kern w:val="0"/>
                <w:sz w:val="20"/>
              </w:rPr>
              <w:t>最大带载分辨率 2048×1152 或 1920×1200；</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配电箱</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20KW1、配电柜具备防雷、过压、过流、欠压、短路、断路以及漏电保护措施；                                                配电柜内装有漏电保护开关、空气开关、熔断器、延时启动接触器、电源防雷器等，配电柜门上还装有旋钮开关和指示灯等；</w:t>
            </w:r>
            <w:r>
              <w:rPr>
                <w:rFonts w:hint="eastAsia" w:ascii="宋体" w:hAnsi="宋体" w:cs="宋体"/>
                <w:color w:val="000000"/>
                <w:kern w:val="0"/>
                <w:sz w:val="20"/>
              </w:rPr>
              <w:br w:type="textWrapping"/>
            </w:r>
            <w:r>
              <w:rPr>
                <w:rFonts w:hint="eastAsia" w:ascii="宋体" w:hAnsi="宋体" w:cs="宋体"/>
                <w:color w:val="000000"/>
                <w:kern w:val="0"/>
                <w:sz w:val="20"/>
              </w:rPr>
              <w:t>配电柜内主令开关均选用品牌器件。</w:t>
            </w:r>
            <w:r>
              <w:rPr>
                <w:rFonts w:hint="eastAsia" w:ascii="宋体" w:hAnsi="宋体" w:cs="宋体"/>
                <w:color w:val="000000"/>
                <w:kern w:val="0"/>
                <w:sz w:val="20"/>
              </w:rPr>
              <w:br w:type="textWrapping"/>
            </w:r>
            <w:r>
              <w:rPr>
                <w:rFonts w:hint="eastAsia" w:ascii="宋体" w:hAnsi="宋体" w:cs="宋体"/>
                <w:color w:val="000000"/>
                <w:kern w:val="0"/>
                <w:sz w:val="20"/>
              </w:rPr>
              <w:t>配电系统具有电源监视，温度，烟雾监控报警功能，支持网络及串口控制，可通过PLC实现远程开关控制。</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LED支架结构</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定制</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旧屏拆除费</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定制</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结构装饰及四周修复</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嵌入式安装，拆旧、修补、墙面处理、大屏包边等，整体协调美观。镀锌钢结构，四周采用与原有装饰相近的材料进行边框处理，对于拆除后产生的缝隙及凹凸不平，应当予以恢复，要求与整体装修风格一致，力求完美。</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9</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门禁系统</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对通道进出人员进行管理，支持刷卡、密码、人脸、指纹等多种开门方式，实时监控与异常报警功能</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10</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安装调试施工及维护费用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设备安装接线及调试、运维等工作</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12.2、中心后台存储扩容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专网图片云存储主机</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b/>
                <w:bCs/>
                <w:color w:val="000000"/>
                <w:kern w:val="0"/>
                <w:sz w:val="20"/>
              </w:rPr>
              <w:t>▲单台配置36块6T硬盘</w:t>
            </w:r>
            <w:r>
              <w:rPr>
                <w:rFonts w:hint="eastAsia" w:ascii="宋体" w:hAnsi="宋体" w:cs="宋体"/>
                <w:color w:val="000000"/>
                <w:kern w:val="0"/>
                <w:sz w:val="20"/>
              </w:rPr>
              <w:br w:type="textWrapping"/>
            </w:r>
            <w:r>
              <w:rPr>
                <w:rFonts w:hint="eastAsia" w:ascii="宋体" w:hAnsi="宋体" w:cs="宋体"/>
                <w:color w:val="000000"/>
                <w:kern w:val="0"/>
                <w:sz w:val="20"/>
              </w:rPr>
              <w:t xml:space="preserve">高性能64位处理器，2个管理网络接口，单节点最大可提供216TB的存储容量，数据网络支持1Gb/10Gb/56Gb IB/100Gb IB/100Gb OPA，1+1冗余电源,内嵌高性能数据存取引擎，用于并行处理所有客户端的数据访问请求，内嵌高性能数据恢复引擎，支持节点间replication（多副本）/N+M（纠删码）数据冗余方式：32GB缓存，双10G无模块光纤网卡×1，四口千兆网卡×1，SFP+ 万兆 300m 850nm光模块×2 ，36盘位                                                    </w:t>
            </w:r>
            <w:r>
              <w:rPr>
                <w:rFonts w:hint="eastAsia" w:ascii="宋体" w:hAnsi="宋体" w:cs="宋体"/>
                <w:b/>
                <w:bCs/>
                <w:color w:val="000000"/>
                <w:kern w:val="0"/>
                <w:sz w:val="20"/>
              </w:rPr>
              <w:t>单个存储系统可扩展到≥4096个存储节点，最大扩展能力可达EB级别，提供官网截图及链接并加盖原厂公章。</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专网图片存储硬盘</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6T，SATA,7200转/分</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3</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专网视频云存储主机</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xml:space="preserve">视频：录像+回放（2Mbps） 288路+32路 </w:t>
            </w:r>
            <w:r>
              <w:rPr>
                <w:rFonts w:hint="eastAsia" w:ascii="宋体" w:hAnsi="宋体" w:cs="宋体"/>
                <w:color w:val="000000"/>
                <w:kern w:val="0"/>
                <w:sz w:val="20"/>
              </w:rPr>
              <w:br w:type="textWrapping"/>
            </w:r>
            <w:r>
              <w:rPr>
                <w:rFonts w:hint="eastAsia" w:ascii="宋体" w:hAnsi="宋体" w:cs="宋体"/>
                <w:color w:val="000000"/>
                <w:kern w:val="0"/>
                <w:sz w:val="20"/>
              </w:rPr>
              <w:t>图片 400路+100路</w:t>
            </w:r>
            <w:r>
              <w:rPr>
                <w:rFonts w:hint="eastAsia" w:ascii="宋体" w:hAnsi="宋体" w:cs="宋体"/>
                <w:color w:val="000000"/>
                <w:kern w:val="0"/>
                <w:sz w:val="20"/>
              </w:rPr>
              <w:br w:type="textWrapping"/>
            </w:r>
            <w:r>
              <w:rPr>
                <w:rFonts w:hint="eastAsia" w:ascii="宋体" w:hAnsi="宋体" w:cs="宋体"/>
                <w:color w:val="000000"/>
                <w:kern w:val="0"/>
                <w:sz w:val="20"/>
              </w:rPr>
              <w:t xml:space="preserve">处理器 至强四核处理器 </w:t>
            </w:r>
            <w:r>
              <w:rPr>
                <w:rFonts w:hint="eastAsia" w:ascii="宋体" w:hAnsi="宋体" w:cs="宋体"/>
                <w:color w:val="000000"/>
                <w:kern w:val="0"/>
                <w:sz w:val="20"/>
              </w:rPr>
              <w:br w:type="textWrapping"/>
            </w:r>
            <w:r>
              <w:rPr>
                <w:rFonts w:hint="eastAsia" w:ascii="宋体" w:hAnsi="宋体" w:cs="宋体"/>
                <w:color w:val="000000"/>
                <w:kern w:val="0"/>
                <w:sz w:val="20"/>
              </w:rPr>
              <w:t>高速缓存 8GB（可扩展至32GB                                 SSD 64GB</w:t>
            </w:r>
            <w:r>
              <w:rPr>
                <w:rFonts w:hint="eastAsia" w:ascii="宋体" w:hAnsi="宋体" w:cs="宋体"/>
                <w:color w:val="000000"/>
                <w:kern w:val="0"/>
                <w:sz w:val="20"/>
              </w:rPr>
              <w:br w:type="textWrapping"/>
            </w:r>
            <w:r>
              <w:rPr>
                <w:rFonts w:hint="eastAsia" w:ascii="宋体" w:hAnsi="宋体" w:cs="宋体"/>
                <w:color w:val="000000"/>
                <w:kern w:val="0"/>
                <w:sz w:val="20"/>
              </w:rPr>
              <w:t>磁盘数量 48</w:t>
            </w:r>
            <w:r>
              <w:rPr>
                <w:rFonts w:hint="eastAsia" w:ascii="宋体" w:hAnsi="宋体" w:cs="宋体"/>
                <w:color w:val="000000"/>
                <w:kern w:val="0"/>
                <w:sz w:val="20"/>
              </w:rPr>
              <w:br w:type="textWrapping"/>
            </w:r>
            <w:r>
              <w:rPr>
                <w:rFonts w:hint="eastAsia" w:ascii="宋体" w:hAnsi="宋体" w:cs="宋体"/>
                <w:color w:val="000000"/>
                <w:kern w:val="0"/>
                <w:sz w:val="20"/>
              </w:rPr>
              <w:t>磁盘接口 SATA/1TB、2TB、3TB、4TB、6TB（SSD可选）</w:t>
            </w:r>
            <w:r>
              <w:rPr>
                <w:rFonts w:hint="eastAsia" w:ascii="宋体" w:hAnsi="宋体" w:cs="宋体"/>
                <w:color w:val="000000"/>
                <w:kern w:val="0"/>
                <w:sz w:val="20"/>
              </w:rPr>
              <w:br w:type="textWrapping"/>
            </w:r>
            <w:r>
              <w:rPr>
                <w:rFonts w:hint="eastAsia" w:ascii="宋体" w:hAnsi="宋体" w:cs="宋体"/>
                <w:color w:val="000000"/>
                <w:kern w:val="0"/>
                <w:sz w:val="20"/>
              </w:rPr>
              <w:t>热插拔磁盘 支持</w:t>
            </w:r>
            <w:r>
              <w:rPr>
                <w:rFonts w:hint="eastAsia" w:ascii="宋体" w:hAnsi="宋体" w:cs="宋体"/>
                <w:color w:val="000000"/>
                <w:kern w:val="0"/>
                <w:sz w:val="20"/>
              </w:rPr>
              <w:br w:type="textWrapping"/>
            </w:r>
            <w:r>
              <w:rPr>
                <w:rFonts w:hint="eastAsia" w:ascii="宋体" w:hAnsi="宋体" w:cs="宋体"/>
                <w:color w:val="000000"/>
                <w:kern w:val="0"/>
                <w:sz w:val="20"/>
              </w:rPr>
              <w:t>RAID级别 RAID0、1、3、5、6、10、50、JBOD、Hot-Spare</w:t>
            </w:r>
            <w:r>
              <w:rPr>
                <w:rFonts w:hint="eastAsia" w:ascii="宋体" w:hAnsi="宋体" w:cs="宋体"/>
                <w:color w:val="000000"/>
                <w:kern w:val="0"/>
                <w:sz w:val="20"/>
              </w:rPr>
              <w:br w:type="textWrapping"/>
            </w:r>
            <w:r>
              <w:rPr>
                <w:rFonts w:hint="eastAsia" w:ascii="宋体" w:hAnsi="宋体" w:cs="宋体"/>
                <w:color w:val="000000"/>
                <w:kern w:val="0"/>
                <w:sz w:val="20"/>
              </w:rPr>
              <w:t>CVA 设备接入管理、录像计划执行、流转发服务</w:t>
            </w:r>
            <w:r>
              <w:rPr>
                <w:rFonts w:hint="eastAsia" w:ascii="宋体" w:hAnsi="宋体" w:cs="宋体"/>
                <w:color w:val="000000"/>
                <w:kern w:val="0"/>
                <w:sz w:val="20"/>
              </w:rPr>
              <w:br w:type="textWrapping"/>
            </w:r>
            <w:r>
              <w:rPr>
                <w:rFonts w:hint="eastAsia" w:ascii="宋体" w:hAnsi="宋体" w:cs="宋体"/>
                <w:color w:val="000000"/>
                <w:kern w:val="0"/>
                <w:sz w:val="20"/>
              </w:rPr>
              <w:t>CVS 数据存储服务、视频/图片接入服务、存储空间管理、数据读写服务</w:t>
            </w:r>
            <w:r>
              <w:rPr>
                <w:rFonts w:hint="eastAsia" w:ascii="宋体" w:hAnsi="宋体" w:cs="宋体"/>
                <w:color w:val="000000"/>
                <w:kern w:val="0"/>
                <w:sz w:val="20"/>
              </w:rPr>
              <w:br w:type="textWrapping"/>
            </w:r>
            <w:r>
              <w:rPr>
                <w:rFonts w:hint="eastAsia" w:ascii="宋体" w:hAnsi="宋体" w:cs="宋体"/>
                <w:color w:val="000000"/>
                <w:kern w:val="0"/>
                <w:sz w:val="20"/>
              </w:rPr>
              <w:t>存储管理 StorOS 存储系统、RAID管理、SAN/NAS服务、磁盘检测及修复、报警服务</w:t>
            </w:r>
            <w:r>
              <w:rPr>
                <w:rFonts w:hint="eastAsia" w:ascii="宋体" w:hAnsi="宋体" w:cs="宋体"/>
                <w:color w:val="000000"/>
                <w:kern w:val="0"/>
                <w:sz w:val="20"/>
              </w:rPr>
              <w:br w:type="textWrapping"/>
            </w:r>
            <w:r>
              <w:rPr>
                <w:rFonts w:hint="eastAsia" w:ascii="宋体" w:hAnsi="宋体" w:cs="宋体"/>
                <w:color w:val="000000"/>
                <w:kern w:val="0"/>
                <w:sz w:val="20"/>
              </w:rPr>
              <w:t>数据接口 2个千兆网口,1个可作为IPMI管理接口，可增配4*GE或2*10GE</w:t>
            </w:r>
            <w:r>
              <w:rPr>
                <w:rFonts w:hint="eastAsia" w:ascii="宋体" w:hAnsi="宋体" w:cs="宋体"/>
                <w:color w:val="000000"/>
                <w:kern w:val="0"/>
                <w:sz w:val="20"/>
              </w:rPr>
              <w:br w:type="textWrapping"/>
            </w:r>
            <w:r>
              <w:rPr>
                <w:rFonts w:hint="eastAsia" w:ascii="宋体" w:hAnsi="宋体" w:cs="宋体"/>
                <w:color w:val="000000"/>
                <w:kern w:val="0"/>
                <w:sz w:val="20"/>
              </w:rPr>
              <w:t>管理接口 1个百兆以太网口、COM接口 1个、USB接口 4个、VGA接口 1个</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4</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专网视频存储硬盘</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6T，SATA,7200转/分</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块</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公安网违法存储主机</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4U24盘位单控存储系统；标配1个控制器,4个千兆主机接口，标配8GB高速缓存，最大支持扩展到128GB；24盘位*6T，</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6</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核心交换机板卡扩容</w:t>
            </w:r>
          </w:p>
        </w:tc>
        <w:tc>
          <w:tcPr>
            <w:tcW w:w="5902" w:type="dxa"/>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▲用于原有核心设备H3C S7500E扩容；配置24端口万兆以太网光接口模块(SFP+,LC)；配置20个万兆光模块</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7</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数据中心电口交换机</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b/>
                <w:bCs/>
                <w:color w:val="000000"/>
                <w:kern w:val="0"/>
                <w:sz w:val="20"/>
              </w:rPr>
              <w:t xml:space="preserve">整机交换容量≥598Gbps；包转发率≥252Mpps，如投标产品有多个参数指标的，以较低参数指标为准，投标时提供官网链接及截图并加盖原厂公章；       </w:t>
            </w:r>
            <w:r>
              <w:rPr>
                <w:rFonts w:hint="eastAsia" w:ascii="宋体" w:hAnsi="宋体" w:cs="宋体"/>
                <w:color w:val="000000"/>
                <w:kern w:val="0"/>
                <w:sz w:val="20"/>
              </w:rPr>
              <w:t xml:space="preserve">                                                配置48个10/100/1000BASE-T端口,支持4个10G SFP+端口,支持1个Slot；配置双电源，配置双风扇；配置2个万兆光模块</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8</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数据中心光口交换机</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b/>
                <w:bCs/>
                <w:color w:val="000000"/>
                <w:kern w:val="0"/>
                <w:sz w:val="20"/>
              </w:rPr>
              <w:t xml:space="preserve">整机交换容量≥2.56Tbps；包转发率≥720Mpps，如投标产品有多个参数指标的，以较低参数指标为准，投标时提供官网链接及截图并加盖原厂公章；     </w:t>
            </w:r>
            <w:r>
              <w:rPr>
                <w:rFonts w:hint="eastAsia" w:ascii="宋体" w:hAnsi="宋体" w:cs="宋体"/>
                <w:color w:val="000000"/>
                <w:kern w:val="0"/>
                <w:sz w:val="20"/>
              </w:rPr>
              <w:t xml:space="preserve">                                                  配置24个1/10GE SFP+光接口，2个QSFP+光接口,支持2个Slot；配置双电源，配置双风扇；配置2个万兆光模块</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9</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智慧交通应用服务器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2U机架式</w:t>
            </w:r>
            <w:r>
              <w:rPr>
                <w:rFonts w:hint="eastAsia" w:ascii="宋体" w:hAnsi="宋体" w:cs="宋体"/>
                <w:color w:val="000000"/>
                <w:kern w:val="0"/>
                <w:sz w:val="20"/>
              </w:rPr>
              <w:br w:type="textWrapping"/>
            </w:r>
            <w:r>
              <w:rPr>
                <w:rFonts w:hint="eastAsia" w:ascii="宋体" w:hAnsi="宋体" w:cs="宋体"/>
                <w:color w:val="000000"/>
                <w:kern w:val="0"/>
                <w:sz w:val="20"/>
              </w:rPr>
              <w:t>XEON 4108*2</w:t>
            </w:r>
            <w:r>
              <w:rPr>
                <w:rFonts w:hint="eastAsia" w:ascii="宋体" w:hAnsi="宋体" w:cs="宋体"/>
                <w:color w:val="000000"/>
                <w:kern w:val="0"/>
                <w:sz w:val="20"/>
              </w:rPr>
              <w:br w:type="textWrapping"/>
            </w:r>
            <w:r>
              <w:rPr>
                <w:rFonts w:hint="eastAsia" w:ascii="宋体" w:hAnsi="宋体" w:cs="宋体"/>
                <w:color w:val="000000"/>
                <w:kern w:val="0"/>
                <w:sz w:val="20"/>
              </w:rPr>
              <w:t>DDR4 2666 32G*4</w:t>
            </w:r>
            <w:r>
              <w:rPr>
                <w:rFonts w:hint="eastAsia" w:ascii="宋体" w:hAnsi="宋体" w:cs="宋体"/>
                <w:color w:val="000000"/>
                <w:kern w:val="0"/>
                <w:sz w:val="20"/>
              </w:rPr>
              <w:br w:type="textWrapping"/>
            </w:r>
            <w:r>
              <w:rPr>
                <w:rFonts w:hint="eastAsia" w:ascii="宋体" w:hAnsi="宋体" w:cs="宋体"/>
                <w:color w:val="000000"/>
                <w:kern w:val="0"/>
                <w:sz w:val="20"/>
              </w:rPr>
              <w:t>2GB SAS 12Gb 8口RAID卡</w:t>
            </w:r>
            <w:r>
              <w:rPr>
                <w:rFonts w:hint="eastAsia" w:ascii="宋体" w:hAnsi="宋体" w:cs="宋体"/>
                <w:color w:val="000000"/>
                <w:kern w:val="0"/>
                <w:sz w:val="20"/>
              </w:rPr>
              <w:br w:type="textWrapping"/>
            </w:r>
            <w:r>
              <w:rPr>
                <w:rFonts w:hint="eastAsia" w:ascii="宋体" w:hAnsi="宋体" w:cs="宋体"/>
                <w:color w:val="000000"/>
                <w:kern w:val="0"/>
                <w:sz w:val="20"/>
              </w:rPr>
              <w:t>600G 2.5吋10K 12Gb SAS硬盘*6</w:t>
            </w:r>
            <w:r>
              <w:rPr>
                <w:rFonts w:hint="eastAsia" w:ascii="宋体" w:hAnsi="宋体" w:cs="宋体"/>
                <w:color w:val="000000"/>
                <w:kern w:val="0"/>
                <w:sz w:val="20"/>
              </w:rPr>
              <w:br w:type="textWrapping"/>
            </w:r>
            <w:r>
              <w:rPr>
                <w:rFonts w:hint="eastAsia" w:ascii="宋体" w:hAnsi="宋体" w:cs="宋体"/>
                <w:color w:val="000000"/>
                <w:kern w:val="0"/>
                <w:sz w:val="20"/>
              </w:rPr>
              <w:t>最大支持硬盘 8块前置硬盘（1张8口SAS/RAID卡）</w:t>
            </w:r>
            <w:r>
              <w:rPr>
                <w:rFonts w:hint="eastAsia" w:ascii="宋体" w:hAnsi="宋体" w:cs="宋体"/>
                <w:color w:val="000000"/>
                <w:kern w:val="0"/>
                <w:sz w:val="20"/>
              </w:rPr>
              <w:br w:type="textWrapping"/>
            </w:r>
            <w:r>
              <w:rPr>
                <w:rFonts w:hint="eastAsia" w:ascii="宋体" w:hAnsi="宋体" w:cs="宋体"/>
                <w:color w:val="000000"/>
                <w:kern w:val="0"/>
                <w:sz w:val="20"/>
              </w:rPr>
              <w:t>双口1G RJ45网卡</w:t>
            </w:r>
            <w:r>
              <w:rPr>
                <w:rFonts w:hint="eastAsia" w:ascii="宋体" w:hAnsi="宋体" w:cs="宋体"/>
                <w:color w:val="000000"/>
                <w:kern w:val="0"/>
                <w:sz w:val="20"/>
              </w:rPr>
              <w:br w:type="textWrapping"/>
            </w:r>
            <w:r>
              <w:rPr>
                <w:rFonts w:hint="eastAsia" w:ascii="宋体" w:hAnsi="宋体" w:cs="宋体"/>
                <w:color w:val="000000"/>
                <w:kern w:val="0"/>
                <w:sz w:val="20"/>
              </w:rPr>
              <w:t>电源模块（550W双模块，1.5m）</w:t>
            </w:r>
            <w:r>
              <w:rPr>
                <w:rFonts w:hint="eastAsia" w:ascii="宋体" w:hAnsi="宋体" w:cs="宋体"/>
                <w:color w:val="000000"/>
                <w:kern w:val="0"/>
                <w:sz w:val="20"/>
              </w:rPr>
              <w:br w:type="textWrapping"/>
            </w:r>
            <w:r>
              <w:rPr>
                <w:rFonts w:hint="eastAsia" w:ascii="宋体" w:hAnsi="宋体" w:cs="宋体"/>
                <w:color w:val="000000"/>
                <w:kern w:val="0"/>
                <w:sz w:val="20"/>
              </w:rPr>
              <w:t>滑轨</w:t>
            </w:r>
            <w:r>
              <w:rPr>
                <w:rFonts w:hint="eastAsia" w:ascii="宋体" w:hAnsi="宋体" w:cs="宋体"/>
                <w:color w:val="000000"/>
                <w:kern w:val="0"/>
                <w:sz w:val="20"/>
              </w:rPr>
              <w:br w:type="textWrapping"/>
            </w:r>
            <w:r>
              <w:rPr>
                <w:rFonts w:hint="eastAsia" w:ascii="宋体" w:hAnsi="宋体" w:cs="宋体"/>
                <w:color w:val="000000"/>
                <w:kern w:val="0"/>
                <w:sz w:val="20"/>
              </w:rPr>
              <w:t>板载双口千兆RJ45网卡</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10</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数据库热备服务器</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2U机架式</w:t>
            </w:r>
            <w:r>
              <w:rPr>
                <w:rFonts w:hint="eastAsia" w:ascii="宋体" w:hAnsi="宋体" w:cs="宋体"/>
                <w:color w:val="000000"/>
                <w:kern w:val="0"/>
                <w:sz w:val="20"/>
              </w:rPr>
              <w:br w:type="textWrapping"/>
            </w:r>
            <w:r>
              <w:rPr>
                <w:rFonts w:hint="eastAsia" w:ascii="宋体" w:hAnsi="宋体" w:cs="宋体"/>
                <w:color w:val="000000"/>
                <w:kern w:val="0"/>
                <w:sz w:val="20"/>
              </w:rPr>
              <w:t>XEON 4108*2</w:t>
            </w:r>
            <w:r>
              <w:rPr>
                <w:rFonts w:hint="eastAsia" w:ascii="宋体" w:hAnsi="宋体" w:cs="宋体"/>
                <w:color w:val="000000"/>
                <w:kern w:val="0"/>
                <w:sz w:val="20"/>
              </w:rPr>
              <w:br w:type="textWrapping"/>
            </w:r>
            <w:r>
              <w:rPr>
                <w:rFonts w:hint="eastAsia" w:ascii="宋体" w:hAnsi="宋体" w:cs="宋体"/>
                <w:color w:val="000000"/>
                <w:kern w:val="0"/>
                <w:sz w:val="20"/>
              </w:rPr>
              <w:t>DDR4 2666 32G*4</w:t>
            </w:r>
            <w:r>
              <w:rPr>
                <w:rFonts w:hint="eastAsia" w:ascii="宋体" w:hAnsi="宋体" w:cs="宋体"/>
                <w:color w:val="000000"/>
                <w:kern w:val="0"/>
                <w:sz w:val="20"/>
              </w:rPr>
              <w:br w:type="textWrapping"/>
            </w:r>
            <w:r>
              <w:rPr>
                <w:rFonts w:hint="eastAsia" w:ascii="宋体" w:hAnsi="宋体" w:cs="宋体"/>
                <w:color w:val="000000"/>
                <w:kern w:val="0"/>
                <w:sz w:val="20"/>
              </w:rPr>
              <w:t>2GB SAS 12Gb 8口RAID卡</w:t>
            </w:r>
            <w:r>
              <w:rPr>
                <w:rFonts w:hint="eastAsia" w:ascii="宋体" w:hAnsi="宋体" w:cs="宋体"/>
                <w:color w:val="000000"/>
                <w:kern w:val="0"/>
                <w:sz w:val="20"/>
              </w:rPr>
              <w:br w:type="textWrapping"/>
            </w:r>
            <w:r>
              <w:rPr>
                <w:rFonts w:hint="eastAsia" w:ascii="宋体" w:hAnsi="宋体" w:cs="宋体"/>
                <w:color w:val="000000"/>
                <w:kern w:val="0"/>
                <w:sz w:val="20"/>
              </w:rPr>
              <w:t>900G 2.5吋10K 12Gb SAS硬盘*6</w:t>
            </w:r>
            <w:r>
              <w:rPr>
                <w:rFonts w:hint="eastAsia" w:ascii="宋体" w:hAnsi="宋体" w:cs="宋体"/>
                <w:color w:val="000000"/>
                <w:kern w:val="0"/>
                <w:sz w:val="20"/>
              </w:rPr>
              <w:br w:type="textWrapping"/>
            </w:r>
            <w:r>
              <w:rPr>
                <w:rFonts w:hint="eastAsia" w:ascii="宋体" w:hAnsi="宋体" w:cs="宋体"/>
                <w:color w:val="000000"/>
                <w:kern w:val="0"/>
                <w:sz w:val="20"/>
              </w:rPr>
              <w:t>最大支持硬盘 8块前置硬盘（1张8口SAS/RAID卡）</w:t>
            </w:r>
            <w:r>
              <w:rPr>
                <w:rFonts w:hint="eastAsia" w:ascii="宋体" w:hAnsi="宋体" w:cs="宋体"/>
                <w:color w:val="000000"/>
                <w:kern w:val="0"/>
                <w:sz w:val="20"/>
              </w:rPr>
              <w:br w:type="textWrapping"/>
            </w:r>
            <w:r>
              <w:rPr>
                <w:rFonts w:hint="eastAsia" w:ascii="宋体" w:hAnsi="宋体" w:cs="宋体"/>
                <w:color w:val="000000"/>
                <w:kern w:val="0"/>
                <w:sz w:val="20"/>
              </w:rPr>
              <w:t>双口1G RJ45网卡</w:t>
            </w:r>
            <w:r>
              <w:rPr>
                <w:rFonts w:hint="eastAsia" w:ascii="宋体" w:hAnsi="宋体" w:cs="宋体"/>
                <w:color w:val="000000"/>
                <w:kern w:val="0"/>
                <w:sz w:val="20"/>
              </w:rPr>
              <w:br w:type="textWrapping"/>
            </w:r>
            <w:r>
              <w:rPr>
                <w:rFonts w:hint="eastAsia" w:ascii="宋体" w:hAnsi="宋体" w:cs="宋体"/>
                <w:color w:val="000000"/>
                <w:kern w:val="0"/>
                <w:sz w:val="20"/>
              </w:rPr>
              <w:t>电源模块（550W双模块，1.5m）</w:t>
            </w:r>
            <w:r>
              <w:rPr>
                <w:rFonts w:hint="eastAsia" w:ascii="宋体" w:hAnsi="宋体" w:cs="宋体"/>
                <w:color w:val="000000"/>
                <w:kern w:val="0"/>
                <w:sz w:val="20"/>
              </w:rPr>
              <w:br w:type="textWrapping"/>
            </w:r>
            <w:r>
              <w:rPr>
                <w:rFonts w:hint="eastAsia" w:ascii="宋体" w:hAnsi="宋体" w:cs="宋体"/>
                <w:color w:val="000000"/>
                <w:kern w:val="0"/>
                <w:sz w:val="20"/>
              </w:rPr>
              <w:t>滑轨</w:t>
            </w:r>
            <w:r>
              <w:rPr>
                <w:rFonts w:hint="eastAsia" w:ascii="宋体" w:hAnsi="宋体" w:cs="宋体"/>
                <w:color w:val="000000"/>
                <w:kern w:val="0"/>
                <w:sz w:val="20"/>
              </w:rPr>
              <w:br w:type="textWrapping"/>
            </w:r>
            <w:r>
              <w:rPr>
                <w:rFonts w:hint="eastAsia" w:ascii="宋体" w:hAnsi="宋体" w:cs="宋体"/>
                <w:color w:val="000000"/>
                <w:kern w:val="0"/>
                <w:sz w:val="20"/>
              </w:rPr>
              <w:t>板载双口千兆RJ45网卡</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台</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4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容灾备份与恢复系统</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 xml:space="preserve">1个主控管理平台／1个存储计算节点/ </w:t>
            </w:r>
            <w:r>
              <w:rPr>
                <w:rFonts w:hint="eastAsia" w:ascii="宋体" w:hAnsi="宋体" w:cs="宋体"/>
                <w:color w:val="000000"/>
                <w:kern w:val="0"/>
                <w:sz w:val="20"/>
              </w:rPr>
              <w:br w:type="textWrapping"/>
            </w:r>
            <w:r>
              <w:rPr>
                <w:rFonts w:hint="eastAsia" w:ascii="宋体" w:hAnsi="宋体" w:cs="宋体"/>
                <w:b/>
                <w:bCs/>
                <w:color w:val="000000"/>
                <w:kern w:val="0"/>
                <w:sz w:val="20"/>
              </w:rPr>
              <w:t>▲5个物理机备份授权或10个虚拟机应急备份授权</w:t>
            </w:r>
            <w:r>
              <w:rPr>
                <w:rFonts w:hint="eastAsia" w:ascii="宋体" w:hAnsi="宋体" w:cs="宋体"/>
                <w:color w:val="000000"/>
                <w:kern w:val="0"/>
                <w:sz w:val="20"/>
              </w:rPr>
              <w:br w:type="textWrapping"/>
            </w:r>
            <w:r>
              <w:rPr>
                <w:rFonts w:hint="eastAsia" w:ascii="宋体" w:hAnsi="宋体" w:cs="宋体"/>
                <w:color w:val="000000"/>
                <w:kern w:val="0"/>
                <w:sz w:val="20"/>
              </w:rPr>
              <w:t>平台最大管理主机数量无限制；</w:t>
            </w:r>
            <w:r>
              <w:rPr>
                <w:rFonts w:hint="eastAsia" w:ascii="宋体" w:hAnsi="宋体" w:cs="宋体"/>
                <w:color w:val="000000"/>
                <w:kern w:val="0"/>
                <w:sz w:val="20"/>
              </w:rPr>
              <w:br w:type="textWrapping"/>
            </w:r>
            <w:r>
              <w:rPr>
                <w:rFonts w:hint="eastAsia" w:ascii="宋体" w:hAnsi="宋体" w:cs="宋体"/>
                <w:color w:val="000000"/>
                <w:kern w:val="0"/>
                <w:sz w:val="20"/>
              </w:rPr>
              <w:t>精简复制/LAN-Free复制/快照数量256个；</w:t>
            </w:r>
            <w:r>
              <w:rPr>
                <w:rFonts w:hint="eastAsia" w:ascii="宋体" w:hAnsi="宋体" w:cs="宋体"/>
                <w:color w:val="000000"/>
                <w:kern w:val="0"/>
                <w:sz w:val="20"/>
              </w:rPr>
              <w:br w:type="textWrapping"/>
            </w:r>
            <w:r>
              <w:rPr>
                <w:rFonts w:hint="eastAsia" w:ascii="宋体" w:hAnsi="宋体" w:cs="宋体"/>
                <w:color w:val="000000"/>
                <w:kern w:val="0"/>
                <w:sz w:val="20"/>
              </w:rPr>
              <w:t>整机备份模块／整机挂载恢复模块 ／即时验证模块；</w:t>
            </w:r>
            <w:r>
              <w:rPr>
                <w:rFonts w:hint="eastAsia" w:ascii="宋体" w:hAnsi="宋体" w:cs="宋体"/>
                <w:color w:val="000000"/>
                <w:kern w:val="0"/>
                <w:sz w:val="20"/>
              </w:rPr>
              <w:br w:type="textWrapping"/>
            </w:r>
            <w:r>
              <w:rPr>
                <w:rFonts w:hint="eastAsia" w:ascii="宋体" w:hAnsi="宋体" w:cs="宋体"/>
                <w:color w:val="000000"/>
                <w:kern w:val="0"/>
                <w:sz w:val="20"/>
              </w:rPr>
              <w:t>小颗粒备份与恢复功能</w:t>
            </w:r>
            <w:r>
              <w:rPr>
                <w:rFonts w:hint="eastAsia" w:ascii="宋体" w:hAnsi="宋体" w:cs="宋体"/>
                <w:color w:val="000000"/>
                <w:kern w:val="0"/>
                <w:sz w:val="20"/>
              </w:rPr>
              <w:br w:type="textWrapping"/>
            </w:r>
            <w:r>
              <w:rPr>
                <w:rFonts w:hint="eastAsia" w:ascii="宋体" w:hAnsi="宋体" w:cs="宋体"/>
                <w:color w:val="000000"/>
                <w:kern w:val="0"/>
                <w:sz w:val="20"/>
              </w:rPr>
              <w:t>主板、机箱（冗余电源）、150G SSD系统盘、RAID卡、4个千兆网口</w:t>
            </w:r>
            <w:r>
              <w:rPr>
                <w:rFonts w:hint="eastAsia" w:ascii="宋体" w:hAnsi="宋体" w:cs="宋体"/>
                <w:color w:val="000000"/>
                <w:kern w:val="0"/>
                <w:sz w:val="20"/>
              </w:rPr>
              <w:br w:type="textWrapping"/>
            </w:r>
            <w:r>
              <w:rPr>
                <w:rFonts w:hint="eastAsia" w:ascii="宋体" w:hAnsi="宋体" w:cs="宋体"/>
                <w:color w:val="000000"/>
                <w:kern w:val="0"/>
                <w:sz w:val="20"/>
              </w:rPr>
              <w:t>2U8盘位 2路CPU硬件平台 2.5/3.5寸硬盘 内存插槽8个 最大支持512GB内存</w:t>
            </w:r>
            <w:r>
              <w:rPr>
                <w:rFonts w:hint="eastAsia" w:ascii="宋体" w:hAnsi="宋体" w:cs="宋体"/>
                <w:color w:val="000000"/>
                <w:kern w:val="0"/>
                <w:sz w:val="20"/>
              </w:rPr>
              <w:br w:type="textWrapping"/>
            </w:r>
            <w:r>
              <w:rPr>
                <w:rFonts w:hint="eastAsia" w:ascii="宋体" w:hAnsi="宋体" w:cs="宋体"/>
                <w:color w:val="000000"/>
                <w:kern w:val="0"/>
                <w:sz w:val="20"/>
              </w:rPr>
              <w:t>2路1颗六核E5-2603V4</w:t>
            </w:r>
            <w:r>
              <w:rPr>
                <w:rFonts w:hint="eastAsia" w:ascii="宋体" w:hAnsi="宋体" w:cs="宋体"/>
                <w:color w:val="000000"/>
                <w:kern w:val="0"/>
                <w:sz w:val="20"/>
              </w:rPr>
              <w:br w:type="textWrapping"/>
            </w:r>
            <w:r>
              <w:rPr>
                <w:rFonts w:hint="eastAsia" w:ascii="宋体" w:hAnsi="宋体" w:cs="宋体"/>
                <w:color w:val="000000"/>
                <w:kern w:val="0"/>
                <w:sz w:val="20"/>
              </w:rPr>
              <w:t>16GB(8G*2)</w:t>
            </w:r>
            <w:r>
              <w:rPr>
                <w:rFonts w:hint="eastAsia" w:ascii="宋体" w:hAnsi="宋体" w:cs="宋体"/>
                <w:color w:val="000000"/>
                <w:kern w:val="0"/>
                <w:sz w:val="20"/>
              </w:rPr>
              <w:br w:type="textWrapping"/>
            </w:r>
            <w:r>
              <w:rPr>
                <w:rFonts w:hint="eastAsia" w:ascii="宋体" w:hAnsi="宋体" w:cs="宋体"/>
                <w:color w:val="000000"/>
                <w:kern w:val="0"/>
                <w:sz w:val="20"/>
              </w:rPr>
              <w:t>SATA 4TB(3.5寸/7200转企业级）*5块</w:t>
            </w:r>
            <w:r>
              <w:rPr>
                <w:rFonts w:hint="eastAsia" w:ascii="宋体" w:hAnsi="宋体" w:cs="宋体"/>
                <w:color w:val="000000"/>
                <w:kern w:val="0"/>
                <w:sz w:val="20"/>
              </w:rPr>
              <w:br w:type="textWrapping"/>
            </w:r>
            <w:r>
              <w:rPr>
                <w:rFonts w:hint="eastAsia" w:ascii="宋体" w:hAnsi="宋体" w:cs="宋体"/>
                <w:b/>
                <w:bCs/>
                <w:color w:val="000000"/>
                <w:kern w:val="0"/>
                <w:sz w:val="20"/>
              </w:rPr>
              <w:t>提供软件模块《操作系统迁移软件著作权》复印件并加盖原厂公章</w:t>
            </w:r>
            <w:r>
              <w:rPr>
                <w:rFonts w:hint="eastAsia" w:ascii="宋体" w:hAnsi="宋体" w:cs="宋体"/>
                <w:b/>
                <w:bCs/>
                <w:color w:val="000000"/>
                <w:kern w:val="0"/>
                <w:sz w:val="20"/>
              </w:rPr>
              <w:br w:type="textWrapping"/>
            </w:r>
            <w:r>
              <w:rPr>
                <w:rFonts w:hint="eastAsia" w:ascii="宋体" w:hAnsi="宋体" w:cs="宋体"/>
                <w:b/>
                <w:bCs/>
                <w:color w:val="000000"/>
                <w:kern w:val="0"/>
                <w:sz w:val="20"/>
              </w:rPr>
              <w:t>提供软件模块《仿真测试软件著作权》 复印件并加盖原厂公章</w:t>
            </w:r>
          </w:p>
        </w:tc>
        <w:tc>
          <w:tcPr>
            <w:tcW w:w="618" w:type="dxa"/>
            <w:noWrap w:val="0"/>
            <w:vAlign w:val="center"/>
          </w:tcPr>
          <w:p>
            <w:pPr>
              <w:widowControl/>
              <w:jc w:val="center"/>
              <w:rPr>
                <w:rFonts w:hint="eastAsia"/>
                <w:color w:val="000000"/>
                <w:kern w:val="0"/>
                <w:szCs w:val="21"/>
              </w:rPr>
            </w:pPr>
            <w:r>
              <w:rPr>
                <w:color w:val="000000"/>
                <w:kern w:val="0"/>
                <w:szCs w:val="21"/>
              </w:rPr>
              <w:t>套</w:t>
            </w:r>
          </w:p>
        </w:tc>
        <w:tc>
          <w:tcPr>
            <w:tcW w:w="716" w:type="dxa"/>
            <w:noWrap w:val="0"/>
            <w:vAlign w:val="center"/>
          </w:tcPr>
          <w:p>
            <w:pPr>
              <w:widowControl/>
              <w:jc w:val="center"/>
              <w:rPr>
                <w:color w:val="000000"/>
                <w:kern w:val="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trPr>
        <w:tc>
          <w:tcPr>
            <w:tcW w:w="618" w:type="dxa"/>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12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光纤跳线及线缆附材</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光纤跳线、网络跳线</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952" w:type="dxa"/>
            <w:gridSpan w:val="5"/>
            <w:noWrap w:val="0"/>
            <w:vAlign w:val="center"/>
          </w:tcPr>
          <w:p>
            <w:pPr>
              <w:widowControl/>
              <w:jc w:val="left"/>
              <w:rPr>
                <w:rFonts w:hint="eastAsia" w:ascii="宋体" w:hAnsi="宋体" w:cs="宋体"/>
                <w:b/>
                <w:bCs/>
                <w:color w:val="000000"/>
                <w:kern w:val="0"/>
                <w:sz w:val="20"/>
              </w:rPr>
            </w:pPr>
            <w:r>
              <w:rPr>
                <w:rFonts w:hint="eastAsia" w:ascii="宋体" w:hAnsi="宋体" w:cs="宋体"/>
                <w:b/>
                <w:bCs/>
                <w:color w:val="000000"/>
                <w:kern w:val="0"/>
                <w:sz w:val="20"/>
              </w:rPr>
              <w:t>13.平台软件升级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信号控制功能升级</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算法特征参数设置、协调算法实时状态监控、算法模式控制、路口实时信号方案显示</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2</w:t>
            </w:r>
          </w:p>
        </w:tc>
        <w:tc>
          <w:tcPr>
            <w:tcW w:w="1098"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平台通行证管理功能</w:t>
            </w:r>
          </w:p>
        </w:tc>
        <w:tc>
          <w:tcPr>
            <w:tcW w:w="5902" w:type="dxa"/>
            <w:noWrap w:val="0"/>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限行区域管理、限行规则配置、限行白名单配置、通行证审批</w:t>
            </w:r>
          </w:p>
        </w:tc>
        <w:tc>
          <w:tcPr>
            <w:tcW w:w="618"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项</w:t>
            </w:r>
          </w:p>
        </w:tc>
        <w:tc>
          <w:tcPr>
            <w:tcW w:w="716" w:type="dxa"/>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r>
    </w:tbl>
    <w:p>
      <w:pPr>
        <w:spacing w:before="120" w:beforeLines="50" w:after="120" w:afterLines="50" w:line="360" w:lineRule="exact"/>
        <w:ind w:firstLine="420" w:firstLineChars="200"/>
        <w:rPr>
          <w:rFonts w:hint="eastAsia" w:ascii="宋体" w:hAnsi="宋体" w:cs="Arial"/>
          <w:snapToGrid w:val="0"/>
          <w:color w:val="000000"/>
          <w:szCs w:val="21"/>
        </w:rPr>
      </w:pPr>
    </w:p>
    <w:p>
      <w:pPr>
        <w:pStyle w:val="4"/>
        <w:ind w:firstLine="211" w:firstLineChars="100"/>
        <w:rPr>
          <w:rFonts w:hint="eastAsia" w:ascii="宋体" w:hAnsi="宋体" w:eastAsia="宋体" w:cs="宋体"/>
          <w:b/>
          <w:bCs/>
          <w:kern w:val="44"/>
          <w:sz w:val="21"/>
          <w:szCs w:val="21"/>
          <w:lang w:val="en-US" w:eastAsia="zh-CN" w:bidi="ar-SA"/>
        </w:rPr>
      </w:pPr>
    </w:p>
    <w:p>
      <w:pPr>
        <w:pStyle w:val="5"/>
        <w:rPr>
          <w:rFonts w:hint="eastAsia" w:ascii="宋体" w:hAnsi="宋体" w:eastAsia="宋体" w:cs="宋体"/>
          <w:b/>
          <w:bCs/>
          <w:kern w:val="44"/>
          <w:sz w:val="21"/>
          <w:szCs w:val="21"/>
          <w:lang w:val="en-US" w:eastAsia="zh-CN" w:bidi="ar-SA"/>
        </w:rPr>
      </w:pPr>
    </w:p>
    <w:p>
      <w:pPr>
        <w:pStyle w:val="6"/>
        <w:rPr>
          <w:rFonts w:hint="eastAsia" w:ascii="宋体" w:hAnsi="宋体" w:eastAsia="宋体" w:cs="宋体"/>
          <w:b/>
          <w:bCs/>
          <w:kern w:val="44"/>
          <w:sz w:val="21"/>
          <w:szCs w:val="21"/>
          <w:lang w:val="en-US" w:eastAsia="zh-CN" w:bidi="ar-SA"/>
        </w:rPr>
      </w:pPr>
    </w:p>
    <w:p>
      <w:pPr>
        <w:pStyle w:val="6"/>
        <w:rPr>
          <w:rFonts w:hint="eastAsia" w:ascii="宋体" w:hAnsi="宋体" w:eastAsia="宋体" w:cs="宋体"/>
          <w:b/>
          <w:bCs/>
          <w:kern w:val="44"/>
          <w:sz w:val="21"/>
          <w:szCs w:val="21"/>
          <w:lang w:val="en-US" w:eastAsia="zh-CN" w:bidi="ar-SA"/>
        </w:rPr>
      </w:pPr>
    </w:p>
    <w:p>
      <w:pPr>
        <w:pStyle w:val="6"/>
        <w:rPr>
          <w:rFonts w:hint="eastAsia" w:ascii="宋体" w:hAnsi="宋体" w:eastAsia="宋体" w:cs="宋体"/>
          <w:b/>
          <w:bCs/>
          <w:kern w:val="44"/>
          <w:sz w:val="21"/>
          <w:szCs w:val="21"/>
          <w:lang w:val="en-US" w:eastAsia="zh-CN" w:bidi="ar-SA"/>
        </w:rPr>
      </w:pPr>
    </w:p>
    <w:p>
      <w:pPr>
        <w:pStyle w:val="6"/>
        <w:rPr>
          <w:rFonts w:hint="eastAsia" w:ascii="宋体" w:hAnsi="宋体" w:eastAsia="宋体" w:cs="宋体"/>
          <w:b/>
          <w:bCs/>
          <w:kern w:val="44"/>
          <w:sz w:val="21"/>
          <w:szCs w:val="21"/>
          <w:lang w:val="en-US" w:eastAsia="zh-CN" w:bidi="ar-SA"/>
        </w:rPr>
      </w:pPr>
    </w:p>
    <w:p>
      <w:pPr>
        <w:pStyle w:val="5"/>
        <w:rPr>
          <w:rFonts w:hint="eastAsia" w:ascii="宋体" w:hAnsi="宋体" w:eastAsia="宋体" w:cs="宋体"/>
          <w:b/>
          <w:bCs/>
          <w:kern w:val="44"/>
          <w:sz w:val="21"/>
          <w:szCs w:val="21"/>
          <w:lang w:val="en-US" w:eastAsia="zh-CN" w:bidi="ar-SA"/>
        </w:rPr>
      </w:pPr>
    </w:p>
    <w:p>
      <w:pPr>
        <w:pStyle w:val="6"/>
        <w:rPr>
          <w:rFonts w:hint="eastAsia" w:ascii="宋体" w:hAnsi="宋体" w:eastAsia="宋体" w:cs="宋体"/>
          <w:b/>
          <w:bCs/>
          <w:kern w:val="44"/>
          <w:sz w:val="21"/>
          <w:szCs w:val="21"/>
          <w:lang w:val="en-US" w:eastAsia="zh-CN" w:bidi="ar-SA"/>
        </w:rPr>
      </w:pPr>
    </w:p>
    <w:p>
      <w:pPr>
        <w:pStyle w:val="6"/>
        <w:rPr>
          <w:rFonts w:hint="eastAsia" w:ascii="宋体" w:hAnsi="宋体" w:eastAsia="宋体" w:cs="宋体"/>
          <w:b/>
          <w:bCs/>
          <w:kern w:val="44"/>
          <w:sz w:val="21"/>
          <w:szCs w:val="21"/>
          <w:lang w:val="en-US" w:eastAsia="zh-CN" w:bidi="ar-SA"/>
        </w:rPr>
      </w:pPr>
    </w:p>
    <w:p>
      <w:pPr>
        <w:pStyle w:val="4"/>
        <w:ind w:firstLine="211" w:firstLineChars="100"/>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五.商务要求</w:t>
      </w:r>
    </w:p>
    <w:tbl>
      <w:tblPr>
        <w:tblStyle w:val="36"/>
        <w:tblW w:w="0" w:type="auto"/>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trPr>
        <w:tc>
          <w:tcPr>
            <w:tcW w:w="1172" w:type="dxa"/>
            <w:noWrap w:val="0"/>
            <w:vAlign w:val="center"/>
          </w:tcPr>
          <w:p>
            <w:pPr>
              <w:spacing w:line="400" w:lineRule="exact"/>
              <w:rPr>
                <w:rFonts w:hint="eastAsia" w:ascii="宋体" w:hAnsi="宋体" w:cs="宋体"/>
                <w:color w:val="000000"/>
                <w:kern w:val="0"/>
                <w:sz w:val="20"/>
                <w:lang w:bidi="ar"/>
              </w:rPr>
            </w:pPr>
            <w:r>
              <w:rPr>
                <w:rFonts w:hint="eastAsia" w:ascii="宋体" w:hAnsi="宋体" w:cs="宋体"/>
                <w:color w:val="000000"/>
                <w:kern w:val="0"/>
                <w:sz w:val="20"/>
                <w:lang w:bidi="ar"/>
              </w:rPr>
              <w:t>▲质保期</w:t>
            </w:r>
          </w:p>
        </w:tc>
        <w:tc>
          <w:tcPr>
            <w:tcW w:w="7158" w:type="dxa"/>
            <w:noWrap w:val="0"/>
            <w:vAlign w:val="center"/>
          </w:tcPr>
          <w:p>
            <w:pPr>
              <w:widowControl/>
              <w:ind w:left="600" w:hanging="600" w:hangingChars="300"/>
              <w:jc w:val="left"/>
              <w:rPr>
                <w:rFonts w:hint="eastAsia" w:ascii="宋体" w:hAnsi="宋体" w:cs="宋体"/>
                <w:color w:val="000000"/>
                <w:kern w:val="0"/>
                <w:sz w:val="20"/>
                <w:lang w:bidi="ar"/>
              </w:rPr>
            </w:pPr>
            <w:r>
              <w:rPr>
                <w:rFonts w:hint="eastAsia" w:ascii="宋体" w:hAnsi="宋体" w:cs="宋体"/>
                <w:color w:val="000000"/>
                <w:kern w:val="0"/>
                <w:sz w:val="20"/>
                <w:lang w:bidi="ar"/>
              </w:rPr>
              <w:t>本项目质保</w:t>
            </w:r>
            <w:r>
              <w:rPr>
                <w:rFonts w:ascii="宋体" w:hAnsi="宋体" w:cs="宋体"/>
                <w:color w:val="000000"/>
                <w:kern w:val="0"/>
                <w:sz w:val="20"/>
                <w:lang w:bidi="ar"/>
              </w:rPr>
              <w:t>3</w:t>
            </w:r>
            <w:r>
              <w:rPr>
                <w:rFonts w:hint="eastAsia" w:ascii="宋体" w:hAnsi="宋体" w:cs="宋体"/>
                <w:color w:val="000000"/>
                <w:kern w:val="0"/>
                <w:sz w:val="20"/>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72" w:type="dxa"/>
            <w:noWrap w:val="0"/>
            <w:vAlign w:val="center"/>
          </w:tcPr>
          <w:p>
            <w:pPr>
              <w:widowControl/>
              <w:autoSpaceDE w:val="0"/>
              <w:autoSpaceDN w:val="0"/>
              <w:adjustRightInd w:val="0"/>
              <w:snapToGrid w:val="0"/>
              <w:spacing w:line="400" w:lineRule="exact"/>
              <w:ind w:hanging="14"/>
              <w:textAlignment w:val="bottom"/>
              <w:rPr>
                <w:rFonts w:hint="eastAsia" w:ascii="宋体" w:hAnsi="宋体" w:cs="宋体"/>
                <w:color w:val="000000"/>
                <w:kern w:val="0"/>
                <w:sz w:val="20"/>
                <w:lang w:bidi="ar"/>
              </w:rPr>
            </w:pPr>
            <w:r>
              <w:rPr>
                <w:rFonts w:hint="eastAsia" w:ascii="宋体" w:hAnsi="宋体" w:cs="宋体"/>
                <w:color w:val="000000"/>
                <w:kern w:val="0"/>
                <w:sz w:val="20"/>
                <w:lang w:bidi="ar"/>
              </w:rPr>
              <w:t>售后服务要求</w:t>
            </w:r>
          </w:p>
        </w:tc>
        <w:tc>
          <w:tcPr>
            <w:tcW w:w="7158" w:type="dxa"/>
            <w:noWrap w:val="0"/>
            <w:vAlign w:val="top"/>
          </w:tcPr>
          <w:p>
            <w:pPr>
              <w:spacing w:line="360" w:lineRule="exact"/>
              <w:rPr>
                <w:rFonts w:hint="eastAsia" w:ascii="宋体" w:hAnsi="宋体" w:cs="宋体"/>
                <w:color w:val="000000"/>
                <w:kern w:val="0"/>
                <w:sz w:val="20"/>
                <w:lang w:bidi="ar"/>
              </w:rPr>
            </w:pPr>
            <w:r>
              <w:rPr>
                <w:rFonts w:hint="eastAsia" w:ascii="宋体" w:hAnsi="宋体" w:cs="宋体"/>
                <w:color w:val="000000"/>
                <w:kern w:val="0"/>
                <w:sz w:val="20"/>
                <w:lang w:bidi="ar"/>
              </w:rPr>
              <w:t>1、在质保期内的工作应包括对所有机组及安装系统常规检查。中标单位须自行付费负责修理和更换任何由于设备自身及安装的质量问题造成的损坏及故障。修好后，中标单位需一式两份报告给采购人，包括故障原因，解决措施，完成修理所需时间及恢复正常运行日期。</w:t>
            </w:r>
          </w:p>
          <w:p>
            <w:pPr>
              <w:spacing w:line="360" w:lineRule="exact"/>
              <w:rPr>
                <w:rFonts w:hint="eastAsia" w:ascii="宋体" w:hAnsi="宋体" w:cs="宋体"/>
                <w:color w:val="000000"/>
                <w:kern w:val="0"/>
                <w:sz w:val="20"/>
                <w:lang w:bidi="ar"/>
              </w:rPr>
            </w:pPr>
            <w:r>
              <w:rPr>
                <w:rFonts w:hint="eastAsia" w:ascii="宋体" w:hAnsi="宋体" w:cs="宋体"/>
                <w:color w:val="000000"/>
                <w:kern w:val="0"/>
                <w:sz w:val="20"/>
                <w:lang w:bidi="ar"/>
              </w:rPr>
              <w:t>2、在质量保证期满时,中标单位工程师和采购人代表将对设备及安装系统进行一次全面测试，直至运行无故障正常运行。任何故障须由中标单位自费解决并取得采购人的认可。售后服务按国家有关规定执行，并提供上门现场服务。</w:t>
            </w:r>
          </w:p>
          <w:p>
            <w:pPr>
              <w:spacing w:line="360" w:lineRule="exact"/>
              <w:jc w:val="left"/>
              <w:rPr>
                <w:rFonts w:hint="eastAsia" w:ascii="宋体" w:hAnsi="宋体" w:cs="宋体"/>
                <w:color w:val="000000"/>
                <w:kern w:val="0"/>
                <w:sz w:val="20"/>
                <w:lang w:bidi="ar"/>
              </w:rPr>
            </w:pPr>
            <w:r>
              <w:rPr>
                <w:rFonts w:hint="eastAsia" w:ascii="宋体" w:hAnsi="宋体" w:cs="宋体"/>
                <w:color w:val="000000"/>
                <w:kern w:val="0"/>
                <w:sz w:val="20"/>
                <w:lang w:bidi="ar"/>
              </w:rPr>
              <w:t>3、培训：供应商负责提供对采购人的免费培训，培训内容为设备的使用，日常维护，简单故障的排除等。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72" w:type="dxa"/>
            <w:noWrap w:val="0"/>
            <w:vAlign w:val="center"/>
          </w:tcPr>
          <w:p>
            <w:pPr>
              <w:widowControl/>
              <w:autoSpaceDE w:val="0"/>
              <w:autoSpaceDN w:val="0"/>
              <w:adjustRightInd w:val="0"/>
              <w:snapToGrid w:val="0"/>
              <w:spacing w:line="320" w:lineRule="exact"/>
              <w:ind w:hanging="14"/>
              <w:textAlignment w:val="bottom"/>
              <w:rPr>
                <w:rFonts w:hint="eastAsia" w:ascii="宋体" w:hAnsi="宋体" w:cs="宋体"/>
                <w:color w:val="000000"/>
                <w:kern w:val="0"/>
                <w:sz w:val="20"/>
                <w:lang w:bidi="ar"/>
              </w:rPr>
            </w:pPr>
            <w:r>
              <w:rPr>
                <w:rFonts w:hint="eastAsia" w:ascii="宋体" w:hAnsi="宋体" w:cs="宋体"/>
                <w:color w:val="000000"/>
                <w:kern w:val="0"/>
                <w:sz w:val="20"/>
                <w:lang w:bidi="ar"/>
              </w:rPr>
              <w:t>交货期和交货地点及完工期</w:t>
            </w:r>
          </w:p>
        </w:tc>
        <w:tc>
          <w:tcPr>
            <w:tcW w:w="7158" w:type="dxa"/>
            <w:noWrap w:val="0"/>
            <w:vAlign w:val="center"/>
          </w:tcPr>
          <w:p>
            <w:pPr>
              <w:widowControl/>
              <w:autoSpaceDE w:val="0"/>
              <w:autoSpaceDN w:val="0"/>
              <w:adjustRightInd w:val="0"/>
              <w:snapToGrid w:val="0"/>
              <w:spacing w:line="320" w:lineRule="exact"/>
              <w:ind w:hanging="14"/>
              <w:jc w:val="left"/>
              <w:textAlignment w:val="bottom"/>
              <w:rPr>
                <w:rFonts w:hint="eastAsia" w:ascii="宋体" w:hAnsi="宋体" w:cs="宋体"/>
                <w:color w:val="000000"/>
                <w:kern w:val="0"/>
                <w:sz w:val="20"/>
                <w:lang w:bidi="ar"/>
              </w:rPr>
            </w:pPr>
            <w:r>
              <w:rPr>
                <w:rFonts w:hint="eastAsia" w:ascii="宋体" w:hAnsi="宋体" w:cs="宋体"/>
                <w:color w:val="000000"/>
                <w:kern w:val="0"/>
                <w:sz w:val="20"/>
                <w:lang w:bidi="ar"/>
              </w:rPr>
              <w:t>交货地点：采购人指定地点。</w:t>
            </w:r>
          </w:p>
          <w:p>
            <w:pPr>
              <w:widowControl/>
              <w:autoSpaceDE w:val="0"/>
              <w:autoSpaceDN w:val="0"/>
              <w:adjustRightInd w:val="0"/>
              <w:snapToGrid w:val="0"/>
              <w:spacing w:line="320" w:lineRule="exact"/>
              <w:ind w:hanging="14"/>
              <w:jc w:val="left"/>
              <w:textAlignment w:val="bottom"/>
              <w:rPr>
                <w:rFonts w:hint="eastAsia" w:ascii="宋体" w:hAnsi="宋体" w:cs="宋体"/>
                <w:color w:val="000000"/>
                <w:kern w:val="0"/>
                <w:sz w:val="20"/>
                <w:lang w:bidi="ar"/>
              </w:rPr>
            </w:pPr>
            <w:r>
              <w:rPr>
                <w:rFonts w:hint="eastAsia" w:ascii="宋体" w:hAnsi="宋体" w:cs="宋体"/>
                <w:color w:val="000000"/>
                <w:kern w:val="0"/>
                <w:sz w:val="20"/>
                <w:lang w:bidi="ar"/>
              </w:rPr>
              <w:t>交货时间：合同签订后60日内完成。</w:t>
            </w:r>
          </w:p>
          <w:p>
            <w:pPr>
              <w:widowControl/>
              <w:autoSpaceDE w:val="0"/>
              <w:autoSpaceDN w:val="0"/>
              <w:adjustRightInd w:val="0"/>
              <w:snapToGrid w:val="0"/>
              <w:spacing w:line="320" w:lineRule="exact"/>
              <w:ind w:hanging="14"/>
              <w:jc w:val="left"/>
              <w:textAlignment w:val="bottom"/>
              <w:rPr>
                <w:rFonts w:hint="eastAsia" w:ascii="宋体" w:hAnsi="宋体" w:cs="宋体"/>
                <w:color w:val="000000"/>
                <w:kern w:val="0"/>
                <w:sz w:val="20"/>
                <w:lang w:bidi="ar"/>
              </w:rPr>
            </w:pPr>
            <w:r>
              <w:rPr>
                <w:rFonts w:hint="eastAsia" w:ascii="宋体" w:hAnsi="宋体" w:cs="宋体"/>
                <w:color w:val="000000"/>
                <w:kern w:val="0"/>
                <w:sz w:val="20"/>
                <w:lang w:bidi="ar"/>
              </w:rPr>
              <w:t>安装完成工期：合同签订后180日内完成验收。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1172" w:type="dxa"/>
            <w:noWrap w:val="0"/>
            <w:vAlign w:val="center"/>
          </w:tcPr>
          <w:p>
            <w:pPr>
              <w:widowControl/>
              <w:autoSpaceDE w:val="0"/>
              <w:autoSpaceDN w:val="0"/>
              <w:adjustRightInd w:val="0"/>
              <w:snapToGrid w:val="0"/>
              <w:spacing w:line="320" w:lineRule="exact"/>
              <w:ind w:hanging="14"/>
              <w:textAlignment w:val="bottom"/>
              <w:rPr>
                <w:rFonts w:hint="eastAsia" w:ascii="宋体" w:hAnsi="宋体" w:cs="宋体"/>
                <w:color w:val="000000"/>
                <w:kern w:val="0"/>
                <w:sz w:val="20"/>
                <w:lang w:bidi="ar"/>
              </w:rPr>
            </w:pPr>
            <w:r>
              <w:rPr>
                <w:rFonts w:hint="eastAsia" w:ascii="宋体" w:hAnsi="宋体" w:cs="宋体"/>
                <w:color w:val="000000"/>
                <w:kern w:val="0"/>
                <w:sz w:val="20"/>
                <w:lang w:bidi="ar"/>
              </w:rPr>
              <w:t>付款方式</w:t>
            </w:r>
          </w:p>
        </w:tc>
        <w:tc>
          <w:tcPr>
            <w:tcW w:w="7158" w:type="dxa"/>
            <w:noWrap w:val="0"/>
            <w:vAlign w:val="top"/>
          </w:tcPr>
          <w:p>
            <w:pPr>
              <w:spacing w:line="380" w:lineRule="exact"/>
              <w:contextualSpacing/>
              <w:rPr>
                <w:rFonts w:hint="eastAsia" w:ascii="宋体" w:hAnsi="宋体" w:cs="宋体"/>
                <w:color w:val="000000"/>
                <w:kern w:val="0"/>
                <w:sz w:val="20"/>
                <w:highlight w:val="yellow"/>
                <w:lang w:bidi="ar"/>
              </w:rPr>
            </w:pPr>
            <w:r>
              <w:rPr>
                <w:rFonts w:ascii="宋体" w:hAnsi="宋体" w:cs="宋体"/>
                <w:color w:val="000000"/>
                <w:kern w:val="0"/>
                <w:sz w:val="20"/>
                <w:highlight w:val="yellow"/>
                <w:lang w:bidi="ar"/>
              </w:rPr>
              <w:t>（1）</w:t>
            </w:r>
            <w:r>
              <w:rPr>
                <w:rFonts w:hint="eastAsia" w:ascii="宋体" w:hAnsi="宋体" w:cs="宋体"/>
                <w:color w:val="000000"/>
                <w:kern w:val="0"/>
                <w:sz w:val="20"/>
                <w:highlight w:val="yellow"/>
                <w:lang w:bidi="ar"/>
              </w:rPr>
              <w:t>项目中标后，货物系统设备到位后，</w:t>
            </w:r>
            <w:r>
              <w:rPr>
                <w:rFonts w:ascii="宋体" w:hAnsi="宋体" w:cs="宋体"/>
                <w:color w:val="000000"/>
                <w:kern w:val="0"/>
                <w:sz w:val="20"/>
                <w:highlight w:val="yellow"/>
                <w:lang w:bidi="ar"/>
              </w:rPr>
              <w:t>支付合同总价的</w:t>
            </w:r>
            <w:r>
              <w:rPr>
                <w:rFonts w:hint="eastAsia" w:ascii="宋体" w:hAnsi="宋体" w:cs="宋体"/>
                <w:color w:val="000000"/>
                <w:kern w:val="0"/>
                <w:sz w:val="20"/>
                <w:highlight w:val="yellow"/>
                <w:lang w:bidi="ar"/>
              </w:rPr>
              <w:t>30%；</w:t>
            </w:r>
          </w:p>
          <w:p>
            <w:pPr>
              <w:spacing w:line="380" w:lineRule="exact"/>
              <w:contextualSpacing/>
              <w:rPr>
                <w:rFonts w:ascii="宋体" w:hAnsi="宋体" w:cs="宋体"/>
                <w:color w:val="000000"/>
                <w:kern w:val="0"/>
                <w:sz w:val="20"/>
                <w:highlight w:val="yellow"/>
                <w:lang w:bidi="ar"/>
              </w:rPr>
            </w:pPr>
            <w:r>
              <w:rPr>
                <w:rFonts w:hint="eastAsia" w:ascii="宋体" w:hAnsi="宋体" w:cs="宋体"/>
                <w:color w:val="000000"/>
                <w:kern w:val="0"/>
                <w:sz w:val="20"/>
                <w:highlight w:val="yellow"/>
                <w:lang w:bidi="ar"/>
              </w:rPr>
              <w:t>（2）货物安装、调试、验收完成后</w:t>
            </w:r>
            <w:r>
              <w:rPr>
                <w:rFonts w:ascii="宋体" w:hAnsi="宋体" w:cs="宋体"/>
                <w:color w:val="000000"/>
                <w:kern w:val="0"/>
                <w:sz w:val="20"/>
                <w:highlight w:val="yellow"/>
                <w:lang w:bidi="ar"/>
              </w:rPr>
              <w:t>，支付合同总价的</w:t>
            </w:r>
            <w:r>
              <w:rPr>
                <w:rFonts w:hint="eastAsia" w:ascii="宋体" w:hAnsi="宋体" w:cs="宋体"/>
                <w:color w:val="000000"/>
                <w:kern w:val="0"/>
                <w:sz w:val="20"/>
                <w:highlight w:val="yellow"/>
                <w:lang w:bidi="ar"/>
              </w:rPr>
              <w:t>40%；</w:t>
            </w:r>
          </w:p>
          <w:p>
            <w:pPr>
              <w:spacing w:line="380" w:lineRule="exact"/>
              <w:contextualSpacing/>
              <w:rPr>
                <w:rFonts w:hint="eastAsia" w:ascii="宋体" w:hAnsi="宋体" w:cs="宋体"/>
                <w:color w:val="000000"/>
                <w:kern w:val="0"/>
                <w:sz w:val="20"/>
                <w:highlight w:val="yellow"/>
                <w:lang w:bidi="ar"/>
              </w:rPr>
            </w:pPr>
            <w:r>
              <w:rPr>
                <w:rFonts w:ascii="宋体" w:hAnsi="宋体" w:cs="宋体"/>
                <w:color w:val="000000"/>
                <w:kern w:val="0"/>
                <w:sz w:val="20"/>
                <w:highlight w:val="yellow"/>
                <w:lang w:bidi="ar"/>
              </w:rPr>
              <w:t>（</w:t>
            </w:r>
            <w:r>
              <w:rPr>
                <w:rFonts w:hint="eastAsia" w:ascii="宋体" w:hAnsi="宋体" w:cs="宋体"/>
                <w:color w:val="000000"/>
                <w:kern w:val="0"/>
                <w:sz w:val="20"/>
                <w:highlight w:val="yellow"/>
                <w:lang w:bidi="ar"/>
              </w:rPr>
              <w:t>3</w:t>
            </w:r>
            <w:r>
              <w:rPr>
                <w:rFonts w:ascii="宋体" w:hAnsi="宋体" w:cs="宋体"/>
                <w:color w:val="000000"/>
                <w:kern w:val="0"/>
                <w:sz w:val="20"/>
                <w:highlight w:val="yellow"/>
                <w:lang w:bidi="ar"/>
              </w:rPr>
              <w:t>）</w:t>
            </w:r>
            <w:r>
              <w:rPr>
                <w:rFonts w:hint="eastAsia" w:ascii="宋体" w:hAnsi="宋体" w:cs="宋体"/>
                <w:color w:val="000000"/>
                <w:kern w:val="0"/>
                <w:sz w:val="20"/>
                <w:highlight w:val="yellow"/>
                <w:lang w:bidi="ar"/>
              </w:rPr>
              <w:t>货物验收通过并正常运行六个月后支付合同总价的30%（不计息）</w:t>
            </w:r>
            <w:r>
              <w:rPr>
                <w:rFonts w:ascii="宋体" w:hAnsi="宋体" w:cs="宋体"/>
                <w:color w:val="000000"/>
                <w:kern w:val="0"/>
                <w:sz w:val="20"/>
                <w:highlight w:val="yellow"/>
                <w:lang w:bidi="ar"/>
              </w:rPr>
              <w:t>。</w:t>
            </w:r>
          </w:p>
          <w:p>
            <w:pPr>
              <w:spacing w:line="320" w:lineRule="atLeast"/>
              <w:contextualSpacing/>
              <w:rPr>
                <w:rFonts w:hint="eastAsia" w:ascii="宋体" w:hAnsi="宋体" w:cs="宋体"/>
                <w:color w:val="000000"/>
                <w:kern w:val="0"/>
                <w:sz w:val="20"/>
                <w:lang w:bidi="ar"/>
              </w:rPr>
            </w:pPr>
            <w:r>
              <w:rPr>
                <w:rFonts w:hint="eastAsia" w:ascii="宋体" w:hAnsi="宋体" w:cs="宋体"/>
                <w:color w:val="000000"/>
                <w:kern w:val="0"/>
                <w:sz w:val="20"/>
                <w:lang w:bidi="ar"/>
              </w:rPr>
              <w:t>（采购单位须收到中标人的备案资料</w:t>
            </w:r>
            <w:r>
              <w:rPr>
                <w:rFonts w:hint="eastAsia" w:ascii="宋体" w:hAnsi="宋体" w:cs="宋体"/>
                <w:color w:val="000000"/>
                <w:kern w:val="0"/>
                <w:sz w:val="20"/>
                <w:lang w:val="en-US" w:eastAsia="zh-CN" w:bidi="ar"/>
              </w:rPr>
              <w:t>1</w:t>
            </w:r>
            <w:r>
              <w:rPr>
                <w:rFonts w:hint="eastAsia" w:ascii="宋体" w:hAnsi="宋体" w:cs="宋体"/>
                <w:color w:val="000000"/>
                <w:kern w:val="0"/>
                <w:sz w:val="20"/>
                <w:lang w:bidi="ar"/>
              </w:rPr>
              <w:t>、项目验收单</w:t>
            </w:r>
            <w:r>
              <w:rPr>
                <w:rFonts w:hint="eastAsia" w:ascii="宋体" w:hAnsi="宋体" w:cs="宋体"/>
                <w:color w:val="000000"/>
                <w:kern w:val="0"/>
                <w:sz w:val="20"/>
                <w:lang w:val="en-US" w:eastAsia="zh-CN" w:bidi="ar"/>
              </w:rPr>
              <w:t>2</w:t>
            </w:r>
            <w:r>
              <w:rPr>
                <w:rFonts w:hint="eastAsia" w:ascii="宋体" w:hAnsi="宋体" w:cs="宋体"/>
                <w:color w:val="000000"/>
                <w:kern w:val="0"/>
                <w:sz w:val="20"/>
                <w:lang w:bidi="ar"/>
              </w:rPr>
              <w:t>、发票 才可进行付款）。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7" w:hRule="atLeast"/>
        </w:trPr>
        <w:tc>
          <w:tcPr>
            <w:tcW w:w="1172" w:type="dxa"/>
            <w:noWrap w:val="0"/>
            <w:vAlign w:val="center"/>
          </w:tcPr>
          <w:p>
            <w:pPr>
              <w:widowControl/>
              <w:autoSpaceDE w:val="0"/>
              <w:autoSpaceDN w:val="0"/>
              <w:adjustRightInd w:val="0"/>
              <w:snapToGrid w:val="0"/>
              <w:spacing w:line="320" w:lineRule="exact"/>
              <w:ind w:hanging="14"/>
              <w:jc w:val="center"/>
              <w:textAlignment w:val="bottom"/>
              <w:rPr>
                <w:rFonts w:hint="eastAsia" w:ascii="宋体" w:hAnsi="宋体" w:cs="宋体"/>
                <w:color w:val="000000"/>
                <w:kern w:val="0"/>
                <w:sz w:val="20"/>
                <w:lang w:bidi="ar"/>
              </w:rPr>
            </w:pPr>
            <w:r>
              <w:rPr>
                <w:rFonts w:hint="eastAsia" w:ascii="宋体" w:hAnsi="宋体" w:cs="宋体"/>
                <w:color w:val="000000"/>
                <w:kern w:val="0"/>
                <w:sz w:val="20"/>
                <w:lang w:bidi="ar"/>
              </w:rPr>
              <w:t>▲投标报价及费用</w:t>
            </w:r>
          </w:p>
        </w:tc>
        <w:tc>
          <w:tcPr>
            <w:tcW w:w="7158" w:type="dxa"/>
            <w:noWrap w:val="0"/>
            <w:vAlign w:val="top"/>
          </w:tcPr>
          <w:p>
            <w:pPr>
              <w:widowControl/>
              <w:snapToGrid w:val="0"/>
              <w:spacing w:line="320" w:lineRule="exact"/>
              <w:ind w:left="-29" w:leftChars="-14"/>
              <w:jc w:val="left"/>
              <w:rPr>
                <w:rFonts w:hint="eastAsia" w:ascii="宋体" w:hAnsi="宋体" w:cs="宋体"/>
                <w:color w:val="000000"/>
                <w:kern w:val="0"/>
                <w:sz w:val="20"/>
                <w:lang w:bidi="ar"/>
              </w:rPr>
            </w:pPr>
            <w:r>
              <w:rPr>
                <w:rFonts w:hint="eastAsia" w:ascii="宋体" w:hAnsi="宋体" w:cs="宋体"/>
                <w:color w:val="000000"/>
                <w:kern w:val="0"/>
                <w:sz w:val="20"/>
                <w:lang w:bidi="ar"/>
              </w:rPr>
              <w:t>1、本项目由成交供应商自行供货并负责安装、调试、协助验收并承担质保期内的维修费用。安装用的所有材料费、安装调试费及质保期内的维修费应全部包含在综合单价中。</w:t>
            </w:r>
          </w:p>
        </w:tc>
      </w:tr>
    </w:tbl>
    <w:p>
      <w:pPr>
        <w:spacing w:line="200" w:lineRule="atLeast"/>
        <w:rPr>
          <w:rFonts w:hint="eastAsia" w:ascii="宋体" w:hAnsi="宋体"/>
          <w:b/>
          <w:szCs w:val="21"/>
        </w:rPr>
      </w:pPr>
    </w:p>
    <w:bookmarkEnd w:id="4"/>
    <w:p>
      <w:pPr>
        <w:pStyle w:val="33"/>
        <w:spacing w:line="480" w:lineRule="auto"/>
      </w:pPr>
      <w:bookmarkStart w:id="12" w:name="_Toc452125560"/>
      <w:r>
        <w:rPr>
          <w:rFonts w:hint="eastAsia"/>
        </w:rPr>
        <w:br w:type="page"/>
      </w:r>
      <w:r>
        <w:rPr>
          <w:rFonts w:hint="eastAsia"/>
        </w:rPr>
        <w:t>第四章</w:t>
      </w:r>
      <w:r>
        <w:t xml:space="preserve">   </w:t>
      </w:r>
      <w:r>
        <w:rPr>
          <w:rFonts w:hint="eastAsia"/>
        </w:rPr>
        <w:t>评分办法及评分标准</w:t>
      </w:r>
      <w:bookmarkEnd w:id="12"/>
    </w:p>
    <w:p>
      <w:pPr>
        <w:spacing w:before="120" w:beforeLines="50" w:after="120" w:afterLines="50"/>
        <w:rPr>
          <w:rFonts w:ascii="宋体" w:hAnsi="宋体" w:cs="Arial"/>
          <w:snapToGrid w:val="0"/>
          <w:color w:val="000000"/>
          <w:szCs w:val="21"/>
        </w:rPr>
      </w:pPr>
      <w:bookmarkStart w:id="13" w:name="_Toc452125561"/>
      <w:r>
        <w:rPr>
          <w:rFonts w:hint="eastAsia" w:ascii="宋体" w:hAnsi="宋体" w:cs="Arial"/>
          <w:snapToGrid w:val="0"/>
          <w:color w:val="000000"/>
          <w:szCs w:val="21"/>
        </w:rPr>
        <w:t>根据《中华人民共和国政府采购法》等有关法律法规，结合本项目的实际需求，制定本办法。</w:t>
      </w:r>
    </w:p>
    <w:p>
      <w:pPr>
        <w:spacing w:before="120" w:beforeLines="50" w:after="120" w:afterLines="50"/>
        <w:rPr>
          <w:rFonts w:ascii="宋体" w:hAnsi="宋体" w:cs="Arial"/>
          <w:b/>
          <w:snapToGrid w:val="0"/>
          <w:color w:val="000000"/>
          <w:szCs w:val="21"/>
        </w:rPr>
      </w:pPr>
      <w:r>
        <w:rPr>
          <w:rFonts w:hint="eastAsia" w:ascii="宋体" w:hAnsi="宋体" w:cs="Arial"/>
          <w:b/>
          <w:snapToGrid w:val="0"/>
          <w:color w:val="000000"/>
          <w:szCs w:val="21"/>
        </w:rPr>
        <w:t>一、总则</w:t>
      </w:r>
    </w:p>
    <w:p>
      <w:pPr>
        <w:spacing w:before="120" w:beforeLines="50" w:after="120" w:afterLines="50" w:line="36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本次评标采用综合评分法，总分为100分。合格投标人的评标得分为各项目汇总得分，中标候选人顺序按评标得分由高到低顺序排列，得分相同的，按投标报价由低到高顺序排列；得分且投标报价相同的，按技术得分由高到低顺序排列。评分过程中计分方式采用四舍五入法，并保留小数2位。</w:t>
      </w:r>
    </w:p>
    <w:p>
      <w:pPr>
        <w:spacing w:before="120" w:beforeLines="50" w:after="120" w:afterLines="50"/>
        <w:rPr>
          <w:rFonts w:ascii="宋体" w:hAnsi="宋体" w:cs="Arial"/>
          <w:b/>
          <w:snapToGrid w:val="0"/>
          <w:color w:val="000000"/>
          <w:szCs w:val="21"/>
        </w:rPr>
      </w:pPr>
      <w:r>
        <w:rPr>
          <w:rFonts w:hint="eastAsia" w:ascii="宋体" w:hAnsi="宋体" w:cs="Arial"/>
          <w:b/>
          <w:snapToGrid w:val="0"/>
          <w:color w:val="000000"/>
          <w:szCs w:val="21"/>
        </w:rPr>
        <w:t>二、分值的计算</w:t>
      </w:r>
    </w:p>
    <w:p>
      <w:pPr>
        <w:spacing w:before="120" w:beforeLines="50" w:after="120" w:afterLines="50"/>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技术、资信、商务及其他分按照评标委员会成员的独立评分结果汇总后的算术平均分计算，计算公式为：</w:t>
      </w:r>
    </w:p>
    <w:p>
      <w:pPr>
        <w:spacing w:before="120" w:beforeLines="50" w:after="120" w:afterLines="50"/>
        <w:ind w:firstLine="426"/>
        <w:rPr>
          <w:rFonts w:ascii="宋体" w:hAnsi="宋体" w:cs="Arial"/>
          <w:snapToGrid w:val="0"/>
          <w:color w:val="000000"/>
          <w:szCs w:val="21"/>
        </w:rPr>
      </w:pPr>
      <w:r>
        <w:rPr>
          <w:rFonts w:hint="eastAsia" w:ascii="宋体" w:hAnsi="宋体" w:cs="Arial"/>
          <w:snapToGrid w:val="0"/>
          <w:color w:val="000000"/>
          <w:szCs w:val="21"/>
        </w:rPr>
        <w:t>技术、资信商务及其他分=评标委员会所有成员评分合计数/评标委员会组成人员数</w:t>
      </w:r>
    </w:p>
    <w:p>
      <w:pPr>
        <w:spacing w:before="120" w:beforeLines="50" w:after="120" w:afterLines="50"/>
        <w:ind w:firstLine="424" w:firstLineChars="202"/>
        <w:rPr>
          <w:rFonts w:ascii="宋体" w:hAnsi="宋体" w:cs="Arial"/>
          <w:snapToGrid w:val="0"/>
          <w:color w:val="000000"/>
          <w:szCs w:val="21"/>
        </w:rPr>
      </w:pPr>
      <w:r>
        <w:rPr>
          <w:rFonts w:hint="eastAsia" w:ascii="宋体" w:hAnsi="宋体" w:cs="Arial"/>
          <w:snapToGrid w:val="0"/>
          <w:color w:val="000000"/>
          <w:szCs w:val="21"/>
        </w:rPr>
        <w:t>投标人评标综合得分=价格分+(技术分+资信商务)</w:t>
      </w:r>
    </w:p>
    <w:p>
      <w:pPr>
        <w:spacing w:before="120" w:beforeLines="50" w:after="120" w:afterLines="50"/>
        <w:rPr>
          <w:rFonts w:ascii="宋体" w:hAnsi="宋体" w:cs="Arial"/>
          <w:b/>
          <w:snapToGrid w:val="0"/>
          <w:szCs w:val="21"/>
        </w:rPr>
      </w:pPr>
      <w:r>
        <w:rPr>
          <w:rFonts w:hint="eastAsia" w:ascii="宋体" w:hAnsi="宋体" w:cs="Arial"/>
          <w:b/>
          <w:snapToGrid w:val="0"/>
          <w:color w:val="000000"/>
          <w:szCs w:val="21"/>
        </w:rPr>
        <w:t>（一）投标报</w:t>
      </w:r>
      <w:r>
        <w:rPr>
          <w:rFonts w:hint="eastAsia" w:ascii="宋体" w:hAnsi="宋体" w:cs="Arial"/>
          <w:b/>
          <w:snapToGrid w:val="0"/>
          <w:szCs w:val="21"/>
        </w:rPr>
        <w:t>价（30分）</w:t>
      </w:r>
    </w:p>
    <w:p>
      <w:pPr>
        <w:spacing w:before="120" w:beforeLines="50" w:after="120" w:afterLines="50"/>
        <w:ind w:firstLine="315" w:firstLineChars="150"/>
        <w:rPr>
          <w:rFonts w:hint="eastAsia" w:ascii="宋体" w:hAnsi="宋体" w:cs="Arial"/>
          <w:snapToGrid w:val="0"/>
          <w:szCs w:val="21"/>
        </w:rPr>
      </w:pPr>
      <w:r>
        <w:rPr>
          <w:rFonts w:hint="eastAsia" w:ascii="宋体" w:hAnsi="宋体" w:cs="Arial"/>
          <w:snapToGrid w:val="0"/>
          <w:szCs w:val="21"/>
        </w:rPr>
        <w:t>有效投标报价的最低价作为评标基准价，其最低报价为满分；</w:t>
      </w:r>
    </w:p>
    <w:p>
      <w:pPr>
        <w:spacing w:before="120" w:beforeLines="50" w:after="120" w:afterLines="50"/>
        <w:ind w:firstLine="315" w:firstLineChars="150"/>
        <w:rPr>
          <w:rFonts w:hint="eastAsia" w:ascii="宋体" w:hAnsi="宋体" w:cs="Arial"/>
          <w:snapToGrid w:val="0"/>
          <w:szCs w:val="21"/>
        </w:rPr>
      </w:pPr>
      <w:r>
        <w:rPr>
          <w:rFonts w:hint="eastAsia" w:ascii="宋体" w:hAnsi="宋体" w:cs="Arial"/>
          <w:snapToGrid w:val="0"/>
          <w:szCs w:val="21"/>
        </w:rPr>
        <w:t>按照［投标报价得分=（评标基准价/投标报价）*价格权值*100］的计算公式计算；</w:t>
      </w:r>
    </w:p>
    <w:p>
      <w:pPr>
        <w:spacing w:before="120" w:beforeLines="50" w:after="120" w:afterLines="50"/>
        <w:rPr>
          <w:rFonts w:hint="eastAsia" w:ascii="宋体" w:hAnsi="宋体" w:cs="Arial"/>
          <w:b/>
          <w:snapToGrid w:val="0"/>
          <w:szCs w:val="21"/>
        </w:rPr>
      </w:pPr>
      <w:r>
        <w:rPr>
          <w:rFonts w:hint="eastAsia" w:ascii="宋体" w:hAnsi="宋体" w:cs="Arial"/>
          <w:b/>
          <w:snapToGrid w:val="0"/>
          <w:szCs w:val="21"/>
        </w:rPr>
        <w:t>（二）技术、商务、资信及其他分（70分）</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900"/>
        <w:gridCol w:w="1483"/>
        <w:gridCol w:w="450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序号</w:t>
            </w:r>
          </w:p>
        </w:tc>
        <w:tc>
          <w:tcPr>
            <w:tcW w:w="900"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类别</w:t>
            </w:r>
          </w:p>
        </w:tc>
        <w:tc>
          <w:tcPr>
            <w:tcW w:w="1483"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评分项</w:t>
            </w:r>
          </w:p>
        </w:tc>
        <w:tc>
          <w:tcPr>
            <w:tcW w:w="4505"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评分细则</w:t>
            </w:r>
          </w:p>
        </w:tc>
        <w:tc>
          <w:tcPr>
            <w:tcW w:w="1322"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00" w:hRule="atLeast"/>
        </w:trPr>
        <w:tc>
          <w:tcPr>
            <w:tcW w:w="850" w:type="dxa"/>
            <w:vMerge w:val="restart"/>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1</w:t>
            </w:r>
          </w:p>
        </w:tc>
        <w:tc>
          <w:tcPr>
            <w:tcW w:w="900" w:type="dxa"/>
            <w:vMerge w:val="restart"/>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技术分</w:t>
            </w:r>
            <w:r>
              <w:rPr>
                <w:rFonts w:hint="eastAsia" w:ascii="宋体" w:hAnsi="宋体" w:cs="Arial"/>
                <w:snapToGrid w:val="0"/>
                <w:kern w:val="0"/>
                <w:szCs w:val="21"/>
                <w:highlight w:val="none"/>
                <w:lang w:val="en-US" w:eastAsia="zh-CN"/>
              </w:rPr>
              <w:t>41</w:t>
            </w:r>
            <w:r>
              <w:rPr>
                <w:rFonts w:hint="eastAsia" w:ascii="宋体" w:hAnsi="宋体" w:cs="Arial"/>
                <w:snapToGrid w:val="0"/>
                <w:kern w:val="0"/>
                <w:szCs w:val="21"/>
              </w:rPr>
              <w:t>分</w:t>
            </w:r>
          </w:p>
        </w:tc>
        <w:tc>
          <w:tcPr>
            <w:tcW w:w="1483"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满足招标设备的所有参数</w:t>
            </w:r>
            <w:r>
              <w:rPr>
                <w:rFonts w:hint="eastAsia" w:ascii="宋体" w:hAnsi="宋体" w:cs="Arial"/>
                <w:snapToGrid w:val="0"/>
                <w:kern w:val="0"/>
                <w:szCs w:val="21"/>
                <w:highlight w:val="none"/>
                <w:lang w:val="en-US" w:eastAsia="zh-CN"/>
              </w:rPr>
              <w:t>21</w:t>
            </w:r>
            <w:r>
              <w:rPr>
                <w:rFonts w:hint="eastAsia" w:ascii="宋体" w:hAnsi="宋体" w:cs="Arial"/>
                <w:snapToGrid w:val="0"/>
                <w:kern w:val="0"/>
                <w:szCs w:val="21"/>
              </w:rPr>
              <w:t>分</w:t>
            </w:r>
          </w:p>
        </w:tc>
        <w:tc>
          <w:tcPr>
            <w:tcW w:w="4505" w:type="dxa"/>
            <w:noWrap w:val="0"/>
            <w:vAlign w:val="center"/>
          </w:tcPr>
          <w:p>
            <w:pPr>
              <w:spacing w:line="380" w:lineRule="exact"/>
              <w:rPr>
                <w:rFonts w:hint="eastAsia" w:ascii="宋体" w:hAnsi="宋体" w:cs="Arial"/>
                <w:snapToGrid w:val="0"/>
                <w:kern w:val="0"/>
                <w:szCs w:val="21"/>
              </w:rPr>
            </w:pPr>
            <w:r>
              <w:rPr>
                <w:rFonts w:hint="eastAsia" w:ascii="宋体" w:hAnsi="宋体" w:cs="Arial"/>
                <w:snapToGrid w:val="0"/>
                <w:kern w:val="0"/>
                <w:szCs w:val="21"/>
              </w:rPr>
              <w:t>满足招标货物的所有性能及技术指标要求得</w:t>
            </w:r>
            <w:r>
              <w:rPr>
                <w:rFonts w:hint="eastAsia" w:ascii="宋体" w:hAnsi="宋体" w:cs="Arial"/>
                <w:snapToGrid w:val="0"/>
                <w:kern w:val="0"/>
                <w:szCs w:val="21"/>
                <w:lang w:val="en-US" w:eastAsia="zh-CN"/>
              </w:rPr>
              <w:t>21</w:t>
            </w:r>
            <w:r>
              <w:rPr>
                <w:rFonts w:hint="eastAsia" w:ascii="宋体" w:hAnsi="宋体" w:cs="Arial"/>
                <w:snapToGrid w:val="0"/>
                <w:kern w:val="0"/>
                <w:szCs w:val="21"/>
              </w:rPr>
              <w:t>分，允许偏离的指标低于招标需求（非实质性偏离，“招标需求”中未标注“▲”的条款）的，经由专家组评议后认定为有效负偏离的，每一项减1-2分，扣完为止。</w:t>
            </w:r>
          </w:p>
        </w:tc>
        <w:tc>
          <w:tcPr>
            <w:tcW w:w="1322" w:type="dxa"/>
            <w:noWrap w:val="0"/>
            <w:vAlign w:val="center"/>
          </w:tcPr>
          <w:p>
            <w:pPr>
              <w:spacing w:line="320" w:lineRule="exact"/>
              <w:ind w:firstLine="315" w:firstLineChars="150"/>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trPr>
        <w:tc>
          <w:tcPr>
            <w:tcW w:w="850" w:type="dxa"/>
            <w:vMerge w:val="continue"/>
            <w:noWrap w:val="0"/>
            <w:vAlign w:val="center"/>
          </w:tcPr>
          <w:p>
            <w:pPr>
              <w:spacing w:line="320" w:lineRule="exact"/>
              <w:jc w:val="center"/>
              <w:rPr>
                <w:rFonts w:hint="eastAsia" w:ascii="宋体" w:hAnsi="宋体" w:cs="Arial"/>
                <w:snapToGrid w:val="0"/>
                <w:kern w:val="0"/>
                <w:szCs w:val="21"/>
              </w:rPr>
            </w:pPr>
          </w:p>
        </w:tc>
        <w:tc>
          <w:tcPr>
            <w:tcW w:w="900" w:type="dxa"/>
            <w:vMerge w:val="continue"/>
            <w:noWrap w:val="0"/>
            <w:vAlign w:val="center"/>
          </w:tcPr>
          <w:p>
            <w:pPr>
              <w:spacing w:line="320" w:lineRule="exact"/>
              <w:jc w:val="center"/>
              <w:rPr>
                <w:rFonts w:hint="eastAsia" w:ascii="宋体" w:hAnsi="宋体" w:cs="Arial"/>
                <w:snapToGrid w:val="0"/>
                <w:kern w:val="0"/>
                <w:szCs w:val="21"/>
              </w:rPr>
            </w:pPr>
          </w:p>
        </w:tc>
        <w:tc>
          <w:tcPr>
            <w:tcW w:w="1483" w:type="dxa"/>
            <w:noWrap w:val="0"/>
            <w:vAlign w:val="center"/>
          </w:tcPr>
          <w:p>
            <w:pPr>
              <w:spacing w:line="320" w:lineRule="exact"/>
              <w:jc w:val="center"/>
              <w:rPr>
                <w:rFonts w:hint="eastAsia" w:ascii="宋体" w:hAnsi="宋体" w:cs="Arial"/>
                <w:snapToGrid w:val="0"/>
                <w:kern w:val="0"/>
                <w:szCs w:val="21"/>
                <w:lang w:eastAsia="zh-CN"/>
              </w:rPr>
            </w:pPr>
            <w:r>
              <w:rPr>
                <w:rFonts w:hint="eastAsia" w:ascii="宋体" w:hAnsi="宋体" w:cs="Arial"/>
                <w:snapToGrid w:val="0"/>
                <w:kern w:val="0"/>
                <w:szCs w:val="21"/>
                <w:lang w:eastAsia="zh-CN"/>
              </w:rPr>
              <w:t>投标产品奖项</w:t>
            </w:r>
          </w:p>
          <w:p>
            <w:pPr>
              <w:spacing w:line="320" w:lineRule="exact"/>
              <w:jc w:val="center"/>
              <w:rPr>
                <w:rFonts w:hint="default" w:ascii="宋体" w:hAnsi="宋体" w:cs="Arial"/>
                <w:snapToGrid w:val="0"/>
                <w:kern w:val="0"/>
                <w:szCs w:val="21"/>
                <w:lang w:val="en-US" w:eastAsia="zh-CN"/>
              </w:rPr>
            </w:pPr>
            <w:r>
              <w:rPr>
                <w:rFonts w:hint="eastAsia" w:ascii="宋体" w:hAnsi="宋体" w:cs="Arial"/>
                <w:snapToGrid w:val="0"/>
                <w:kern w:val="0"/>
                <w:szCs w:val="21"/>
                <w:lang w:val="en-US" w:eastAsia="zh-CN"/>
              </w:rPr>
              <w:t>5分</w:t>
            </w:r>
          </w:p>
        </w:tc>
        <w:tc>
          <w:tcPr>
            <w:tcW w:w="4505" w:type="dxa"/>
            <w:noWrap w:val="0"/>
            <w:vAlign w:val="center"/>
          </w:tcPr>
          <w:p>
            <w:pPr>
              <w:spacing w:line="320" w:lineRule="exact"/>
              <w:rPr>
                <w:rFonts w:hint="eastAsia" w:ascii="宋体" w:hAnsi="宋体" w:cs="Arial"/>
                <w:snapToGrid w:val="0"/>
                <w:kern w:val="0"/>
                <w:szCs w:val="21"/>
                <w:lang w:val="en-US" w:eastAsia="zh-CN"/>
              </w:rPr>
            </w:pPr>
            <w:r>
              <w:rPr>
                <w:rFonts w:hint="eastAsia" w:ascii="宋体" w:hAnsi="宋体" w:cs="Arial"/>
                <w:snapToGrid w:val="0"/>
                <w:kern w:val="0"/>
                <w:szCs w:val="21"/>
                <w:lang w:val="en-US" w:eastAsia="zh-CN"/>
              </w:rPr>
              <w:t>1.</w:t>
            </w:r>
            <w:r>
              <w:rPr>
                <w:rFonts w:hint="eastAsia" w:ascii="宋体" w:hAnsi="宋体" w:cs="Arial"/>
                <w:snapToGrid w:val="0"/>
                <w:kern w:val="0"/>
                <w:szCs w:val="21"/>
                <w:lang w:eastAsia="zh-CN"/>
              </w:rPr>
              <w:t>投标产品显示核心技术获得过省级或以上人民政府科学技术一等奖或以上奖项的，得</w:t>
            </w:r>
            <w:r>
              <w:rPr>
                <w:rFonts w:hint="eastAsia" w:ascii="宋体" w:hAnsi="宋体" w:cs="Arial"/>
                <w:snapToGrid w:val="0"/>
                <w:kern w:val="0"/>
                <w:szCs w:val="21"/>
                <w:lang w:val="en-US" w:eastAsia="zh-CN"/>
              </w:rPr>
              <w:t>2分，二等奖的得1分（提供复印件加盖原厂公章）；</w:t>
            </w:r>
          </w:p>
          <w:p>
            <w:pPr>
              <w:spacing w:line="320" w:lineRule="exact"/>
              <w:rPr>
                <w:rFonts w:hint="default" w:ascii="宋体" w:hAnsi="宋体" w:cs="Arial"/>
                <w:snapToGrid w:val="0"/>
                <w:kern w:val="0"/>
                <w:szCs w:val="21"/>
                <w:lang w:val="en-US" w:eastAsia="zh-CN"/>
              </w:rPr>
            </w:pPr>
            <w:r>
              <w:rPr>
                <w:rFonts w:hint="eastAsia" w:ascii="宋体" w:hAnsi="宋体" w:cs="Arial"/>
                <w:snapToGrid w:val="0"/>
                <w:kern w:val="0"/>
                <w:szCs w:val="21"/>
                <w:lang w:val="en-US" w:eastAsia="zh-CN"/>
              </w:rPr>
              <w:t>2.投标产品厂商获得过省部级或以上政府质量金奖的得1分，银奖的得0.5分；省部级及以下的得0.5分；</w:t>
            </w:r>
          </w:p>
          <w:p>
            <w:pPr>
              <w:spacing w:line="320" w:lineRule="exact"/>
              <w:rPr>
                <w:rFonts w:hint="eastAsia" w:ascii="宋体" w:hAnsi="宋体" w:cs="Arial"/>
                <w:snapToGrid w:val="0"/>
                <w:kern w:val="0"/>
                <w:szCs w:val="21"/>
                <w:lang w:val="en-US" w:eastAsia="zh-CN"/>
              </w:rPr>
            </w:pPr>
            <w:r>
              <w:rPr>
                <w:rFonts w:hint="eastAsia" w:ascii="宋体" w:hAnsi="宋体" w:cs="Arial"/>
                <w:snapToGrid w:val="0"/>
                <w:kern w:val="0"/>
                <w:szCs w:val="21"/>
                <w:lang w:val="en-US" w:eastAsia="zh-CN"/>
              </w:rPr>
              <w:t xml:space="preserve">3.投标产品生产厂商获得过科技部国家火炬计划项目证书的，得1分 ； </w:t>
            </w:r>
          </w:p>
          <w:p>
            <w:pPr>
              <w:spacing w:line="320" w:lineRule="exact"/>
              <w:rPr>
                <w:rFonts w:hint="default"/>
                <w:lang w:val="en-US" w:eastAsia="zh-CN"/>
              </w:rPr>
            </w:pPr>
            <w:r>
              <w:rPr>
                <w:rFonts w:hint="eastAsia" w:ascii="宋体" w:hAnsi="宋体" w:cs="Arial"/>
                <w:snapToGrid w:val="0"/>
                <w:kern w:val="0"/>
                <w:szCs w:val="21"/>
                <w:lang w:val="en-US" w:eastAsia="zh-CN"/>
              </w:rPr>
              <w:t xml:space="preserve">4.投标产品生产厂商获得过国家知识产权局颁发的中国专利优秀奖证书的，得1分 </w:t>
            </w:r>
            <w:r>
              <w:rPr>
                <w:rFonts w:hint="eastAsia"/>
                <w:lang w:val="en-US" w:eastAsia="zh-CN"/>
              </w:rPr>
              <w:t xml:space="preserve">                                                                                                                                               </w:t>
            </w:r>
          </w:p>
        </w:tc>
        <w:tc>
          <w:tcPr>
            <w:tcW w:w="1322" w:type="dxa"/>
            <w:noWrap w:val="0"/>
            <w:vAlign w:val="center"/>
          </w:tcPr>
          <w:p>
            <w:pPr>
              <w:spacing w:line="320" w:lineRule="exact"/>
              <w:ind w:firstLine="315" w:firstLineChars="150"/>
              <w:rPr>
                <w:rFonts w:hint="eastAsia" w:ascii="宋体" w:hAnsi="宋体" w:eastAsia="宋体" w:cs="Arial"/>
                <w:snapToGrid w:val="0"/>
                <w:kern w:val="0"/>
                <w:szCs w:val="21"/>
                <w:lang w:eastAsia="zh-CN"/>
              </w:rPr>
            </w:pPr>
            <w:r>
              <w:rPr>
                <w:rFonts w:hint="eastAsia" w:ascii="宋体" w:hAnsi="宋体" w:cs="Arial"/>
                <w:snapToGrid w:val="0"/>
                <w:kern w:val="0"/>
                <w:szCs w:val="21"/>
                <w:lang w:eastAsia="zh-CN"/>
              </w:rPr>
              <w:t>提供相关奖项证明材料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noWrap w:val="0"/>
            <w:vAlign w:val="center"/>
          </w:tcPr>
          <w:p>
            <w:pPr>
              <w:spacing w:line="320" w:lineRule="exact"/>
              <w:jc w:val="center"/>
              <w:rPr>
                <w:rFonts w:hint="eastAsia" w:ascii="宋体" w:hAnsi="宋体" w:eastAsia="宋体" w:cs="Arial"/>
                <w:snapToGrid w:val="0"/>
                <w:kern w:val="0"/>
                <w:szCs w:val="21"/>
                <w:lang w:eastAsia="zh-CN"/>
              </w:rPr>
            </w:pPr>
            <w:r>
              <w:rPr>
                <w:rFonts w:hint="eastAsia" w:ascii="宋体" w:hAnsi="宋体" w:cs="Arial"/>
                <w:snapToGrid w:val="0"/>
                <w:kern w:val="0"/>
                <w:szCs w:val="21"/>
                <w:lang w:val="en-US" w:eastAsia="zh-CN"/>
              </w:rPr>
              <w:t>2</w:t>
            </w:r>
          </w:p>
        </w:tc>
        <w:tc>
          <w:tcPr>
            <w:tcW w:w="900" w:type="dxa"/>
            <w:vMerge w:val="continue"/>
            <w:noWrap w:val="0"/>
            <w:vAlign w:val="center"/>
          </w:tcPr>
          <w:p>
            <w:pPr>
              <w:spacing w:line="320" w:lineRule="exact"/>
              <w:ind w:firstLine="315" w:firstLineChars="150"/>
              <w:rPr>
                <w:rFonts w:hint="eastAsia" w:ascii="宋体" w:hAnsi="宋体" w:cs="Arial"/>
                <w:snapToGrid w:val="0"/>
                <w:kern w:val="0"/>
                <w:szCs w:val="21"/>
              </w:rPr>
            </w:pPr>
          </w:p>
        </w:tc>
        <w:tc>
          <w:tcPr>
            <w:tcW w:w="1483"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安装、调试验收的方案5分</w:t>
            </w:r>
          </w:p>
        </w:tc>
        <w:tc>
          <w:tcPr>
            <w:tcW w:w="4505"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方案和措施及人员科学有效的得5分；方案和措施及人员一般的，3分；方案和措施及人员存在明显缺陷的1分；无方案无措施本项不得分。</w:t>
            </w:r>
          </w:p>
        </w:tc>
        <w:tc>
          <w:tcPr>
            <w:tcW w:w="1322" w:type="dxa"/>
            <w:noWrap w:val="0"/>
            <w:vAlign w:val="center"/>
          </w:tcPr>
          <w:p>
            <w:pPr>
              <w:spacing w:line="320" w:lineRule="exact"/>
              <w:ind w:firstLine="315" w:firstLineChars="150"/>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noWrap w:val="0"/>
            <w:vAlign w:val="center"/>
          </w:tcPr>
          <w:p>
            <w:pPr>
              <w:spacing w:line="320" w:lineRule="exact"/>
              <w:jc w:val="center"/>
              <w:rPr>
                <w:rFonts w:hint="eastAsia" w:ascii="宋体" w:hAnsi="宋体" w:eastAsia="宋体" w:cs="Arial"/>
                <w:snapToGrid w:val="0"/>
                <w:kern w:val="0"/>
                <w:szCs w:val="21"/>
                <w:lang w:eastAsia="zh-CN"/>
              </w:rPr>
            </w:pPr>
            <w:r>
              <w:rPr>
                <w:rFonts w:hint="eastAsia" w:ascii="宋体" w:hAnsi="宋体" w:cs="Arial"/>
                <w:snapToGrid w:val="0"/>
                <w:kern w:val="0"/>
                <w:szCs w:val="21"/>
                <w:lang w:val="en-US" w:eastAsia="zh-CN"/>
              </w:rPr>
              <w:t>3</w:t>
            </w:r>
          </w:p>
        </w:tc>
        <w:tc>
          <w:tcPr>
            <w:tcW w:w="900" w:type="dxa"/>
            <w:vMerge w:val="continue"/>
            <w:noWrap w:val="0"/>
            <w:vAlign w:val="center"/>
          </w:tcPr>
          <w:p>
            <w:pPr>
              <w:spacing w:line="320" w:lineRule="exact"/>
              <w:ind w:firstLine="315" w:firstLineChars="150"/>
              <w:rPr>
                <w:rFonts w:hint="eastAsia" w:ascii="宋体" w:hAnsi="宋体" w:cs="Arial"/>
                <w:snapToGrid w:val="0"/>
                <w:kern w:val="0"/>
                <w:szCs w:val="21"/>
              </w:rPr>
            </w:pPr>
          </w:p>
        </w:tc>
        <w:tc>
          <w:tcPr>
            <w:tcW w:w="1483"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系统的整体兼容性</w:t>
            </w:r>
            <w:r>
              <w:rPr>
                <w:rFonts w:hint="eastAsia" w:ascii="宋体" w:hAnsi="宋体" w:cs="Arial"/>
                <w:snapToGrid w:val="0"/>
                <w:kern w:val="0"/>
                <w:szCs w:val="21"/>
                <w:lang w:val="en-US" w:eastAsia="zh-CN"/>
              </w:rPr>
              <w:t>5</w:t>
            </w:r>
            <w:r>
              <w:rPr>
                <w:rFonts w:hint="eastAsia" w:ascii="宋体" w:hAnsi="宋体" w:cs="Arial"/>
                <w:snapToGrid w:val="0"/>
                <w:kern w:val="0"/>
                <w:szCs w:val="21"/>
              </w:rPr>
              <w:t>分</w:t>
            </w:r>
          </w:p>
        </w:tc>
        <w:tc>
          <w:tcPr>
            <w:tcW w:w="4505"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根据投标人提供的资料及集成接入智慧交通系统的措施方案，对投标人的系统与大队已建智慧交通系统的集成兼容能力进行评估比较后打分。</w:t>
            </w:r>
          </w:p>
        </w:tc>
        <w:tc>
          <w:tcPr>
            <w:tcW w:w="1322" w:type="dxa"/>
            <w:noWrap w:val="0"/>
            <w:vAlign w:val="center"/>
          </w:tcPr>
          <w:p>
            <w:pPr>
              <w:spacing w:line="320" w:lineRule="exact"/>
              <w:ind w:firstLine="315" w:firstLineChars="150"/>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noWrap w:val="0"/>
            <w:vAlign w:val="center"/>
          </w:tcPr>
          <w:p>
            <w:pPr>
              <w:spacing w:line="320" w:lineRule="exact"/>
              <w:jc w:val="center"/>
              <w:rPr>
                <w:rFonts w:hint="eastAsia" w:ascii="宋体" w:hAnsi="宋体" w:eastAsia="宋体" w:cs="Arial"/>
                <w:snapToGrid w:val="0"/>
                <w:kern w:val="0"/>
                <w:szCs w:val="21"/>
                <w:lang w:val="en-US" w:eastAsia="zh-CN"/>
              </w:rPr>
            </w:pPr>
            <w:r>
              <w:rPr>
                <w:rFonts w:hint="eastAsia" w:ascii="宋体" w:hAnsi="宋体" w:cs="Arial"/>
                <w:snapToGrid w:val="0"/>
                <w:kern w:val="0"/>
                <w:szCs w:val="21"/>
                <w:lang w:val="en-US" w:eastAsia="zh-CN"/>
              </w:rPr>
              <w:t>4</w:t>
            </w:r>
          </w:p>
        </w:tc>
        <w:tc>
          <w:tcPr>
            <w:tcW w:w="900" w:type="dxa"/>
            <w:vMerge w:val="continue"/>
            <w:noWrap w:val="0"/>
            <w:vAlign w:val="center"/>
          </w:tcPr>
          <w:p>
            <w:pPr>
              <w:spacing w:line="320" w:lineRule="exact"/>
              <w:ind w:firstLine="315" w:firstLineChars="150"/>
              <w:rPr>
                <w:rFonts w:hint="eastAsia" w:ascii="宋体" w:hAnsi="宋体" w:cs="Arial"/>
                <w:snapToGrid w:val="0"/>
                <w:kern w:val="0"/>
                <w:szCs w:val="21"/>
              </w:rPr>
            </w:pPr>
          </w:p>
        </w:tc>
        <w:tc>
          <w:tcPr>
            <w:tcW w:w="1483" w:type="dxa"/>
            <w:noWrap w:val="0"/>
            <w:vAlign w:val="center"/>
          </w:tcPr>
          <w:p>
            <w:pPr>
              <w:spacing w:line="320" w:lineRule="exact"/>
              <w:jc w:val="center"/>
              <w:rPr>
                <w:rFonts w:hint="eastAsia"/>
                <w:lang w:val="en-US" w:eastAsia="zh-CN"/>
              </w:rPr>
            </w:pPr>
            <w:r>
              <w:rPr>
                <w:rFonts w:hint="eastAsia"/>
                <w:lang w:val="en-US" w:eastAsia="zh-CN"/>
              </w:rPr>
              <w:t>项目人员组成</w:t>
            </w:r>
          </w:p>
          <w:p>
            <w:pPr>
              <w:pStyle w:val="2"/>
              <w:rPr>
                <w:rFonts w:hint="default"/>
                <w:lang w:val="en-US" w:eastAsia="zh-CN"/>
              </w:rPr>
            </w:pPr>
            <w:r>
              <w:rPr>
                <w:rFonts w:hint="eastAsia" w:ascii="宋体" w:hAnsi="宋体" w:cs="Arial"/>
                <w:snapToGrid w:val="0"/>
                <w:kern w:val="0"/>
                <w:szCs w:val="21"/>
                <w:lang w:val="en-US" w:eastAsia="zh-CN"/>
              </w:rPr>
              <w:t>5分</w:t>
            </w:r>
          </w:p>
        </w:tc>
        <w:tc>
          <w:tcPr>
            <w:tcW w:w="4505" w:type="dxa"/>
            <w:noWrap w:val="0"/>
            <w:vAlign w:val="center"/>
          </w:tcPr>
          <w:p>
            <w:pPr>
              <w:numPr>
                <w:ilvl w:val="0"/>
                <w:numId w:val="14"/>
              </w:numPr>
              <w:spacing w:line="320" w:lineRule="exact"/>
              <w:rPr>
                <w:rFonts w:hint="eastAsia" w:ascii="宋体" w:hAnsi="宋体" w:cs="Arial"/>
                <w:snapToGrid w:val="0"/>
                <w:kern w:val="0"/>
                <w:szCs w:val="21"/>
                <w:lang w:val="en-US" w:eastAsia="zh-CN"/>
              </w:rPr>
            </w:pPr>
            <w:r>
              <w:rPr>
                <w:rFonts w:hint="eastAsia" w:ascii="宋体" w:hAnsi="宋体" w:cs="Arial"/>
                <w:snapToGrid w:val="0"/>
                <w:kern w:val="0"/>
                <w:szCs w:val="21"/>
                <w:lang w:val="en-US" w:eastAsia="zh-CN"/>
              </w:rPr>
              <w:t>项目负责人具有一级注册建造师（公路工程或机电工程）证书的得1分；二级注册建造师（公路工程或机电工程）的得0.5分；</w:t>
            </w:r>
          </w:p>
          <w:p>
            <w:pPr>
              <w:numPr>
                <w:ilvl w:val="0"/>
                <w:numId w:val="14"/>
              </w:numPr>
              <w:spacing w:line="320" w:lineRule="exact"/>
              <w:rPr>
                <w:rFonts w:hint="eastAsia" w:ascii="宋体" w:hAnsi="宋体" w:cs="宋体"/>
                <w:snapToGrid w:val="0"/>
                <w:kern w:val="0"/>
                <w:szCs w:val="21"/>
              </w:rPr>
            </w:pPr>
            <w:r>
              <w:rPr>
                <w:rFonts w:hint="eastAsia" w:ascii="宋体" w:hAnsi="宋体" w:cs="Arial"/>
                <w:snapToGrid w:val="0"/>
                <w:kern w:val="0"/>
                <w:szCs w:val="21"/>
                <w:lang w:val="en-US" w:eastAsia="zh-CN"/>
              </w:rPr>
              <w:t>技术负责人</w:t>
            </w:r>
            <w:r>
              <w:rPr>
                <w:rFonts w:hint="eastAsia" w:ascii="宋体" w:hAnsi="宋体" w:cs="宋体"/>
                <w:snapToGrid w:val="0"/>
                <w:kern w:val="0"/>
                <w:szCs w:val="21"/>
              </w:rPr>
              <w:t>具备信息技术专业教授级高工职称证书的得</w:t>
            </w:r>
            <w:r>
              <w:rPr>
                <w:rFonts w:hint="eastAsia" w:ascii="宋体" w:hAnsi="宋体" w:cs="宋体"/>
                <w:snapToGrid w:val="0"/>
                <w:kern w:val="0"/>
                <w:szCs w:val="21"/>
                <w:lang w:val="en-US" w:eastAsia="zh-CN"/>
              </w:rPr>
              <w:t>2</w:t>
            </w:r>
            <w:r>
              <w:rPr>
                <w:rFonts w:hint="eastAsia" w:ascii="宋体" w:hAnsi="宋体" w:cs="宋体"/>
                <w:snapToGrid w:val="0"/>
                <w:kern w:val="0"/>
                <w:szCs w:val="21"/>
              </w:rPr>
              <w:t>分。</w:t>
            </w:r>
          </w:p>
          <w:p>
            <w:pPr>
              <w:spacing w:line="320" w:lineRule="exact"/>
              <w:rPr>
                <w:rFonts w:hint="default"/>
                <w:lang w:val="en-US" w:eastAsia="zh-CN"/>
              </w:rPr>
            </w:pPr>
            <w:r>
              <w:rPr>
                <w:rFonts w:hint="eastAsia" w:ascii="宋体" w:hAnsi="宋体" w:cs="Arial"/>
                <w:snapToGrid w:val="0"/>
                <w:kern w:val="0"/>
                <w:szCs w:val="21"/>
                <w:lang w:val="en-US" w:eastAsia="zh-CN"/>
              </w:rPr>
              <w:t>3.</w:t>
            </w:r>
            <w:r>
              <w:rPr>
                <w:rFonts w:hint="eastAsia" w:ascii="宋体" w:hAnsi="宋体" w:cs="宋体"/>
                <w:snapToGrid w:val="0"/>
                <w:kern w:val="0"/>
                <w:szCs w:val="21"/>
              </w:rPr>
              <w:t>项目组成员具备数据库、网络、软件开发、特种作业电工相关认证证书的每个得</w:t>
            </w:r>
            <w:r>
              <w:rPr>
                <w:rFonts w:hint="eastAsia" w:ascii="宋体" w:hAnsi="宋体" w:cs="宋体"/>
                <w:snapToGrid w:val="0"/>
                <w:kern w:val="0"/>
                <w:szCs w:val="21"/>
                <w:lang w:val="en-US" w:eastAsia="zh-CN"/>
              </w:rPr>
              <w:t>0.5</w:t>
            </w:r>
            <w:r>
              <w:rPr>
                <w:rFonts w:hint="eastAsia" w:ascii="宋体" w:hAnsi="宋体" w:cs="宋体"/>
                <w:snapToGrid w:val="0"/>
                <w:kern w:val="0"/>
                <w:szCs w:val="21"/>
              </w:rPr>
              <w:t>分，最高得</w:t>
            </w:r>
            <w:r>
              <w:rPr>
                <w:rFonts w:hint="eastAsia" w:ascii="宋体" w:hAnsi="宋体" w:cs="宋体"/>
                <w:snapToGrid w:val="0"/>
                <w:kern w:val="0"/>
                <w:szCs w:val="21"/>
                <w:lang w:val="en-US" w:eastAsia="zh-CN"/>
              </w:rPr>
              <w:t>2</w:t>
            </w:r>
            <w:r>
              <w:rPr>
                <w:rFonts w:hint="eastAsia" w:ascii="宋体" w:hAnsi="宋体" w:cs="宋体"/>
                <w:snapToGrid w:val="0"/>
                <w:kern w:val="0"/>
                <w:szCs w:val="21"/>
              </w:rPr>
              <w:t>分。</w:t>
            </w:r>
          </w:p>
        </w:tc>
        <w:tc>
          <w:tcPr>
            <w:tcW w:w="1322" w:type="dxa"/>
            <w:noWrap w:val="0"/>
            <w:vAlign w:val="center"/>
          </w:tcPr>
          <w:p>
            <w:pPr>
              <w:spacing w:line="320" w:lineRule="exact"/>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noWrap w:val="0"/>
            <w:vAlign w:val="center"/>
          </w:tcPr>
          <w:p>
            <w:pPr>
              <w:spacing w:line="320" w:lineRule="exact"/>
              <w:jc w:val="center"/>
              <w:rPr>
                <w:rFonts w:hint="eastAsia" w:ascii="宋体" w:hAnsi="宋体" w:eastAsia="宋体" w:cs="Arial"/>
                <w:snapToGrid w:val="0"/>
                <w:kern w:val="0"/>
                <w:szCs w:val="21"/>
                <w:lang w:eastAsia="zh-CN"/>
              </w:rPr>
            </w:pPr>
            <w:r>
              <w:rPr>
                <w:rFonts w:hint="eastAsia" w:ascii="宋体" w:hAnsi="宋体" w:cs="Arial"/>
                <w:snapToGrid w:val="0"/>
                <w:kern w:val="0"/>
                <w:szCs w:val="21"/>
                <w:lang w:val="en-US" w:eastAsia="zh-CN"/>
              </w:rPr>
              <w:t>5</w:t>
            </w:r>
          </w:p>
        </w:tc>
        <w:tc>
          <w:tcPr>
            <w:tcW w:w="900" w:type="dxa"/>
            <w:vMerge w:val="restart"/>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商务分</w:t>
            </w:r>
            <w:r>
              <w:rPr>
                <w:rFonts w:hint="eastAsia" w:ascii="宋体" w:hAnsi="宋体" w:cs="Arial"/>
                <w:snapToGrid w:val="0"/>
                <w:kern w:val="0"/>
                <w:szCs w:val="21"/>
                <w:lang w:val="en-US" w:eastAsia="zh-CN"/>
              </w:rPr>
              <w:t>19</w:t>
            </w:r>
            <w:r>
              <w:rPr>
                <w:rFonts w:hint="eastAsia" w:ascii="宋体" w:hAnsi="宋体" w:cs="Arial"/>
                <w:snapToGrid w:val="0"/>
                <w:kern w:val="0"/>
                <w:szCs w:val="21"/>
              </w:rPr>
              <w:t>分</w:t>
            </w:r>
          </w:p>
        </w:tc>
        <w:tc>
          <w:tcPr>
            <w:tcW w:w="1483"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质保期2分</w:t>
            </w:r>
          </w:p>
        </w:tc>
        <w:tc>
          <w:tcPr>
            <w:tcW w:w="4505"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质保期超过招标文件规定的，每增加半年得1分,最多得2分。</w:t>
            </w:r>
          </w:p>
        </w:tc>
        <w:tc>
          <w:tcPr>
            <w:tcW w:w="1322" w:type="dxa"/>
            <w:noWrap w:val="0"/>
            <w:vAlign w:val="center"/>
          </w:tcPr>
          <w:p>
            <w:pPr>
              <w:spacing w:line="320" w:lineRule="exact"/>
              <w:ind w:firstLine="315" w:firstLineChars="150"/>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noWrap w:val="0"/>
            <w:vAlign w:val="center"/>
          </w:tcPr>
          <w:p>
            <w:pPr>
              <w:spacing w:line="320" w:lineRule="exact"/>
              <w:jc w:val="center"/>
              <w:rPr>
                <w:rFonts w:hint="eastAsia" w:ascii="宋体" w:hAnsi="宋体" w:eastAsia="宋体" w:cs="Arial"/>
                <w:snapToGrid w:val="0"/>
                <w:kern w:val="0"/>
                <w:szCs w:val="21"/>
                <w:lang w:eastAsia="zh-CN"/>
              </w:rPr>
            </w:pPr>
            <w:r>
              <w:rPr>
                <w:rFonts w:hint="eastAsia" w:ascii="宋体" w:hAnsi="宋体" w:cs="Arial"/>
                <w:snapToGrid w:val="0"/>
                <w:kern w:val="0"/>
                <w:szCs w:val="21"/>
                <w:lang w:val="en-US" w:eastAsia="zh-CN"/>
              </w:rPr>
              <w:t>6</w:t>
            </w:r>
          </w:p>
        </w:tc>
        <w:tc>
          <w:tcPr>
            <w:tcW w:w="900" w:type="dxa"/>
            <w:vMerge w:val="continue"/>
            <w:noWrap w:val="0"/>
            <w:vAlign w:val="center"/>
          </w:tcPr>
          <w:p>
            <w:pPr>
              <w:spacing w:line="320" w:lineRule="exact"/>
              <w:ind w:firstLine="315" w:firstLineChars="150"/>
              <w:rPr>
                <w:rFonts w:hint="eastAsia" w:ascii="宋体" w:hAnsi="宋体" w:cs="Arial"/>
                <w:snapToGrid w:val="0"/>
                <w:kern w:val="0"/>
                <w:szCs w:val="21"/>
              </w:rPr>
            </w:pPr>
          </w:p>
        </w:tc>
        <w:tc>
          <w:tcPr>
            <w:tcW w:w="1483"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售后服务承诺2分</w:t>
            </w:r>
          </w:p>
        </w:tc>
        <w:tc>
          <w:tcPr>
            <w:tcW w:w="4505"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售后服务响应时间是否满足招标需求、售后服务方案是否全面周、除招标文件规定内容有无其他售后服务承诺的、对使用单位人员的培训计划是否可行等比较评分。</w:t>
            </w:r>
          </w:p>
        </w:tc>
        <w:tc>
          <w:tcPr>
            <w:tcW w:w="1322" w:type="dxa"/>
            <w:noWrap w:val="0"/>
            <w:vAlign w:val="center"/>
          </w:tcPr>
          <w:p>
            <w:pPr>
              <w:spacing w:line="320" w:lineRule="exact"/>
              <w:ind w:firstLine="315" w:firstLineChars="150"/>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noWrap w:val="0"/>
            <w:vAlign w:val="center"/>
          </w:tcPr>
          <w:p>
            <w:pPr>
              <w:spacing w:line="320" w:lineRule="exact"/>
              <w:jc w:val="center"/>
              <w:rPr>
                <w:rFonts w:hint="eastAsia" w:ascii="宋体" w:hAnsi="宋体" w:eastAsia="宋体" w:cs="Arial"/>
                <w:snapToGrid w:val="0"/>
                <w:kern w:val="0"/>
                <w:szCs w:val="21"/>
                <w:lang w:val="en-US" w:eastAsia="zh-CN"/>
              </w:rPr>
            </w:pPr>
            <w:r>
              <w:rPr>
                <w:rFonts w:hint="eastAsia" w:ascii="宋体" w:hAnsi="宋体" w:cs="Arial"/>
                <w:snapToGrid w:val="0"/>
                <w:kern w:val="0"/>
                <w:szCs w:val="21"/>
                <w:lang w:val="en-US" w:eastAsia="zh-CN"/>
              </w:rPr>
              <w:t>7</w:t>
            </w:r>
          </w:p>
        </w:tc>
        <w:tc>
          <w:tcPr>
            <w:tcW w:w="900" w:type="dxa"/>
            <w:vMerge w:val="continue"/>
            <w:noWrap w:val="0"/>
            <w:vAlign w:val="center"/>
          </w:tcPr>
          <w:p>
            <w:pPr>
              <w:spacing w:line="320" w:lineRule="exact"/>
              <w:ind w:firstLine="315" w:firstLineChars="150"/>
              <w:rPr>
                <w:rFonts w:hint="eastAsia" w:ascii="宋体" w:hAnsi="宋体" w:cs="Arial"/>
                <w:snapToGrid w:val="0"/>
                <w:kern w:val="0"/>
                <w:szCs w:val="21"/>
              </w:rPr>
            </w:pPr>
          </w:p>
        </w:tc>
        <w:tc>
          <w:tcPr>
            <w:tcW w:w="1483" w:type="dxa"/>
            <w:noWrap w:val="0"/>
            <w:vAlign w:val="center"/>
          </w:tcPr>
          <w:p>
            <w:pPr>
              <w:spacing w:line="320" w:lineRule="exact"/>
              <w:jc w:val="center"/>
              <w:rPr>
                <w:rFonts w:hint="default" w:ascii="宋体" w:hAnsi="宋体" w:eastAsia="宋体" w:cs="Arial"/>
                <w:snapToGrid w:val="0"/>
                <w:kern w:val="0"/>
                <w:szCs w:val="21"/>
                <w:lang w:val="en-US" w:eastAsia="zh-CN"/>
              </w:rPr>
            </w:pPr>
            <w:r>
              <w:rPr>
                <w:rFonts w:hint="eastAsia" w:ascii="宋体" w:hAnsi="宋体" w:cs="Arial"/>
                <w:snapToGrid w:val="0"/>
                <w:kern w:val="0"/>
                <w:szCs w:val="21"/>
                <w:lang w:eastAsia="zh-CN"/>
              </w:rPr>
              <w:t>售后服务人员</w:t>
            </w:r>
            <w:r>
              <w:rPr>
                <w:rFonts w:hint="eastAsia" w:ascii="宋体" w:hAnsi="宋体" w:cs="Arial"/>
                <w:snapToGrid w:val="0"/>
                <w:kern w:val="0"/>
                <w:szCs w:val="21"/>
                <w:lang w:val="en-US" w:eastAsia="zh-CN"/>
              </w:rPr>
              <w:t>2分</w:t>
            </w:r>
          </w:p>
        </w:tc>
        <w:tc>
          <w:tcPr>
            <w:tcW w:w="4505" w:type="dxa"/>
            <w:noWrap w:val="0"/>
            <w:vAlign w:val="center"/>
          </w:tcPr>
          <w:p>
            <w:pPr>
              <w:spacing w:line="320" w:lineRule="exact"/>
              <w:rPr>
                <w:rFonts w:hint="eastAsia" w:ascii="宋体" w:hAnsi="宋体" w:cs="Arial"/>
                <w:snapToGrid w:val="0"/>
                <w:kern w:val="0"/>
                <w:szCs w:val="21"/>
              </w:rPr>
            </w:pPr>
            <w:r>
              <w:rPr>
                <w:rFonts w:hint="eastAsia" w:ascii="宋体" w:hAnsi="宋体" w:cs="宋体"/>
                <w:snapToGrid w:val="0"/>
                <w:kern w:val="0"/>
                <w:szCs w:val="21"/>
              </w:rPr>
              <w:t>售后服务人员具备IT服务工程师证书，每人得</w:t>
            </w:r>
            <w:r>
              <w:rPr>
                <w:rFonts w:hint="eastAsia" w:ascii="宋体" w:hAnsi="宋体" w:cs="宋体"/>
                <w:snapToGrid w:val="0"/>
                <w:kern w:val="0"/>
                <w:szCs w:val="21"/>
                <w:lang w:val="en-US" w:eastAsia="zh-CN"/>
              </w:rPr>
              <w:t>0.5</w:t>
            </w:r>
            <w:r>
              <w:rPr>
                <w:rFonts w:hint="eastAsia" w:ascii="宋体" w:hAnsi="宋体" w:cs="宋体"/>
                <w:snapToGrid w:val="0"/>
                <w:kern w:val="0"/>
                <w:szCs w:val="21"/>
              </w:rPr>
              <w:t>分，最高得2分。</w:t>
            </w:r>
          </w:p>
        </w:tc>
        <w:tc>
          <w:tcPr>
            <w:tcW w:w="1322" w:type="dxa"/>
            <w:noWrap w:val="0"/>
            <w:vAlign w:val="center"/>
          </w:tcPr>
          <w:p>
            <w:pPr>
              <w:spacing w:line="320" w:lineRule="exact"/>
              <w:ind w:firstLine="315" w:firstLineChars="150"/>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8</w:t>
            </w:r>
          </w:p>
        </w:tc>
        <w:tc>
          <w:tcPr>
            <w:tcW w:w="900" w:type="dxa"/>
            <w:vMerge w:val="continue"/>
            <w:noWrap w:val="0"/>
            <w:vAlign w:val="center"/>
          </w:tcPr>
          <w:p>
            <w:pPr>
              <w:spacing w:line="320" w:lineRule="exact"/>
              <w:ind w:firstLine="315" w:firstLineChars="150"/>
              <w:rPr>
                <w:rFonts w:hint="eastAsia" w:ascii="宋体" w:hAnsi="宋体" w:cs="Arial"/>
                <w:snapToGrid w:val="0"/>
                <w:kern w:val="0"/>
                <w:szCs w:val="21"/>
              </w:rPr>
            </w:pPr>
          </w:p>
        </w:tc>
        <w:tc>
          <w:tcPr>
            <w:tcW w:w="1483"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荣誉证书</w:t>
            </w:r>
            <w:r>
              <w:rPr>
                <w:rFonts w:hint="eastAsia" w:ascii="宋体" w:hAnsi="宋体" w:cs="Arial"/>
                <w:snapToGrid w:val="0"/>
                <w:kern w:val="0"/>
                <w:szCs w:val="21"/>
                <w:lang w:val="en-US" w:eastAsia="zh-CN"/>
              </w:rPr>
              <w:t>2</w:t>
            </w:r>
            <w:r>
              <w:rPr>
                <w:rFonts w:hint="eastAsia" w:ascii="宋体" w:hAnsi="宋体" w:cs="Arial"/>
                <w:snapToGrid w:val="0"/>
                <w:kern w:val="0"/>
                <w:szCs w:val="21"/>
              </w:rPr>
              <w:t>分</w:t>
            </w:r>
          </w:p>
        </w:tc>
        <w:tc>
          <w:tcPr>
            <w:tcW w:w="4505" w:type="dxa"/>
            <w:noWrap w:val="0"/>
            <w:vAlign w:val="center"/>
          </w:tcPr>
          <w:p>
            <w:pPr>
              <w:spacing w:line="320" w:lineRule="exact"/>
              <w:rPr>
                <w:rFonts w:hint="eastAsia" w:eastAsia="宋体"/>
                <w:lang w:eastAsia="zh-CN"/>
              </w:rPr>
            </w:pPr>
            <w:r>
              <w:rPr>
                <w:rFonts w:hint="eastAsia"/>
                <w:szCs w:val="22"/>
                <w:lang w:eastAsia="zh-CN"/>
              </w:rPr>
              <w:t>投标人具有</w:t>
            </w:r>
            <w:r>
              <w:rPr>
                <w:rFonts w:hint="eastAsia"/>
                <w:szCs w:val="22"/>
              </w:rPr>
              <w:t>投标人提供的2016年1月1日至今政府行政职能部门或行业主管部门授予的投标企业荣誉证书进行评分。国家级（包含国务院所属的部、委、办、局）授予荣誉的得</w:t>
            </w:r>
            <w:r>
              <w:rPr>
                <w:rFonts w:hint="eastAsia"/>
                <w:szCs w:val="22"/>
                <w:lang w:val="en-US" w:eastAsia="zh-CN"/>
              </w:rPr>
              <w:t>2</w:t>
            </w:r>
            <w:r>
              <w:rPr>
                <w:rFonts w:hint="eastAsia"/>
                <w:szCs w:val="22"/>
              </w:rPr>
              <w:t>分；省级（包含省政府所属的部、委、办、局（厅））授予荣誉的得</w:t>
            </w:r>
            <w:r>
              <w:rPr>
                <w:rFonts w:hint="eastAsia"/>
                <w:szCs w:val="22"/>
                <w:lang w:val="en-US" w:eastAsia="zh-CN"/>
              </w:rPr>
              <w:t>1</w:t>
            </w:r>
            <w:r>
              <w:rPr>
                <w:rFonts w:hint="eastAsia"/>
                <w:szCs w:val="22"/>
              </w:rPr>
              <w:t>分；市级（包含市政府所属的部、委、办、局或区、县政府）授予荣誉的得</w:t>
            </w:r>
            <w:r>
              <w:rPr>
                <w:rFonts w:hint="eastAsia"/>
                <w:szCs w:val="22"/>
                <w:lang w:val="en-US" w:eastAsia="zh-CN"/>
              </w:rPr>
              <w:t>0.5</w:t>
            </w:r>
            <w:r>
              <w:rPr>
                <w:rFonts w:hint="eastAsia"/>
                <w:szCs w:val="22"/>
              </w:rPr>
              <w:t>分。</w:t>
            </w:r>
          </w:p>
        </w:tc>
        <w:tc>
          <w:tcPr>
            <w:tcW w:w="1322"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提供相关证书复印件，原件备查。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vMerge w:val="restart"/>
            <w:noWrap w:val="0"/>
            <w:vAlign w:val="center"/>
          </w:tcPr>
          <w:p>
            <w:pPr>
              <w:spacing w:line="320" w:lineRule="exact"/>
              <w:jc w:val="center"/>
              <w:rPr>
                <w:rFonts w:hint="eastAsia" w:ascii="宋体" w:hAnsi="宋体" w:eastAsia="宋体" w:cs="Arial"/>
                <w:snapToGrid w:val="0"/>
                <w:kern w:val="0"/>
                <w:szCs w:val="21"/>
                <w:lang w:val="en-US" w:eastAsia="zh-CN"/>
              </w:rPr>
            </w:pPr>
            <w:r>
              <w:rPr>
                <w:rFonts w:hint="eastAsia" w:ascii="宋体" w:hAnsi="宋体" w:cs="Arial"/>
                <w:snapToGrid w:val="0"/>
                <w:kern w:val="0"/>
                <w:szCs w:val="21"/>
                <w:lang w:val="en-US" w:eastAsia="zh-CN"/>
              </w:rPr>
              <w:t>9</w:t>
            </w:r>
          </w:p>
        </w:tc>
        <w:tc>
          <w:tcPr>
            <w:tcW w:w="900" w:type="dxa"/>
            <w:vMerge w:val="continue"/>
            <w:noWrap w:val="0"/>
            <w:vAlign w:val="center"/>
          </w:tcPr>
          <w:p>
            <w:pPr>
              <w:spacing w:line="320" w:lineRule="exact"/>
              <w:ind w:firstLine="315" w:firstLineChars="150"/>
              <w:rPr>
                <w:rFonts w:hint="eastAsia" w:ascii="宋体" w:hAnsi="宋体" w:cs="Arial"/>
                <w:snapToGrid w:val="0"/>
                <w:kern w:val="0"/>
                <w:szCs w:val="21"/>
              </w:rPr>
            </w:pPr>
          </w:p>
        </w:tc>
        <w:tc>
          <w:tcPr>
            <w:tcW w:w="1483"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投标人资质</w:t>
            </w:r>
          </w:p>
          <w:p>
            <w:pPr>
              <w:spacing w:line="320" w:lineRule="exact"/>
              <w:jc w:val="center"/>
              <w:rPr>
                <w:rFonts w:hint="eastAsia" w:ascii="宋体" w:hAnsi="宋体" w:eastAsia="宋体" w:cs="Arial"/>
                <w:snapToGrid w:val="0"/>
                <w:kern w:val="0"/>
                <w:szCs w:val="21"/>
                <w:lang w:eastAsia="zh-CN"/>
              </w:rPr>
            </w:pPr>
            <w:r>
              <w:rPr>
                <w:rFonts w:hint="eastAsia" w:ascii="宋体" w:hAnsi="宋体" w:cs="Arial"/>
                <w:snapToGrid w:val="0"/>
                <w:kern w:val="0"/>
                <w:szCs w:val="21"/>
                <w:lang w:val="en-US" w:eastAsia="zh-CN"/>
              </w:rPr>
              <w:t>2</w:t>
            </w:r>
            <w:r>
              <w:rPr>
                <w:rFonts w:hint="eastAsia" w:ascii="宋体" w:hAnsi="宋体" w:cs="Arial"/>
                <w:snapToGrid w:val="0"/>
                <w:kern w:val="0"/>
                <w:szCs w:val="21"/>
              </w:rPr>
              <w:t>分</w:t>
            </w:r>
          </w:p>
        </w:tc>
        <w:tc>
          <w:tcPr>
            <w:tcW w:w="4505" w:type="dxa"/>
            <w:noWrap w:val="0"/>
            <w:vAlign w:val="center"/>
          </w:tcPr>
          <w:p>
            <w:pPr>
              <w:spacing w:line="320" w:lineRule="exact"/>
              <w:rPr>
                <w:rFonts w:hint="eastAsia"/>
                <w:szCs w:val="22"/>
                <w:lang w:eastAsia="zh-CN"/>
              </w:rPr>
            </w:pPr>
            <w:r>
              <w:rPr>
                <w:rFonts w:hint="eastAsia"/>
                <w:szCs w:val="22"/>
                <w:lang w:eastAsia="zh-CN"/>
              </w:rPr>
              <w:t>投标人具备涉密信息系统集成甲级资质的得1分；具备乙级资质的得0.5分；最多得1分；</w:t>
            </w:r>
          </w:p>
          <w:p>
            <w:pPr>
              <w:spacing w:line="320" w:lineRule="exact"/>
              <w:rPr>
                <w:rFonts w:hint="default"/>
                <w:lang w:val="en-US" w:eastAsia="zh-CN"/>
              </w:rPr>
            </w:pPr>
            <w:r>
              <w:rPr>
                <w:rFonts w:hint="eastAsia"/>
                <w:szCs w:val="22"/>
                <w:lang w:eastAsia="zh-CN"/>
              </w:rPr>
              <w:t>投标人具备</w:t>
            </w:r>
            <w:r>
              <w:rPr>
                <w:rFonts w:hint="eastAsia"/>
                <w:szCs w:val="22"/>
                <w:lang w:val="en-US" w:eastAsia="zh-CN"/>
              </w:rPr>
              <w:t>ITSS信息技术服务运行维护标准符合性证书一级的得1分，具备二级的得0.5分，最多得1分。</w:t>
            </w:r>
          </w:p>
        </w:tc>
        <w:tc>
          <w:tcPr>
            <w:tcW w:w="1322"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提供相关证书、资质复印件，原件备查。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vMerge w:val="continue"/>
            <w:noWrap w:val="0"/>
            <w:vAlign w:val="center"/>
          </w:tcPr>
          <w:p>
            <w:pPr>
              <w:spacing w:line="320" w:lineRule="exact"/>
              <w:jc w:val="center"/>
              <w:rPr>
                <w:rFonts w:hint="eastAsia" w:ascii="宋体" w:hAnsi="宋体" w:cs="Arial"/>
                <w:snapToGrid w:val="0"/>
                <w:kern w:val="0"/>
                <w:szCs w:val="21"/>
                <w:lang w:val="en-US" w:eastAsia="zh-CN"/>
              </w:rPr>
            </w:pPr>
          </w:p>
        </w:tc>
        <w:tc>
          <w:tcPr>
            <w:tcW w:w="900" w:type="dxa"/>
            <w:vMerge w:val="continue"/>
            <w:noWrap w:val="0"/>
            <w:vAlign w:val="center"/>
          </w:tcPr>
          <w:p>
            <w:pPr>
              <w:spacing w:line="320" w:lineRule="exact"/>
              <w:ind w:firstLine="315" w:firstLineChars="150"/>
              <w:rPr>
                <w:rFonts w:hint="eastAsia" w:ascii="宋体" w:hAnsi="宋体" w:cs="Arial"/>
                <w:snapToGrid w:val="0"/>
                <w:kern w:val="0"/>
                <w:szCs w:val="21"/>
              </w:rPr>
            </w:pPr>
          </w:p>
        </w:tc>
        <w:tc>
          <w:tcPr>
            <w:tcW w:w="1483" w:type="dxa"/>
            <w:noWrap w:val="0"/>
            <w:vAlign w:val="center"/>
          </w:tcPr>
          <w:p>
            <w:pPr>
              <w:spacing w:line="320" w:lineRule="exact"/>
              <w:jc w:val="center"/>
              <w:rPr>
                <w:rFonts w:hint="default" w:ascii="宋体" w:hAnsi="宋体" w:cs="Arial"/>
                <w:snapToGrid w:val="0"/>
                <w:kern w:val="0"/>
                <w:szCs w:val="21"/>
                <w:lang w:val="en-US" w:eastAsia="zh-CN"/>
              </w:rPr>
            </w:pPr>
            <w:r>
              <w:rPr>
                <w:rFonts w:hint="eastAsia" w:ascii="宋体" w:hAnsi="宋体" w:cs="Arial"/>
                <w:snapToGrid w:val="0"/>
                <w:kern w:val="0"/>
                <w:szCs w:val="21"/>
                <w:lang w:val="en-US" w:eastAsia="zh-CN"/>
              </w:rPr>
              <w:t>软件著作权证书3分</w:t>
            </w:r>
          </w:p>
        </w:tc>
        <w:tc>
          <w:tcPr>
            <w:tcW w:w="4505" w:type="dxa"/>
            <w:noWrap w:val="0"/>
            <w:vAlign w:val="center"/>
          </w:tcPr>
          <w:p>
            <w:pPr>
              <w:spacing w:line="320" w:lineRule="exact"/>
              <w:rPr>
                <w:rFonts w:hint="eastAsia"/>
                <w:szCs w:val="22"/>
                <w:lang w:eastAsia="zh-CN"/>
              </w:rPr>
            </w:pPr>
            <w:r>
              <w:rPr>
                <w:rFonts w:hint="eastAsia"/>
                <w:szCs w:val="22"/>
                <w:lang w:eastAsia="zh-CN"/>
              </w:rPr>
              <w:t>投标人自身具备投标人具有交通诱导平台、交通信号区域协调控制、交通信号优化等类似软件著作权登记证书的，每个得1分，最高得3分。</w:t>
            </w:r>
          </w:p>
        </w:tc>
        <w:tc>
          <w:tcPr>
            <w:tcW w:w="1322"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提供相关证书、资质复印件，原件备查。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92" w:hRule="atLeast"/>
        </w:trPr>
        <w:tc>
          <w:tcPr>
            <w:tcW w:w="850" w:type="dxa"/>
            <w:noWrap w:val="0"/>
            <w:vAlign w:val="center"/>
          </w:tcPr>
          <w:p>
            <w:pPr>
              <w:spacing w:line="320" w:lineRule="exact"/>
              <w:jc w:val="center"/>
              <w:rPr>
                <w:rFonts w:hint="eastAsia" w:ascii="宋体" w:hAnsi="宋体" w:eastAsia="宋体" w:cs="Arial"/>
                <w:snapToGrid w:val="0"/>
                <w:kern w:val="0"/>
                <w:szCs w:val="21"/>
                <w:lang w:eastAsia="zh-CN"/>
              </w:rPr>
            </w:pPr>
            <w:r>
              <w:rPr>
                <w:rFonts w:hint="eastAsia" w:ascii="宋体" w:hAnsi="宋体" w:cs="Arial"/>
                <w:snapToGrid w:val="0"/>
                <w:kern w:val="0"/>
                <w:szCs w:val="21"/>
              </w:rPr>
              <w:t>1</w:t>
            </w:r>
            <w:r>
              <w:rPr>
                <w:rFonts w:hint="eastAsia" w:ascii="宋体" w:hAnsi="宋体" w:cs="Arial"/>
                <w:snapToGrid w:val="0"/>
                <w:kern w:val="0"/>
                <w:szCs w:val="21"/>
                <w:lang w:val="en-US" w:eastAsia="zh-CN"/>
              </w:rPr>
              <w:t>0</w:t>
            </w:r>
          </w:p>
        </w:tc>
        <w:tc>
          <w:tcPr>
            <w:tcW w:w="900" w:type="dxa"/>
            <w:vMerge w:val="continue"/>
            <w:noWrap w:val="0"/>
            <w:vAlign w:val="center"/>
          </w:tcPr>
          <w:p>
            <w:pPr>
              <w:spacing w:line="320" w:lineRule="exact"/>
              <w:ind w:firstLine="315" w:firstLineChars="150"/>
              <w:rPr>
                <w:rFonts w:hint="eastAsia" w:ascii="宋体" w:hAnsi="宋体" w:cs="Arial"/>
                <w:snapToGrid w:val="0"/>
                <w:kern w:val="0"/>
                <w:szCs w:val="21"/>
              </w:rPr>
            </w:pPr>
          </w:p>
        </w:tc>
        <w:tc>
          <w:tcPr>
            <w:tcW w:w="1483"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成功案例及业绩6分</w:t>
            </w:r>
          </w:p>
        </w:tc>
        <w:tc>
          <w:tcPr>
            <w:tcW w:w="4505" w:type="dxa"/>
            <w:noWrap w:val="0"/>
            <w:vAlign w:val="center"/>
          </w:tcPr>
          <w:p>
            <w:pPr>
              <w:spacing w:line="320" w:lineRule="exact"/>
              <w:rPr>
                <w:rFonts w:hint="eastAsia"/>
                <w:lang w:val="en-US" w:eastAsia="zh-CN"/>
              </w:rPr>
            </w:pPr>
            <w:r>
              <w:rPr>
                <w:rFonts w:hint="eastAsia"/>
              </w:rPr>
              <w:t>投标人提供同类项目</w:t>
            </w:r>
            <w:r>
              <w:rPr>
                <w:rFonts w:hint="eastAsia"/>
                <w:lang w:eastAsia="zh-CN"/>
              </w:rPr>
              <w:t>（含电子警察、诱导系统）</w:t>
            </w:r>
            <w:r>
              <w:rPr>
                <w:rFonts w:hint="eastAsia"/>
              </w:rPr>
              <w:t>的成功案例，</w:t>
            </w:r>
            <w:r>
              <w:rPr>
                <w:rFonts w:hint="eastAsia"/>
                <w:lang w:eastAsia="zh-CN"/>
              </w:rPr>
              <w:t>每个合同得</w:t>
            </w:r>
            <w:r>
              <w:rPr>
                <w:rFonts w:hint="eastAsia"/>
                <w:lang w:val="en-US" w:eastAsia="zh-CN"/>
              </w:rPr>
              <w:t>1分，满分6分；</w:t>
            </w:r>
          </w:p>
          <w:p>
            <w:pPr>
              <w:pStyle w:val="2"/>
              <w:ind w:left="0" w:leftChars="0" w:firstLine="0" w:firstLineChars="0"/>
              <w:rPr>
                <w:rFonts w:hint="default"/>
                <w:lang w:val="en-US"/>
              </w:rPr>
            </w:pPr>
            <w:r>
              <w:rPr>
                <w:rFonts w:hint="eastAsia" w:ascii="宋体" w:hAnsi="宋体" w:cs="Arial"/>
                <w:snapToGrid w:val="0"/>
                <w:kern w:val="0"/>
                <w:szCs w:val="21"/>
                <w:lang w:val="en-US" w:eastAsia="zh-CN"/>
              </w:rPr>
              <w:t>单个合同金额大于等于本项目的，每个得3分；满分6分；</w:t>
            </w:r>
          </w:p>
        </w:tc>
        <w:tc>
          <w:tcPr>
            <w:tcW w:w="1322"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提供合同复印件、用户验收报告及用户单位联系方式等,原件随带备查。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noWrap w:val="0"/>
            <w:vAlign w:val="center"/>
          </w:tcPr>
          <w:p>
            <w:pPr>
              <w:spacing w:line="320" w:lineRule="exact"/>
              <w:jc w:val="center"/>
              <w:rPr>
                <w:rFonts w:hint="eastAsia" w:ascii="宋体" w:hAnsi="宋体" w:eastAsia="宋体" w:cs="Arial"/>
                <w:snapToGrid w:val="0"/>
                <w:kern w:val="0"/>
                <w:szCs w:val="21"/>
                <w:lang w:eastAsia="zh-CN"/>
              </w:rPr>
            </w:pPr>
            <w:r>
              <w:rPr>
                <w:rFonts w:hint="eastAsia" w:ascii="宋体" w:hAnsi="宋体" w:cs="Arial"/>
                <w:snapToGrid w:val="0"/>
                <w:kern w:val="0"/>
                <w:szCs w:val="21"/>
              </w:rPr>
              <w:t>1</w:t>
            </w:r>
            <w:r>
              <w:rPr>
                <w:rFonts w:hint="eastAsia" w:ascii="宋体" w:hAnsi="宋体" w:cs="Arial"/>
                <w:snapToGrid w:val="0"/>
                <w:kern w:val="0"/>
                <w:szCs w:val="21"/>
                <w:lang w:val="en-US" w:eastAsia="zh-CN"/>
              </w:rPr>
              <w:t>1</w:t>
            </w:r>
          </w:p>
        </w:tc>
        <w:tc>
          <w:tcPr>
            <w:tcW w:w="900" w:type="dxa"/>
            <w:vMerge w:val="restart"/>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资信及其他分1</w:t>
            </w:r>
            <w:r>
              <w:rPr>
                <w:rFonts w:hint="eastAsia" w:ascii="宋体" w:hAnsi="宋体" w:cs="Arial"/>
                <w:snapToGrid w:val="0"/>
                <w:kern w:val="0"/>
                <w:szCs w:val="21"/>
                <w:lang w:val="en-US" w:eastAsia="zh-CN"/>
              </w:rPr>
              <w:t>0</w:t>
            </w:r>
            <w:r>
              <w:rPr>
                <w:rFonts w:hint="eastAsia" w:ascii="宋体" w:hAnsi="宋体" w:cs="Arial"/>
                <w:snapToGrid w:val="0"/>
                <w:kern w:val="0"/>
                <w:szCs w:val="21"/>
              </w:rPr>
              <w:t>分</w:t>
            </w:r>
          </w:p>
        </w:tc>
        <w:tc>
          <w:tcPr>
            <w:tcW w:w="1483"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信用等级3分</w:t>
            </w:r>
          </w:p>
        </w:tc>
        <w:tc>
          <w:tcPr>
            <w:tcW w:w="4505" w:type="dxa"/>
            <w:noWrap w:val="0"/>
            <w:vAlign w:val="center"/>
          </w:tcPr>
          <w:p>
            <w:pPr>
              <w:spacing w:line="320" w:lineRule="exact"/>
              <w:jc w:val="left"/>
              <w:rPr>
                <w:rFonts w:hint="eastAsia" w:ascii="宋体" w:hAnsi="宋体" w:cs="Arial"/>
                <w:snapToGrid w:val="0"/>
                <w:kern w:val="0"/>
                <w:szCs w:val="21"/>
              </w:rPr>
            </w:pPr>
            <w:r>
              <w:rPr>
                <w:rFonts w:hint="eastAsia" w:ascii="宋体" w:hAnsi="宋体"/>
                <w:szCs w:val="21"/>
              </w:rPr>
              <w:t>提供有效期内的企业信用</w:t>
            </w:r>
            <w:r>
              <w:rPr>
                <w:rFonts w:hint="eastAsia" w:ascii="宋体" w:hAnsi="宋体"/>
                <w:szCs w:val="21"/>
                <w:lang w:eastAsia="zh-CN"/>
              </w:rPr>
              <w:t>等级证书</w:t>
            </w:r>
            <w:r>
              <w:rPr>
                <w:rFonts w:hint="eastAsia" w:ascii="宋体" w:hAnsi="宋体"/>
                <w:szCs w:val="21"/>
              </w:rPr>
              <w:t>复印件，同时提供信用浙江（</w:t>
            </w:r>
            <w:r>
              <w:rPr>
                <w:rFonts w:ascii="宋体" w:hAnsi="宋体"/>
                <w:szCs w:val="21"/>
              </w:rPr>
              <w:t>http://zjcredit.zjdpc.gov.cn/</w:t>
            </w:r>
            <w:r>
              <w:rPr>
                <w:rFonts w:hint="eastAsia" w:ascii="宋体" w:hAnsi="宋体"/>
                <w:szCs w:val="21"/>
              </w:rPr>
              <w:t>）网站企业查询结果网页截图，AAA级的得3分，AA级的得2分，A级的得1分</w:t>
            </w:r>
            <w:r>
              <w:rPr>
                <w:rFonts w:hint="eastAsia" w:ascii="宋体" w:hAnsi="宋体" w:cs="Arial"/>
                <w:snapToGrid w:val="0"/>
                <w:kern w:val="0"/>
                <w:szCs w:val="21"/>
              </w:rPr>
              <w:t>。</w:t>
            </w:r>
          </w:p>
        </w:tc>
        <w:tc>
          <w:tcPr>
            <w:tcW w:w="1322"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提供相关证书复印件，原件备查。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noWrap w:val="0"/>
            <w:vAlign w:val="center"/>
          </w:tcPr>
          <w:p>
            <w:pPr>
              <w:spacing w:line="320" w:lineRule="exact"/>
              <w:jc w:val="center"/>
              <w:rPr>
                <w:rFonts w:hint="eastAsia" w:ascii="宋体" w:hAnsi="宋体" w:eastAsia="宋体" w:cs="Arial"/>
                <w:snapToGrid w:val="0"/>
                <w:kern w:val="0"/>
                <w:szCs w:val="21"/>
                <w:lang w:eastAsia="zh-CN"/>
              </w:rPr>
            </w:pPr>
            <w:r>
              <w:rPr>
                <w:rFonts w:hint="eastAsia" w:ascii="宋体" w:hAnsi="宋体" w:cs="Arial"/>
                <w:snapToGrid w:val="0"/>
                <w:kern w:val="0"/>
                <w:szCs w:val="21"/>
              </w:rPr>
              <w:t>1</w:t>
            </w:r>
            <w:r>
              <w:rPr>
                <w:rFonts w:hint="eastAsia" w:ascii="宋体" w:hAnsi="宋体" w:cs="Arial"/>
                <w:snapToGrid w:val="0"/>
                <w:kern w:val="0"/>
                <w:szCs w:val="21"/>
                <w:lang w:val="en-US" w:eastAsia="zh-CN"/>
              </w:rPr>
              <w:t>2</w:t>
            </w:r>
          </w:p>
        </w:tc>
        <w:tc>
          <w:tcPr>
            <w:tcW w:w="900" w:type="dxa"/>
            <w:vMerge w:val="continue"/>
            <w:noWrap w:val="0"/>
            <w:vAlign w:val="center"/>
          </w:tcPr>
          <w:p>
            <w:pPr>
              <w:spacing w:line="320" w:lineRule="exact"/>
              <w:ind w:firstLine="315" w:firstLineChars="150"/>
              <w:rPr>
                <w:rFonts w:hint="eastAsia" w:ascii="宋体" w:hAnsi="宋体" w:cs="Arial"/>
                <w:snapToGrid w:val="0"/>
                <w:kern w:val="0"/>
                <w:szCs w:val="21"/>
              </w:rPr>
            </w:pPr>
          </w:p>
        </w:tc>
        <w:tc>
          <w:tcPr>
            <w:tcW w:w="1483"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权威认证3分</w:t>
            </w:r>
          </w:p>
        </w:tc>
        <w:tc>
          <w:tcPr>
            <w:tcW w:w="4505"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投标人通过ISO9001质量管理体系、ISO14000环境认证体系、GB/T28001职业健康安全管理体系认证并获得相关证书的，凭相关证书复印件每项得1分，最高3分。</w:t>
            </w:r>
          </w:p>
        </w:tc>
        <w:tc>
          <w:tcPr>
            <w:tcW w:w="1322"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提供相关证书复印件，原件备查。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noWrap w:val="0"/>
            <w:vAlign w:val="center"/>
          </w:tcPr>
          <w:p>
            <w:pPr>
              <w:spacing w:line="320" w:lineRule="exact"/>
              <w:jc w:val="center"/>
              <w:rPr>
                <w:rFonts w:hint="eastAsia" w:ascii="宋体" w:hAnsi="宋体" w:eastAsia="宋体" w:cs="Arial"/>
                <w:snapToGrid w:val="0"/>
                <w:kern w:val="0"/>
                <w:szCs w:val="21"/>
                <w:lang w:eastAsia="zh-CN"/>
              </w:rPr>
            </w:pPr>
            <w:r>
              <w:rPr>
                <w:rFonts w:hint="eastAsia" w:ascii="宋体" w:hAnsi="宋体" w:cs="Arial"/>
                <w:snapToGrid w:val="0"/>
                <w:kern w:val="0"/>
                <w:szCs w:val="21"/>
              </w:rPr>
              <w:t>1</w:t>
            </w:r>
            <w:r>
              <w:rPr>
                <w:rFonts w:hint="eastAsia" w:ascii="宋体" w:hAnsi="宋体" w:cs="Arial"/>
                <w:snapToGrid w:val="0"/>
                <w:kern w:val="0"/>
                <w:szCs w:val="21"/>
                <w:lang w:val="en-US" w:eastAsia="zh-CN"/>
              </w:rPr>
              <w:t>3</w:t>
            </w:r>
          </w:p>
        </w:tc>
        <w:tc>
          <w:tcPr>
            <w:tcW w:w="900" w:type="dxa"/>
            <w:vMerge w:val="continue"/>
            <w:noWrap w:val="0"/>
            <w:vAlign w:val="center"/>
          </w:tcPr>
          <w:p>
            <w:pPr>
              <w:spacing w:line="320" w:lineRule="exact"/>
              <w:ind w:firstLine="315" w:firstLineChars="150"/>
              <w:rPr>
                <w:rFonts w:hint="eastAsia" w:ascii="宋体" w:hAnsi="宋体" w:cs="Arial"/>
                <w:snapToGrid w:val="0"/>
                <w:kern w:val="0"/>
                <w:szCs w:val="21"/>
              </w:rPr>
            </w:pPr>
          </w:p>
        </w:tc>
        <w:tc>
          <w:tcPr>
            <w:tcW w:w="1483"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政策分3分</w:t>
            </w:r>
          </w:p>
        </w:tc>
        <w:tc>
          <w:tcPr>
            <w:tcW w:w="4505"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投标人为小</w:t>
            </w:r>
            <w:r>
              <w:rPr>
                <w:rFonts w:hint="eastAsia" w:ascii="宋体" w:hAnsi="宋体" w:cs="Arial"/>
                <w:snapToGrid w:val="0"/>
                <w:kern w:val="0"/>
                <w:szCs w:val="21"/>
                <w:lang w:eastAsia="zh-CN"/>
              </w:rPr>
              <w:t>微</w:t>
            </w:r>
            <w:r>
              <w:rPr>
                <w:rFonts w:hint="eastAsia" w:ascii="宋体" w:hAnsi="宋体" w:cs="Arial"/>
                <w:snapToGrid w:val="0"/>
                <w:kern w:val="0"/>
                <w:szCs w:val="21"/>
              </w:rPr>
              <w:t>企业的得3分</w:t>
            </w:r>
          </w:p>
        </w:tc>
        <w:tc>
          <w:tcPr>
            <w:tcW w:w="1322" w:type="dxa"/>
            <w:noWrap w:val="0"/>
            <w:vAlign w:val="center"/>
          </w:tcPr>
          <w:p>
            <w:pPr>
              <w:spacing w:line="320" w:lineRule="exact"/>
              <w:rPr>
                <w:rFonts w:hint="eastAsia" w:ascii="宋体" w:hAnsi="宋体" w:eastAsia="宋体" w:cs="Arial"/>
                <w:snapToGrid w:val="0"/>
                <w:kern w:val="0"/>
                <w:szCs w:val="21"/>
                <w:lang w:eastAsia="zh-CN"/>
              </w:rPr>
            </w:pPr>
            <w:r>
              <w:rPr>
                <w:rFonts w:hint="eastAsia" w:ascii="宋体" w:hAnsi="宋体" w:cs="Arial"/>
                <w:snapToGrid w:val="0"/>
                <w:kern w:val="0"/>
                <w:szCs w:val="21"/>
                <w:lang w:eastAsia="zh-CN"/>
              </w:rPr>
              <w:t>提供小微企业声明函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 w:hRule="atLeast"/>
        </w:trPr>
        <w:tc>
          <w:tcPr>
            <w:tcW w:w="850" w:type="dxa"/>
            <w:noWrap w:val="0"/>
            <w:vAlign w:val="center"/>
          </w:tcPr>
          <w:p>
            <w:pPr>
              <w:spacing w:line="320" w:lineRule="exact"/>
              <w:jc w:val="center"/>
              <w:rPr>
                <w:rFonts w:hint="eastAsia" w:ascii="宋体" w:hAnsi="宋体" w:eastAsia="宋体" w:cs="Arial"/>
                <w:snapToGrid w:val="0"/>
                <w:kern w:val="0"/>
                <w:szCs w:val="21"/>
                <w:lang w:eastAsia="zh-CN"/>
              </w:rPr>
            </w:pPr>
            <w:r>
              <w:rPr>
                <w:rFonts w:hint="eastAsia" w:ascii="宋体" w:hAnsi="宋体" w:cs="Arial"/>
                <w:snapToGrid w:val="0"/>
                <w:kern w:val="0"/>
                <w:szCs w:val="21"/>
              </w:rPr>
              <w:t>1</w:t>
            </w:r>
            <w:r>
              <w:rPr>
                <w:rFonts w:hint="eastAsia" w:ascii="宋体" w:hAnsi="宋体" w:cs="Arial"/>
                <w:snapToGrid w:val="0"/>
                <w:kern w:val="0"/>
                <w:szCs w:val="21"/>
                <w:lang w:val="en-US" w:eastAsia="zh-CN"/>
              </w:rPr>
              <w:t>4</w:t>
            </w:r>
          </w:p>
        </w:tc>
        <w:tc>
          <w:tcPr>
            <w:tcW w:w="900" w:type="dxa"/>
            <w:vMerge w:val="continue"/>
            <w:noWrap w:val="0"/>
            <w:vAlign w:val="center"/>
          </w:tcPr>
          <w:p>
            <w:pPr>
              <w:spacing w:line="320" w:lineRule="exact"/>
              <w:ind w:firstLine="315" w:firstLineChars="150"/>
              <w:rPr>
                <w:rFonts w:hint="eastAsia" w:ascii="宋体" w:hAnsi="宋体" w:cs="Arial"/>
                <w:snapToGrid w:val="0"/>
                <w:kern w:val="0"/>
                <w:szCs w:val="21"/>
              </w:rPr>
            </w:pPr>
          </w:p>
        </w:tc>
        <w:tc>
          <w:tcPr>
            <w:tcW w:w="1483" w:type="dxa"/>
            <w:noWrap w:val="0"/>
            <w:vAlign w:val="center"/>
          </w:tcPr>
          <w:p>
            <w:pPr>
              <w:spacing w:line="320" w:lineRule="exact"/>
              <w:jc w:val="center"/>
              <w:rPr>
                <w:rFonts w:hint="eastAsia" w:ascii="宋体" w:hAnsi="宋体" w:cs="Arial"/>
                <w:snapToGrid w:val="0"/>
                <w:kern w:val="0"/>
                <w:szCs w:val="21"/>
              </w:rPr>
            </w:pPr>
            <w:r>
              <w:rPr>
                <w:rFonts w:hint="eastAsia" w:ascii="宋体" w:hAnsi="宋体" w:cs="Arial"/>
                <w:snapToGrid w:val="0"/>
                <w:kern w:val="0"/>
                <w:szCs w:val="21"/>
              </w:rPr>
              <w:t>投标文件制作</w:t>
            </w:r>
            <w:r>
              <w:rPr>
                <w:rFonts w:hint="eastAsia" w:ascii="宋体" w:hAnsi="宋体" w:cs="Arial"/>
                <w:snapToGrid w:val="0"/>
                <w:kern w:val="0"/>
                <w:szCs w:val="21"/>
                <w:lang w:val="en-US" w:eastAsia="zh-CN"/>
              </w:rPr>
              <w:t>1</w:t>
            </w:r>
            <w:r>
              <w:rPr>
                <w:rFonts w:hint="eastAsia" w:ascii="宋体" w:hAnsi="宋体" w:cs="Arial"/>
                <w:snapToGrid w:val="0"/>
                <w:kern w:val="0"/>
                <w:szCs w:val="21"/>
              </w:rPr>
              <w:t>分</w:t>
            </w:r>
          </w:p>
        </w:tc>
        <w:tc>
          <w:tcPr>
            <w:tcW w:w="4505" w:type="dxa"/>
            <w:noWrap w:val="0"/>
            <w:vAlign w:val="center"/>
          </w:tcPr>
          <w:p>
            <w:pPr>
              <w:spacing w:line="320" w:lineRule="exact"/>
              <w:rPr>
                <w:rFonts w:hint="eastAsia" w:ascii="宋体" w:hAnsi="宋体" w:cs="Arial"/>
                <w:snapToGrid w:val="0"/>
                <w:kern w:val="0"/>
                <w:szCs w:val="21"/>
              </w:rPr>
            </w:pPr>
            <w:r>
              <w:rPr>
                <w:rFonts w:hint="eastAsia" w:ascii="宋体" w:hAnsi="宋体" w:cs="Arial"/>
                <w:snapToGrid w:val="0"/>
                <w:kern w:val="0"/>
                <w:szCs w:val="21"/>
              </w:rPr>
              <w:t>比较评分。</w:t>
            </w:r>
          </w:p>
        </w:tc>
        <w:tc>
          <w:tcPr>
            <w:tcW w:w="1322" w:type="dxa"/>
            <w:noWrap w:val="0"/>
            <w:vAlign w:val="center"/>
          </w:tcPr>
          <w:p>
            <w:pPr>
              <w:spacing w:line="320" w:lineRule="exact"/>
              <w:ind w:firstLine="315" w:firstLineChars="150"/>
              <w:rPr>
                <w:rFonts w:hint="eastAsia" w:ascii="宋体" w:hAnsi="宋体" w:cs="Arial"/>
                <w:snapToGrid w:val="0"/>
                <w:kern w:val="0"/>
                <w:szCs w:val="21"/>
              </w:rPr>
            </w:pPr>
          </w:p>
        </w:tc>
      </w:tr>
    </w:tbl>
    <w:p>
      <w:pPr>
        <w:pStyle w:val="33"/>
        <w:spacing w:line="480" w:lineRule="auto"/>
        <w:rPr>
          <w:rFonts w:hint="eastAsia"/>
        </w:rPr>
      </w:pPr>
    </w:p>
    <w:p>
      <w:pPr>
        <w:pStyle w:val="33"/>
        <w:spacing w:line="480" w:lineRule="auto"/>
        <w:rPr>
          <w:rFonts w:hint="eastAsia"/>
        </w:rPr>
      </w:pPr>
    </w:p>
    <w:p>
      <w:pPr>
        <w:pStyle w:val="33"/>
        <w:spacing w:line="480" w:lineRule="auto"/>
        <w:rPr>
          <w:rFonts w:hint="eastAsia"/>
        </w:rPr>
      </w:pPr>
    </w:p>
    <w:p>
      <w:pPr>
        <w:pStyle w:val="33"/>
        <w:spacing w:line="480" w:lineRule="auto"/>
        <w:rPr>
          <w:rFonts w:hint="eastAsia"/>
        </w:rPr>
      </w:pPr>
    </w:p>
    <w:p>
      <w:pPr>
        <w:pStyle w:val="33"/>
        <w:spacing w:line="480" w:lineRule="auto"/>
        <w:rPr>
          <w:rFonts w:hint="eastAsia"/>
        </w:rPr>
      </w:pPr>
    </w:p>
    <w:p>
      <w:pPr>
        <w:pStyle w:val="33"/>
        <w:spacing w:line="480" w:lineRule="auto"/>
        <w:rPr>
          <w:rFonts w:hint="eastAsia"/>
        </w:rPr>
      </w:pPr>
    </w:p>
    <w:p>
      <w:pPr>
        <w:pStyle w:val="33"/>
        <w:spacing w:line="480" w:lineRule="auto"/>
        <w:rPr>
          <w:rFonts w:hint="eastAsia"/>
        </w:rPr>
      </w:pPr>
    </w:p>
    <w:p>
      <w:pPr>
        <w:pStyle w:val="33"/>
        <w:spacing w:line="480" w:lineRule="auto"/>
        <w:rPr>
          <w:rFonts w:hint="eastAsia"/>
        </w:rPr>
      </w:pPr>
    </w:p>
    <w:p>
      <w:pPr>
        <w:pStyle w:val="33"/>
        <w:spacing w:line="480" w:lineRule="auto"/>
        <w:rPr>
          <w:rFonts w:hint="eastAsia"/>
        </w:rPr>
      </w:pPr>
    </w:p>
    <w:p>
      <w:pPr>
        <w:pStyle w:val="33"/>
        <w:spacing w:line="480" w:lineRule="auto"/>
        <w:rPr>
          <w:rFonts w:hint="eastAsia"/>
        </w:rPr>
      </w:pPr>
    </w:p>
    <w:p>
      <w:pPr>
        <w:pStyle w:val="33"/>
        <w:spacing w:line="480" w:lineRule="auto"/>
        <w:rPr>
          <w:rFonts w:hint="eastAsia"/>
        </w:rPr>
      </w:pPr>
      <w:r>
        <w:rPr>
          <w:rFonts w:hint="eastAsia"/>
        </w:rPr>
        <w:t>第五章  合同主要条款（仅供参考）</w:t>
      </w:r>
      <w:bookmarkEnd w:id="13"/>
    </w:p>
    <w:p>
      <w:pPr>
        <w:ind w:firstLine="560" w:firstLineChars="200"/>
        <w:jc w:val="center"/>
        <w:rPr>
          <w:rFonts w:hint="eastAsia" w:ascii="宋体" w:hAnsi="宋体"/>
          <w:sz w:val="28"/>
          <w:szCs w:val="28"/>
        </w:rPr>
      </w:pPr>
      <w:r>
        <w:rPr>
          <w:rFonts w:hint="eastAsia" w:ascii="宋体" w:hAnsi="宋体"/>
          <w:sz w:val="28"/>
          <w:szCs w:val="28"/>
        </w:rPr>
        <w:t>安吉县政府采购合同（货物）</w:t>
      </w: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项目名称：                                       项目编号：</w:t>
      </w:r>
    </w:p>
    <w:p>
      <w:pPr>
        <w:ind w:firstLine="420" w:firstLineChars="200"/>
        <w:rPr>
          <w:rFonts w:hint="eastAsia" w:ascii="宋体" w:hAnsi="宋体"/>
          <w:szCs w:val="21"/>
        </w:rPr>
      </w:pPr>
      <w:r>
        <w:rPr>
          <w:rFonts w:hint="eastAsia" w:ascii="宋体" w:hAnsi="宋体"/>
          <w:szCs w:val="21"/>
        </w:rPr>
        <w:t>甲方：（买方）</w:t>
      </w:r>
    </w:p>
    <w:p>
      <w:pPr>
        <w:ind w:firstLine="420" w:firstLineChars="200"/>
        <w:rPr>
          <w:rFonts w:hint="eastAsia" w:ascii="宋体" w:hAnsi="宋体"/>
          <w:szCs w:val="21"/>
        </w:rPr>
      </w:pPr>
      <w:r>
        <w:rPr>
          <w:rFonts w:hint="eastAsia" w:ascii="宋体" w:hAnsi="宋体"/>
          <w:szCs w:val="21"/>
        </w:rPr>
        <w:t>乙方：（卖方）</w:t>
      </w:r>
    </w:p>
    <w:p>
      <w:pPr>
        <w:pStyle w:val="23"/>
        <w:snapToGrid w:val="0"/>
        <w:spacing w:before="120" w:after="120"/>
        <w:ind w:firstLine="420" w:firstLineChars="200"/>
        <w:rPr>
          <w:rFonts w:hint="eastAsia" w:hAnsi="宋体"/>
          <w:sz w:val="21"/>
          <w:szCs w:val="21"/>
        </w:rPr>
      </w:pPr>
      <w:r>
        <w:rPr>
          <w:rFonts w:hint="eastAsia" w:hAnsi="宋体"/>
          <w:sz w:val="21"/>
          <w:szCs w:val="21"/>
        </w:rPr>
        <w:t>甲、乙双方根据甲中心关于**********政府采购项目公开招标的结果，签署本合同。</w:t>
      </w:r>
    </w:p>
    <w:p>
      <w:pPr>
        <w:ind w:firstLine="420" w:firstLineChars="200"/>
        <w:rPr>
          <w:rFonts w:hint="eastAsia" w:ascii="宋体" w:hAnsi="宋体"/>
          <w:szCs w:val="21"/>
        </w:rPr>
      </w:pPr>
      <w:r>
        <w:rPr>
          <w:rFonts w:hint="eastAsia" w:ascii="宋体" w:hAnsi="宋体"/>
          <w:szCs w:val="21"/>
        </w:rPr>
        <w:t>一、货物内容</w:t>
      </w:r>
    </w:p>
    <w:p>
      <w:pPr>
        <w:ind w:firstLine="420" w:firstLineChars="200"/>
        <w:rPr>
          <w:rFonts w:hint="eastAsia" w:ascii="宋体" w:hAnsi="宋体"/>
          <w:szCs w:val="21"/>
        </w:rPr>
      </w:pPr>
      <w:r>
        <w:rPr>
          <w:rFonts w:hint="eastAsia" w:ascii="宋体" w:hAnsi="宋体"/>
          <w:szCs w:val="21"/>
        </w:rPr>
        <w:t>1. 货物名称：</w:t>
      </w:r>
    </w:p>
    <w:p>
      <w:pPr>
        <w:ind w:firstLine="420" w:firstLineChars="200"/>
        <w:rPr>
          <w:rFonts w:hint="eastAsia" w:ascii="宋体" w:hAnsi="宋体"/>
          <w:szCs w:val="21"/>
        </w:rPr>
      </w:pPr>
      <w:r>
        <w:rPr>
          <w:rFonts w:hint="eastAsia" w:ascii="宋体" w:hAnsi="宋体"/>
          <w:szCs w:val="21"/>
        </w:rPr>
        <w:t>2. 型号规格：</w:t>
      </w:r>
    </w:p>
    <w:p>
      <w:pPr>
        <w:ind w:firstLine="420" w:firstLineChars="200"/>
        <w:rPr>
          <w:rFonts w:hint="eastAsia" w:ascii="宋体" w:hAnsi="宋体"/>
          <w:szCs w:val="21"/>
        </w:rPr>
      </w:pPr>
      <w:r>
        <w:rPr>
          <w:rFonts w:hint="eastAsia" w:ascii="宋体" w:hAnsi="宋体"/>
          <w:szCs w:val="21"/>
        </w:rPr>
        <w:t>3. 技术参数：</w:t>
      </w:r>
    </w:p>
    <w:p>
      <w:pPr>
        <w:ind w:firstLine="420" w:firstLineChars="200"/>
        <w:rPr>
          <w:rFonts w:hint="eastAsia" w:ascii="宋体" w:hAnsi="宋体"/>
          <w:szCs w:val="21"/>
        </w:rPr>
      </w:pPr>
      <w:r>
        <w:rPr>
          <w:rFonts w:hint="eastAsia" w:ascii="宋体" w:hAnsi="宋体"/>
          <w:szCs w:val="21"/>
        </w:rPr>
        <w:t>4. 数量（单位）：</w:t>
      </w:r>
    </w:p>
    <w:p>
      <w:pPr>
        <w:ind w:firstLine="420" w:firstLineChars="200"/>
        <w:rPr>
          <w:rFonts w:hint="eastAsia" w:ascii="宋体" w:hAnsi="宋体"/>
          <w:szCs w:val="21"/>
        </w:rPr>
      </w:pPr>
      <w:r>
        <w:rPr>
          <w:rFonts w:hint="eastAsia" w:ascii="宋体" w:hAnsi="宋体"/>
          <w:szCs w:val="21"/>
        </w:rPr>
        <w:t>二、合同金额</w:t>
      </w:r>
    </w:p>
    <w:p>
      <w:pPr>
        <w:ind w:firstLine="420" w:firstLineChars="200"/>
        <w:rPr>
          <w:rFonts w:hint="eastAsia" w:ascii="宋体" w:hAnsi="宋体"/>
          <w:szCs w:val="21"/>
        </w:rPr>
      </w:pPr>
      <w:r>
        <w:rPr>
          <w:rFonts w:hint="eastAsia" w:ascii="宋体" w:hAnsi="宋体"/>
          <w:szCs w:val="21"/>
        </w:rPr>
        <w:t xml:space="preserve"> 本合同金额为（大写）：____________________________元（￥_______________元）人民币。</w:t>
      </w:r>
    </w:p>
    <w:p>
      <w:pPr>
        <w:ind w:firstLine="420" w:firstLineChars="200"/>
        <w:rPr>
          <w:rFonts w:hint="eastAsia" w:ascii="宋体" w:hAnsi="宋体"/>
          <w:szCs w:val="21"/>
        </w:rPr>
      </w:pPr>
      <w:r>
        <w:rPr>
          <w:rFonts w:hint="eastAsia" w:ascii="宋体" w:hAnsi="宋体"/>
          <w:szCs w:val="21"/>
        </w:rPr>
        <w:t>三、技术资料</w:t>
      </w:r>
    </w:p>
    <w:p>
      <w:pPr>
        <w:ind w:firstLine="420" w:firstLineChars="200"/>
        <w:rPr>
          <w:rFonts w:hint="eastAsia" w:ascii="宋体" w:hAnsi="宋体"/>
          <w:szCs w:val="21"/>
        </w:rPr>
      </w:pPr>
      <w:r>
        <w:rPr>
          <w:rFonts w:hint="eastAsia" w:ascii="宋体" w:hAnsi="宋体"/>
          <w:szCs w:val="21"/>
        </w:rPr>
        <w:t>1.乙方应按招标文件规定的时间向甲方提供使用货物的有关技术资料。</w:t>
      </w:r>
    </w:p>
    <w:p>
      <w:pPr>
        <w:ind w:firstLine="420" w:firstLineChars="200"/>
        <w:rPr>
          <w:rFonts w:hint="eastAsia" w:ascii="宋体" w:hAnsi="宋体"/>
          <w:szCs w:val="21"/>
        </w:rPr>
      </w:pPr>
      <w:r>
        <w:rPr>
          <w:rFonts w:hint="eastAsia" w:ascii="宋体" w:hAnsi="宋体"/>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firstLine="420" w:firstLineChars="200"/>
        <w:rPr>
          <w:rFonts w:hint="eastAsia" w:ascii="宋体" w:hAnsi="宋体"/>
          <w:szCs w:val="21"/>
        </w:rPr>
      </w:pPr>
      <w:r>
        <w:rPr>
          <w:rFonts w:hint="eastAsia" w:ascii="宋体" w:hAnsi="宋体"/>
          <w:szCs w:val="21"/>
        </w:rPr>
        <w:t>四、知识产权</w:t>
      </w:r>
    </w:p>
    <w:p>
      <w:pPr>
        <w:ind w:firstLine="420" w:firstLineChars="200"/>
        <w:rPr>
          <w:rFonts w:hint="eastAsia" w:ascii="宋体" w:hAnsi="宋体"/>
          <w:szCs w:val="21"/>
        </w:rPr>
      </w:pPr>
      <w:r>
        <w:rPr>
          <w:rFonts w:hint="eastAsia" w:ascii="宋体" w:hAnsi="宋体"/>
          <w:szCs w:val="21"/>
        </w:rPr>
        <w:t>乙方应保证所提供的货物或其任何一部分均不会侵犯任何第三方的知识产权。</w:t>
      </w:r>
    </w:p>
    <w:p>
      <w:pPr>
        <w:ind w:firstLine="420" w:firstLineChars="200"/>
        <w:rPr>
          <w:rFonts w:hint="eastAsia" w:ascii="宋体" w:hAnsi="宋体"/>
          <w:szCs w:val="21"/>
        </w:rPr>
      </w:pPr>
      <w:r>
        <w:rPr>
          <w:rFonts w:hint="eastAsia" w:ascii="宋体" w:hAnsi="宋体"/>
          <w:szCs w:val="21"/>
        </w:rPr>
        <w:t>五、产权担保</w:t>
      </w:r>
    </w:p>
    <w:p>
      <w:pPr>
        <w:ind w:firstLine="420" w:firstLineChars="200"/>
        <w:rPr>
          <w:rFonts w:hint="eastAsia" w:ascii="宋体" w:hAnsi="宋体"/>
          <w:szCs w:val="21"/>
        </w:rPr>
      </w:pPr>
      <w:r>
        <w:rPr>
          <w:rFonts w:hint="eastAsia" w:ascii="宋体" w:hAnsi="宋体"/>
          <w:szCs w:val="21"/>
        </w:rPr>
        <w:t>乙方保证所交付的货物的所有权完全属于乙方且无任何抵押、查封等产权瑕疵。</w:t>
      </w:r>
    </w:p>
    <w:p>
      <w:pPr>
        <w:ind w:firstLine="420" w:firstLineChars="200"/>
        <w:rPr>
          <w:rFonts w:hint="eastAsia" w:ascii="宋体" w:hAnsi="宋体"/>
          <w:szCs w:val="21"/>
        </w:rPr>
      </w:pPr>
      <w:r>
        <w:rPr>
          <w:rFonts w:hint="eastAsia" w:ascii="宋体" w:hAnsi="宋体"/>
          <w:szCs w:val="21"/>
        </w:rPr>
        <w:t>六、履约保证金</w:t>
      </w:r>
    </w:p>
    <w:p>
      <w:pPr>
        <w:ind w:firstLine="420" w:firstLineChars="200"/>
        <w:rPr>
          <w:rFonts w:hint="eastAsia" w:ascii="宋体" w:hAnsi="宋体"/>
          <w:szCs w:val="21"/>
        </w:rPr>
      </w:pPr>
      <w:r>
        <w:rPr>
          <w:rFonts w:hint="eastAsia" w:ascii="宋体" w:hAnsi="宋体"/>
          <w:szCs w:val="21"/>
        </w:rPr>
        <w:t>乙方交纳人民币  △元作为本合同的履约保证金。</w:t>
      </w:r>
    </w:p>
    <w:p>
      <w:pPr>
        <w:ind w:firstLine="420" w:firstLineChars="200"/>
        <w:rPr>
          <w:rFonts w:hint="eastAsia" w:ascii="宋体" w:hAnsi="宋体"/>
          <w:szCs w:val="21"/>
        </w:rPr>
      </w:pPr>
      <w:r>
        <w:rPr>
          <w:rFonts w:hint="eastAsia" w:ascii="宋体" w:hAnsi="宋体"/>
          <w:szCs w:val="21"/>
        </w:rPr>
        <w:t>七、转包或分包</w:t>
      </w:r>
    </w:p>
    <w:p>
      <w:pPr>
        <w:ind w:firstLine="420" w:firstLineChars="200"/>
        <w:rPr>
          <w:rFonts w:hint="eastAsia" w:ascii="宋体" w:hAnsi="宋体"/>
          <w:szCs w:val="21"/>
        </w:rPr>
      </w:pPr>
      <w:r>
        <w:rPr>
          <w:rFonts w:hint="eastAsia" w:ascii="宋体" w:hAnsi="宋体"/>
          <w:szCs w:val="21"/>
        </w:rPr>
        <w:t>1.本合同范围的货物，应由乙方直接供应，不得转让他人供应；</w:t>
      </w:r>
    </w:p>
    <w:p>
      <w:pPr>
        <w:ind w:firstLine="420" w:firstLineChars="200"/>
        <w:rPr>
          <w:rFonts w:hint="eastAsia" w:ascii="宋体" w:hAnsi="宋体"/>
          <w:szCs w:val="21"/>
        </w:rPr>
      </w:pPr>
      <w:r>
        <w:rPr>
          <w:rFonts w:hint="eastAsia" w:ascii="宋体" w:hAnsi="宋体"/>
          <w:szCs w:val="21"/>
        </w:rPr>
        <w:t>2.除非得到甲方的书面同意，乙方不得将本合同范围的货物全部或部分分包给他人供应；</w:t>
      </w:r>
    </w:p>
    <w:p>
      <w:pPr>
        <w:ind w:firstLine="420" w:firstLineChars="200"/>
        <w:rPr>
          <w:rFonts w:hint="eastAsia" w:ascii="宋体" w:hAnsi="宋体"/>
          <w:szCs w:val="21"/>
        </w:rPr>
      </w:pPr>
      <w:r>
        <w:rPr>
          <w:rFonts w:hint="eastAsia" w:ascii="宋体" w:hAnsi="宋体"/>
          <w:szCs w:val="21"/>
        </w:rPr>
        <w:t>3.如有转让和未经甲方同意的分包行为，甲方有权解除合同，没收履约保证金并追究乙方的违约责任。</w:t>
      </w:r>
    </w:p>
    <w:p>
      <w:pPr>
        <w:ind w:firstLine="420" w:firstLineChars="200"/>
        <w:rPr>
          <w:rFonts w:hint="eastAsia" w:ascii="宋体" w:hAnsi="宋体"/>
          <w:szCs w:val="21"/>
        </w:rPr>
      </w:pPr>
      <w:r>
        <w:rPr>
          <w:rFonts w:hint="eastAsia" w:ascii="宋体" w:hAnsi="宋体"/>
          <w:szCs w:val="21"/>
        </w:rPr>
        <w:t>八、质保期和质保金</w:t>
      </w:r>
    </w:p>
    <w:p>
      <w:pPr>
        <w:ind w:firstLine="420" w:firstLineChars="200"/>
        <w:rPr>
          <w:rFonts w:hint="eastAsia" w:ascii="宋体" w:hAnsi="宋体"/>
          <w:szCs w:val="21"/>
        </w:rPr>
      </w:pPr>
      <w:r>
        <w:rPr>
          <w:rFonts w:hint="eastAsia" w:ascii="宋体" w:hAnsi="宋体"/>
          <w:szCs w:val="21"/>
        </w:rPr>
        <w:t>1. 质保期   年。（自交货验收合格之日起计）</w:t>
      </w:r>
    </w:p>
    <w:p>
      <w:pPr>
        <w:ind w:firstLine="420" w:firstLineChars="200"/>
        <w:rPr>
          <w:rFonts w:hint="eastAsia" w:ascii="宋体" w:hAnsi="宋体"/>
          <w:szCs w:val="21"/>
        </w:rPr>
      </w:pPr>
      <w:r>
        <w:rPr>
          <w:rFonts w:hint="eastAsia" w:ascii="宋体" w:hAnsi="宋体"/>
          <w:szCs w:val="21"/>
        </w:rPr>
        <w:t>2. 质保金   元。</w:t>
      </w:r>
    </w:p>
    <w:p>
      <w:pPr>
        <w:ind w:firstLine="420" w:firstLineChars="200"/>
        <w:rPr>
          <w:rFonts w:hint="eastAsia" w:ascii="宋体" w:hAnsi="宋体"/>
          <w:szCs w:val="21"/>
        </w:rPr>
      </w:pPr>
      <w:r>
        <w:rPr>
          <w:rFonts w:hint="eastAsia" w:ascii="宋体" w:hAnsi="宋体"/>
          <w:szCs w:val="21"/>
        </w:rPr>
        <w:t>九、交货期、交货方式及交货地点</w:t>
      </w:r>
    </w:p>
    <w:p>
      <w:pPr>
        <w:ind w:firstLine="420" w:firstLineChars="200"/>
        <w:rPr>
          <w:rFonts w:hint="eastAsia" w:ascii="宋体" w:hAnsi="宋体"/>
          <w:szCs w:val="21"/>
        </w:rPr>
      </w:pPr>
      <w:r>
        <w:rPr>
          <w:rFonts w:hint="eastAsia" w:ascii="宋体" w:hAnsi="宋体"/>
          <w:szCs w:val="21"/>
        </w:rPr>
        <w:t>1. 交货期：</w:t>
      </w:r>
    </w:p>
    <w:p>
      <w:pPr>
        <w:ind w:firstLine="420" w:firstLineChars="200"/>
        <w:rPr>
          <w:rFonts w:hint="eastAsia" w:ascii="宋体" w:hAnsi="宋体"/>
          <w:szCs w:val="21"/>
        </w:rPr>
      </w:pPr>
      <w:r>
        <w:rPr>
          <w:rFonts w:hint="eastAsia" w:ascii="宋体" w:hAnsi="宋体"/>
          <w:szCs w:val="21"/>
        </w:rPr>
        <w:t>2. 交货方式：</w:t>
      </w:r>
    </w:p>
    <w:p>
      <w:pPr>
        <w:ind w:firstLine="420" w:firstLineChars="200"/>
        <w:rPr>
          <w:rFonts w:hint="eastAsia" w:ascii="宋体" w:hAnsi="宋体"/>
          <w:szCs w:val="21"/>
        </w:rPr>
      </w:pPr>
      <w:r>
        <w:rPr>
          <w:rFonts w:hint="eastAsia" w:ascii="宋体" w:hAnsi="宋体"/>
          <w:szCs w:val="21"/>
        </w:rPr>
        <w:t>3. 交货地点：</w:t>
      </w:r>
    </w:p>
    <w:p>
      <w:pPr>
        <w:ind w:firstLine="420" w:firstLineChars="200"/>
        <w:rPr>
          <w:rFonts w:hint="eastAsia" w:ascii="宋体" w:hAnsi="宋体"/>
          <w:szCs w:val="21"/>
        </w:rPr>
      </w:pPr>
      <w:r>
        <w:rPr>
          <w:rFonts w:hint="eastAsia" w:ascii="宋体" w:hAnsi="宋体"/>
          <w:szCs w:val="21"/>
        </w:rPr>
        <w:t>十、货款支付</w:t>
      </w:r>
    </w:p>
    <w:p>
      <w:pPr>
        <w:ind w:firstLine="420" w:firstLineChars="200"/>
        <w:rPr>
          <w:rFonts w:hint="eastAsia" w:ascii="宋体" w:hAnsi="宋体"/>
          <w:szCs w:val="21"/>
        </w:rPr>
      </w:pPr>
      <w:r>
        <w:rPr>
          <w:rFonts w:hint="eastAsia" w:ascii="宋体" w:hAnsi="宋体"/>
          <w:szCs w:val="21"/>
        </w:rPr>
        <w:t>1. 付款方式：</w:t>
      </w:r>
    </w:p>
    <w:p>
      <w:pPr>
        <w:ind w:firstLine="420" w:firstLineChars="200"/>
        <w:rPr>
          <w:rFonts w:hint="eastAsia" w:ascii="宋体" w:hAnsi="宋体"/>
          <w:szCs w:val="21"/>
        </w:rPr>
      </w:pPr>
      <w:r>
        <w:rPr>
          <w:rFonts w:hint="eastAsia" w:ascii="宋体" w:hAnsi="宋体"/>
          <w:szCs w:val="21"/>
        </w:rPr>
        <w:t>2.当采购数量与实际使用数量不一致时，乙方应根据实际使用量供货，合同的最终结算金额按实际使用量乘以成交单价进行计算。</w:t>
      </w:r>
    </w:p>
    <w:p>
      <w:pPr>
        <w:ind w:firstLine="420" w:firstLineChars="200"/>
        <w:rPr>
          <w:rFonts w:hint="eastAsia" w:ascii="宋体" w:hAnsi="宋体"/>
          <w:szCs w:val="21"/>
        </w:rPr>
      </w:pPr>
      <w:r>
        <w:rPr>
          <w:rFonts w:hint="eastAsia" w:ascii="宋体" w:hAnsi="宋体"/>
          <w:szCs w:val="21"/>
        </w:rPr>
        <w:t>十一、税费</w:t>
      </w:r>
    </w:p>
    <w:p>
      <w:pPr>
        <w:ind w:firstLine="420" w:firstLineChars="200"/>
        <w:rPr>
          <w:rFonts w:hint="eastAsia" w:ascii="宋体" w:hAnsi="宋体"/>
          <w:szCs w:val="21"/>
        </w:rPr>
      </w:pPr>
      <w:r>
        <w:rPr>
          <w:rFonts w:hint="eastAsia" w:ascii="宋体" w:hAnsi="宋体"/>
          <w:szCs w:val="21"/>
        </w:rPr>
        <w:t>本合同执行中相关的一切税费均由乙方负担。</w:t>
      </w:r>
    </w:p>
    <w:p>
      <w:pPr>
        <w:ind w:firstLine="420" w:firstLineChars="200"/>
        <w:rPr>
          <w:rFonts w:hint="eastAsia" w:ascii="宋体" w:hAnsi="宋体"/>
          <w:szCs w:val="21"/>
        </w:rPr>
      </w:pPr>
      <w:r>
        <w:rPr>
          <w:rFonts w:hint="eastAsia" w:ascii="宋体" w:hAnsi="宋体"/>
          <w:szCs w:val="21"/>
        </w:rPr>
        <w:t>十二、质量保证及售后服务</w:t>
      </w:r>
    </w:p>
    <w:p>
      <w:pPr>
        <w:ind w:firstLine="420" w:firstLineChars="200"/>
        <w:rPr>
          <w:rFonts w:hint="eastAsia" w:ascii="宋体" w:hAnsi="宋体"/>
          <w:szCs w:val="21"/>
        </w:rPr>
      </w:pPr>
      <w:r>
        <w:rPr>
          <w:rFonts w:hint="eastAsia" w:ascii="宋体" w:hAnsi="宋体"/>
          <w:szCs w:val="21"/>
        </w:rPr>
        <w:t>1. 乙方应按招标文件规定的货物性能、技术要求、质量标准向甲方提供未经使用的全新产品。</w:t>
      </w:r>
    </w:p>
    <w:p>
      <w:pPr>
        <w:ind w:firstLine="420" w:firstLineChars="200"/>
        <w:rPr>
          <w:rFonts w:hint="eastAsia" w:ascii="宋体" w:hAnsi="宋体"/>
          <w:szCs w:val="21"/>
        </w:rPr>
      </w:pPr>
      <w:r>
        <w:rPr>
          <w:rFonts w:hint="eastAsia" w:ascii="宋体" w:hAnsi="宋体"/>
          <w:szCs w:val="21"/>
        </w:rPr>
        <w:t>2. 乙方提供的货物在质保期内因货物本身的质量问题发生故障，乙方应负责免费更换。对达不到技术要求者，根据实际情况，经双方协商，可按以下办法处理：</w:t>
      </w:r>
    </w:p>
    <w:p>
      <w:pPr>
        <w:ind w:firstLine="420" w:firstLineChars="200"/>
        <w:rPr>
          <w:rFonts w:hint="eastAsia" w:ascii="宋体" w:hAnsi="宋体"/>
          <w:szCs w:val="21"/>
        </w:rPr>
      </w:pPr>
      <w:r>
        <w:rPr>
          <w:rFonts w:hint="eastAsia" w:ascii="宋体" w:hAnsi="宋体"/>
          <w:szCs w:val="21"/>
        </w:rPr>
        <w:t>⑴更换：由乙方承担所发生的全部费用。</w:t>
      </w:r>
    </w:p>
    <w:p>
      <w:pPr>
        <w:ind w:firstLine="420" w:firstLineChars="200"/>
        <w:rPr>
          <w:rFonts w:hint="eastAsia" w:ascii="宋体" w:hAnsi="宋体"/>
          <w:szCs w:val="21"/>
        </w:rPr>
      </w:pPr>
      <w:r>
        <w:rPr>
          <w:rFonts w:hint="eastAsia" w:ascii="宋体" w:hAnsi="宋体"/>
          <w:szCs w:val="21"/>
        </w:rPr>
        <w:t>⑵贬值处理：由甲乙双方合议定价。</w:t>
      </w:r>
    </w:p>
    <w:p>
      <w:pPr>
        <w:ind w:firstLine="420" w:firstLineChars="200"/>
        <w:rPr>
          <w:rFonts w:hint="eastAsia" w:ascii="宋体" w:hAnsi="宋体"/>
          <w:szCs w:val="21"/>
        </w:rPr>
      </w:pPr>
      <w:r>
        <w:rPr>
          <w:rFonts w:hint="eastAsia" w:ascii="宋体" w:hAnsi="宋体"/>
          <w:szCs w:val="21"/>
        </w:rPr>
        <w:t>⑶退货处理：乙方应退还甲方支付的合同款，同时应承担该货物的直接费用（运输、保险、检验、货款利息及银行手续费等）。</w:t>
      </w:r>
    </w:p>
    <w:p>
      <w:pPr>
        <w:ind w:firstLine="420" w:firstLineChars="200"/>
        <w:rPr>
          <w:rFonts w:hint="eastAsia" w:ascii="宋体" w:hAnsi="宋体"/>
          <w:szCs w:val="21"/>
        </w:rPr>
      </w:pPr>
      <w:r>
        <w:rPr>
          <w:rFonts w:hint="eastAsia" w:ascii="宋体" w:hAnsi="宋体"/>
          <w:szCs w:val="21"/>
        </w:rPr>
        <w:t>3. 如在使用过程中发生质量问题，乙方在接到甲方通知后在△小时内到达甲方现场。</w:t>
      </w:r>
    </w:p>
    <w:p>
      <w:pPr>
        <w:ind w:firstLine="420" w:firstLineChars="200"/>
        <w:rPr>
          <w:rFonts w:hint="eastAsia" w:ascii="宋体" w:hAnsi="宋体"/>
          <w:szCs w:val="21"/>
        </w:rPr>
      </w:pPr>
      <w:r>
        <w:rPr>
          <w:rFonts w:hint="eastAsia" w:ascii="宋体" w:hAnsi="宋体"/>
          <w:szCs w:val="21"/>
        </w:rPr>
        <w:t>4. 在质保期内，乙方应对货物出现的质量及安全问题负责处理解决并承担一切费用。</w:t>
      </w:r>
    </w:p>
    <w:p>
      <w:pPr>
        <w:ind w:firstLine="420" w:firstLineChars="200"/>
        <w:rPr>
          <w:rFonts w:hint="eastAsia" w:ascii="宋体" w:hAnsi="宋体"/>
          <w:szCs w:val="21"/>
        </w:rPr>
      </w:pPr>
      <w:r>
        <w:rPr>
          <w:rFonts w:hint="eastAsia" w:ascii="宋体" w:hAnsi="宋体"/>
          <w:szCs w:val="21"/>
        </w:rPr>
        <w:t>5.上述的货物免费保修期为     年，因人为因素出现的故障不在免费保修范围内。超过保修期的机器设备，终生维修，维修时只收部件成本费。</w:t>
      </w:r>
    </w:p>
    <w:p>
      <w:pPr>
        <w:ind w:firstLine="420" w:firstLineChars="200"/>
        <w:rPr>
          <w:rFonts w:hint="eastAsia" w:ascii="宋体" w:hAnsi="宋体"/>
          <w:szCs w:val="21"/>
        </w:rPr>
      </w:pPr>
      <w:r>
        <w:rPr>
          <w:rFonts w:hint="eastAsia" w:ascii="宋体" w:hAnsi="宋体"/>
          <w:szCs w:val="21"/>
        </w:rPr>
        <w:t>十三、调试和验收</w:t>
      </w:r>
    </w:p>
    <w:p>
      <w:pPr>
        <w:ind w:firstLine="420" w:firstLineChars="200"/>
        <w:rPr>
          <w:rFonts w:hint="eastAsia" w:ascii="宋体" w:hAnsi="宋体"/>
          <w:szCs w:val="21"/>
        </w:rPr>
      </w:pPr>
      <w:r>
        <w:rPr>
          <w:rFonts w:hint="eastAsia" w:ascii="宋体" w:hAnsi="宋体"/>
          <w:szCs w:val="21"/>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ind w:firstLine="420" w:firstLineChars="200"/>
        <w:rPr>
          <w:rFonts w:hint="eastAsia" w:ascii="宋体" w:hAnsi="宋体"/>
          <w:szCs w:val="21"/>
        </w:rPr>
      </w:pPr>
      <w:r>
        <w:rPr>
          <w:rFonts w:hint="eastAsia" w:ascii="宋体" w:hAnsi="宋体"/>
          <w:szCs w:val="21"/>
        </w:rPr>
        <w:t>2. 乙方交货前应对产品作出全面检查和对验收文件进行整理，并列出清单，作为甲方收货验收和使用的技术条件依据，检验的结果应随货物交甲方。</w:t>
      </w:r>
    </w:p>
    <w:p>
      <w:pPr>
        <w:ind w:firstLine="420" w:firstLineChars="200"/>
        <w:rPr>
          <w:rFonts w:hint="eastAsia" w:ascii="宋体" w:hAnsi="宋体"/>
          <w:szCs w:val="21"/>
        </w:rPr>
      </w:pPr>
      <w:r>
        <w:rPr>
          <w:rFonts w:hint="eastAsia" w:ascii="宋体" w:hAnsi="宋体"/>
          <w:szCs w:val="21"/>
        </w:rPr>
        <w:t>3. 甲方对乙方提供的货物在使用前进行调试时，乙方需负责安装并培训甲方的使用操作人员，并协助甲方一起调试，直到符合技术要求，甲方才做最终验收。</w:t>
      </w:r>
    </w:p>
    <w:p>
      <w:pPr>
        <w:ind w:firstLine="420" w:firstLineChars="200"/>
        <w:rPr>
          <w:rFonts w:hint="eastAsia" w:ascii="宋体" w:hAnsi="宋体"/>
          <w:szCs w:val="21"/>
        </w:rPr>
      </w:pPr>
      <w:r>
        <w:rPr>
          <w:rFonts w:hint="eastAsia" w:ascii="宋体" w:hAnsi="宋体"/>
          <w:szCs w:val="21"/>
        </w:rPr>
        <w:t>4. 对技术复杂的货物，甲方应请国家认可的专业检测机构参与初步验收及最终验收，并由其出具质量检测报告。</w:t>
      </w:r>
    </w:p>
    <w:p>
      <w:pPr>
        <w:ind w:firstLine="420" w:firstLineChars="200"/>
        <w:rPr>
          <w:rFonts w:hint="eastAsia" w:ascii="宋体" w:hAnsi="宋体"/>
          <w:szCs w:val="21"/>
        </w:rPr>
      </w:pPr>
      <w:r>
        <w:rPr>
          <w:rFonts w:hint="eastAsia" w:ascii="宋体" w:hAnsi="宋体"/>
          <w:szCs w:val="21"/>
        </w:rPr>
        <w:t>5. 验收时乙方必须在现场，验收完毕后作出验收结果报告；验收费用由乙方负责。</w:t>
      </w:r>
    </w:p>
    <w:p>
      <w:pPr>
        <w:ind w:firstLine="420" w:firstLineChars="200"/>
        <w:rPr>
          <w:rFonts w:hint="eastAsia" w:ascii="宋体" w:hAnsi="宋体"/>
          <w:szCs w:val="21"/>
        </w:rPr>
      </w:pPr>
      <w:r>
        <w:rPr>
          <w:rFonts w:hint="eastAsia" w:ascii="宋体" w:hAnsi="宋体"/>
          <w:szCs w:val="21"/>
        </w:rPr>
        <w:t>十四、货物包装、发运及运输</w:t>
      </w:r>
    </w:p>
    <w:p>
      <w:pPr>
        <w:ind w:firstLine="420" w:firstLineChars="200"/>
        <w:rPr>
          <w:rFonts w:hint="eastAsia" w:ascii="宋体" w:hAnsi="宋体"/>
          <w:szCs w:val="21"/>
        </w:rPr>
      </w:pPr>
      <w:r>
        <w:rPr>
          <w:rFonts w:hint="eastAsia" w:ascii="宋体" w:hAnsi="宋体"/>
          <w:szCs w:val="21"/>
        </w:rPr>
        <w:t>1. 乙方应在货物发运前对其进行满足运输距离、防潮、防震、防锈和防破损装卸等要求包装，以保证货物安全运达甲方指定地点。</w:t>
      </w:r>
    </w:p>
    <w:p>
      <w:pPr>
        <w:ind w:firstLine="420" w:firstLineChars="200"/>
        <w:rPr>
          <w:rFonts w:hint="eastAsia" w:ascii="宋体" w:hAnsi="宋体"/>
          <w:szCs w:val="21"/>
        </w:rPr>
      </w:pPr>
      <w:r>
        <w:rPr>
          <w:rFonts w:hint="eastAsia" w:ascii="宋体" w:hAnsi="宋体"/>
          <w:szCs w:val="21"/>
        </w:rPr>
        <w:t>2. 使用说明书、质量检验证明书、随配附件和工具以及清单一并附于货物内。</w:t>
      </w:r>
    </w:p>
    <w:p>
      <w:pPr>
        <w:ind w:firstLine="420" w:firstLineChars="200"/>
        <w:rPr>
          <w:rFonts w:hint="eastAsia" w:ascii="宋体" w:hAnsi="宋体"/>
          <w:szCs w:val="21"/>
        </w:rPr>
      </w:pPr>
      <w:r>
        <w:rPr>
          <w:rFonts w:hint="eastAsia" w:ascii="宋体" w:hAnsi="宋体"/>
          <w:szCs w:val="21"/>
        </w:rPr>
        <w:t>3. 乙方在货物发运手续办理完毕后24小时内或货到甲方48小时前通知甲方，以准备接货。</w:t>
      </w:r>
    </w:p>
    <w:p>
      <w:pPr>
        <w:ind w:firstLine="420" w:firstLineChars="200"/>
        <w:rPr>
          <w:rFonts w:hint="eastAsia" w:ascii="宋体" w:hAnsi="宋体"/>
          <w:szCs w:val="21"/>
        </w:rPr>
      </w:pPr>
      <w:r>
        <w:rPr>
          <w:rFonts w:hint="eastAsia" w:ascii="宋体" w:hAnsi="宋体"/>
          <w:szCs w:val="21"/>
        </w:rPr>
        <w:t>4. 货物在交付甲方前发生的风险均由乙方负责。</w:t>
      </w:r>
    </w:p>
    <w:p>
      <w:pPr>
        <w:ind w:firstLine="420" w:firstLineChars="200"/>
        <w:rPr>
          <w:rFonts w:hint="eastAsia" w:ascii="宋体" w:hAnsi="宋体"/>
          <w:szCs w:val="21"/>
        </w:rPr>
      </w:pPr>
      <w:r>
        <w:rPr>
          <w:rFonts w:hint="eastAsia" w:ascii="宋体" w:hAnsi="宋体"/>
          <w:szCs w:val="21"/>
        </w:rPr>
        <w:t>5. 货物在规定的交付期限内由乙方送达甲方指定的地点视为交付，乙方同时需通知甲方货物已送达。</w:t>
      </w:r>
    </w:p>
    <w:p>
      <w:pPr>
        <w:ind w:firstLine="420" w:firstLineChars="200"/>
        <w:rPr>
          <w:rFonts w:hint="eastAsia" w:ascii="宋体" w:hAnsi="宋体"/>
          <w:szCs w:val="21"/>
        </w:rPr>
      </w:pPr>
      <w:r>
        <w:rPr>
          <w:rFonts w:hint="eastAsia" w:ascii="宋体" w:hAnsi="宋体"/>
          <w:szCs w:val="21"/>
        </w:rPr>
        <w:t>十五、违约责任</w:t>
      </w:r>
    </w:p>
    <w:p>
      <w:pPr>
        <w:ind w:firstLine="420" w:firstLineChars="200"/>
        <w:rPr>
          <w:rFonts w:hint="eastAsia" w:ascii="宋体" w:hAnsi="宋体"/>
          <w:szCs w:val="21"/>
        </w:rPr>
      </w:pPr>
      <w:r>
        <w:rPr>
          <w:rFonts w:hint="eastAsia" w:ascii="宋体" w:hAnsi="宋体"/>
          <w:szCs w:val="21"/>
        </w:rPr>
        <w:t>1. 甲方无正当理由拒收货物的，甲方向乙方偿付拒收货款总值的百分之五违约金。</w:t>
      </w:r>
    </w:p>
    <w:p>
      <w:pPr>
        <w:ind w:firstLine="420" w:firstLineChars="200"/>
        <w:rPr>
          <w:rFonts w:hint="eastAsia" w:ascii="宋体" w:hAnsi="宋体"/>
          <w:szCs w:val="21"/>
        </w:rPr>
      </w:pPr>
      <w:r>
        <w:rPr>
          <w:rFonts w:hint="eastAsia" w:ascii="宋体" w:hAnsi="宋体"/>
          <w:szCs w:val="21"/>
        </w:rPr>
        <w:t>2. 甲方无故逾期验收和办理货款支付手续的,甲方应按逾期付款总额每日万分之五向乙方支付违约金。</w:t>
      </w:r>
    </w:p>
    <w:p>
      <w:pPr>
        <w:ind w:firstLine="420" w:firstLineChars="200"/>
        <w:rPr>
          <w:rFonts w:hint="eastAsia" w:ascii="宋体" w:hAnsi="宋体"/>
          <w:szCs w:val="21"/>
        </w:rPr>
      </w:pPr>
      <w:r>
        <w:rPr>
          <w:rFonts w:hint="eastAsia" w:ascii="宋体" w:hAnsi="宋体"/>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ind w:firstLine="420" w:firstLineChars="200"/>
        <w:rPr>
          <w:rFonts w:hint="eastAsia" w:ascii="宋体" w:hAnsi="宋体"/>
          <w:szCs w:val="21"/>
        </w:rPr>
      </w:pPr>
      <w:r>
        <w:rPr>
          <w:rFonts w:hint="eastAsia" w:ascii="宋体" w:hAnsi="宋体"/>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firstLine="420" w:firstLineChars="200"/>
        <w:rPr>
          <w:rFonts w:hint="eastAsia" w:ascii="宋体" w:hAnsi="宋体"/>
          <w:szCs w:val="21"/>
        </w:rPr>
      </w:pPr>
      <w:r>
        <w:rPr>
          <w:rFonts w:hint="eastAsia" w:ascii="宋体" w:hAnsi="宋体"/>
          <w:szCs w:val="21"/>
        </w:rPr>
        <w:t>十六、不可抗力事件处理</w:t>
      </w:r>
    </w:p>
    <w:p>
      <w:pPr>
        <w:ind w:firstLine="420" w:firstLineChars="200"/>
        <w:rPr>
          <w:rFonts w:hint="eastAsia" w:ascii="宋体" w:hAnsi="宋体"/>
          <w:szCs w:val="21"/>
        </w:rPr>
      </w:pPr>
      <w:r>
        <w:rPr>
          <w:rFonts w:hint="eastAsia" w:ascii="宋体" w:hAnsi="宋体"/>
          <w:szCs w:val="21"/>
        </w:rPr>
        <w:t>1. 在合同有效期内，任何一方因不可抗力事件导致不能履行合同，则合同履行期可延长，其延长期与不可抗力影响期相同。</w:t>
      </w:r>
    </w:p>
    <w:p>
      <w:pPr>
        <w:ind w:firstLine="420" w:firstLineChars="200"/>
        <w:rPr>
          <w:rFonts w:hint="eastAsia" w:ascii="宋体" w:hAnsi="宋体"/>
          <w:szCs w:val="21"/>
        </w:rPr>
      </w:pPr>
      <w:r>
        <w:rPr>
          <w:rFonts w:hint="eastAsia" w:ascii="宋体" w:hAnsi="宋体"/>
          <w:szCs w:val="21"/>
        </w:rPr>
        <w:t>2. 不可抗力事件发生后，应立即通知对方，并寄送有关权威机构出具的证明。</w:t>
      </w:r>
    </w:p>
    <w:p>
      <w:pPr>
        <w:ind w:firstLine="420" w:firstLineChars="200"/>
        <w:rPr>
          <w:rFonts w:hint="eastAsia" w:ascii="宋体" w:hAnsi="宋体"/>
          <w:szCs w:val="21"/>
        </w:rPr>
      </w:pPr>
      <w:r>
        <w:rPr>
          <w:rFonts w:hint="eastAsia" w:ascii="宋体" w:hAnsi="宋体"/>
          <w:szCs w:val="21"/>
        </w:rPr>
        <w:t>3. 不可抗力事件延续120天以上，双方应通过友好协商，确定是否继续履行合同。</w:t>
      </w:r>
    </w:p>
    <w:p>
      <w:pPr>
        <w:ind w:firstLine="420" w:firstLineChars="200"/>
        <w:rPr>
          <w:rFonts w:hint="eastAsia" w:ascii="宋体" w:hAnsi="宋体"/>
          <w:szCs w:val="21"/>
        </w:rPr>
      </w:pPr>
      <w:r>
        <w:rPr>
          <w:rFonts w:hint="eastAsia" w:ascii="宋体" w:hAnsi="宋体"/>
          <w:szCs w:val="21"/>
        </w:rPr>
        <w:t>十七、诉讼</w:t>
      </w:r>
    </w:p>
    <w:p>
      <w:pPr>
        <w:ind w:firstLine="420" w:firstLineChars="200"/>
        <w:rPr>
          <w:rFonts w:hint="eastAsia" w:ascii="宋体" w:hAnsi="宋体"/>
          <w:szCs w:val="21"/>
        </w:rPr>
      </w:pPr>
      <w:r>
        <w:rPr>
          <w:rFonts w:hint="eastAsia" w:ascii="宋体" w:hAnsi="宋体"/>
          <w:szCs w:val="21"/>
        </w:rPr>
        <w:t xml:space="preserve"> 双方在执行合同中所发生的一切争议，应通过协商解决。如协商不成，可向甲方所在地法院起诉。</w:t>
      </w:r>
    </w:p>
    <w:p>
      <w:pPr>
        <w:ind w:firstLine="420" w:firstLineChars="200"/>
        <w:rPr>
          <w:rFonts w:hint="eastAsia" w:ascii="宋体" w:hAnsi="宋体"/>
          <w:szCs w:val="21"/>
        </w:rPr>
      </w:pPr>
      <w:r>
        <w:rPr>
          <w:rFonts w:hint="eastAsia" w:ascii="宋体" w:hAnsi="宋体"/>
          <w:szCs w:val="21"/>
        </w:rPr>
        <w:t>十八、合同生效及其它</w:t>
      </w:r>
    </w:p>
    <w:p>
      <w:pPr>
        <w:ind w:firstLine="420" w:firstLineChars="200"/>
        <w:rPr>
          <w:rFonts w:hint="eastAsia" w:ascii="宋体" w:hAnsi="宋体"/>
          <w:szCs w:val="21"/>
        </w:rPr>
      </w:pPr>
      <w:r>
        <w:rPr>
          <w:rFonts w:hint="eastAsia" w:ascii="宋体" w:hAnsi="宋体"/>
          <w:szCs w:val="21"/>
        </w:rPr>
        <w:t>1. 合同经双方法定代表人或授权代表签字并加盖单位公章后生效。</w:t>
      </w:r>
    </w:p>
    <w:p>
      <w:pPr>
        <w:ind w:firstLine="420" w:firstLineChars="200"/>
        <w:rPr>
          <w:rFonts w:hint="eastAsia" w:ascii="宋体" w:hAnsi="宋体"/>
          <w:szCs w:val="21"/>
        </w:rPr>
      </w:pPr>
      <w:r>
        <w:rPr>
          <w:rFonts w:hint="eastAsia" w:ascii="宋体" w:hAnsi="宋体"/>
          <w:szCs w:val="21"/>
        </w:rPr>
        <w:t>2.合同执行中涉及采购资金和采购内容修改或补充的，须经财政部门审批，并签书面补充协议报</w:t>
      </w:r>
      <w:r>
        <w:rPr>
          <w:rFonts w:hint="eastAsia" w:ascii="宋体" w:hAnsi="宋体"/>
          <w:szCs w:val="21"/>
          <w:lang w:eastAsia="zh-CN"/>
        </w:rPr>
        <w:t>安吉县公共资源交易中心</w:t>
      </w:r>
      <w:r>
        <w:rPr>
          <w:rFonts w:hint="eastAsia" w:ascii="宋体" w:hAnsi="宋体"/>
          <w:szCs w:val="21"/>
        </w:rPr>
        <w:t>及政府采购监督管理部门备案，方可作为主合同不可分割的一部分。</w:t>
      </w:r>
    </w:p>
    <w:p>
      <w:pPr>
        <w:ind w:firstLine="420" w:firstLineChars="200"/>
        <w:rPr>
          <w:rFonts w:hint="eastAsia" w:ascii="宋体" w:hAnsi="宋体"/>
          <w:szCs w:val="21"/>
        </w:rPr>
      </w:pPr>
      <w:r>
        <w:rPr>
          <w:rFonts w:hint="eastAsia" w:ascii="宋体" w:hAnsi="宋体"/>
          <w:szCs w:val="21"/>
        </w:rPr>
        <w:t>3.本合同未尽事宜，遵照《合同法》有关条文执行。</w:t>
      </w:r>
    </w:p>
    <w:p>
      <w:pPr>
        <w:ind w:firstLine="420" w:firstLineChars="200"/>
        <w:rPr>
          <w:rFonts w:hint="eastAsia" w:ascii="宋体" w:hAnsi="宋体"/>
          <w:szCs w:val="21"/>
        </w:rPr>
      </w:pPr>
      <w:r>
        <w:rPr>
          <w:rFonts w:hint="eastAsia" w:ascii="宋体" w:hAnsi="宋体"/>
          <w:szCs w:val="21"/>
        </w:rPr>
        <w:t>4.本合同正本一式四份，具有同等法律效力，甲方执一份，乙方执一份；安吉县采购中心、县监管部门各执一份。</w:t>
      </w:r>
    </w:p>
    <w:p>
      <w:pPr>
        <w:ind w:firstLine="420" w:firstLineChars="200"/>
        <w:rPr>
          <w:rFonts w:hint="eastAsia" w:ascii="宋体" w:hAnsi="宋体"/>
          <w:szCs w:val="21"/>
        </w:rPr>
      </w:pPr>
    </w:p>
    <w:p>
      <w:pPr>
        <w:rPr>
          <w:rFonts w:hint="eastAsia" w:ascii="宋体" w:hAnsi="宋体"/>
          <w:szCs w:val="21"/>
        </w:rPr>
      </w:pPr>
      <w:r>
        <w:rPr>
          <w:rFonts w:hint="eastAsia" w:ascii="宋体" w:hAnsi="宋体"/>
          <w:szCs w:val="21"/>
        </w:rPr>
        <w:t>甲方：</w:t>
      </w:r>
      <w:r>
        <w:rPr>
          <w:rFonts w:ascii="宋体" w:hAnsi="宋体"/>
          <w:szCs w:val="21"/>
        </w:rPr>
        <w:t xml:space="preserve">                                 </w:t>
      </w:r>
      <w:r>
        <w:rPr>
          <w:rFonts w:hint="eastAsia" w:ascii="宋体" w:hAnsi="宋体"/>
          <w:szCs w:val="21"/>
        </w:rPr>
        <w:t xml:space="preserve">        乙方：</w:t>
      </w:r>
      <w:r>
        <w:rPr>
          <w:rFonts w:ascii="宋体" w:hAnsi="宋体"/>
          <w:szCs w:val="21"/>
        </w:rPr>
        <w:t xml:space="preserve">        </w:t>
      </w:r>
    </w:p>
    <w:p>
      <w:pPr>
        <w:rPr>
          <w:rFonts w:hint="eastAsia" w:ascii="宋体" w:hAnsi="宋体"/>
          <w:szCs w:val="21"/>
        </w:rPr>
      </w:pPr>
      <w:r>
        <w:rPr>
          <w:rFonts w:hint="eastAsia" w:ascii="宋体" w:hAnsi="宋体"/>
          <w:szCs w:val="21"/>
        </w:rPr>
        <w:t>地址：</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地址：</w:t>
      </w:r>
      <w:r>
        <w:rPr>
          <w:rFonts w:ascii="宋体" w:hAnsi="宋体"/>
          <w:szCs w:val="21"/>
        </w:rPr>
        <w:t xml:space="preserve">   </w:t>
      </w:r>
    </w:p>
    <w:p>
      <w:pPr>
        <w:rPr>
          <w:rFonts w:ascii="宋体" w:hAnsi="宋体"/>
          <w:szCs w:val="21"/>
        </w:rPr>
      </w:pPr>
      <w:r>
        <w:rPr>
          <w:rFonts w:hint="eastAsia" w:ascii="宋体" w:hAnsi="宋体"/>
          <w:szCs w:val="21"/>
        </w:rPr>
        <w:t>法定（授权）代表人：                           法定（授权）代表人：</w:t>
      </w:r>
    </w:p>
    <w:p>
      <w:pPr>
        <w:rPr>
          <w:rFonts w:hint="eastAsia" w:ascii="宋体" w:hAnsi="宋体"/>
          <w:szCs w:val="21"/>
        </w:rPr>
      </w:pPr>
      <w:r>
        <w:rPr>
          <w:rFonts w:hint="eastAsia" w:ascii="宋体" w:hAnsi="宋体"/>
          <w:szCs w:val="21"/>
        </w:rPr>
        <w:t xml:space="preserve">联系方式：                                     联系方式：  </w:t>
      </w:r>
    </w:p>
    <w:p>
      <w:pPr>
        <w:rPr>
          <w:rFonts w:hint="eastAsia" w:ascii="宋体" w:hAnsi="宋体"/>
          <w:szCs w:val="21"/>
        </w:rPr>
      </w:pPr>
      <w:r>
        <w:rPr>
          <w:rFonts w:hint="eastAsia" w:ascii="宋体" w:hAnsi="宋体"/>
          <w:szCs w:val="21"/>
        </w:rPr>
        <w:t xml:space="preserve">开户行：                                       开户行： </w:t>
      </w:r>
    </w:p>
    <w:p>
      <w:pPr>
        <w:rPr>
          <w:rFonts w:hint="eastAsia" w:ascii="宋体" w:hAnsi="宋体"/>
          <w:szCs w:val="21"/>
        </w:rPr>
      </w:pPr>
      <w:r>
        <w:rPr>
          <w:rFonts w:hint="eastAsia" w:ascii="宋体" w:hAnsi="宋体"/>
          <w:szCs w:val="21"/>
        </w:rPr>
        <w:t xml:space="preserve">账号：                                         账号：                           </w:t>
      </w:r>
    </w:p>
    <w:p>
      <w:pPr>
        <w:rPr>
          <w:rFonts w:hint="eastAsia" w:ascii="宋体" w:hAnsi="宋体"/>
          <w:szCs w:val="21"/>
        </w:rPr>
      </w:pPr>
      <w:r>
        <w:rPr>
          <w:rFonts w:hint="eastAsia" w:ascii="宋体" w:hAnsi="宋体"/>
          <w:szCs w:val="21"/>
        </w:rPr>
        <w:t>签字日期：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 xml:space="preserve">                 签字日期：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 xml:space="preserve">    </w:t>
      </w:r>
    </w:p>
    <w:p>
      <w:pPr>
        <w:ind w:firstLine="525" w:firstLineChars="250"/>
        <w:rPr>
          <w:rFonts w:hint="eastAsia" w:ascii="宋体" w:hAnsi="宋体"/>
          <w:szCs w:val="21"/>
        </w:rPr>
      </w:pPr>
      <w:r>
        <w:rPr>
          <w:rFonts w:hint="eastAsia" w:ascii="宋体" w:hAnsi="宋体"/>
          <w:szCs w:val="21"/>
        </w:rPr>
        <w:t xml:space="preserve">   </w:t>
      </w:r>
    </w:p>
    <w:p>
      <w:pPr>
        <w:ind w:firstLine="420" w:firstLineChars="200"/>
        <w:rPr>
          <w:rFonts w:hint="eastAsia" w:ascii="宋体" w:hAnsi="宋体"/>
          <w:szCs w:val="21"/>
        </w:rPr>
      </w:pPr>
      <w:r>
        <w:rPr>
          <w:rFonts w:hint="eastAsia" w:ascii="宋体" w:hAnsi="宋体"/>
          <w:szCs w:val="21"/>
        </w:rPr>
        <w:t xml:space="preserve"> 合同鉴证方:</w:t>
      </w:r>
    </w:p>
    <w:p>
      <w:pPr>
        <w:ind w:firstLine="525" w:firstLineChars="250"/>
        <w:rPr>
          <w:rFonts w:hint="eastAsia" w:ascii="宋体" w:hAnsi="宋体"/>
          <w:szCs w:val="21"/>
        </w:rPr>
      </w:pPr>
      <w:r>
        <w:rPr>
          <w:rFonts w:hint="eastAsia" w:ascii="宋体" w:hAnsi="宋体"/>
          <w:szCs w:val="21"/>
        </w:rPr>
        <w:t>法定代表人或主要负责人:</w:t>
      </w:r>
    </w:p>
    <w:p>
      <w:pPr>
        <w:ind w:firstLine="525" w:firstLineChars="250"/>
        <w:rPr>
          <w:rFonts w:hint="eastAsia" w:ascii="宋体" w:hAnsi="宋体"/>
          <w:szCs w:val="21"/>
        </w:rPr>
      </w:pPr>
      <w:r>
        <w:rPr>
          <w:rFonts w:hint="eastAsia" w:ascii="宋体" w:hAnsi="宋体"/>
          <w:szCs w:val="21"/>
        </w:rPr>
        <w:t>鉴证日期:</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pStyle w:val="33"/>
        <w:spacing w:line="480" w:lineRule="auto"/>
        <w:rPr>
          <w:rFonts w:hint="eastAsia"/>
        </w:rPr>
      </w:pPr>
      <w:bookmarkStart w:id="14" w:name="_Toc452125562"/>
    </w:p>
    <w:p>
      <w:pPr>
        <w:pStyle w:val="33"/>
        <w:spacing w:line="480" w:lineRule="auto"/>
        <w:rPr>
          <w:rFonts w:hint="eastAsia"/>
        </w:rPr>
      </w:pPr>
    </w:p>
    <w:p>
      <w:pPr>
        <w:pStyle w:val="33"/>
        <w:spacing w:line="480" w:lineRule="auto"/>
        <w:rPr>
          <w:rFonts w:hint="eastAsia"/>
        </w:rPr>
      </w:pPr>
    </w:p>
    <w:p>
      <w:pPr>
        <w:pStyle w:val="33"/>
        <w:spacing w:line="480" w:lineRule="auto"/>
        <w:rPr>
          <w:rFonts w:hint="eastAsia"/>
        </w:rPr>
      </w:pPr>
      <w:r>
        <w:rPr>
          <w:rFonts w:hint="eastAsia"/>
        </w:rPr>
        <w:t>第六章  投标文件格式附件</w:t>
      </w:r>
      <w:bookmarkEnd w:id="14"/>
    </w:p>
    <w:p>
      <w:pPr>
        <w:rPr>
          <w:rFonts w:ascii="宋体" w:hAnsi="宋体"/>
          <w:b/>
          <w:szCs w:val="21"/>
        </w:rPr>
      </w:pPr>
      <w:r>
        <w:rPr>
          <w:rFonts w:hint="eastAsia" w:ascii="宋体" w:hAnsi="宋体"/>
          <w:b/>
          <w:sz w:val="28"/>
          <w:szCs w:val="28"/>
        </w:rPr>
        <w:t xml:space="preserve">附件1：  </w:t>
      </w:r>
      <w:r>
        <w:rPr>
          <w:rFonts w:hint="eastAsia" w:ascii="宋体" w:hAnsi="宋体"/>
          <w:b/>
          <w:szCs w:val="21"/>
        </w:rPr>
        <w:t xml:space="preserve">                                                     正本或副本</w:t>
      </w:r>
    </w:p>
    <w:p>
      <w:pPr>
        <w:ind w:firstLine="525" w:firstLineChars="250"/>
        <w:rPr>
          <w:rFonts w:ascii="宋体" w:hAnsi="宋体"/>
          <w:szCs w:val="21"/>
        </w:rPr>
      </w:pPr>
      <w:r>
        <w:rPr>
          <w:rFonts w:ascii="宋体" w:hAnsi="宋体"/>
          <w:szCs w:val="21"/>
        </w:rPr>
        <w:t xml:space="preserve">                                            </w:t>
      </w:r>
    </w:p>
    <w:p>
      <w:pPr>
        <w:ind w:firstLine="525" w:firstLineChars="250"/>
        <w:jc w:val="center"/>
        <w:rPr>
          <w:rFonts w:ascii="宋体" w:hAnsi="宋体"/>
          <w:szCs w:val="21"/>
        </w:rPr>
      </w:pPr>
      <w:r>
        <w:rPr>
          <w:rFonts w:hint="eastAsia" w:ascii="宋体" w:hAnsi="宋体"/>
          <w:szCs w:val="21"/>
        </w:rPr>
        <w:t>***项目名称</w:t>
      </w:r>
    </w:p>
    <w:p>
      <w:pPr>
        <w:ind w:firstLine="525" w:firstLineChars="250"/>
        <w:jc w:val="center"/>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AJGK2019-016</w:t>
      </w:r>
    </w:p>
    <w:p>
      <w:pPr>
        <w:spacing w:after="100" w:afterAutospacing="1"/>
        <w:ind w:right="-108"/>
        <w:jc w:val="center"/>
        <w:rPr>
          <w:rFonts w:hint="eastAsia" w:ascii="宋体" w:hAnsi="宋体"/>
          <w:b/>
          <w:spacing w:val="40"/>
          <w:sz w:val="44"/>
          <w:szCs w:val="44"/>
        </w:rPr>
      </w:pPr>
    </w:p>
    <w:p>
      <w:pPr>
        <w:spacing w:after="100" w:afterAutospacing="1"/>
        <w:ind w:right="-108"/>
        <w:jc w:val="center"/>
        <w:rPr>
          <w:rFonts w:hint="eastAsia" w:ascii="宋体" w:hAnsi="宋体"/>
          <w:b/>
          <w:spacing w:val="40"/>
          <w:sz w:val="44"/>
          <w:szCs w:val="44"/>
        </w:rPr>
      </w:pPr>
    </w:p>
    <w:p>
      <w:pPr>
        <w:spacing w:after="100" w:afterAutospacing="1"/>
        <w:ind w:right="-108"/>
        <w:jc w:val="center"/>
        <w:rPr>
          <w:rFonts w:ascii="宋体" w:hAnsi="宋体"/>
          <w:b/>
          <w:spacing w:val="40"/>
          <w:sz w:val="44"/>
          <w:szCs w:val="44"/>
        </w:rPr>
      </w:pPr>
      <w:r>
        <w:rPr>
          <w:rFonts w:hint="eastAsia" w:ascii="宋体" w:hAnsi="宋体"/>
          <w:b/>
          <w:spacing w:val="40"/>
          <w:sz w:val="44"/>
          <w:szCs w:val="44"/>
        </w:rPr>
        <w:t>资</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信</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及</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商</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务</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文</w:t>
      </w:r>
    </w:p>
    <w:p>
      <w:pPr>
        <w:spacing w:after="100" w:afterAutospacing="1"/>
        <w:ind w:right="-108"/>
        <w:jc w:val="center"/>
        <w:rPr>
          <w:rFonts w:hint="eastAsia" w:ascii="宋体" w:hAnsi="宋体"/>
          <w:b/>
          <w:spacing w:val="40"/>
          <w:sz w:val="44"/>
          <w:szCs w:val="44"/>
        </w:rPr>
      </w:pPr>
      <w:r>
        <w:rPr>
          <w:rFonts w:hint="eastAsia" w:ascii="宋体" w:hAnsi="宋体"/>
          <w:b/>
          <w:spacing w:val="40"/>
          <w:sz w:val="44"/>
          <w:szCs w:val="44"/>
        </w:rPr>
        <w:t>件</w:t>
      </w:r>
    </w:p>
    <w:p>
      <w:pPr>
        <w:spacing w:after="100" w:afterAutospacing="1"/>
        <w:ind w:right="-108"/>
        <w:jc w:val="center"/>
        <w:rPr>
          <w:rFonts w:hint="eastAsia" w:ascii="宋体" w:hAnsi="宋体"/>
          <w:b/>
          <w:spacing w:val="40"/>
          <w:sz w:val="44"/>
          <w:szCs w:val="44"/>
        </w:rPr>
      </w:pPr>
    </w:p>
    <w:p>
      <w:pPr>
        <w:spacing w:after="100" w:afterAutospacing="1"/>
        <w:ind w:right="-108"/>
        <w:jc w:val="center"/>
        <w:rPr>
          <w:rFonts w:hint="eastAsia" w:ascii="宋体" w:hAnsi="宋体"/>
          <w:b/>
          <w:spacing w:val="40"/>
          <w:sz w:val="44"/>
          <w:szCs w:val="44"/>
        </w:rPr>
      </w:pPr>
    </w:p>
    <w:p>
      <w:pPr>
        <w:ind w:firstLine="525" w:firstLineChars="250"/>
        <w:rPr>
          <w:rFonts w:ascii="宋体" w:hAnsi="宋体"/>
          <w:szCs w:val="21"/>
        </w:rPr>
      </w:pPr>
      <w:r>
        <w:rPr>
          <w:rFonts w:hint="eastAsia" w:ascii="宋体" w:hAnsi="宋体"/>
          <w:szCs w:val="21"/>
        </w:rPr>
        <w:t>单位全称（公章）：</w:t>
      </w:r>
    </w:p>
    <w:p>
      <w:pPr>
        <w:ind w:firstLine="525" w:firstLineChars="250"/>
        <w:rPr>
          <w:rFonts w:ascii="宋体" w:hAnsi="宋体"/>
          <w:szCs w:val="21"/>
        </w:rPr>
      </w:pPr>
      <w:r>
        <w:rPr>
          <w:rFonts w:hint="eastAsia" w:ascii="宋体" w:hAnsi="宋体"/>
          <w:szCs w:val="21"/>
        </w:rPr>
        <w:t>地    址：</w:t>
      </w:r>
    </w:p>
    <w:p>
      <w:pPr>
        <w:ind w:firstLine="525" w:firstLineChars="250"/>
        <w:rPr>
          <w:rFonts w:ascii="宋体" w:hAnsi="宋体"/>
          <w:szCs w:val="21"/>
        </w:rPr>
      </w:pPr>
      <w:r>
        <w:rPr>
          <w:rFonts w:hint="eastAsia" w:ascii="宋体" w:hAnsi="宋体"/>
          <w:szCs w:val="21"/>
        </w:rPr>
        <w:t>时    间：</w:t>
      </w:r>
    </w:p>
    <w:p>
      <w:pPr>
        <w:snapToGrid w:val="0"/>
        <w:spacing w:before="50" w:after="50"/>
        <w:rPr>
          <w:rFonts w:hint="eastAsia" w:ascii="宋体" w:hAnsi="宋体"/>
          <w:sz w:val="32"/>
          <w:szCs w:val="32"/>
        </w:rPr>
      </w:pPr>
      <w:bookmarkStart w:id="15" w:name="_Toc249866813"/>
    </w:p>
    <w:p>
      <w:pPr>
        <w:snapToGrid w:val="0"/>
        <w:spacing w:before="50" w:after="50"/>
        <w:rPr>
          <w:rFonts w:hint="eastAsia" w:ascii="宋体" w:hAnsi="宋体"/>
          <w:sz w:val="32"/>
          <w:szCs w:val="32"/>
        </w:rPr>
      </w:pPr>
    </w:p>
    <w:p>
      <w:pPr>
        <w:snapToGrid w:val="0"/>
        <w:spacing w:before="50" w:after="50"/>
        <w:rPr>
          <w:rFonts w:hint="eastAsia" w:ascii="宋体" w:hAnsi="宋体"/>
          <w:b/>
          <w:szCs w:val="21"/>
        </w:rPr>
      </w:pPr>
    </w:p>
    <w:p>
      <w:pPr>
        <w:snapToGrid w:val="0"/>
        <w:spacing w:before="50" w:after="50"/>
        <w:rPr>
          <w:rFonts w:ascii="宋体" w:hAnsi="宋体"/>
          <w:b/>
          <w:szCs w:val="21"/>
        </w:rPr>
      </w:pPr>
      <w:r>
        <w:rPr>
          <w:rFonts w:hint="eastAsia" w:ascii="宋体" w:hAnsi="宋体"/>
          <w:b/>
          <w:szCs w:val="21"/>
        </w:rPr>
        <w:t>1.资信及商务文件目录</w:t>
      </w:r>
    </w:p>
    <w:p>
      <w:pPr>
        <w:snapToGrid w:val="0"/>
        <w:spacing w:before="50" w:after="50"/>
        <w:rPr>
          <w:rFonts w:ascii="宋体" w:hAnsi="宋体"/>
          <w:b/>
          <w:szCs w:val="21"/>
        </w:rPr>
      </w:pPr>
    </w:p>
    <w:p>
      <w:pPr>
        <w:spacing w:line="300" w:lineRule="exact"/>
        <w:ind w:firstLine="422" w:firstLineChars="200"/>
        <w:rPr>
          <w:rFonts w:hint="eastAsia" w:ascii="宋体" w:hAnsi="宋体"/>
          <w:szCs w:val="21"/>
        </w:rPr>
      </w:pPr>
      <w:r>
        <w:rPr>
          <w:rFonts w:hint="eastAsia" w:ascii="宋体" w:hAnsi="宋体"/>
          <w:b/>
          <w:szCs w:val="21"/>
        </w:rPr>
        <w:t xml:space="preserve"> </w:t>
      </w:r>
      <w:r>
        <w:rPr>
          <w:rFonts w:hint="eastAsia" w:ascii="宋体" w:hAnsi="宋体"/>
          <w:b/>
          <w:szCs w:val="21"/>
        </w:rPr>
        <w:t>A、资信文件：</w:t>
      </w:r>
    </w:p>
    <w:p>
      <w:pPr>
        <w:spacing w:line="300" w:lineRule="exact"/>
        <w:ind w:firstLine="420" w:firstLineChars="200"/>
        <w:rPr>
          <w:rFonts w:hint="eastAsia" w:ascii="宋体" w:hAnsi="宋体"/>
          <w:szCs w:val="21"/>
        </w:rPr>
      </w:pPr>
      <w:r>
        <w:rPr>
          <w:rFonts w:hint="eastAsia" w:ascii="宋体" w:hAnsi="宋体"/>
          <w:szCs w:val="21"/>
        </w:rPr>
        <w:t>（1）投标声明书(格式见附件)；</w:t>
      </w:r>
    </w:p>
    <w:p>
      <w:pPr>
        <w:spacing w:line="300" w:lineRule="exact"/>
        <w:ind w:firstLine="420" w:firstLineChars="200"/>
        <w:rPr>
          <w:rFonts w:hint="eastAsia" w:ascii="宋体" w:hAnsi="宋体"/>
          <w:szCs w:val="21"/>
        </w:rPr>
      </w:pPr>
      <w:r>
        <w:rPr>
          <w:rFonts w:hint="eastAsia" w:ascii="宋体" w:hAnsi="宋体"/>
          <w:szCs w:val="21"/>
        </w:rPr>
        <w:t>（2）法定代表人身份证明书(格式见附件)；</w:t>
      </w:r>
    </w:p>
    <w:p>
      <w:pPr>
        <w:spacing w:line="300" w:lineRule="exact"/>
        <w:ind w:firstLine="420" w:firstLineChars="200"/>
        <w:rPr>
          <w:rFonts w:hint="eastAsia" w:ascii="宋体" w:hAnsi="宋体"/>
          <w:szCs w:val="21"/>
        </w:rPr>
      </w:pPr>
      <w:r>
        <w:rPr>
          <w:rFonts w:hint="eastAsia" w:ascii="宋体" w:hAnsi="宋体"/>
          <w:szCs w:val="21"/>
        </w:rPr>
        <w:t>（3）法定代表人授权委托书(格式见附件)；</w:t>
      </w:r>
    </w:p>
    <w:p>
      <w:pPr>
        <w:spacing w:line="300" w:lineRule="exact"/>
        <w:ind w:firstLine="420" w:firstLineChars="200"/>
        <w:rPr>
          <w:rFonts w:hint="eastAsia" w:ascii="宋体" w:hAnsi="宋体" w:eastAsia="宋体"/>
          <w:szCs w:val="21"/>
          <w:lang w:eastAsia="zh-CN"/>
        </w:rPr>
      </w:pPr>
      <w:r>
        <w:rPr>
          <w:rFonts w:hint="eastAsia" w:ascii="宋体" w:hAnsi="宋体"/>
          <w:szCs w:val="21"/>
        </w:rPr>
        <w:t>（4）授权代表社保花名册或者社保缴费凭证</w:t>
      </w:r>
      <w:r>
        <w:rPr>
          <w:rFonts w:hint="eastAsia" w:ascii="宋体" w:hAnsi="宋体"/>
          <w:szCs w:val="21"/>
          <w:lang w:eastAsia="zh-CN"/>
        </w:rPr>
        <w:t>；</w:t>
      </w:r>
    </w:p>
    <w:p>
      <w:pPr>
        <w:spacing w:line="300" w:lineRule="exact"/>
        <w:ind w:firstLine="420" w:firstLineChars="200"/>
        <w:rPr>
          <w:rFonts w:hint="eastAsia" w:ascii="宋体" w:hAnsi="宋体"/>
          <w:szCs w:val="21"/>
        </w:rPr>
      </w:pPr>
      <w:r>
        <w:rPr>
          <w:rFonts w:hint="eastAsia" w:ascii="宋体" w:hAnsi="宋体"/>
          <w:szCs w:val="21"/>
        </w:rPr>
        <w:t>（5）最近一个季度依法缴纳税收和社保费的证明[税费凭证复印件，或者依法缴纳税费或依法免缴税费的证明（复印件加盖公章，格式自拟）]</w:t>
      </w:r>
    </w:p>
    <w:p>
      <w:pPr>
        <w:spacing w:line="300" w:lineRule="exact"/>
        <w:ind w:firstLine="420" w:firstLineChars="200"/>
        <w:rPr>
          <w:rFonts w:hint="eastAsia" w:ascii="宋体" w:hAnsi="宋体"/>
          <w:szCs w:val="21"/>
        </w:rPr>
      </w:pPr>
      <w:r>
        <w:rPr>
          <w:rFonts w:hint="eastAsia" w:ascii="宋体" w:hAnsi="宋体"/>
          <w:szCs w:val="21"/>
        </w:rPr>
        <w:t>（6）营业执照副本复印件（复印件加盖公章）；</w:t>
      </w:r>
    </w:p>
    <w:p>
      <w:pPr>
        <w:spacing w:line="300" w:lineRule="exact"/>
        <w:ind w:firstLine="420" w:firstLineChars="200"/>
        <w:rPr>
          <w:rFonts w:hint="eastAsia" w:ascii="宋体" w:hAnsi="宋体"/>
          <w:szCs w:val="21"/>
        </w:rPr>
      </w:pPr>
      <w:r>
        <w:rPr>
          <w:rFonts w:hint="eastAsia" w:ascii="宋体" w:hAnsi="宋体"/>
          <w:szCs w:val="21"/>
        </w:rPr>
        <w:t>（7）税务登记证副本复印件（复印件加盖公章）；</w:t>
      </w:r>
    </w:p>
    <w:p>
      <w:pPr>
        <w:spacing w:line="300" w:lineRule="exact"/>
        <w:ind w:firstLine="420" w:firstLineChars="200"/>
        <w:rPr>
          <w:rFonts w:hint="eastAsia" w:ascii="宋体" w:hAnsi="宋体"/>
          <w:szCs w:val="21"/>
        </w:rPr>
      </w:pPr>
      <w:r>
        <w:rPr>
          <w:rFonts w:hint="eastAsia" w:ascii="宋体" w:hAnsi="宋体"/>
          <w:szCs w:val="21"/>
        </w:rPr>
        <w:t>（8）公路交通工程（公路机电工程）专业承包</w:t>
      </w:r>
      <w:r>
        <w:rPr>
          <w:rFonts w:hint="eastAsia" w:ascii="宋体" w:hAnsi="宋体"/>
          <w:szCs w:val="21"/>
          <w:lang w:eastAsia="zh-CN"/>
        </w:rPr>
        <w:t>贰</w:t>
      </w:r>
      <w:r>
        <w:rPr>
          <w:rFonts w:hint="eastAsia" w:ascii="宋体" w:hAnsi="宋体"/>
          <w:szCs w:val="21"/>
        </w:rPr>
        <w:t>级</w:t>
      </w:r>
      <w:r>
        <w:rPr>
          <w:rFonts w:hint="eastAsia" w:ascii="宋体" w:hAnsi="宋体"/>
          <w:szCs w:val="21"/>
          <w:lang w:eastAsia="zh-CN"/>
        </w:rPr>
        <w:t>及以上</w:t>
      </w:r>
      <w:r>
        <w:rPr>
          <w:rFonts w:hint="eastAsia" w:ascii="宋体" w:hAnsi="宋体"/>
          <w:szCs w:val="21"/>
        </w:rPr>
        <w:t>资质</w:t>
      </w:r>
      <w:r>
        <w:rPr>
          <w:rFonts w:hint="eastAsia" w:ascii="宋体" w:hAnsi="宋体"/>
          <w:szCs w:val="21"/>
          <w:lang w:eastAsia="zh-CN"/>
        </w:rPr>
        <w:t>（复印件加盖公章）</w:t>
      </w:r>
      <w:r>
        <w:rPr>
          <w:rFonts w:hint="eastAsia" w:ascii="宋体" w:hAnsi="宋体"/>
          <w:szCs w:val="21"/>
        </w:rPr>
        <w:t>；</w:t>
      </w:r>
    </w:p>
    <w:p>
      <w:pPr>
        <w:spacing w:line="300" w:lineRule="exact"/>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9</w:t>
      </w:r>
      <w:r>
        <w:rPr>
          <w:rFonts w:hint="eastAsia" w:ascii="宋体" w:hAnsi="宋体"/>
          <w:szCs w:val="21"/>
          <w:lang w:eastAsia="zh-CN"/>
        </w:rPr>
        <w:t>）</w:t>
      </w:r>
      <w:r>
        <w:rPr>
          <w:rFonts w:hint="eastAsia" w:ascii="宋体" w:hAnsi="宋体"/>
          <w:szCs w:val="21"/>
        </w:rPr>
        <w:t>电子与智能化工程专业承包</w:t>
      </w:r>
      <w:r>
        <w:rPr>
          <w:rFonts w:hint="eastAsia" w:ascii="宋体" w:hAnsi="宋体"/>
          <w:szCs w:val="21"/>
          <w:lang w:eastAsia="zh-CN"/>
        </w:rPr>
        <w:t>壹级资质（复印件加盖公章）</w:t>
      </w:r>
      <w:r>
        <w:rPr>
          <w:rFonts w:hint="eastAsia" w:ascii="宋体" w:hAnsi="宋体"/>
          <w:szCs w:val="21"/>
        </w:rPr>
        <w:t>；</w:t>
      </w:r>
    </w:p>
    <w:p>
      <w:pPr>
        <w:spacing w:line="300" w:lineRule="exact"/>
        <w:ind w:firstLine="420" w:firstLineChars="200"/>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10</w:t>
      </w:r>
      <w:r>
        <w:rPr>
          <w:rFonts w:hint="eastAsia" w:ascii="宋体" w:hAnsi="宋体"/>
          <w:szCs w:val="21"/>
          <w:lang w:eastAsia="zh-CN"/>
        </w:rPr>
        <w:t>）采购人出具的现场探勘证明</w:t>
      </w:r>
    </w:p>
    <w:p>
      <w:pPr>
        <w:spacing w:line="300" w:lineRule="exact"/>
        <w:ind w:firstLine="422" w:firstLineChars="200"/>
        <w:rPr>
          <w:rFonts w:hint="eastAsia" w:ascii="宋体" w:hAnsi="宋体"/>
          <w:b/>
          <w:szCs w:val="21"/>
        </w:rPr>
      </w:pPr>
      <w:r>
        <w:rPr>
          <w:rFonts w:hint="eastAsia" w:ascii="宋体" w:hAnsi="宋体"/>
          <w:b/>
          <w:szCs w:val="21"/>
        </w:rPr>
        <w:t>B、商务文件：</w:t>
      </w:r>
    </w:p>
    <w:p>
      <w:pPr>
        <w:spacing w:line="300" w:lineRule="exact"/>
        <w:ind w:firstLine="420" w:firstLineChars="200"/>
        <w:rPr>
          <w:rFonts w:hint="eastAsia" w:ascii="宋体" w:hAnsi="宋体"/>
          <w:szCs w:val="21"/>
        </w:rPr>
      </w:pPr>
      <w:r>
        <w:rPr>
          <w:rFonts w:hint="eastAsia" w:ascii="宋体" w:hAnsi="宋体"/>
          <w:szCs w:val="21"/>
        </w:rPr>
        <w:t>（1）投标人情况介绍（主要产品、技术力量、经营业绩、财务状况等）；</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）类似成功案例的业绩证明（投标人同类项目实施情况一览表、合同复印件、用户验收报告）（格式见</w:t>
      </w:r>
      <w:r>
        <w:rPr>
          <w:rFonts w:hint="eastAsia" w:ascii="宋体" w:hAnsi="宋体"/>
          <w:b/>
          <w:szCs w:val="21"/>
        </w:rPr>
        <w:t>附件1-4</w:t>
      </w:r>
      <w:r>
        <w:rPr>
          <w:rFonts w:hint="eastAsia" w:ascii="宋体" w:hAnsi="宋体"/>
          <w:szCs w:val="21"/>
        </w:rPr>
        <w:t>）；</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）资信及商务响应表（格式见</w:t>
      </w:r>
      <w:r>
        <w:rPr>
          <w:rFonts w:hint="eastAsia" w:ascii="宋体" w:hAnsi="宋体"/>
          <w:b/>
          <w:szCs w:val="21"/>
        </w:rPr>
        <w:t>附件1-5</w:t>
      </w:r>
      <w:r>
        <w:rPr>
          <w:rFonts w:hint="eastAsia" w:ascii="宋体" w:hAnsi="宋体"/>
          <w:szCs w:val="21"/>
        </w:rPr>
        <w:t>）；</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）节能环保等的资质证书或文件（若有）；</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）投标方认为需要的其他文件资料；</w:t>
      </w:r>
    </w:p>
    <w:p>
      <w:pPr>
        <w:spacing w:line="300" w:lineRule="exact"/>
        <w:ind w:firstLine="420" w:firstLineChars="200"/>
        <w:rPr>
          <w:rFonts w:hint="eastAsia" w:ascii="宋体" w:hAnsi="宋体" w:cs="Arial"/>
          <w:szCs w:val="21"/>
        </w:rPr>
      </w:pPr>
      <w:r>
        <w:rPr>
          <w:rFonts w:hint="eastAsia" w:ascii="宋体" w:hAnsi="宋体" w:cs="Arial"/>
          <w:szCs w:val="21"/>
        </w:rPr>
        <w:t>（</w:t>
      </w:r>
      <w:r>
        <w:rPr>
          <w:rFonts w:hint="eastAsia" w:ascii="宋体" w:hAnsi="宋体" w:cs="Arial"/>
          <w:szCs w:val="21"/>
          <w:lang w:val="en-US" w:eastAsia="zh-CN"/>
        </w:rPr>
        <w:t>6</w:t>
      </w:r>
      <w:r>
        <w:rPr>
          <w:rFonts w:hint="eastAsia" w:ascii="宋体" w:hAnsi="宋体" w:cs="Arial"/>
          <w:szCs w:val="21"/>
        </w:rPr>
        <w:t>）</w:t>
      </w:r>
      <w:r>
        <w:rPr>
          <w:rFonts w:hint="eastAsia" w:ascii="宋体" w:hAnsi="宋体"/>
          <w:szCs w:val="21"/>
        </w:rPr>
        <w:t>同类项目成功案例的业绩（投标人同类项目实施情况一览表（格式见附件）、合同复印件并加盖公章）（如有，提供复印件）</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）企业荣誉（如有，提供复印件）</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）投标人认证证书（如有，提供复印件）</w:t>
      </w:r>
    </w:p>
    <w:p>
      <w:pPr>
        <w:spacing w:line="3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）企业信用等级证书复印件（如有，开标时请携带原件，以备核实）</w:t>
      </w:r>
    </w:p>
    <w:p>
      <w:pPr>
        <w:spacing w:line="300" w:lineRule="exact"/>
        <w:ind w:firstLine="420" w:firstLineChars="200"/>
        <w:rPr>
          <w:rFonts w:hint="eastAsia" w:ascii="宋体" w:hAnsi="宋体"/>
          <w:b/>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）中小企业证明函（如有，提供复印件）格式见</w:t>
      </w:r>
      <w:r>
        <w:rPr>
          <w:rFonts w:hint="eastAsia" w:ascii="宋体" w:hAnsi="宋体"/>
          <w:b/>
          <w:szCs w:val="21"/>
        </w:rPr>
        <w:t>附件1-6</w:t>
      </w:r>
    </w:p>
    <w:p>
      <w:pPr>
        <w:spacing w:line="30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）投标企业资质等证明资料（如有，提供复印件）</w:t>
      </w:r>
    </w:p>
    <w:p>
      <w:pPr>
        <w:spacing w:line="30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）商务响应表（格式见附件）</w:t>
      </w:r>
    </w:p>
    <w:p>
      <w:pPr>
        <w:spacing w:line="300" w:lineRule="exact"/>
        <w:ind w:firstLine="420" w:firstLineChars="200"/>
        <w:contextualSpacing/>
        <w:rPr>
          <w:rFonts w:hint="eastAsia"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）采购公告中所要求的投标人的特定条件及需要说明的其他文件和说明</w:t>
      </w:r>
    </w:p>
    <w:p>
      <w:pPr>
        <w:spacing w:line="300" w:lineRule="exact"/>
        <w:ind w:firstLine="420" w:firstLineChars="200"/>
        <w:contextualSpacing/>
        <w:rPr>
          <w:rFonts w:hint="eastAsia" w:ascii="宋体" w:hAnsi="宋体"/>
          <w:szCs w:val="21"/>
        </w:rPr>
      </w:pPr>
      <w:r>
        <w:rPr>
          <w:rFonts w:hint="eastAsia" w:ascii="宋体" w:hAnsi="宋体"/>
          <w:szCs w:val="21"/>
        </w:rPr>
        <w:t>（</w:t>
      </w:r>
      <w:r>
        <w:rPr>
          <w:rFonts w:hint="eastAsia" w:ascii="宋体" w:hAnsi="宋体"/>
          <w:szCs w:val="21"/>
          <w:lang w:val="en-US" w:eastAsia="zh-CN"/>
        </w:rPr>
        <w:t>14</w:t>
      </w:r>
      <w:r>
        <w:rPr>
          <w:rFonts w:hint="eastAsia" w:ascii="宋体" w:hAnsi="宋体"/>
          <w:szCs w:val="21"/>
        </w:rPr>
        <w:t>）投标方认为需要的其他文件资料</w:t>
      </w:r>
    </w:p>
    <w:p>
      <w:pPr>
        <w:spacing w:line="400" w:lineRule="exact"/>
        <w:ind w:firstLine="420" w:firstLineChars="200"/>
        <w:rPr>
          <w:rFonts w:hint="eastAsia" w:ascii="宋体" w:hAnsi="宋体"/>
          <w:szCs w:val="21"/>
        </w:rPr>
      </w:pPr>
    </w:p>
    <w:p>
      <w:pPr>
        <w:pStyle w:val="23"/>
        <w:snapToGrid w:val="0"/>
        <w:spacing w:before="120" w:beforeLines="0" w:after="120" w:afterLines="0" w:line="240" w:lineRule="auto"/>
        <w:rPr>
          <w:rFonts w:hAnsi="宋体"/>
          <w:sz w:val="21"/>
          <w:szCs w:val="21"/>
        </w:rPr>
      </w:pPr>
    </w:p>
    <w:p>
      <w:pPr>
        <w:snapToGrid w:val="0"/>
        <w:spacing w:before="50" w:after="120" w:afterLines="50"/>
        <w:jc w:val="left"/>
        <w:rPr>
          <w:rFonts w:ascii="宋体" w:hAnsi="宋体"/>
          <w:b/>
          <w:sz w:val="28"/>
          <w:szCs w:val="28"/>
        </w:rPr>
      </w:pPr>
      <w:r>
        <w:rPr>
          <w:rFonts w:ascii="宋体" w:hAnsi="宋体"/>
          <w:sz w:val="30"/>
          <w:szCs w:val="30"/>
        </w:rPr>
        <w:br w:type="page"/>
      </w:r>
      <w:r>
        <w:rPr>
          <w:rFonts w:hint="eastAsia" w:ascii="宋体" w:hAnsi="宋体"/>
          <w:b/>
          <w:sz w:val="28"/>
          <w:szCs w:val="28"/>
        </w:rPr>
        <w:t>附件1-1：</w:t>
      </w:r>
    </w:p>
    <w:p>
      <w:pPr>
        <w:autoSpaceDE w:val="0"/>
        <w:autoSpaceDN w:val="0"/>
        <w:adjustRightInd w:val="0"/>
        <w:spacing w:line="360" w:lineRule="auto"/>
        <w:jc w:val="center"/>
        <w:rPr>
          <w:rFonts w:hint="eastAsia" w:ascii="宋体" w:hAnsi="宋体"/>
          <w:b/>
          <w:color w:val="000000"/>
          <w:szCs w:val="21"/>
        </w:rPr>
      </w:pPr>
      <w:r>
        <w:rPr>
          <w:rFonts w:hint="eastAsia" w:ascii="宋体" w:hAnsi="宋体"/>
          <w:b/>
          <w:color w:val="000000"/>
          <w:sz w:val="36"/>
          <w:szCs w:val="36"/>
        </w:rPr>
        <w:t>声 明 书</w:t>
      </w:r>
    </w:p>
    <w:p>
      <w:pPr>
        <w:snapToGrid w:val="0"/>
        <w:spacing w:before="120" w:beforeLines="50" w:after="50" w:line="500" w:lineRule="exact"/>
        <w:jc w:val="center"/>
        <w:rPr>
          <w:rFonts w:hint="eastAsia" w:ascii="宋体" w:hAnsi="宋体"/>
          <w:b/>
          <w:color w:val="000000"/>
          <w:sz w:val="36"/>
          <w:szCs w:val="36"/>
        </w:rPr>
      </w:pPr>
    </w:p>
    <w:p>
      <w:pPr>
        <w:snapToGrid w:val="0"/>
        <w:spacing w:before="120" w:beforeLines="50" w:after="50" w:line="460" w:lineRule="exact"/>
        <w:rPr>
          <w:rFonts w:hint="eastAsia" w:ascii="宋体" w:hAnsi="宋体"/>
          <w:color w:val="000000"/>
          <w:szCs w:val="21"/>
        </w:rPr>
      </w:pPr>
      <w:r>
        <w:rPr>
          <w:rFonts w:hint="eastAsia" w:ascii="宋体" w:hAnsi="宋体"/>
          <w:color w:val="000000"/>
          <w:szCs w:val="21"/>
        </w:rPr>
        <w:t>致：</w:t>
      </w:r>
      <w:r>
        <w:rPr>
          <w:rFonts w:hint="eastAsia" w:ascii="宋体" w:hAnsi="宋体"/>
          <w:color w:val="000000"/>
          <w:szCs w:val="21"/>
          <w:u w:val="single"/>
        </w:rPr>
        <w:t>（</w:t>
      </w:r>
      <w:r>
        <w:rPr>
          <w:rFonts w:hint="eastAsia" w:ascii="宋体" w:hAnsi="宋体"/>
          <w:color w:val="000000"/>
          <w:szCs w:val="21"/>
          <w:u w:val="single"/>
          <w:lang w:eastAsia="zh-CN"/>
        </w:rPr>
        <w:t>安吉县公共资源交易中心</w:t>
      </w:r>
      <w:r>
        <w:rPr>
          <w:rFonts w:hint="eastAsia" w:ascii="宋体" w:hAnsi="宋体"/>
          <w:color w:val="000000"/>
          <w:szCs w:val="21"/>
          <w:u w:val="single"/>
        </w:rPr>
        <w:t>）</w:t>
      </w:r>
      <w:r>
        <w:rPr>
          <w:rFonts w:hint="eastAsia" w:ascii="宋体" w:hAnsi="宋体"/>
          <w:color w:val="000000"/>
          <w:szCs w:val="21"/>
        </w:rPr>
        <w:t>：</w:t>
      </w:r>
    </w:p>
    <w:p>
      <w:pPr>
        <w:snapToGrid w:val="0"/>
        <w:spacing w:before="120" w:beforeLines="50" w:after="50" w:line="460" w:lineRule="exact"/>
        <w:ind w:firstLine="420" w:firstLineChars="200"/>
        <w:rPr>
          <w:rFonts w:hint="eastAsia" w:ascii="宋体" w:hAnsi="宋体"/>
          <w:color w:val="000000"/>
          <w:szCs w:val="21"/>
        </w:rPr>
      </w:pPr>
      <w:r>
        <w:rPr>
          <w:rFonts w:hint="eastAsia" w:ascii="宋体" w:hAnsi="宋体"/>
          <w:color w:val="000000"/>
          <w:szCs w:val="21"/>
          <w:u w:val="single"/>
        </w:rPr>
        <w:t>（投标人名称）</w:t>
      </w:r>
      <w:r>
        <w:rPr>
          <w:rFonts w:hint="eastAsia" w:ascii="宋体" w:hAnsi="宋体"/>
          <w:color w:val="000000"/>
          <w:szCs w:val="21"/>
        </w:rPr>
        <w:t>系中华人民共和国合法企业，经营地址</w:t>
      </w:r>
      <w:r>
        <w:rPr>
          <w:rFonts w:hint="eastAsia" w:ascii="宋体" w:hAnsi="宋体"/>
          <w:color w:val="000000"/>
          <w:szCs w:val="21"/>
          <w:u w:val="single"/>
        </w:rPr>
        <w:t xml:space="preserve">                            </w:t>
      </w:r>
      <w:r>
        <w:rPr>
          <w:rFonts w:hint="eastAsia" w:ascii="宋体" w:hAnsi="宋体"/>
          <w:color w:val="000000"/>
          <w:szCs w:val="21"/>
        </w:rPr>
        <w:t>。</w:t>
      </w:r>
    </w:p>
    <w:p>
      <w:pPr>
        <w:snapToGrid w:val="0"/>
        <w:spacing w:before="120" w:beforeLines="50" w:after="50" w:line="460" w:lineRule="exact"/>
        <w:ind w:firstLine="420" w:firstLineChars="200"/>
        <w:rPr>
          <w:rFonts w:hint="eastAsia" w:ascii="宋体" w:hAnsi="宋体"/>
          <w:color w:val="000000"/>
          <w:szCs w:val="21"/>
        </w:rPr>
      </w:pPr>
      <w:r>
        <w:rPr>
          <w:rFonts w:hint="eastAsia" w:ascii="宋体" w:hAnsi="宋体"/>
          <w:color w:val="000000"/>
          <w:szCs w:val="21"/>
        </w:rPr>
        <w:t>我</w:t>
      </w:r>
      <w:r>
        <w:rPr>
          <w:rFonts w:hint="eastAsia" w:ascii="宋体" w:hAnsi="宋体"/>
          <w:color w:val="000000"/>
          <w:szCs w:val="21"/>
          <w:u w:val="single"/>
        </w:rPr>
        <w:t>（姓名）</w:t>
      </w:r>
      <w:r>
        <w:rPr>
          <w:rFonts w:hint="eastAsia" w:ascii="宋体" w:hAnsi="宋体"/>
          <w:color w:val="000000"/>
          <w:szCs w:val="21"/>
        </w:rPr>
        <w:t>系</w:t>
      </w:r>
      <w:r>
        <w:rPr>
          <w:rFonts w:hint="eastAsia" w:ascii="宋体" w:hAnsi="宋体"/>
          <w:color w:val="000000"/>
          <w:szCs w:val="21"/>
          <w:u w:val="single"/>
        </w:rPr>
        <w:t>（投标人名称）</w:t>
      </w:r>
      <w:r>
        <w:rPr>
          <w:rFonts w:hint="eastAsia" w:ascii="宋体" w:hAnsi="宋体"/>
          <w:color w:val="000000"/>
          <w:szCs w:val="21"/>
        </w:rPr>
        <w:t>的法定代表人，我方愿意参加贵方组织的</w:t>
      </w:r>
      <w:r>
        <w:rPr>
          <w:rFonts w:hint="eastAsia" w:ascii="宋体" w:hAnsi="宋体"/>
          <w:color w:val="000000"/>
          <w:szCs w:val="21"/>
          <w:u w:val="single"/>
        </w:rPr>
        <w:t xml:space="preserve">      项目（编号：    ）</w:t>
      </w:r>
      <w:r>
        <w:rPr>
          <w:rFonts w:hint="eastAsia" w:ascii="宋体" w:hAnsi="宋体"/>
          <w:color w:val="000000"/>
          <w:szCs w:val="21"/>
        </w:rPr>
        <w:t>的投标，为此，我方就本次投标有关事项郑重声明如下：</w:t>
      </w:r>
    </w:p>
    <w:p>
      <w:pPr>
        <w:snapToGrid w:val="0"/>
        <w:spacing w:before="120" w:beforeLines="50" w:after="50" w:line="460" w:lineRule="exact"/>
        <w:ind w:firstLine="420" w:firstLineChars="200"/>
        <w:rPr>
          <w:rFonts w:hint="eastAsia" w:ascii="宋体" w:hAnsi="宋体"/>
          <w:color w:val="000000"/>
          <w:szCs w:val="21"/>
        </w:rPr>
      </w:pPr>
      <w:r>
        <w:rPr>
          <w:rFonts w:hint="eastAsia" w:ascii="宋体" w:hAnsi="宋体"/>
          <w:color w:val="000000"/>
          <w:szCs w:val="21"/>
        </w:rPr>
        <w:t>1、投标方已详细审查全部招标文件，同意招标文件的各项要求。</w:t>
      </w:r>
    </w:p>
    <w:p>
      <w:pPr>
        <w:snapToGrid w:val="0"/>
        <w:spacing w:before="120" w:beforeLines="50" w:after="50" w:line="460" w:lineRule="exact"/>
        <w:ind w:firstLine="420" w:firstLineChars="200"/>
        <w:rPr>
          <w:rFonts w:hint="eastAsia" w:ascii="宋体" w:hAnsi="宋体"/>
          <w:color w:val="000000"/>
          <w:szCs w:val="21"/>
        </w:rPr>
      </w:pPr>
      <w:r>
        <w:rPr>
          <w:rFonts w:hint="eastAsia" w:ascii="宋体" w:hAnsi="宋体"/>
          <w:color w:val="000000"/>
          <w:szCs w:val="21"/>
        </w:rPr>
        <w:t>2、我方向贵方提交的所有投标文件、资料都是准确的和真实的。</w:t>
      </w:r>
    </w:p>
    <w:p>
      <w:pPr>
        <w:snapToGrid w:val="0"/>
        <w:spacing w:before="120" w:beforeLines="50" w:after="50" w:line="460" w:lineRule="exact"/>
        <w:ind w:firstLine="420" w:firstLineChars="200"/>
        <w:rPr>
          <w:rFonts w:hint="eastAsia" w:ascii="宋体" w:hAnsi="宋体"/>
          <w:color w:val="000000"/>
          <w:szCs w:val="21"/>
        </w:rPr>
      </w:pPr>
      <w:r>
        <w:rPr>
          <w:rFonts w:hint="eastAsia" w:ascii="宋体" w:hAnsi="宋体"/>
          <w:color w:val="000000"/>
          <w:szCs w:val="21"/>
        </w:rPr>
        <w:t>3、若中标，我方将按招标文件规定履行合同责任和义务。</w:t>
      </w:r>
    </w:p>
    <w:p>
      <w:pPr>
        <w:snapToGrid w:val="0"/>
        <w:spacing w:before="120" w:beforeLines="50" w:after="50" w:line="460" w:lineRule="exact"/>
        <w:ind w:firstLine="420" w:firstLineChars="200"/>
        <w:rPr>
          <w:rFonts w:hint="eastAsia" w:ascii="宋体" w:hAnsi="宋体"/>
          <w:color w:val="000000"/>
          <w:szCs w:val="21"/>
        </w:rPr>
      </w:pPr>
      <w:r>
        <w:rPr>
          <w:rFonts w:hint="eastAsia" w:ascii="宋体" w:hAnsi="宋体"/>
          <w:color w:val="000000"/>
          <w:szCs w:val="21"/>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420" w:firstLineChars="200"/>
        <w:rPr>
          <w:rFonts w:hint="eastAsia" w:ascii="宋体" w:hAnsi="宋体"/>
          <w:color w:val="000000"/>
          <w:szCs w:val="21"/>
        </w:rPr>
      </w:pPr>
      <w:r>
        <w:rPr>
          <w:rFonts w:hint="eastAsia" w:ascii="宋体" w:hAnsi="宋体"/>
          <w:color w:val="000000"/>
          <w:szCs w:val="21"/>
        </w:rPr>
        <w:t>5、投标书自开标日起有效期为90天。</w:t>
      </w:r>
    </w:p>
    <w:p>
      <w:pPr>
        <w:snapToGrid w:val="0"/>
        <w:spacing w:before="120" w:beforeLines="50" w:after="50" w:line="460" w:lineRule="exact"/>
        <w:ind w:firstLine="420" w:firstLineChars="200"/>
        <w:rPr>
          <w:rFonts w:hint="eastAsia" w:ascii="宋体" w:hAnsi="宋体"/>
          <w:color w:val="000000"/>
          <w:szCs w:val="21"/>
        </w:rPr>
      </w:pPr>
      <w:r>
        <w:rPr>
          <w:rFonts w:hint="eastAsia" w:ascii="宋体" w:hAnsi="宋体"/>
          <w:color w:val="000000"/>
          <w:szCs w:val="21"/>
        </w:rPr>
        <w:t>6、以上事项如有虚假或隐瞒，我方愿意承担一切后果，并不再寻求任何旨在减轻或免除法律责任的辩解。</w:t>
      </w:r>
    </w:p>
    <w:p>
      <w:pPr>
        <w:pStyle w:val="175"/>
        <w:numPr>
          <w:ilvl w:val="0"/>
          <w:numId w:val="0"/>
        </w:numPr>
        <w:snapToGrid w:val="0"/>
        <w:spacing w:before="120" w:beforeLines="50" w:line="460" w:lineRule="exact"/>
        <w:rPr>
          <w:rFonts w:hint="eastAsia" w:ascii="宋体" w:hAnsi="宋体"/>
          <w:color w:val="000000"/>
          <w:sz w:val="21"/>
          <w:szCs w:val="21"/>
        </w:rPr>
      </w:pPr>
    </w:p>
    <w:p>
      <w:pPr>
        <w:snapToGrid w:val="0"/>
        <w:spacing w:before="120" w:beforeLines="50" w:after="50" w:line="460" w:lineRule="exact"/>
        <w:ind w:right="600" w:firstLine="105" w:firstLineChars="50"/>
        <w:rPr>
          <w:rFonts w:hint="eastAsia" w:ascii="宋体" w:hAnsi="宋体"/>
          <w:color w:val="000000"/>
          <w:szCs w:val="21"/>
          <w:u w:val="single"/>
        </w:rPr>
      </w:pPr>
      <w:r>
        <w:rPr>
          <w:rFonts w:hint="eastAsia" w:ascii="宋体" w:hAnsi="宋体"/>
          <w:color w:val="000000"/>
          <w:szCs w:val="21"/>
        </w:rPr>
        <w:t>法定代表人签名：</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before="120" w:beforeLines="50" w:after="50" w:line="460" w:lineRule="exact"/>
        <w:ind w:firstLine="105" w:firstLineChars="50"/>
        <w:rPr>
          <w:rFonts w:hint="eastAsia" w:ascii="宋体" w:hAnsi="宋体"/>
          <w:color w:val="000000"/>
          <w:szCs w:val="21"/>
        </w:rPr>
      </w:pPr>
      <w:r>
        <w:rPr>
          <w:rFonts w:hint="eastAsia" w:ascii="宋体" w:hAnsi="宋体"/>
          <w:color w:val="000000"/>
          <w:szCs w:val="21"/>
        </w:rPr>
        <w:t>供应商全称（公章）：</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before="120" w:beforeLines="50" w:after="50" w:line="460" w:lineRule="exact"/>
        <w:ind w:right="600" w:firstLine="105" w:firstLineChars="50"/>
        <w:rPr>
          <w:rFonts w:hint="eastAsia" w:ascii="宋体" w:hAnsi="宋体"/>
          <w:color w:val="000000"/>
          <w:szCs w:val="21"/>
          <w:u w:val="single"/>
        </w:rPr>
      </w:pPr>
      <w:r>
        <w:rPr>
          <w:rFonts w:hint="eastAsia" w:ascii="宋体" w:hAnsi="宋体"/>
          <w:color w:val="000000"/>
          <w:szCs w:val="21"/>
        </w:rPr>
        <w:t>日 期：</w:t>
      </w:r>
      <w:r>
        <w:rPr>
          <w:rFonts w:hint="eastAsia" w:ascii="宋体" w:hAnsi="宋体"/>
          <w:color w:val="000000"/>
          <w:szCs w:val="21"/>
          <w:u w:val="single"/>
        </w:rPr>
        <w:t xml:space="preserve">          </w:t>
      </w:r>
    </w:p>
    <w:p>
      <w:pPr>
        <w:snapToGrid w:val="0"/>
        <w:spacing w:before="120" w:beforeLines="50" w:line="460" w:lineRule="exact"/>
        <w:ind w:firstLine="200"/>
        <w:rPr>
          <w:rFonts w:hint="eastAsia" w:ascii="宋体" w:hAnsi="宋体"/>
          <w:color w:val="000000"/>
          <w:szCs w:val="21"/>
          <w:u w:val="single"/>
        </w:rPr>
      </w:pPr>
    </w:p>
    <w:p>
      <w:pPr>
        <w:snapToGrid w:val="0"/>
        <w:spacing w:before="120" w:beforeLines="50" w:after="50" w:line="460" w:lineRule="exact"/>
        <w:ind w:firstLine="300" w:firstLineChars="100"/>
        <w:rPr>
          <w:rFonts w:hint="eastAsia" w:ascii="宋体" w:hAnsi="宋体"/>
          <w:color w:val="000000"/>
          <w:sz w:val="30"/>
          <w:szCs w:val="30"/>
        </w:rPr>
      </w:pPr>
    </w:p>
    <w:p>
      <w:pPr>
        <w:snapToGrid w:val="0"/>
        <w:spacing w:before="120" w:beforeLines="50" w:after="50"/>
        <w:ind w:firstLine="150" w:firstLineChars="50"/>
        <w:jc w:val="left"/>
        <w:rPr>
          <w:rFonts w:hint="eastAsia" w:ascii="宋体" w:hAnsi="宋体"/>
          <w:color w:val="000000"/>
          <w:sz w:val="30"/>
          <w:szCs w:val="30"/>
        </w:rPr>
      </w:pPr>
      <w:r>
        <w:rPr>
          <w:rFonts w:hint="eastAsia" w:ascii="宋体" w:hAnsi="宋体"/>
          <w:color w:val="000000"/>
          <w:sz w:val="30"/>
          <w:szCs w:val="30"/>
        </w:rPr>
        <w:br w:type="page"/>
      </w:r>
      <w:r>
        <w:rPr>
          <w:rFonts w:hint="eastAsia" w:ascii="宋体" w:hAnsi="宋体"/>
          <w:color w:val="000000"/>
          <w:sz w:val="30"/>
          <w:szCs w:val="30"/>
        </w:rPr>
        <w:t>附件1-2：</w:t>
      </w:r>
    </w:p>
    <w:p>
      <w:pPr>
        <w:snapToGrid w:val="0"/>
        <w:spacing w:before="120" w:beforeLines="50" w:after="50"/>
        <w:ind w:firstLine="161" w:firstLineChars="50"/>
        <w:jc w:val="center"/>
        <w:rPr>
          <w:rFonts w:hint="eastAsia" w:ascii="宋体" w:hAnsi="宋体"/>
          <w:b/>
          <w:sz w:val="32"/>
          <w:szCs w:val="32"/>
        </w:rPr>
      </w:pPr>
      <w:r>
        <w:rPr>
          <w:rFonts w:hint="eastAsia" w:ascii="宋体" w:hAnsi="宋体"/>
          <w:b/>
          <w:sz w:val="32"/>
          <w:szCs w:val="32"/>
        </w:rPr>
        <w:t>法定代表人身份证明书</w:t>
      </w:r>
    </w:p>
    <w:p>
      <w:pPr>
        <w:snapToGrid w:val="0"/>
        <w:spacing w:before="120" w:beforeLines="50" w:after="50"/>
        <w:ind w:firstLine="105" w:firstLineChars="50"/>
        <w:rPr>
          <w:rFonts w:hint="eastAsia" w:ascii="宋体" w:hAnsi="宋体"/>
          <w:szCs w:val="21"/>
        </w:rPr>
      </w:pPr>
    </w:p>
    <w:p>
      <w:pPr>
        <w:snapToGrid w:val="0"/>
        <w:spacing w:before="120" w:beforeLines="50" w:after="50"/>
        <w:rPr>
          <w:rFonts w:hint="eastAsia" w:ascii="宋体" w:hAnsi="宋体"/>
          <w:szCs w:val="21"/>
        </w:rPr>
      </w:pPr>
      <w:r>
        <w:rPr>
          <w:rFonts w:hint="eastAsia" w:ascii="宋体" w:hAnsi="宋体"/>
          <w:szCs w:val="21"/>
        </w:rPr>
        <w:t xml:space="preserve">致 </w:t>
      </w:r>
      <w:r>
        <w:rPr>
          <w:rFonts w:hint="eastAsia" w:ascii="宋体" w:hAnsi="宋体"/>
          <w:szCs w:val="21"/>
          <w:u w:val="single"/>
        </w:rPr>
        <w:t xml:space="preserve"> </w:t>
      </w:r>
      <w:r>
        <w:rPr>
          <w:rFonts w:hint="eastAsia" w:ascii="宋体" w:hAnsi="宋体"/>
          <w:szCs w:val="21"/>
          <w:u w:val="single"/>
          <w:lang w:eastAsia="zh-CN"/>
        </w:rPr>
        <w:t>安吉县公共资源交易中心</w:t>
      </w:r>
      <w:r>
        <w:rPr>
          <w:rFonts w:hint="eastAsia" w:ascii="宋体" w:hAnsi="宋体"/>
          <w:szCs w:val="21"/>
          <w:u w:val="single"/>
        </w:rPr>
        <w:t xml:space="preserve"> </w:t>
      </w:r>
      <w:r>
        <w:rPr>
          <w:rFonts w:hint="eastAsia" w:ascii="宋体" w:hAnsi="宋体"/>
          <w:szCs w:val="21"/>
        </w:rPr>
        <w:t>：</w:t>
      </w:r>
    </w:p>
    <w:p>
      <w:pPr>
        <w:snapToGrid w:val="0"/>
        <w:spacing w:before="120" w:beforeLines="50" w:after="50"/>
        <w:rPr>
          <w:rFonts w:hint="eastAsia" w:ascii="宋体" w:hAnsi="宋体"/>
          <w:szCs w:val="21"/>
        </w:rPr>
      </w:pPr>
      <w:r>
        <w:rPr>
          <w:rFonts w:hint="eastAsia" w:ascii="宋体" w:hAnsi="宋体"/>
          <w:szCs w:val="21"/>
        </w:rPr>
        <w:t xml:space="preserve">     </w:t>
      </w:r>
    </w:p>
    <w:p>
      <w:pPr>
        <w:snapToGrid w:val="0"/>
        <w:spacing w:before="120" w:beforeLines="50" w:after="50"/>
        <w:ind w:firstLine="420" w:firstLineChars="200"/>
        <w:rPr>
          <w:rFonts w:hint="eastAsia" w:ascii="宋体" w:hAnsi="宋体"/>
          <w:szCs w:val="21"/>
        </w:rPr>
      </w:pPr>
      <w:r>
        <w:rPr>
          <w:rFonts w:hint="eastAsia" w:ascii="宋体" w:hAnsi="宋体"/>
          <w:szCs w:val="21"/>
          <w:u w:val="single"/>
        </w:rPr>
        <w:t xml:space="preserve">  （法定代表人姓名）</w:t>
      </w:r>
      <w:r>
        <w:rPr>
          <w:rFonts w:hint="eastAsia" w:ascii="宋体" w:hAnsi="宋体"/>
          <w:szCs w:val="21"/>
        </w:rPr>
        <w:t xml:space="preserve"> 系 </w:t>
      </w:r>
      <w:r>
        <w:rPr>
          <w:rFonts w:hint="eastAsia" w:ascii="宋体" w:hAnsi="宋体"/>
          <w:szCs w:val="21"/>
          <w:u w:val="single"/>
        </w:rPr>
        <w:t xml:space="preserve"> （供应商名称）   </w:t>
      </w:r>
      <w:r>
        <w:rPr>
          <w:rFonts w:hint="eastAsia" w:ascii="宋体" w:hAnsi="宋体"/>
          <w:szCs w:val="21"/>
        </w:rPr>
        <w:t xml:space="preserve"> 的法定代表人，性别</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w:t>
      </w:r>
    </w:p>
    <w:p>
      <w:pPr>
        <w:snapToGrid w:val="0"/>
        <w:spacing w:before="120" w:beforeLines="50" w:after="50"/>
        <w:rPr>
          <w:rFonts w:hint="eastAsia" w:ascii="宋体" w:hAnsi="宋体"/>
          <w:szCs w:val="21"/>
        </w:rPr>
      </w:pPr>
    </w:p>
    <w:p>
      <w:pPr>
        <w:snapToGrid w:val="0"/>
        <w:spacing w:before="120" w:beforeLines="50" w:after="50"/>
        <w:rPr>
          <w:rFonts w:hint="eastAsia" w:ascii="宋体" w:hAnsi="宋体"/>
          <w:szCs w:val="21"/>
          <w:u w:val="single"/>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，联系地址：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p>
    <w:p>
      <w:pPr>
        <w:snapToGrid w:val="0"/>
        <w:spacing w:before="120" w:beforeLines="50" w:after="50"/>
        <w:rPr>
          <w:rFonts w:hint="eastAsia" w:ascii="宋体" w:hAnsi="宋体"/>
          <w:szCs w:val="21"/>
        </w:rPr>
      </w:pPr>
    </w:p>
    <w:p>
      <w:pPr>
        <w:snapToGrid w:val="0"/>
        <w:spacing w:before="120" w:beforeLines="50" w:after="50"/>
        <w:rPr>
          <w:rFonts w:hint="eastAsia" w:ascii="宋体" w:hAnsi="宋体"/>
          <w:szCs w:val="21"/>
        </w:rPr>
      </w:pPr>
      <w:r>
        <w:rPr>
          <w:rFonts w:hint="eastAsia" w:ascii="宋体" w:hAnsi="宋体"/>
          <w:szCs w:val="21"/>
        </w:rPr>
        <w:t>特此证明</w:t>
      </w:r>
    </w:p>
    <w:p>
      <w:pPr>
        <w:snapToGrid w:val="0"/>
        <w:spacing w:before="120" w:beforeLines="50" w:after="50"/>
        <w:rPr>
          <w:rFonts w:hint="eastAsia" w:ascii="宋体" w:hAnsi="宋体"/>
          <w:szCs w:val="21"/>
        </w:rPr>
      </w:pPr>
      <w:r>
        <w:rPr>
          <w:rFonts w:hint="eastAsia" w:ascii="宋体" w:hAnsi="宋体"/>
          <w:szCs w:val="21"/>
        </w:rPr>
        <w:t>供应商名称（公章）</w:t>
      </w:r>
    </w:p>
    <w:p>
      <w:pPr>
        <w:snapToGrid w:val="0"/>
        <w:spacing w:before="120" w:beforeLines="50" w:after="50"/>
        <w:rPr>
          <w:rFonts w:hint="eastAsia" w:ascii="宋体" w:hAnsi="宋体"/>
          <w:szCs w:val="21"/>
          <w:u w:val="single"/>
        </w:rPr>
      </w:pPr>
      <w:r>
        <w:rPr>
          <w:rFonts w:hint="eastAsia" w:ascii="宋体" w:hAnsi="宋体"/>
          <w:szCs w:val="21"/>
        </w:rPr>
        <w:t>日期：</w:t>
      </w:r>
    </w:p>
    <w:p>
      <w:pPr>
        <w:snapToGrid w:val="0"/>
        <w:spacing w:before="120" w:beforeLines="50" w:after="50"/>
        <w:rPr>
          <w:rFonts w:hint="eastAsia" w:ascii="宋体" w:hAnsi="宋体"/>
          <w:szCs w:val="21"/>
        </w:rPr>
      </w:pPr>
      <w:r>
        <w:rPr>
          <w:rFonts w:hint="eastAsia" w:ascii="宋体" w:hAnsi="宋体"/>
          <w:szCs w:val="21"/>
          <w:u w:val="dotted"/>
        </w:rPr>
        <w:t xml:space="preserve">                                                                                     </w:t>
      </w:r>
      <w:r>
        <w:rPr>
          <w:rFonts w:hint="eastAsia" w:ascii="宋体" w:hAnsi="宋体"/>
          <w:szCs w:val="21"/>
        </w:rPr>
        <w:t xml:space="preserve"> </w:t>
      </w:r>
    </w:p>
    <w:p>
      <w:pPr>
        <w:snapToGrid w:val="0"/>
        <w:spacing w:before="120" w:beforeLines="50" w:after="50"/>
        <w:ind w:firstLine="3255" w:firstLineChars="1550"/>
        <w:rPr>
          <w:rFonts w:hint="eastAsia" w:ascii="宋体" w:hAnsi="宋体"/>
          <w:szCs w:val="21"/>
        </w:rPr>
      </w:pPr>
      <w:r>
        <w:rPr>
          <w:rFonts w:hint="eastAsia" w:ascii="宋体" w:hAnsi="宋体"/>
          <w:szCs w:val="21"/>
        </w:rPr>
        <w:t>附法定代表人身份证复印件</w:t>
      </w: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line="460" w:lineRule="exact"/>
        <w:rPr>
          <w:rFonts w:hint="eastAsia" w:ascii="宋体" w:hAnsi="宋体"/>
          <w:color w:val="000000"/>
          <w:sz w:val="30"/>
          <w:szCs w:val="30"/>
        </w:rPr>
      </w:pPr>
    </w:p>
    <w:p>
      <w:pPr>
        <w:snapToGrid w:val="0"/>
        <w:spacing w:before="120" w:beforeLines="50" w:after="50"/>
        <w:ind w:firstLine="141" w:firstLineChars="50"/>
        <w:rPr>
          <w:rFonts w:hint="eastAsia" w:ascii="宋体" w:hAnsi="宋体"/>
          <w:b/>
          <w:sz w:val="28"/>
          <w:szCs w:val="28"/>
        </w:rPr>
      </w:pPr>
      <w:r>
        <w:rPr>
          <w:rFonts w:hint="eastAsia" w:ascii="宋体" w:hAnsi="宋体"/>
          <w:b/>
          <w:sz w:val="28"/>
          <w:szCs w:val="28"/>
        </w:rPr>
        <w:t>附件1-3：</w:t>
      </w:r>
    </w:p>
    <w:p>
      <w:pPr>
        <w:snapToGrid w:val="0"/>
        <w:spacing w:before="50" w:after="50"/>
        <w:jc w:val="center"/>
        <w:rPr>
          <w:rFonts w:hint="eastAsia" w:ascii="宋体" w:hAnsi="宋体"/>
          <w:b/>
          <w:color w:val="000000"/>
          <w:sz w:val="36"/>
          <w:szCs w:val="36"/>
        </w:rPr>
      </w:pPr>
      <w:r>
        <w:rPr>
          <w:rFonts w:hint="eastAsia" w:ascii="宋体" w:hAnsi="宋体"/>
          <w:b/>
          <w:color w:val="000000"/>
          <w:sz w:val="36"/>
          <w:szCs w:val="36"/>
        </w:rPr>
        <w:t>法定代表人授权委托书</w:t>
      </w:r>
    </w:p>
    <w:p>
      <w:pPr>
        <w:snapToGrid w:val="0"/>
        <w:spacing w:before="120" w:beforeLines="50" w:after="50"/>
        <w:jc w:val="center"/>
        <w:rPr>
          <w:rFonts w:ascii="宋体" w:hAnsi="宋体"/>
          <w:b/>
          <w:color w:val="000000"/>
          <w:sz w:val="30"/>
          <w:szCs w:val="30"/>
        </w:rPr>
      </w:pPr>
    </w:p>
    <w:p>
      <w:pPr>
        <w:snapToGrid w:val="0"/>
        <w:spacing w:before="120" w:beforeLines="50" w:after="50" w:line="460" w:lineRule="exact"/>
        <w:rPr>
          <w:rFonts w:hint="eastAsia" w:ascii="宋体" w:hAnsi="宋体"/>
          <w:b/>
          <w:bCs/>
          <w:color w:val="000000"/>
          <w:szCs w:val="21"/>
        </w:rPr>
      </w:pPr>
      <w:r>
        <w:rPr>
          <w:rFonts w:hint="eastAsia" w:ascii="宋体" w:hAnsi="宋体"/>
          <w:bCs/>
          <w:color w:val="000000"/>
          <w:szCs w:val="21"/>
          <w:lang w:eastAsia="zh-CN"/>
        </w:rPr>
        <w:t>安吉县公共资源交易中心</w:t>
      </w:r>
      <w:r>
        <w:rPr>
          <w:rFonts w:hint="eastAsia" w:ascii="宋体" w:hAnsi="宋体"/>
          <w:bCs/>
          <w:color w:val="000000"/>
          <w:szCs w:val="21"/>
        </w:rPr>
        <w:t>：</w:t>
      </w:r>
    </w:p>
    <w:p>
      <w:pPr>
        <w:snapToGrid w:val="0"/>
        <w:spacing w:line="460" w:lineRule="exact"/>
        <w:ind w:firstLine="630" w:firstLineChars="300"/>
        <w:rPr>
          <w:rFonts w:hint="eastAsia" w:ascii="宋体" w:hAnsi="宋体"/>
          <w:color w:val="000000"/>
          <w:szCs w:val="21"/>
        </w:rPr>
      </w:pPr>
      <w:r>
        <w:rPr>
          <w:rFonts w:hint="eastAsia" w:ascii="宋体" w:hAnsi="宋体"/>
          <w:color w:val="000000"/>
          <w:szCs w:val="21"/>
        </w:rPr>
        <w:t>我</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（投标人名称）的法定代表人，现授权委托本单位在职职工</w:t>
      </w:r>
      <w:r>
        <w:rPr>
          <w:rFonts w:hint="eastAsia" w:ascii="宋体" w:hAnsi="宋体"/>
          <w:color w:val="000000"/>
          <w:szCs w:val="21"/>
          <w:u w:val="single"/>
        </w:rPr>
        <w:t xml:space="preserve">        </w:t>
      </w:r>
      <w:r>
        <w:rPr>
          <w:rFonts w:hint="eastAsia" w:ascii="宋体" w:hAnsi="宋体"/>
          <w:color w:val="000000"/>
          <w:szCs w:val="21"/>
        </w:rPr>
        <w:t>（姓名）为全权代表，以我方的名义参加</w:t>
      </w:r>
      <w:r>
        <w:rPr>
          <w:rFonts w:hint="eastAsia" w:ascii="宋体" w:hAnsi="宋体"/>
          <w:color w:val="000000"/>
          <w:szCs w:val="21"/>
          <w:u w:val="single"/>
        </w:rPr>
        <w:t xml:space="preserve">            项目（编号：   ）</w:t>
      </w:r>
      <w:r>
        <w:rPr>
          <w:rFonts w:hint="eastAsia" w:ascii="宋体" w:hAnsi="宋体"/>
          <w:color w:val="000000"/>
          <w:szCs w:val="21"/>
        </w:rPr>
        <w:t>的投标活动，并代表我方全权办理针对上述项目的投标、开标、评标、签约等具体事务和签署相关文件。我方对全权代表的签名事项负全部责任。</w:t>
      </w:r>
    </w:p>
    <w:p>
      <w:pPr>
        <w:snapToGrid w:val="0"/>
        <w:spacing w:line="460" w:lineRule="exact"/>
        <w:ind w:firstLine="480"/>
        <w:rPr>
          <w:rFonts w:hint="eastAsia" w:ascii="宋体" w:hAnsi="宋体"/>
          <w:color w:val="000000"/>
          <w:szCs w:val="21"/>
        </w:rPr>
      </w:pPr>
      <w:r>
        <w:rPr>
          <w:rFonts w:hint="eastAsia" w:ascii="宋体" w:hAnsi="宋体"/>
          <w:color w:val="000000"/>
          <w:szCs w:val="21"/>
        </w:rPr>
        <w:t>在撤销授权的书面通知以前，本授权书一直有效。全权代表在授权书有效期内签署的所有文件不因授权的撤销而失效。</w:t>
      </w:r>
    </w:p>
    <w:p>
      <w:pPr>
        <w:snapToGrid w:val="0"/>
        <w:spacing w:line="460" w:lineRule="exact"/>
        <w:ind w:firstLine="480"/>
        <w:rPr>
          <w:rFonts w:hint="eastAsia" w:ascii="宋体" w:hAnsi="宋体"/>
          <w:color w:val="000000"/>
          <w:szCs w:val="21"/>
        </w:rPr>
      </w:pPr>
      <w:r>
        <w:rPr>
          <w:rFonts w:hint="eastAsia" w:ascii="宋体" w:hAnsi="宋体"/>
          <w:color w:val="000000"/>
          <w:szCs w:val="21"/>
        </w:rPr>
        <w:t>全权代表无转委托权，特此委托。</w:t>
      </w:r>
    </w:p>
    <w:p>
      <w:pPr>
        <w:snapToGrid w:val="0"/>
        <w:spacing w:line="460" w:lineRule="exact"/>
        <w:ind w:firstLine="480"/>
        <w:rPr>
          <w:rFonts w:hint="eastAsia" w:ascii="宋体" w:hAnsi="宋体"/>
          <w:color w:val="000000"/>
          <w:szCs w:val="21"/>
        </w:rPr>
      </w:pPr>
    </w:p>
    <w:p>
      <w:pPr>
        <w:snapToGrid w:val="0"/>
        <w:spacing w:before="120" w:beforeLines="50" w:after="50" w:line="460" w:lineRule="exact"/>
        <w:rPr>
          <w:rFonts w:hint="eastAsia" w:ascii="宋体" w:hAnsi="宋体"/>
          <w:color w:val="000000"/>
          <w:szCs w:val="21"/>
        </w:rPr>
      </w:pPr>
      <w:r>
        <w:rPr>
          <w:rFonts w:hint="eastAsia" w:ascii="宋体" w:hAnsi="宋体"/>
          <w:color w:val="000000"/>
          <w:szCs w:val="21"/>
        </w:rPr>
        <w:t>全权代表签名：</w:t>
      </w:r>
      <w:r>
        <w:rPr>
          <w:rFonts w:hint="eastAsia" w:ascii="宋体" w:hAnsi="宋体"/>
          <w:color w:val="000000"/>
          <w:szCs w:val="21"/>
          <w:u w:val="single"/>
        </w:rPr>
        <w:t xml:space="preserve">          </w:t>
      </w:r>
      <w:r>
        <w:rPr>
          <w:rFonts w:hint="eastAsia" w:ascii="宋体" w:hAnsi="宋体"/>
          <w:color w:val="000000"/>
          <w:szCs w:val="21"/>
        </w:rPr>
        <w:t xml:space="preserve">     职务：</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before="120" w:beforeLines="50" w:after="50" w:line="460" w:lineRule="exact"/>
        <w:rPr>
          <w:rFonts w:hint="eastAsia" w:ascii="宋体" w:hAnsi="宋体"/>
          <w:color w:val="000000"/>
          <w:szCs w:val="21"/>
        </w:rPr>
      </w:pPr>
      <w:r>
        <w:rPr>
          <w:rFonts w:hint="eastAsia" w:ascii="宋体" w:hAnsi="宋体"/>
          <w:color w:val="000000"/>
          <w:szCs w:val="21"/>
        </w:rPr>
        <w:t>全权代表身份证号码：</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before="120" w:beforeLines="50" w:after="50" w:line="460" w:lineRule="exact"/>
        <w:rPr>
          <w:rFonts w:hint="eastAsia" w:ascii="宋体" w:hAnsi="宋体"/>
          <w:color w:val="000000"/>
          <w:szCs w:val="21"/>
        </w:rPr>
      </w:pPr>
    </w:p>
    <w:p>
      <w:pPr>
        <w:snapToGrid w:val="0"/>
        <w:spacing w:before="120" w:beforeLines="50" w:after="50" w:line="460" w:lineRule="exact"/>
        <w:rPr>
          <w:rFonts w:hint="eastAsia" w:ascii="宋体" w:hAnsi="宋体"/>
          <w:color w:val="000000"/>
          <w:szCs w:val="21"/>
        </w:rPr>
      </w:pPr>
      <w:r>
        <w:rPr>
          <w:rFonts w:hint="eastAsia" w:ascii="宋体" w:hAnsi="宋体"/>
          <w:color w:val="000000"/>
          <w:szCs w:val="21"/>
        </w:rPr>
        <w:t>法定代表人签名：</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before="120" w:beforeLines="50" w:after="50" w:line="460" w:lineRule="exact"/>
        <w:rPr>
          <w:rFonts w:hint="eastAsia" w:ascii="宋体" w:hAnsi="宋体"/>
          <w:color w:val="000000"/>
          <w:szCs w:val="21"/>
        </w:rPr>
      </w:pPr>
      <w:r>
        <w:rPr>
          <w:rFonts w:hint="eastAsia" w:ascii="宋体" w:hAnsi="宋体"/>
          <w:color w:val="000000"/>
          <w:szCs w:val="21"/>
        </w:rPr>
        <w:t xml:space="preserve">                                  </w:t>
      </w:r>
    </w:p>
    <w:p>
      <w:pPr>
        <w:snapToGrid w:val="0"/>
        <w:spacing w:before="120" w:beforeLines="50" w:after="50" w:line="460" w:lineRule="exact"/>
        <w:rPr>
          <w:rFonts w:hint="eastAsia" w:ascii="宋体" w:hAnsi="宋体"/>
          <w:color w:val="000000"/>
          <w:szCs w:val="21"/>
        </w:rPr>
      </w:pPr>
      <w:r>
        <w:rPr>
          <w:rFonts w:hint="eastAsia" w:ascii="宋体" w:hAnsi="宋体"/>
          <w:color w:val="000000"/>
          <w:szCs w:val="21"/>
        </w:rPr>
        <w:t>供应商全称（公章）：</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before="120" w:beforeLines="50" w:after="50" w:line="460" w:lineRule="exact"/>
        <w:rPr>
          <w:rFonts w:hint="eastAsia" w:ascii="宋体" w:hAnsi="宋体"/>
          <w:color w:val="000000"/>
          <w:szCs w:val="21"/>
          <w:u w:val="single"/>
        </w:rPr>
      </w:pPr>
      <w:r>
        <w:rPr>
          <w:rFonts w:hint="eastAsia" w:ascii="宋体" w:hAnsi="宋体"/>
          <w:color w:val="000000"/>
          <w:szCs w:val="21"/>
        </w:rPr>
        <w:t>日  期：</w:t>
      </w:r>
      <w:r>
        <w:rPr>
          <w:rFonts w:hint="eastAsia" w:ascii="宋体" w:hAnsi="宋体"/>
          <w:color w:val="000000"/>
          <w:szCs w:val="21"/>
          <w:u w:val="single"/>
        </w:rPr>
        <w:t xml:space="preserve">     </w:t>
      </w:r>
    </w:p>
    <w:p>
      <w:pPr>
        <w:snapToGrid w:val="0"/>
        <w:spacing w:before="120" w:beforeLines="50" w:after="50" w:line="460" w:lineRule="exact"/>
        <w:jc w:val="center"/>
        <w:rPr>
          <w:rFonts w:hint="eastAsia" w:ascii="宋体" w:hAnsi="宋体"/>
          <w:color w:val="000000"/>
          <w:szCs w:val="21"/>
        </w:rPr>
        <w:sectPr>
          <w:headerReference r:id="rId3" w:type="default"/>
          <w:footerReference r:id="rId4" w:type="default"/>
          <w:footerReference r:id="rId5" w:type="even"/>
          <w:pgSz w:w="11906" w:h="16838"/>
          <w:pgMar w:top="1558" w:right="1531" w:bottom="1402" w:left="1531" w:header="851" w:footer="851" w:gutter="0"/>
          <w:pgNumType w:start="1"/>
          <w:cols w:space="720" w:num="1"/>
          <w:docGrid w:linePitch="312" w:charSpace="0"/>
        </w:sectPr>
      </w:pPr>
      <w:r>
        <w:rPr>
          <w:rFonts w:hint="eastAsia" w:ascii="宋体" w:hAnsi="宋体"/>
          <w:color w:val="000000"/>
          <w:szCs w:val="21"/>
        </w:rPr>
        <w:t>附授权代表身份证复印</w:t>
      </w:r>
    </w:p>
    <w:p>
      <w:pPr>
        <w:snapToGrid w:val="0"/>
        <w:spacing w:before="50" w:after="120" w:afterLines="50"/>
        <w:jc w:val="left"/>
        <w:rPr>
          <w:rFonts w:ascii="宋体" w:hAnsi="宋体"/>
          <w:b/>
          <w:sz w:val="28"/>
          <w:szCs w:val="28"/>
        </w:rPr>
      </w:pPr>
      <w:r>
        <w:rPr>
          <w:rFonts w:hint="eastAsia" w:ascii="宋体" w:hAnsi="宋体"/>
          <w:b/>
          <w:sz w:val="28"/>
          <w:szCs w:val="28"/>
        </w:rPr>
        <w:t>附件1-4：</w:t>
      </w:r>
    </w:p>
    <w:p>
      <w:pPr>
        <w:pStyle w:val="30"/>
        <w:snapToGrid w:val="0"/>
        <w:ind w:left="643" w:hanging="643"/>
        <w:jc w:val="center"/>
        <w:rPr>
          <w:rFonts w:ascii="宋体" w:hAnsi="宋体"/>
          <w:b/>
          <w:sz w:val="32"/>
          <w:szCs w:val="32"/>
        </w:rPr>
      </w:pPr>
      <w:r>
        <w:rPr>
          <w:rFonts w:ascii="宋体" w:hAnsi="宋体"/>
          <w:b/>
          <w:sz w:val="32"/>
          <w:szCs w:val="32"/>
        </w:rPr>
        <w:t>投标人同类项目实施情况一览表</w:t>
      </w:r>
    </w:p>
    <w:p>
      <w:pPr>
        <w:pStyle w:val="30"/>
        <w:snapToGrid w:val="0"/>
        <w:ind w:left="376" w:leftChars="-85" w:hanging="554" w:hangingChars="264"/>
        <w:rPr>
          <w:rFonts w:ascii="宋体" w:hAnsi="宋体"/>
          <w:szCs w:val="21"/>
          <w:u w:val="single"/>
        </w:rPr>
      </w:pPr>
      <w:r>
        <w:rPr>
          <w:rFonts w:hint="eastAsia" w:ascii="宋体" w:hAnsi="宋体"/>
          <w:szCs w:val="21"/>
        </w:rPr>
        <w:t>单位全称（公章）：</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p>
    <w:tbl>
      <w:tblPr>
        <w:tblStyle w:val="36"/>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900"/>
        <w:gridCol w:w="900"/>
        <w:gridCol w:w="1440"/>
        <w:gridCol w:w="900"/>
        <w:gridCol w:w="9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46" w:hRule="atLeast"/>
        </w:trPr>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szCs w:val="21"/>
              </w:rPr>
              <w:t>采购单位名称</w:t>
            </w:r>
          </w:p>
        </w:tc>
        <w:tc>
          <w:tcPr>
            <w:tcW w:w="133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szCs w:val="21"/>
              </w:rPr>
              <w:t>设备或项目名称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szCs w:val="21"/>
              </w:rPr>
              <w:t>采购数量</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szCs w:val="21"/>
              </w:rPr>
              <w:t>合同金额</w:t>
            </w:r>
          </w:p>
          <w:p>
            <w:pPr>
              <w:snapToGrid w:val="0"/>
              <w:jc w:val="center"/>
              <w:rPr>
                <w:rFonts w:ascii="宋体" w:hAnsi="宋体"/>
                <w:szCs w:val="21"/>
              </w:rPr>
            </w:pPr>
            <w:r>
              <w:rPr>
                <w:rFonts w:hint="eastAsia" w:ascii="宋体" w:hAnsi="宋体"/>
                <w:szCs w:val="21"/>
              </w:rPr>
              <w:t>（万元）</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szCs w:val="21"/>
              </w:rPr>
              <w:t>采购单位联系人及</w:t>
            </w:r>
          </w:p>
          <w:p>
            <w:pPr>
              <w:snapToGrid w:val="0"/>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62" w:hRule="atLeast"/>
        </w:trPr>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szCs w:val="21"/>
              </w:rPr>
              <w:t>合</w:t>
            </w:r>
          </w:p>
          <w:p>
            <w:pPr>
              <w:snapToGrid w:val="0"/>
              <w:jc w:val="center"/>
              <w:rPr>
                <w:rFonts w:ascii="宋体" w:hAnsi="宋体"/>
                <w:szCs w:val="21"/>
              </w:rPr>
            </w:pPr>
            <w:r>
              <w:rPr>
                <w:rFonts w:hint="eastAsia" w:ascii="宋体" w:hAnsi="宋体"/>
                <w:szCs w:val="21"/>
              </w:rPr>
              <w:t>同</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szCs w:val="21"/>
              </w:rPr>
              <w:t>验收报告</w:t>
            </w: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67"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r>
              <w:rPr>
                <w:rFonts w:ascii="宋体" w:hAnsi="宋体"/>
                <w:szCs w:val="21"/>
              </w:rPr>
              <w:t>……</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95"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rPr>
                <w:rFonts w:ascii="宋体" w:hAnsi="宋体"/>
                <w:szCs w:val="21"/>
              </w:rPr>
            </w:pPr>
            <w:r>
              <w:rPr>
                <w:rFonts w:hint="eastAsia" w:ascii="宋体" w:hAnsi="宋体"/>
                <w:szCs w:val="21"/>
              </w:rPr>
              <w:t>备注</w:t>
            </w:r>
          </w:p>
        </w:tc>
        <w:tc>
          <w:tcPr>
            <w:tcW w:w="7812"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rPr>
                <w:rFonts w:ascii="宋体" w:hAnsi="宋体"/>
                <w:szCs w:val="21"/>
              </w:rPr>
            </w:pPr>
            <w:r>
              <w:rPr>
                <w:rFonts w:hint="eastAsia" w:ascii="宋体" w:hAnsi="宋体"/>
                <w:szCs w:val="21"/>
              </w:rPr>
              <w:t>须提供</w:t>
            </w:r>
            <w:r>
              <w:rPr>
                <w:rFonts w:ascii="宋体" w:hAnsi="宋体"/>
                <w:szCs w:val="21"/>
              </w:rPr>
              <w:t>投标人同类项目合同复印件、用户验收报告</w:t>
            </w:r>
            <w:r>
              <w:rPr>
                <w:rFonts w:hint="eastAsia" w:ascii="宋体" w:hAnsi="宋体"/>
                <w:szCs w:val="21"/>
              </w:rPr>
              <w:t>。</w:t>
            </w:r>
          </w:p>
        </w:tc>
      </w:tr>
    </w:tbl>
    <w:p>
      <w:pPr>
        <w:pStyle w:val="15"/>
        <w:snapToGrid w:val="0"/>
        <w:rPr>
          <w:rFonts w:ascii="宋体" w:hAnsi="宋体" w:eastAsia="宋体" w:cs="Times New Roman"/>
          <w:sz w:val="21"/>
          <w:szCs w:val="21"/>
        </w:rPr>
      </w:pPr>
    </w:p>
    <w:p>
      <w:pPr>
        <w:pStyle w:val="15"/>
        <w:snapToGrid w:val="0"/>
        <w:rPr>
          <w:rFonts w:ascii="宋体" w:hAnsi="宋体" w:eastAsia="宋体" w:cs="Times New Roman"/>
          <w:sz w:val="21"/>
          <w:szCs w:val="21"/>
        </w:rPr>
      </w:pPr>
      <w:r>
        <w:rPr>
          <w:rFonts w:hint="eastAsia" w:ascii="宋体" w:hAnsi="宋体" w:eastAsia="宋体" w:cs="Times New Roman"/>
          <w:sz w:val="21"/>
          <w:szCs w:val="21"/>
        </w:rPr>
        <w:t>全权代表签字：　　　　　</w:t>
      </w:r>
    </w:p>
    <w:p>
      <w:pPr>
        <w:snapToGrid w:val="0"/>
        <w:spacing w:before="50"/>
        <w:jc w:val="left"/>
        <w:rPr>
          <w:rFonts w:ascii="宋体" w:hAnsi="宋体"/>
          <w:sz w:val="28"/>
          <w:szCs w:val="28"/>
        </w:rPr>
      </w:pPr>
      <w:r>
        <w:rPr>
          <w:rFonts w:ascii="宋体" w:hAnsi="宋体"/>
          <w:sz w:val="28"/>
          <w:szCs w:val="28"/>
        </w:rPr>
        <w:t xml:space="preserve">                                          </w:t>
      </w:r>
    </w:p>
    <w:p>
      <w:pPr>
        <w:snapToGrid w:val="0"/>
        <w:spacing w:before="50"/>
        <w:jc w:val="left"/>
        <w:rPr>
          <w:rFonts w:hint="eastAsia" w:ascii="宋体" w:hAnsi="宋体"/>
          <w:sz w:val="28"/>
          <w:szCs w:val="28"/>
        </w:rPr>
      </w:pPr>
      <w:r>
        <w:rPr>
          <w:rFonts w:hint="eastAsia" w:ascii="宋体" w:hAnsi="宋体"/>
          <w:sz w:val="28"/>
          <w:szCs w:val="28"/>
        </w:rPr>
        <w:t xml:space="preserve"> </w:t>
      </w:r>
    </w:p>
    <w:p>
      <w:pPr>
        <w:snapToGrid w:val="0"/>
        <w:spacing w:before="50"/>
        <w:ind w:firstLine="6720" w:firstLineChars="3200"/>
        <w:jc w:val="left"/>
        <w:rPr>
          <w:rFonts w:ascii="宋体" w:hAnsi="宋体"/>
          <w:szCs w:val="21"/>
        </w:rPr>
      </w:pPr>
      <w:r>
        <w:rPr>
          <w:rFonts w:hint="eastAsia" w:ascii="宋体" w:hAnsi="宋体"/>
          <w:szCs w:val="21"/>
        </w:rPr>
        <w:t xml:space="preserve">日期： </w:t>
      </w:r>
    </w:p>
    <w:p>
      <w:pPr>
        <w:snapToGrid w:val="0"/>
        <w:spacing w:before="50"/>
        <w:jc w:val="left"/>
        <w:rPr>
          <w:rFonts w:hint="eastAsia" w:ascii="宋体" w:hAnsi="宋体"/>
          <w:b/>
          <w:sz w:val="32"/>
          <w:szCs w:val="32"/>
        </w:rPr>
      </w:pPr>
    </w:p>
    <w:p>
      <w:pPr>
        <w:snapToGrid w:val="0"/>
        <w:spacing w:before="50"/>
        <w:jc w:val="left"/>
        <w:rPr>
          <w:rFonts w:hint="eastAsia" w:ascii="宋体" w:hAnsi="宋体"/>
          <w:b/>
          <w:sz w:val="32"/>
          <w:szCs w:val="32"/>
        </w:rPr>
      </w:pPr>
    </w:p>
    <w:p>
      <w:pPr>
        <w:snapToGrid w:val="0"/>
        <w:spacing w:before="50"/>
        <w:jc w:val="left"/>
        <w:rPr>
          <w:rFonts w:hint="eastAsia" w:ascii="宋体" w:hAnsi="宋体"/>
          <w:b/>
          <w:sz w:val="32"/>
          <w:szCs w:val="32"/>
        </w:rPr>
      </w:pPr>
    </w:p>
    <w:p>
      <w:pPr>
        <w:snapToGrid w:val="0"/>
        <w:spacing w:before="50"/>
        <w:jc w:val="left"/>
        <w:rPr>
          <w:rFonts w:hint="eastAsia" w:ascii="宋体" w:hAnsi="宋体"/>
          <w:b/>
          <w:sz w:val="32"/>
          <w:szCs w:val="32"/>
        </w:rPr>
      </w:pPr>
    </w:p>
    <w:p>
      <w:pPr>
        <w:snapToGrid w:val="0"/>
        <w:spacing w:before="50"/>
        <w:jc w:val="left"/>
        <w:rPr>
          <w:rFonts w:hint="eastAsia" w:ascii="宋体" w:hAnsi="宋体"/>
          <w:b/>
          <w:sz w:val="32"/>
          <w:szCs w:val="32"/>
        </w:rPr>
      </w:pPr>
    </w:p>
    <w:p>
      <w:pPr>
        <w:snapToGrid w:val="0"/>
        <w:spacing w:before="50"/>
        <w:jc w:val="left"/>
        <w:rPr>
          <w:rFonts w:hint="eastAsia" w:ascii="宋体" w:hAnsi="宋体"/>
          <w:b/>
          <w:sz w:val="32"/>
          <w:szCs w:val="32"/>
        </w:rPr>
      </w:pPr>
    </w:p>
    <w:p>
      <w:pPr>
        <w:snapToGrid w:val="0"/>
        <w:spacing w:before="50"/>
        <w:jc w:val="left"/>
        <w:rPr>
          <w:rFonts w:hint="eastAsia" w:ascii="宋体" w:hAnsi="宋体"/>
          <w:b/>
          <w:sz w:val="32"/>
          <w:szCs w:val="32"/>
        </w:rPr>
      </w:pPr>
    </w:p>
    <w:p>
      <w:pPr>
        <w:snapToGrid w:val="0"/>
        <w:spacing w:before="50"/>
        <w:jc w:val="left"/>
        <w:rPr>
          <w:rFonts w:hint="eastAsia" w:ascii="宋体" w:hAnsi="宋体"/>
          <w:b/>
          <w:sz w:val="32"/>
          <w:szCs w:val="32"/>
        </w:rPr>
      </w:pPr>
    </w:p>
    <w:p>
      <w:pPr>
        <w:snapToGrid w:val="0"/>
        <w:spacing w:before="50"/>
        <w:jc w:val="left"/>
        <w:rPr>
          <w:rFonts w:hint="eastAsia" w:ascii="宋体" w:hAnsi="宋体"/>
          <w:b/>
          <w:sz w:val="32"/>
          <w:szCs w:val="32"/>
        </w:rPr>
      </w:pPr>
    </w:p>
    <w:p>
      <w:pPr>
        <w:snapToGrid w:val="0"/>
        <w:spacing w:before="50"/>
        <w:jc w:val="left"/>
        <w:rPr>
          <w:rFonts w:hint="eastAsia" w:ascii="宋体" w:hAnsi="宋体"/>
          <w:b/>
          <w:sz w:val="32"/>
          <w:szCs w:val="32"/>
        </w:rPr>
      </w:pPr>
    </w:p>
    <w:p>
      <w:pPr>
        <w:snapToGrid w:val="0"/>
        <w:spacing w:before="50"/>
        <w:jc w:val="left"/>
        <w:rPr>
          <w:rFonts w:hint="eastAsia" w:ascii="宋体" w:hAnsi="宋体"/>
          <w:b/>
          <w:sz w:val="32"/>
          <w:szCs w:val="32"/>
        </w:rPr>
      </w:pPr>
    </w:p>
    <w:p>
      <w:pPr>
        <w:snapToGrid w:val="0"/>
        <w:spacing w:before="50"/>
        <w:jc w:val="left"/>
        <w:rPr>
          <w:rFonts w:hint="eastAsia" w:ascii="宋体" w:hAnsi="宋体"/>
          <w:b/>
          <w:sz w:val="28"/>
          <w:szCs w:val="28"/>
        </w:rPr>
      </w:pPr>
    </w:p>
    <w:p>
      <w:pPr>
        <w:snapToGrid w:val="0"/>
        <w:spacing w:before="50"/>
        <w:jc w:val="left"/>
        <w:rPr>
          <w:rFonts w:ascii="宋体" w:hAnsi="宋体"/>
          <w:b/>
          <w:sz w:val="28"/>
          <w:szCs w:val="28"/>
        </w:rPr>
      </w:pPr>
      <w:r>
        <w:rPr>
          <w:rFonts w:hint="eastAsia" w:ascii="宋体" w:hAnsi="宋体"/>
          <w:b/>
          <w:sz w:val="28"/>
          <w:szCs w:val="28"/>
        </w:rPr>
        <w:t>附件1-5：</w:t>
      </w:r>
    </w:p>
    <w:p>
      <w:pPr>
        <w:snapToGrid w:val="0"/>
        <w:spacing w:before="50"/>
        <w:jc w:val="center"/>
        <w:rPr>
          <w:rFonts w:ascii="宋体" w:hAnsi="宋体"/>
          <w:b/>
          <w:spacing w:val="40"/>
          <w:kern w:val="0"/>
          <w:sz w:val="32"/>
          <w:szCs w:val="32"/>
        </w:rPr>
      </w:pPr>
      <w:r>
        <w:rPr>
          <w:rFonts w:hint="eastAsia" w:ascii="宋体" w:hAnsi="宋体"/>
          <w:b/>
          <w:spacing w:val="40"/>
          <w:kern w:val="0"/>
          <w:sz w:val="32"/>
          <w:szCs w:val="32"/>
        </w:rPr>
        <w:t>资信及商务响应表</w:t>
      </w:r>
    </w:p>
    <w:p>
      <w:pPr>
        <w:snapToGrid w:val="0"/>
        <w:spacing w:before="50"/>
        <w:jc w:val="center"/>
        <w:rPr>
          <w:rFonts w:ascii="宋体" w:hAnsi="宋体"/>
          <w:b/>
          <w:sz w:val="32"/>
          <w:szCs w:val="32"/>
        </w:rPr>
      </w:pPr>
    </w:p>
    <w:p>
      <w:pPr>
        <w:snapToGrid w:val="0"/>
        <w:spacing w:before="50"/>
        <w:jc w:val="left"/>
        <w:rPr>
          <w:rFonts w:ascii="宋体" w:hAnsi="宋体"/>
          <w:szCs w:val="21"/>
          <w:u w:val="single"/>
        </w:rPr>
      </w:pPr>
      <w:r>
        <w:rPr>
          <w:rFonts w:hint="eastAsia" w:ascii="宋体" w:hAnsi="宋体"/>
          <w:szCs w:val="21"/>
        </w:rPr>
        <w:t>单位全称（公章）：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2396"/>
        <w:gridCol w:w="1260"/>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3" w:hRule="atLeast"/>
        </w:trPr>
        <w:tc>
          <w:tcPr>
            <w:tcW w:w="26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ind w:firstLine="6720" w:firstLineChars="3200"/>
              <w:jc w:val="left"/>
              <w:rPr>
                <w:rFonts w:ascii="宋体" w:hAnsi="宋体"/>
                <w:szCs w:val="21"/>
              </w:rPr>
            </w:pPr>
            <w:r>
              <w:rPr>
                <w:rFonts w:hint="eastAsia" w:ascii="宋体" w:hAnsi="宋体"/>
                <w:szCs w:val="21"/>
              </w:rPr>
              <w:t>项项目</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left"/>
              <w:rPr>
                <w:rFonts w:ascii="宋体" w:hAnsi="宋体"/>
                <w:szCs w:val="21"/>
              </w:rPr>
            </w:pPr>
            <w:r>
              <w:rPr>
                <w:rFonts w:hint="eastAsia" w:ascii="宋体" w:hAnsi="宋体"/>
                <w:szCs w:val="21"/>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ind w:firstLine="6720" w:firstLineChars="3200"/>
              <w:jc w:val="left"/>
              <w:rPr>
                <w:rFonts w:ascii="宋体" w:hAnsi="宋体"/>
                <w:szCs w:val="21"/>
              </w:rPr>
            </w:pPr>
            <w:r>
              <w:rPr>
                <w:rFonts w:hint="eastAsia" w:ascii="宋体" w:hAnsi="宋体"/>
                <w:szCs w:val="21"/>
              </w:rPr>
              <w:t>是是否响应</w:t>
            </w:r>
          </w:p>
          <w:p>
            <w:pPr>
              <w:snapToGrid w:val="0"/>
              <w:spacing w:before="50"/>
              <w:ind w:firstLine="6720" w:firstLineChars="3200"/>
              <w:jc w:val="left"/>
              <w:rPr>
                <w:rFonts w:ascii="宋体" w:hAnsi="宋体"/>
                <w:szCs w:val="21"/>
              </w:rPr>
            </w:pPr>
            <w:r>
              <w:rPr>
                <w:rFonts w:hint="eastAsia" w:ascii="宋体" w:hAnsi="宋体"/>
                <w:szCs w:val="21"/>
              </w:rPr>
              <w:t>响</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ind w:firstLine="6720" w:firstLineChars="3200"/>
              <w:jc w:val="left"/>
              <w:rPr>
                <w:rFonts w:ascii="宋体" w:hAnsi="宋体"/>
                <w:szCs w:val="21"/>
              </w:rPr>
            </w:pPr>
            <w:r>
              <w:rPr>
                <w:rFonts w:hint="eastAsia" w:ascii="宋体" w:hAnsi="宋体"/>
                <w:szCs w:val="21"/>
              </w:rPr>
              <w:t>投投标人的承诺或说明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9" w:hRule="atLeast"/>
        </w:trPr>
        <w:tc>
          <w:tcPr>
            <w:tcW w:w="26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ind w:firstLine="6720" w:firstLineChars="3200"/>
              <w:jc w:val="left"/>
              <w:rPr>
                <w:rFonts w:ascii="宋体" w:hAnsi="宋体"/>
                <w:szCs w:val="21"/>
              </w:rPr>
            </w:pPr>
            <w:r>
              <w:rPr>
                <w:rFonts w:hint="eastAsia" w:ascii="宋体" w:hAnsi="宋体"/>
                <w:szCs w:val="21"/>
              </w:rPr>
              <w:t>售售后服务保障要求</w:t>
            </w:r>
          </w:p>
        </w:tc>
        <w:tc>
          <w:tcPr>
            <w:tcW w:w="2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8" w:hRule="atLeast"/>
        </w:trPr>
        <w:tc>
          <w:tcPr>
            <w:tcW w:w="26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ind w:firstLine="6720" w:firstLineChars="3200"/>
              <w:jc w:val="left"/>
              <w:rPr>
                <w:rFonts w:ascii="宋体" w:hAnsi="宋体"/>
                <w:szCs w:val="21"/>
              </w:rPr>
            </w:pPr>
            <w:r>
              <w:rPr>
                <w:rFonts w:hint="eastAsia" w:ascii="宋体" w:hAnsi="宋体"/>
                <w:szCs w:val="21"/>
              </w:rPr>
              <w:t>备备品备件及耗材等要求</w:t>
            </w:r>
          </w:p>
        </w:tc>
        <w:tc>
          <w:tcPr>
            <w:tcW w:w="2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0" w:hRule="atLeast"/>
        </w:trPr>
        <w:tc>
          <w:tcPr>
            <w:tcW w:w="26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ind w:firstLine="6720" w:firstLineChars="3200"/>
              <w:jc w:val="left"/>
              <w:rPr>
                <w:rFonts w:ascii="宋体" w:hAnsi="宋体"/>
                <w:szCs w:val="21"/>
              </w:rPr>
            </w:pPr>
            <w:r>
              <w:rPr>
                <w:rFonts w:hint="eastAsia" w:ascii="宋体" w:hAnsi="宋体"/>
                <w:szCs w:val="21"/>
              </w:rPr>
              <w:t>质质保期</w:t>
            </w:r>
          </w:p>
        </w:tc>
        <w:tc>
          <w:tcPr>
            <w:tcW w:w="2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6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ind w:firstLine="6720" w:firstLineChars="3200"/>
              <w:jc w:val="center"/>
              <w:rPr>
                <w:rFonts w:ascii="宋体" w:hAnsi="宋体"/>
                <w:szCs w:val="21"/>
              </w:rPr>
            </w:pPr>
            <w:r>
              <w:rPr>
                <w:rFonts w:hint="eastAsia" w:ascii="宋体" w:hAnsi="宋体"/>
                <w:szCs w:val="21"/>
              </w:rPr>
              <w:t>交交货时间及地点</w:t>
            </w:r>
          </w:p>
        </w:tc>
        <w:tc>
          <w:tcPr>
            <w:tcW w:w="2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6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ind w:firstLine="6720" w:firstLineChars="3200"/>
              <w:jc w:val="left"/>
              <w:rPr>
                <w:rFonts w:ascii="宋体" w:hAnsi="宋体"/>
                <w:szCs w:val="21"/>
              </w:rPr>
            </w:pPr>
            <w:r>
              <w:rPr>
                <w:rFonts w:hint="eastAsia" w:ascii="宋体" w:hAnsi="宋体"/>
                <w:szCs w:val="21"/>
              </w:rPr>
              <w:t>付付款条件</w:t>
            </w:r>
          </w:p>
        </w:tc>
        <w:tc>
          <w:tcPr>
            <w:tcW w:w="2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1" w:hRule="atLeast"/>
        </w:trPr>
        <w:tc>
          <w:tcPr>
            <w:tcW w:w="26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ind w:firstLine="6720" w:firstLineChars="3200"/>
              <w:jc w:val="left"/>
              <w:rPr>
                <w:rFonts w:ascii="宋体" w:hAnsi="宋体"/>
                <w:szCs w:val="21"/>
              </w:rPr>
            </w:pPr>
            <w:r>
              <w:rPr>
                <w:rFonts w:hint="eastAsia" w:ascii="宋体" w:hAnsi="宋体"/>
                <w:szCs w:val="21"/>
              </w:rPr>
              <w:t>……</w:t>
            </w:r>
          </w:p>
        </w:tc>
        <w:tc>
          <w:tcPr>
            <w:tcW w:w="2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6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ind w:firstLine="6720" w:firstLineChars="3200"/>
              <w:jc w:val="left"/>
              <w:rPr>
                <w:rFonts w:ascii="宋体" w:hAnsi="宋体"/>
                <w:szCs w:val="21"/>
              </w:rPr>
            </w:pPr>
            <w:r>
              <w:rPr>
                <w:rFonts w:hint="eastAsia" w:ascii="宋体" w:hAnsi="宋体"/>
                <w:szCs w:val="21"/>
              </w:rPr>
              <w:t>政政策性加分条件</w:t>
            </w:r>
          </w:p>
        </w:tc>
        <w:tc>
          <w:tcPr>
            <w:tcW w:w="2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6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ind w:firstLine="6720" w:firstLineChars="3200"/>
              <w:jc w:val="left"/>
              <w:rPr>
                <w:rFonts w:ascii="宋体" w:hAnsi="宋体"/>
                <w:szCs w:val="21"/>
              </w:rPr>
            </w:pPr>
            <w:r>
              <w:rPr>
                <w:rFonts w:hint="eastAsia" w:ascii="宋体" w:hAnsi="宋体"/>
                <w:szCs w:val="21"/>
              </w:rPr>
              <w:t>质质量管理、企业信用要求</w:t>
            </w:r>
          </w:p>
        </w:tc>
        <w:tc>
          <w:tcPr>
            <w:tcW w:w="2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6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ind w:firstLine="6720" w:firstLineChars="3200"/>
              <w:jc w:val="left"/>
              <w:rPr>
                <w:rFonts w:ascii="宋体" w:hAnsi="宋体"/>
                <w:szCs w:val="21"/>
              </w:rPr>
            </w:pPr>
            <w:r>
              <w:rPr>
                <w:rFonts w:hint="eastAsia" w:ascii="宋体" w:hAnsi="宋体"/>
                <w:szCs w:val="21"/>
              </w:rPr>
              <w:t>能能力或业绩要求</w:t>
            </w:r>
          </w:p>
        </w:tc>
        <w:tc>
          <w:tcPr>
            <w:tcW w:w="2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2"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r>
              <w:rPr>
                <w:rFonts w:hint="eastAsia" w:ascii="宋体" w:hAnsi="宋体"/>
                <w:szCs w:val="21"/>
              </w:rPr>
              <w:t>……</w:t>
            </w:r>
          </w:p>
        </w:tc>
        <w:tc>
          <w:tcPr>
            <w:tcW w:w="2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6720" w:firstLineChars="3200"/>
              <w:jc w:val="left"/>
              <w:rPr>
                <w:rFonts w:ascii="宋体" w:hAnsi="宋体"/>
                <w:szCs w:val="21"/>
              </w:rPr>
            </w:pPr>
          </w:p>
        </w:tc>
      </w:tr>
    </w:tbl>
    <w:p>
      <w:pPr>
        <w:snapToGrid w:val="0"/>
        <w:spacing w:before="50"/>
        <w:jc w:val="left"/>
        <w:rPr>
          <w:rFonts w:ascii="宋体" w:hAnsi="宋体"/>
          <w:szCs w:val="21"/>
        </w:rPr>
      </w:pPr>
      <w:r>
        <w:rPr>
          <w:rFonts w:hint="eastAsia" w:ascii="宋体" w:hAnsi="宋体"/>
          <w:szCs w:val="21"/>
        </w:rPr>
        <w:t xml:space="preserve">全权代表签名：                         </w:t>
      </w:r>
    </w:p>
    <w:p>
      <w:pPr>
        <w:snapToGrid w:val="0"/>
        <w:spacing w:before="50"/>
        <w:ind w:firstLine="6720" w:firstLineChars="3200"/>
        <w:rPr>
          <w:rFonts w:ascii="宋体" w:hAnsi="宋体"/>
          <w:szCs w:val="21"/>
        </w:rPr>
      </w:pPr>
    </w:p>
    <w:p>
      <w:pPr>
        <w:snapToGrid w:val="0"/>
        <w:spacing w:before="120" w:beforeLines="50"/>
        <w:ind w:right="420"/>
        <w:rPr>
          <w:rFonts w:ascii="宋体" w:hAnsi="宋体"/>
          <w:szCs w:val="21"/>
        </w:rPr>
      </w:pPr>
      <w:r>
        <w:rPr>
          <w:rFonts w:hint="eastAsia" w:ascii="宋体" w:hAnsi="宋体"/>
          <w:szCs w:val="21"/>
        </w:rPr>
        <w:t xml:space="preserve">日期：         </w:t>
      </w:r>
    </w:p>
    <w:p>
      <w:pPr>
        <w:snapToGrid w:val="0"/>
        <w:spacing w:before="50" w:after="120" w:afterLines="50"/>
        <w:jc w:val="right"/>
        <w:rPr>
          <w:rFonts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jc w:val="center"/>
        <w:rPr>
          <w:rFonts w:hint="eastAsia"/>
          <w:sz w:val="48"/>
          <w:szCs w:val="48"/>
        </w:rPr>
      </w:pPr>
    </w:p>
    <w:p>
      <w:pPr>
        <w:snapToGrid w:val="0"/>
        <w:spacing w:before="50" w:after="120" w:afterLines="50"/>
        <w:jc w:val="left"/>
        <w:rPr>
          <w:rFonts w:hint="eastAsia" w:ascii="宋体" w:hAnsi="宋体"/>
          <w:b/>
          <w:sz w:val="28"/>
          <w:szCs w:val="28"/>
        </w:rPr>
      </w:pPr>
      <w:r>
        <w:rPr>
          <w:rFonts w:hint="eastAsia" w:ascii="宋体" w:hAnsi="宋体"/>
          <w:b/>
          <w:sz w:val="28"/>
          <w:szCs w:val="28"/>
        </w:rPr>
        <w:t>附件1-6</w:t>
      </w:r>
    </w:p>
    <w:p>
      <w:pPr>
        <w:jc w:val="center"/>
        <w:rPr>
          <w:rFonts w:hint="eastAsia"/>
          <w:sz w:val="48"/>
          <w:szCs w:val="48"/>
        </w:rPr>
      </w:pPr>
      <w:r>
        <w:rPr>
          <w:rFonts w:hint="eastAsia"/>
          <w:sz w:val="48"/>
          <w:szCs w:val="48"/>
        </w:rPr>
        <w:t>中 小 企 业 声 明 函</w:t>
      </w:r>
    </w:p>
    <w:p>
      <w:pPr>
        <w:snapToGrid w:val="0"/>
        <w:spacing w:before="50" w:line="320" w:lineRule="atLeast"/>
        <w:ind w:firstLine="8960" w:firstLineChars="3200"/>
        <w:jc w:val="left"/>
        <w:rPr>
          <w:rFonts w:hint="eastAsia" w:ascii="宋体" w:hAnsi="宋体"/>
          <w:szCs w:val="21"/>
        </w:rPr>
      </w:pPr>
      <w:r>
        <w:rPr>
          <w:rFonts w:hint="eastAsia"/>
          <w:sz w:val="28"/>
          <w:szCs w:val="28"/>
        </w:rPr>
        <w:t xml:space="preserve">   </w:t>
      </w:r>
      <w:r>
        <w:rPr>
          <w:rFonts w:hint="eastAsia" w:ascii="宋体" w:hAnsi="宋体"/>
          <w:szCs w:val="21"/>
        </w:rPr>
        <w:t xml:space="preserve">本公司郑重声明：根据《政府采购促进中小企业发展暂行办法》（财库【2011】181号）的规定，和根据《工业和信息化部、国家统计局、国家发展和改革委员会、财政部关于印发中小企业划型标准规定的通知》（工信部联企业【2011】300号）规定的划分标准: 本公司为      （请填写中型、小型、微型）企业。   </w:t>
      </w:r>
    </w:p>
    <w:p>
      <w:pPr>
        <w:snapToGrid w:val="0"/>
        <w:spacing w:before="50" w:line="320" w:lineRule="atLeast"/>
        <w:jc w:val="left"/>
        <w:rPr>
          <w:rFonts w:hint="eastAsia" w:ascii="宋体" w:hAnsi="宋体"/>
          <w:szCs w:val="21"/>
        </w:rPr>
      </w:pPr>
      <w:r>
        <w:rPr>
          <w:rFonts w:hint="eastAsia" w:ascii="宋体" w:hAnsi="宋体"/>
          <w:szCs w:val="21"/>
        </w:rPr>
        <w:t xml:space="preserve"> 1、本公司注册地为 </w:t>
      </w:r>
      <w:r>
        <w:rPr>
          <w:rFonts w:hint="eastAsia" w:ascii="宋体" w:hAnsi="宋体"/>
          <w:szCs w:val="21"/>
          <w:u w:val="single"/>
        </w:rPr>
        <w:t xml:space="preserve">      </w:t>
      </w:r>
      <w:r>
        <w:rPr>
          <w:rFonts w:hint="eastAsia" w:ascii="宋体" w:hAnsi="宋体"/>
          <w:szCs w:val="21"/>
        </w:rPr>
        <w:t>省</w:t>
      </w:r>
      <w:r>
        <w:rPr>
          <w:rFonts w:hint="eastAsia" w:ascii="宋体" w:hAnsi="宋体"/>
          <w:szCs w:val="21"/>
          <w:u w:val="single"/>
        </w:rPr>
        <w:t xml:space="preserve">     </w:t>
      </w:r>
      <w:r>
        <w:rPr>
          <w:rFonts w:hint="eastAsia" w:ascii="宋体" w:hAnsi="宋体"/>
          <w:szCs w:val="21"/>
        </w:rPr>
        <w:t>县</w:t>
      </w:r>
      <w:r>
        <w:rPr>
          <w:rFonts w:hint="eastAsia" w:ascii="宋体" w:hAnsi="宋体"/>
          <w:szCs w:val="21"/>
          <w:u w:val="single"/>
        </w:rPr>
        <w:t xml:space="preserve">     </w:t>
      </w:r>
      <w:r>
        <w:rPr>
          <w:rFonts w:hint="eastAsia" w:ascii="宋体" w:hAnsi="宋体"/>
          <w:szCs w:val="21"/>
        </w:rPr>
        <w:t>街道（乡镇），公司年末从业人员</w:t>
      </w:r>
      <w:r>
        <w:rPr>
          <w:rFonts w:hint="eastAsia" w:ascii="宋体" w:hAnsi="宋体"/>
          <w:szCs w:val="21"/>
          <w:u w:val="single"/>
        </w:rPr>
        <w:t xml:space="preserve">      </w:t>
      </w:r>
      <w:r>
        <w:rPr>
          <w:rFonts w:hint="eastAsia" w:ascii="宋体" w:hAnsi="宋体"/>
          <w:szCs w:val="21"/>
        </w:rPr>
        <w:t>人，上年度营业收入</w:t>
      </w:r>
      <w:r>
        <w:rPr>
          <w:rFonts w:hint="eastAsia" w:ascii="宋体" w:hAnsi="宋体"/>
          <w:szCs w:val="21"/>
          <w:u w:val="single"/>
        </w:rPr>
        <w:t xml:space="preserve">   </w:t>
      </w:r>
      <w:r>
        <w:rPr>
          <w:rFonts w:hint="eastAsia" w:ascii="宋体" w:hAnsi="宋体"/>
          <w:szCs w:val="21"/>
        </w:rPr>
        <w:t>万元，上年度资产总额</w:t>
      </w:r>
      <w:r>
        <w:rPr>
          <w:rFonts w:hint="eastAsia" w:ascii="宋体" w:hAnsi="宋体"/>
          <w:szCs w:val="21"/>
          <w:u w:val="single"/>
        </w:rPr>
        <w:t xml:space="preserve">   </w:t>
      </w:r>
      <w:r>
        <w:rPr>
          <w:rFonts w:hint="eastAsia" w:ascii="宋体" w:hAnsi="宋体"/>
          <w:szCs w:val="21"/>
        </w:rPr>
        <w:t>万元。</w:t>
      </w:r>
    </w:p>
    <w:p>
      <w:pPr>
        <w:snapToGrid w:val="0"/>
        <w:spacing w:before="50" w:line="320" w:lineRule="atLeast"/>
        <w:jc w:val="left"/>
        <w:rPr>
          <w:rFonts w:hint="eastAsia" w:ascii="宋体" w:hAnsi="宋体"/>
          <w:szCs w:val="21"/>
        </w:rPr>
      </w:pPr>
      <w:r>
        <w:rPr>
          <w:rFonts w:hint="eastAsia" w:ascii="宋体" w:hAnsi="宋体"/>
          <w:szCs w:val="21"/>
        </w:rPr>
        <w:t xml:space="preserve"> 2、根据公司营业执照经营范围，确定属于（行业类别），是(否)规模以上企业。</w:t>
      </w:r>
    </w:p>
    <w:p>
      <w:pPr>
        <w:snapToGrid w:val="0"/>
        <w:spacing w:before="50" w:line="320" w:lineRule="atLeast"/>
        <w:jc w:val="left"/>
        <w:rPr>
          <w:rFonts w:hint="eastAsia" w:ascii="宋体" w:hAnsi="宋体"/>
          <w:szCs w:val="21"/>
        </w:rPr>
      </w:pPr>
      <w:r>
        <w:rPr>
          <w:rFonts w:hint="eastAsia" w:ascii="宋体" w:hAnsi="宋体"/>
          <w:szCs w:val="21"/>
        </w:rPr>
        <w:t>本声明函有效期至2017年12月31日。</w:t>
      </w:r>
    </w:p>
    <w:p>
      <w:pPr>
        <w:snapToGrid w:val="0"/>
        <w:spacing w:before="50" w:line="320" w:lineRule="atLeast"/>
        <w:ind w:firstLine="6720" w:firstLineChars="3200"/>
        <w:jc w:val="left"/>
        <w:rPr>
          <w:rFonts w:hint="eastAsia" w:ascii="宋体" w:hAnsi="宋体"/>
          <w:szCs w:val="21"/>
        </w:rPr>
      </w:pPr>
      <w:r>
        <w:rPr>
          <w:rFonts w:hint="eastAsia" w:ascii="宋体" w:hAnsi="宋体"/>
          <w:szCs w:val="21"/>
        </w:rPr>
        <w:t xml:space="preserve">  企业名称（盖章）</w:t>
      </w:r>
    </w:p>
    <w:p>
      <w:pPr>
        <w:snapToGrid w:val="0"/>
        <w:spacing w:before="50" w:line="320" w:lineRule="atLeast"/>
        <w:ind w:firstLine="6720" w:firstLineChars="3200"/>
        <w:jc w:val="left"/>
        <w:rPr>
          <w:rFonts w:hint="eastAsia" w:ascii="宋体" w:hAnsi="宋体"/>
          <w:szCs w:val="21"/>
        </w:rPr>
      </w:pPr>
    </w:p>
    <w:tbl>
      <w:tblPr>
        <w:tblStyle w:val="36"/>
        <w:tblpPr w:leftFromText="180" w:rightFromText="180" w:vertAnchor="text" w:horzAnchor="page" w:tblpX="1800" w:tblpY="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4"/>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4424" w:type="dxa"/>
            <w:noWrap w:val="0"/>
            <w:vAlign w:val="top"/>
          </w:tcPr>
          <w:p>
            <w:pPr>
              <w:snapToGrid w:val="0"/>
              <w:spacing w:before="50" w:line="320" w:lineRule="atLeast"/>
              <w:ind w:firstLine="6720" w:firstLineChars="3200"/>
              <w:jc w:val="left"/>
              <w:rPr>
                <w:rFonts w:hint="eastAsia" w:ascii="宋体" w:hAnsi="宋体"/>
                <w:szCs w:val="21"/>
              </w:rPr>
            </w:pPr>
          </w:p>
          <w:p>
            <w:pPr>
              <w:snapToGrid w:val="0"/>
              <w:spacing w:before="50" w:line="320" w:lineRule="atLeast"/>
              <w:ind w:firstLine="6720" w:firstLineChars="3200"/>
              <w:jc w:val="left"/>
              <w:rPr>
                <w:rFonts w:hint="eastAsia" w:ascii="宋体" w:hAnsi="宋体"/>
                <w:szCs w:val="21"/>
              </w:rPr>
            </w:pPr>
            <w:r>
              <w:rPr>
                <w:rFonts w:hint="eastAsia" w:ascii="宋体" w:hAnsi="宋体"/>
                <w:szCs w:val="21"/>
              </w:rPr>
              <w:t xml:space="preserve">                （统计局盖章）</w:t>
            </w:r>
          </w:p>
          <w:p>
            <w:pPr>
              <w:snapToGrid w:val="0"/>
              <w:spacing w:before="50" w:line="320" w:lineRule="atLeast"/>
              <w:ind w:firstLine="6720" w:firstLineChars="3200"/>
              <w:jc w:val="left"/>
              <w:rPr>
                <w:rFonts w:hint="eastAsia" w:ascii="宋体" w:hAnsi="宋体"/>
                <w:szCs w:val="21"/>
              </w:rPr>
            </w:pPr>
            <w:r>
              <w:rPr>
                <w:rFonts w:hint="eastAsia" w:ascii="宋体" w:hAnsi="宋体"/>
                <w:szCs w:val="21"/>
              </w:rPr>
              <w:t>年    月   日</w:t>
            </w:r>
          </w:p>
        </w:tc>
        <w:tc>
          <w:tcPr>
            <w:tcW w:w="4516" w:type="dxa"/>
            <w:noWrap w:val="0"/>
            <w:vAlign w:val="center"/>
          </w:tcPr>
          <w:p>
            <w:pPr>
              <w:snapToGrid w:val="0"/>
              <w:spacing w:before="50" w:line="320" w:lineRule="atLeast"/>
              <w:ind w:firstLine="6720" w:firstLineChars="3200"/>
              <w:jc w:val="left"/>
              <w:rPr>
                <w:rFonts w:hint="eastAsia" w:ascii="宋体" w:hAnsi="宋体"/>
                <w:szCs w:val="21"/>
              </w:rPr>
            </w:pPr>
          </w:p>
          <w:p>
            <w:pPr>
              <w:snapToGrid w:val="0"/>
              <w:spacing w:before="50" w:line="320" w:lineRule="atLeast"/>
              <w:ind w:firstLine="6720" w:firstLineChars="3200"/>
              <w:jc w:val="left"/>
              <w:rPr>
                <w:rFonts w:hint="eastAsia" w:ascii="宋体" w:hAnsi="宋体"/>
                <w:szCs w:val="21"/>
              </w:rPr>
            </w:pPr>
            <w:r>
              <w:rPr>
                <w:rFonts w:hint="eastAsia" w:ascii="宋体" w:hAnsi="宋体"/>
                <w:szCs w:val="21"/>
              </w:rPr>
              <w:t xml:space="preserve">       （经信委或发改委盖章）</w:t>
            </w:r>
          </w:p>
          <w:p>
            <w:pPr>
              <w:snapToGrid w:val="0"/>
              <w:spacing w:before="50" w:line="320" w:lineRule="atLeast"/>
              <w:ind w:firstLine="6720" w:firstLineChars="3200"/>
              <w:jc w:val="left"/>
              <w:rPr>
                <w:rFonts w:hint="eastAsia" w:ascii="宋体" w:hAnsi="宋体"/>
                <w:szCs w:val="21"/>
              </w:rPr>
            </w:pPr>
            <w:r>
              <w:rPr>
                <w:rFonts w:hint="eastAsia" w:ascii="宋体" w:hAnsi="宋体"/>
                <w:szCs w:val="21"/>
              </w:rPr>
              <w:t>年    月   日</w:t>
            </w:r>
          </w:p>
        </w:tc>
      </w:tr>
    </w:tbl>
    <w:p>
      <w:pPr>
        <w:snapToGrid w:val="0"/>
        <w:spacing w:before="50" w:line="320" w:lineRule="atLeast"/>
        <w:ind w:firstLine="6720" w:firstLineChars="3200"/>
        <w:jc w:val="left"/>
        <w:rPr>
          <w:rFonts w:hint="eastAsia" w:ascii="宋体" w:hAnsi="宋体"/>
          <w:szCs w:val="21"/>
        </w:rPr>
      </w:pPr>
    </w:p>
    <w:p>
      <w:pPr>
        <w:snapToGrid w:val="0"/>
        <w:spacing w:before="50" w:line="320" w:lineRule="atLeast"/>
        <w:ind w:firstLine="6720" w:firstLineChars="3200"/>
        <w:jc w:val="left"/>
        <w:rPr>
          <w:rFonts w:hint="eastAsia" w:ascii="宋体" w:hAnsi="宋体"/>
          <w:szCs w:val="21"/>
        </w:rPr>
      </w:pPr>
      <w:r>
        <w:rPr>
          <w:rFonts w:hint="eastAsia" w:ascii="宋体" w:hAnsi="宋体"/>
          <w:szCs w:val="21"/>
        </w:rPr>
        <w:t xml:space="preserve">                                                   年    月   日</w:t>
      </w:r>
    </w:p>
    <w:p>
      <w:pPr>
        <w:snapToGrid w:val="0"/>
        <w:spacing w:before="50" w:line="320" w:lineRule="atLeast"/>
        <w:jc w:val="left"/>
        <w:rPr>
          <w:rFonts w:hint="eastAsia" w:ascii="宋体" w:hAnsi="宋体"/>
          <w:szCs w:val="21"/>
        </w:rPr>
      </w:pPr>
      <w:r>
        <w:rPr>
          <w:rFonts w:hint="eastAsia" w:ascii="宋体" w:hAnsi="宋体"/>
          <w:szCs w:val="21"/>
        </w:rPr>
        <w:t>备注：</w:t>
      </w:r>
    </w:p>
    <w:p>
      <w:pPr>
        <w:snapToGrid w:val="0"/>
        <w:spacing w:before="50" w:line="320" w:lineRule="atLeast"/>
        <w:jc w:val="left"/>
        <w:rPr>
          <w:rFonts w:hint="eastAsia" w:ascii="宋体" w:hAnsi="宋体"/>
          <w:szCs w:val="21"/>
        </w:rPr>
      </w:pPr>
      <w:r>
        <w:rPr>
          <w:rFonts w:hint="eastAsia" w:ascii="宋体" w:hAnsi="宋体"/>
          <w:szCs w:val="21"/>
        </w:rPr>
        <w:t>1、服务行业主管部门为发改委，其他为经信委；</w:t>
      </w:r>
    </w:p>
    <w:p>
      <w:pPr>
        <w:snapToGrid w:val="0"/>
        <w:spacing w:before="50" w:line="320" w:lineRule="atLeast"/>
        <w:jc w:val="left"/>
        <w:rPr>
          <w:rFonts w:hint="eastAsia" w:ascii="宋体" w:hAnsi="宋体"/>
          <w:szCs w:val="21"/>
        </w:rPr>
      </w:pPr>
      <w:r>
        <w:rPr>
          <w:rFonts w:hint="eastAsia" w:ascii="宋体" w:hAnsi="宋体"/>
          <w:szCs w:val="21"/>
        </w:rPr>
        <w:t>2、行业类别由统计局界定；                                                                                                                                                                3、提供营业执照、税务登记证（正副本）、经审计财务报表复印件。</w:t>
      </w:r>
    </w:p>
    <w:p>
      <w:pPr>
        <w:snapToGrid w:val="0"/>
        <w:spacing w:before="50" w:line="320" w:lineRule="atLeast"/>
        <w:ind w:firstLine="6720" w:firstLineChars="3200"/>
        <w:jc w:val="left"/>
        <w:rPr>
          <w:rFonts w:hint="eastAsia" w:ascii="宋体" w:hAnsi="宋体"/>
          <w:szCs w:val="21"/>
        </w:rPr>
      </w:pPr>
    </w:p>
    <w:p>
      <w:pPr>
        <w:spacing w:line="360" w:lineRule="auto"/>
        <w:jc w:val="center"/>
        <w:rPr>
          <w:rFonts w:hint="eastAsia" w:ascii="宋体" w:hAnsi="宋体"/>
          <w:szCs w:val="21"/>
        </w:rPr>
      </w:pPr>
    </w:p>
    <w:p>
      <w:pPr>
        <w:snapToGrid w:val="0"/>
        <w:spacing w:before="120" w:beforeLines="50" w:after="50"/>
        <w:rPr>
          <w:rFonts w:ascii="宋体" w:hAnsi="宋体"/>
          <w:b/>
          <w:sz w:val="32"/>
          <w:szCs w:val="32"/>
        </w:rPr>
      </w:pPr>
      <w:r>
        <w:rPr>
          <w:rFonts w:ascii="宋体" w:hAnsi="宋体"/>
          <w:szCs w:val="21"/>
        </w:rPr>
        <w:br w:type="page"/>
      </w:r>
      <w:r>
        <w:rPr>
          <w:rFonts w:hint="eastAsia" w:ascii="宋体" w:hAnsi="宋体"/>
          <w:b/>
          <w:sz w:val="28"/>
          <w:szCs w:val="28"/>
        </w:rPr>
        <w:t>附件2：</w:t>
      </w:r>
      <w:r>
        <w:rPr>
          <w:rFonts w:ascii="宋体" w:hAnsi="宋体"/>
          <w:b/>
          <w:sz w:val="32"/>
          <w:szCs w:val="32"/>
        </w:rPr>
        <w:t xml:space="preserve">                                   </w:t>
      </w:r>
      <w:r>
        <w:rPr>
          <w:rFonts w:hint="eastAsia" w:ascii="宋体" w:hAnsi="宋体"/>
          <w:b/>
          <w:sz w:val="32"/>
          <w:szCs w:val="32"/>
        </w:rPr>
        <w:t>正本或副本</w:t>
      </w:r>
    </w:p>
    <w:p>
      <w:pPr>
        <w:ind w:right="-110"/>
        <w:jc w:val="center"/>
        <w:rPr>
          <w:rFonts w:ascii="宋体" w:hAnsi="宋体"/>
          <w:sz w:val="32"/>
          <w:szCs w:val="32"/>
        </w:rPr>
      </w:pPr>
    </w:p>
    <w:p>
      <w:pPr>
        <w:ind w:right="-110"/>
        <w:jc w:val="center"/>
        <w:rPr>
          <w:rFonts w:ascii="宋体" w:hAnsi="宋体"/>
          <w:sz w:val="32"/>
          <w:szCs w:val="32"/>
        </w:rPr>
      </w:pPr>
      <w:r>
        <w:rPr>
          <w:rFonts w:hint="eastAsia" w:ascii="宋体" w:hAnsi="宋体"/>
          <w:sz w:val="32"/>
          <w:szCs w:val="32"/>
        </w:rPr>
        <w:t>***项目名称</w:t>
      </w:r>
    </w:p>
    <w:p>
      <w:pPr>
        <w:spacing w:before="240" w:beforeLines="100"/>
        <w:ind w:right="-108"/>
        <w:jc w:val="center"/>
        <w:rPr>
          <w:rFonts w:hint="eastAsia" w:ascii="宋体" w:hAnsi="宋体" w:eastAsia="宋体"/>
          <w:sz w:val="28"/>
          <w:szCs w:val="28"/>
          <w:lang w:eastAsia="zh-CN"/>
        </w:rPr>
      </w:pPr>
      <w:r>
        <w:rPr>
          <w:rFonts w:hint="eastAsia" w:ascii="宋体" w:hAnsi="宋体"/>
          <w:sz w:val="28"/>
          <w:szCs w:val="28"/>
        </w:rPr>
        <w:t>项目编号：</w:t>
      </w:r>
      <w:r>
        <w:rPr>
          <w:rFonts w:hint="eastAsia" w:ascii="宋体" w:hAnsi="宋体"/>
          <w:sz w:val="28"/>
          <w:szCs w:val="28"/>
          <w:lang w:eastAsia="zh-CN"/>
        </w:rPr>
        <w:t>AJGK2019-016</w:t>
      </w: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52"/>
          <w:szCs w:val="52"/>
        </w:rPr>
      </w:pPr>
      <w:r>
        <w:rPr>
          <w:rFonts w:hint="eastAsia" w:ascii="宋体" w:hAnsi="宋体"/>
          <w:b/>
          <w:spacing w:val="40"/>
          <w:sz w:val="52"/>
          <w:szCs w:val="52"/>
        </w:rPr>
        <w:t>技</w:t>
      </w:r>
    </w:p>
    <w:p>
      <w:pPr>
        <w:spacing w:after="100" w:afterAutospacing="1"/>
        <w:ind w:right="-108"/>
        <w:jc w:val="center"/>
        <w:rPr>
          <w:rFonts w:ascii="宋体" w:hAnsi="宋体"/>
          <w:b/>
          <w:spacing w:val="40"/>
          <w:sz w:val="52"/>
          <w:szCs w:val="52"/>
        </w:rPr>
      </w:pPr>
      <w:r>
        <w:rPr>
          <w:rFonts w:hint="eastAsia" w:ascii="宋体" w:hAnsi="宋体"/>
          <w:b/>
          <w:spacing w:val="40"/>
          <w:sz w:val="52"/>
          <w:szCs w:val="52"/>
        </w:rPr>
        <w:t>术</w:t>
      </w:r>
    </w:p>
    <w:p>
      <w:pPr>
        <w:spacing w:after="100" w:afterAutospacing="1"/>
        <w:ind w:right="-108"/>
        <w:jc w:val="center"/>
        <w:rPr>
          <w:rFonts w:ascii="宋体" w:hAnsi="宋体"/>
          <w:b/>
          <w:spacing w:val="40"/>
          <w:sz w:val="52"/>
          <w:szCs w:val="52"/>
        </w:rPr>
      </w:pPr>
      <w:r>
        <w:rPr>
          <w:rFonts w:hint="eastAsia" w:ascii="宋体" w:hAnsi="宋体"/>
          <w:b/>
          <w:spacing w:val="40"/>
          <w:sz w:val="52"/>
          <w:szCs w:val="52"/>
        </w:rPr>
        <w:t>文</w:t>
      </w:r>
    </w:p>
    <w:p>
      <w:pPr>
        <w:spacing w:after="100" w:afterAutospacing="1"/>
        <w:ind w:right="-108"/>
        <w:jc w:val="center"/>
        <w:rPr>
          <w:rFonts w:ascii="宋体" w:hAnsi="宋体"/>
          <w:b/>
          <w:spacing w:val="40"/>
          <w:sz w:val="52"/>
          <w:szCs w:val="52"/>
        </w:rPr>
      </w:pPr>
      <w:r>
        <w:rPr>
          <w:rFonts w:hint="eastAsia" w:ascii="宋体" w:hAnsi="宋体"/>
          <w:b/>
          <w:spacing w:val="40"/>
          <w:sz w:val="52"/>
          <w:szCs w:val="52"/>
        </w:rPr>
        <w:t>件</w:t>
      </w:r>
    </w:p>
    <w:p>
      <w:pPr>
        <w:ind w:right="532"/>
        <w:jc w:val="center"/>
        <w:rPr>
          <w:rFonts w:ascii="宋体" w:hAnsi="宋体"/>
          <w:sz w:val="36"/>
          <w:szCs w:val="36"/>
        </w:rPr>
      </w:pPr>
    </w:p>
    <w:p>
      <w:pPr>
        <w:ind w:right="532"/>
        <w:jc w:val="center"/>
        <w:rPr>
          <w:rFonts w:hint="eastAsia" w:ascii="宋体" w:hAnsi="宋体"/>
          <w:sz w:val="36"/>
          <w:szCs w:val="36"/>
        </w:rPr>
      </w:pPr>
    </w:p>
    <w:p>
      <w:pPr>
        <w:ind w:right="532"/>
        <w:jc w:val="center"/>
        <w:rPr>
          <w:rFonts w:hint="eastAsia" w:ascii="宋体" w:hAnsi="宋体"/>
          <w:sz w:val="36"/>
          <w:szCs w:val="36"/>
        </w:rPr>
      </w:pPr>
    </w:p>
    <w:p>
      <w:pPr>
        <w:ind w:right="532"/>
        <w:jc w:val="center"/>
        <w:rPr>
          <w:rFonts w:ascii="宋体" w:hAnsi="宋体"/>
          <w:sz w:val="36"/>
          <w:szCs w:val="36"/>
        </w:rPr>
      </w:pPr>
    </w:p>
    <w:p>
      <w:pPr>
        <w:ind w:right="-110"/>
        <w:rPr>
          <w:rFonts w:ascii="宋体" w:hAnsi="宋体"/>
          <w:szCs w:val="21"/>
        </w:rPr>
      </w:pPr>
      <w:r>
        <w:rPr>
          <w:rFonts w:hint="eastAsia" w:ascii="宋体" w:hAnsi="宋体"/>
          <w:szCs w:val="21"/>
        </w:rPr>
        <w:t>单位全称（公章）：</w:t>
      </w:r>
    </w:p>
    <w:p>
      <w:pPr>
        <w:ind w:right="-110"/>
        <w:rPr>
          <w:rFonts w:ascii="宋体" w:hAnsi="宋体"/>
          <w:szCs w:val="21"/>
        </w:rPr>
      </w:pPr>
      <w:r>
        <w:rPr>
          <w:rFonts w:hint="eastAsia" w:ascii="宋体" w:hAnsi="宋体"/>
          <w:szCs w:val="21"/>
        </w:rPr>
        <w:t>地    址：</w:t>
      </w:r>
    </w:p>
    <w:p>
      <w:pPr>
        <w:ind w:right="-110"/>
        <w:rPr>
          <w:rFonts w:ascii="宋体" w:hAnsi="宋体"/>
          <w:szCs w:val="21"/>
        </w:rPr>
      </w:pPr>
      <w:r>
        <w:rPr>
          <w:rFonts w:hint="eastAsia" w:ascii="宋体" w:hAnsi="宋体"/>
          <w:szCs w:val="21"/>
        </w:rPr>
        <w:t>时    间：</w:t>
      </w:r>
    </w:p>
    <w:p>
      <w:pPr>
        <w:snapToGrid w:val="0"/>
        <w:spacing w:before="50" w:after="50"/>
        <w:rPr>
          <w:rFonts w:ascii="宋体" w:hAnsi="宋体"/>
          <w:sz w:val="30"/>
          <w:szCs w:val="30"/>
        </w:rPr>
      </w:pPr>
    </w:p>
    <w:p>
      <w:pPr>
        <w:snapToGrid w:val="0"/>
        <w:spacing w:before="50" w:after="50"/>
        <w:rPr>
          <w:rFonts w:hint="eastAsia" w:ascii="宋体" w:hAnsi="宋体"/>
          <w:sz w:val="28"/>
          <w:szCs w:val="28"/>
        </w:rPr>
      </w:pPr>
    </w:p>
    <w:p>
      <w:pPr>
        <w:snapToGrid w:val="0"/>
        <w:spacing w:before="50" w:after="50"/>
        <w:rPr>
          <w:rFonts w:hint="eastAsia" w:ascii="宋体" w:hAnsi="宋体"/>
          <w:sz w:val="28"/>
          <w:szCs w:val="28"/>
        </w:rPr>
      </w:pPr>
    </w:p>
    <w:p>
      <w:pPr>
        <w:snapToGrid w:val="0"/>
        <w:spacing w:before="50" w:after="50"/>
        <w:rPr>
          <w:rFonts w:hint="eastAsia" w:ascii="宋体" w:hAnsi="宋体"/>
          <w:sz w:val="28"/>
          <w:szCs w:val="28"/>
        </w:rPr>
      </w:pPr>
    </w:p>
    <w:p>
      <w:pPr>
        <w:snapToGrid w:val="0"/>
        <w:spacing w:before="50" w:after="50"/>
        <w:rPr>
          <w:rFonts w:hint="eastAsia" w:ascii="宋体" w:hAnsi="宋体"/>
          <w:sz w:val="28"/>
          <w:szCs w:val="28"/>
        </w:rPr>
      </w:pPr>
    </w:p>
    <w:p>
      <w:pPr>
        <w:snapToGrid w:val="0"/>
        <w:spacing w:before="50" w:after="50"/>
        <w:rPr>
          <w:rFonts w:hint="eastAsia" w:ascii="宋体" w:hAnsi="宋体"/>
          <w:sz w:val="28"/>
          <w:szCs w:val="28"/>
        </w:rPr>
      </w:pPr>
    </w:p>
    <w:p>
      <w:pPr>
        <w:snapToGrid w:val="0"/>
        <w:spacing w:before="50" w:after="50"/>
        <w:rPr>
          <w:rFonts w:hint="eastAsia" w:ascii="宋体" w:hAnsi="宋体"/>
          <w:sz w:val="28"/>
          <w:szCs w:val="28"/>
        </w:rPr>
      </w:pPr>
    </w:p>
    <w:p>
      <w:pPr>
        <w:snapToGrid w:val="0"/>
        <w:spacing w:before="50" w:after="50"/>
        <w:rPr>
          <w:rFonts w:hint="eastAsia" w:ascii="宋体" w:hAnsi="宋体"/>
          <w:sz w:val="28"/>
          <w:szCs w:val="28"/>
        </w:rPr>
      </w:pPr>
    </w:p>
    <w:p>
      <w:pPr>
        <w:snapToGrid w:val="0"/>
        <w:spacing w:before="50" w:after="50"/>
        <w:rPr>
          <w:rFonts w:hint="eastAsia" w:ascii="宋体" w:hAnsi="宋体"/>
          <w:sz w:val="28"/>
          <w:szCs w:val="28"/>
        </w:rPr>
      </w:pPr>
    </w:p>
    <w:p>
      <w:pPr>
        <w:snapToGrid w:val="0"/>
        <w:spacing w:before="50" w:after="50"/>
        <w:rPr>
          <w:rFonts w:hint="eastAsia" w:ascii="宋体" w:hAnsi="宋体"/>
          <w:sz w:val="28"/>
          <w:szCs w:val="28"/>
        </w:rPr>
      </w:pPr>
    </w:p>
    <w:p>
      <w:pPr>
        <w:spacing w:line="300" w:lineRule="exact"/>
        <w:ind w:firstLine="422" w:firstLineChars="200"/>
        <w:rPr>
          <w:rFonts w:hint="eastAsia" w:ascii="宋体" w:hAnsi="宋体"/>
          <w:b/>
          <w:szCs w:val="21"/>
        </w:rPr>
      </w:pPr>
      <w:r>
        <w:rPr>
          <w:rFonts w:hint="eastAsia" w:ascii="宋体" w:hAnsi="宋体"/>
          <w:b/>
          <w:szCs w:val="21"/>
        </w:rPr>
        <w:t>2.技术文件：</w:t>
      </w:r>
    </w:p>
    <w:p>
      <w:pPr>
        <w:snapToGrid w:val="0"/>
        <w:spacing w:line="300" w:lineRule="exact"/>
        <w:ind w:firstLine="420" w:firstLineChars="200"/>
        <w:jc w:val="left"/>
        <w:rPr>
          <w:rFonts w:hint="eastAsia" w:ascii="宋体" w:hAnsi="宋体"/>
          <w:szCs w:val="21"/>
        </w:rPr>
      </w:pPr>
      <w:r>
        <w:rPr>
          <w:rFonts w:ascii="宋体" w:hAnsi="宋体"/>
          <w:szCs w:val="21"/>
        </w:rPr>
        <w:t>（1）对本项目总体要求的理解包括：功能说明、性能指标及设备选型说明；</w:t>
      </w:r>
    </w:p>
    <w:p>
      <w:pPr>
        <w:snapToGrid w:val="0"/>
        <w:spacing w:line="300" w:lineRule="exact"/>
        <w:ind w:firstLine="420" w:firstLineChars="200"/>
        <w:jc w:val="left"/>
        <w:rPr>
          <w:rFonts w:hint="eastAsia" w:ascii="宋体" w:hAnsi="宋体"/>
          <w:szCs w:val="21"/>
        </w:rPr>
      </w:pPr>
      <w:r>
        <w:rPr>
          <w:rFonts w:ascii="宋体" w:hAnsi="宋体"/>
          <w:szCs w:val="21"/>
        </w:rPr>
        <w:t>（2）投标产品的技术规格书及实物图片；</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3</w:t>
      </w:r>
      <w:r>
        <w:rPr>
          <w:rFonts w:ascii="宋体" w:hAnsi="宋体"/>
          <w:szCs w:val="21"/>
        </w:rPr>
        <w:t>）产品出厂标准、质量检测报告；</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4</w:t>
      </w:r>
      <w:r>
        <w:rPr>
          <w:rFonts w:ascii="宋体" w:hAnsi="宋体"/>
          <w:szCs w:val="21"/>
        </w:rPr>
        <w:t>）项目实施的详细组织工作方案（工作时间进度表、工作程序或步骤、管理和协调方法等）；</w:t>
      </w:r>
      <w:r>
        <w:rPr>
          <w:rFonts w:hint="eastAsia" w:ascii="宋体" w:hAnsi="宋体"/>
          <w:szCs w:val="21"/>
        </w:rPr>
        <w:t xml:space="preserve"> </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5</w:t>
      </w:r>
      <w:r>
        <w:rPr>
          <w:rFonts w:ascii="宋体" w:hAnsi="宋体"/>
          <w:szCs w:val="21"/>
        </w:rPr>
        <w:t>）设备配置清单</w:t>
      </w:r>
      <w:r>
        <w:rPr>
          <w:rFonts w:hint="eastAsia" w:ascii="宋体" w:hAnsi="宋体"/>
          <w:szCs w:val="21"/>
        </w:rPr>
        <w:t>(格式见</w:t>
      </w:r>
      <w:r>
        <w:rPr>
          <w:rFonts w:hint="eastAsia" w:ascii="宋体" w:hAnsi="宋体"/>
          <w:b/>
          <w:szCs w:val="21"/>
        </w:rPr>
        <w:t>附件2-1</w:t>
      </w:r>
      <w:r>
        <w:rPr>
          <w:rFonts w:hint="eastAsia" w:ascii="宋体" w:hAnsi="宋体"/>
          <w:szCs w:val="21"/>
        </w:rPr>
        <w:t>)</w:t>
      </w:r>
      <w:r>
        <w:rPr>
          <w:rFonts w:ascii="宋体" w:hAnsi="宋体"/>
          <w:szCs w:val="21"/>
        </w:rPr>
        <w:t>；</w:t>
      </w:r>
      <w:r>
        <w:rPr>
          <w:rFonts w:hint="eastAsia" w:ascii="宋体" w:hAnsi="宋体"/>
          <w:szCs w:val="21"/>
        </w:rPr>
        <w:t>（均不含报价）</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6</w:t>
      </w:r>
      <w:r>
        <w:rPr>
          <w:rFonts w:ascii="宋体" w:hAnsi="宋体"/>
          <w:szCs w:val="21"/>
        </w:rPr>
        <w:t>）技术响应表</w:t>
      </w:r>
      <w:r>
        <w:rPr>
          <w:rFonts w:hint="eastAsia" w:ascii="宋体" w:hAnsi="宋体"/>
          <w:szCs w:val="21"/>
        </w:rPr>
        <w:t>(格式见</w:t>
      </w:r>
      <w:r>
        <w:rPr>
          <w:rFonts w:hint="eastAsia" w:ascii="宋体" w:hAnsi="宋体"/>
          <w:b/>
          <w:szCs w:val="21"/>
        </w:rPr>
        <w:t>附件2-2</w:t>
      </w:r>
      <w:r>
        <w:rPr>
          <w:rFonts w:hint="eastAsia" w:ascii="宋体" w:hAnsi="宋体"/>
          <w:szCs w:val="21"/>
        </w:rPr>
        <w:t>)</w:t>
      </w:r>
      <w:r>
        <w:rPr>
          <w:rFonts w:ascii="宋体" w:hAnsi="宋体"/>
          <w:szCs w:val="21"/>
        </w:rPr>
        <w:t>；</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7</w:t>
      </w:r>
      <w:r>
        <w:rPr>
          <w:rFonts w:ascii="宋体" w:hAnsi="宋体"/>
          <w:szCs w:val="21"/>
        </w:rPr>
        <w:t>）保证工期的施工组织方案及人力资源安排；</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8</w:t>
      </w:r>
      <w:r>
        <w:rPr>
          <w:rFonts w:ascii="宋体" w:hAnsi="宋体"/>
          <w:szCs w:val="21"/>
        </w:rPr>
        <w:t>）项目实施人员一览表</w:t>
      </w:r>
      <w:r>
        <w:rPr>
          <w:rFonts w:hint="eastAsia" w:ascii="宋体" w:hAnsi="宋体"/>
          <w:szCs w:val="21"/>
        </w:rPr>
        <w:t>(格式见</w:t>
      </w:r>
      <w:r>
        <w:rPr>
          <w:rFonts w:hint="eastAsia" w:ascii="宋体" w:hAnsi="宋体"/>
          <w:b/>
          <w:szCs w:val="21"/>
        </w:rPr>
        <w:t>附件2-3</w:t>
      </w:r>
      <w:r>
        <w:rPr>
          <w:rFonts w:hint="eastAsia" w:ascii="宋体" w:hAnsi="宋体"/>
          <w:szCs w:val="21"/>
        </w:rPr>
        <w:t>)</w:t>
      </w:r>
      <w:r>
        <w:rPr>
          <w:rFonts w:ascii="宋体" w:hAnsi="宋体"/>
          <w:szCs w:val="21"/>
        </w:rPr>
        <w:t>；</w:t>
      </w:r>
    </w:p>
    <w:p>
      <w:pPr>
        <w:snapToGrid w:val="0"/>
        <w:spacing w:line="30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lang w:val="en-US" w:eastAsia="zh-CN"/>
        </w:rPr>
        <w:t>9</w:t>
      </w:r>
      <w:r>
        <w:rPr>
          <w:rFonts w:ascii="宋体" w:hAnsi="宋体"/>
          <w:szCs w:val="21"/>
        </w:rPr>
        <w:t>）技术服务、技术培训、售后服务的内容和措施；</w:t>
      </w:r>
    </w:p>
    <w:p>
      <w:pPr>
        <w:snapToGrid w:val="0"/>
        <w:spacing w:line="3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lang w:val="en-US" w:eastAsia="zh-CN"/>
        </w:rPr>
        <w:t>0</w:t>
      </w:r>
      <w:r>
        <w:rPr>
          <w:rFonts w:ascii="宋体" w:hAnsi="宋体"/>
          <w:szCs w:val="21"/>
        </w:rPr>
        <w:t>）投标人建议的安装、调试、验收方法或方案；</w:t>
      </w:r>
    </w:p>
    <w:p>
      <w:pPr>
        <w:snapToGrid w:val="0"/>
        <w:spacing w:line="3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lang w:val="en-US" w:eastAsia="zh-CN"/>
        </w:rPr>
        <w:t>1</w:t>
      </w:r>
      <w:r>
        <w:rPr>
          <w:rFonts w:ascii="宋体" w:hAnsi="宋体"/>
          <w:szCs w:val="21"/>
        </w:rPr>
        <w:t>）优惠条件：投标人承诺给予招标人的各种优惠条件，包括售后服务、备品备件、专用耗材等方面的优惠</w:t>
      </w:r>
      <w:r>
        <w:rPr>
          <w:rFonts w:hint="eastAsia" w:ascii="宋体" w:hAnsi="宋体"/>
          <w:szCs w:val="21"/>
        </w:rPr>
        <w:t>(格式见附件2-4)</w:t>
      </w:r>
      <w:r>
        <w:rPr>
          <w:rFonts w:ascii="宋体" w:hAnsi="宋体"/>
          <w:szCs w:val="21"/>
        </w:rPr>
        <w:t>；</w:t>
      </w:r>
    </w:p>
    <w:p>
      <w:pPr>
        <w:snapToGrid w:val="0"/>
        <w:spacing w:line="3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lang w:val="en-US" w:eastAsia="zh-CN"/>
        </w:rPr>
        <w:t>2</w:t>
      </w:r>
      <w:r>
        <w:rPr>
          <w:rFonts w:ascii="宋体" w:hAnsi="宋体"/>
          <w:szCs w:val="21"/>
        </w:rPr>
        <w:t>）投标人对本项目的合理化建议和改进措施</w:t>
      </w:r>
      <w:r>
        <w:rPr>
          <w:rFonts w:hint="eastAsia" w:ascii="宋体" w:hAnsi="宋体"/>
          <w:szCs w:val="21"/>
        </w:rPr>
        <w:t>（若有）</w:t>
      </w:r>
      <w:r>
        <w:rPr>
          <w:rFonts w:ascii="宋体" w:hAnsi="宋体"/>
          <w:szCs w:val="21"/>
        </w:rPr>
        <w:t>；</w:t>
      </w:r>
    </w:p>
    <w:p>
      <w:pPr>
        <w:snapToGrid w:val="0"/>
        <w:spacing w:line="300" w:lineRule="exact"/>
        <w:ind w:firstLine="420" w:firstLineChars="200"/>
        <w:jc w:val="left"/>
        <w:rPr>
          <w:rFonts w:ascii="宋体" w:hAnsi="宋体"/>
          <w:szCs w:val="21"/>
        </w:rPr>
      </w:pPr>
      <w:r>
        <w:rPr>
          <w:rFonts w:ascii="宋体" w:hAnsi="宋体"/>
          <w:szCs w:val="21"/>
        </w:rPr>
        <w:t>（1</w:t>
      </w:r>
      <w:r>
        <w:rPr>
          <w:rFonts w:hint="eastAsia" w:ascii="宋体" w:hAnsi="宋体"/>
          <w:szCs w:val="21"/>
          <w:lang w:val="en-US" w:eastAsia="zh-CN"/>
        </w:rPr>
        <w:t>3</w:t>
      </w:r>
      <w:r>
        <w:rPr>
          <w:rFonts w:ascii="宋体" w:hAnsi="宋体"/>
          <w:szCs w:val="21"/>
        </w:rPr>
        <w:t>）投标人需要说明的其他文件和说明（格式略）；</w:t>
      </w:r>
    </w:p>
    <w:p/>
    <w:p>
      <w:pPr>
        <w:snapToGrid w:val="0"/>
        <w:jc w:val="left"/>
        <w:rPr>
          <w:rFonts w:hint="eastAsia" w:ascii="宋体" w:hAnsi="宋体"/>
          <w:b/>
          <w:szCs w:val="21"/>
        </w:rPr>
      </w:pPr>
    </w:p>
    <w:p>
      <w:pPr>
        <w:snapToGrid w:val="0"/>
        <w:jc w:val="left"/>
        <w:rPr>
          <w:rFonts w:hint="eastAsia" w:ascii="宋体" w:hAnsi="宋体"/>
          <w:b/>
          <w:szCs w:val="21"/>
        </w:rPr>
      </w:pPr>
    </w:p>
    <w:p>
      <w:pPr>
        <w:snapToGrid w:val="0"/>
        <w:jc w:val="left"/>
        <w:rPr>
          <w:rFonts w:hint="eastAsia" w:ascii="宋体" w:hAnsi="宋体"/>
          <w:b/>
          <w:szCs w:val="21"/>
        </w:rPr>
      </w:pPr>
    </w:p>
    <w:p>
      <w:pPr>
        <w:snapToGrid w:val="0"/>
        <w:jc w:val="left"/>
        <w:rPr>
          <w:rFonts w:hint="eastAsia" w:ascii="宋体" w:hAnsi="宋体"/>
          <w:b/>
          <w:szCs w:val="21"/>
        </w:rPr>
      </w:pPr>
    </w:p>
    <w:p>
      <w:pPr>
        <w:snapToGrid w:val="0"/>
        <w:jc w:val="left"/>
        <w:rPr>
          <w:rFonts w:hint="eastAsia" w:ascii="宋体" w:hAnsi="宋体"/>
          <w:b/>
          <w:szCs w:val="21"/>
        </w:rPr>
      </w:pPr>
    </w:p>
    <w:p>
      <w:pPr>
        <w:snapToGrid w:val="0"/>
        <w:jc w:val="left"/>
        <w:rPr>
          <w:rFonts w:hint="eastAsia" w:ascii="宋体" w:hAnsi="宋体"/>
          <w:b/>
          <w:szCs w:val="21"/>
        </w:rPr>
      </w:pPr>
    </w:p>
    <w:p>
      <w:pPr>
        <w:snapToGrid w:val="0"/>
        <w:jc w:val="left"/>
        <w:rPr>
          <w:rFonts w:hint="eastAsia" w:ascii="宋体" w:hAnsi="宋体"/>
          <w:b/>
          <w:szCs w:val="21"/>
        </w:rPr>
      </w:pPr>
    </w:p>
    <w:p>
      <w:pPr>
        <w:snapToGrid w:val="0"/>
        <w:jc w:val="left"/>
        <w:rPr>
          <w:rFonts w:hint="eastAsia" w:ascii="宋体" w:hAnsi="宋体"/>
          <w:b/>
          <w:szCs w:val="21"/>
        </w:rPr>
      </w:pPr>
    </w:p>
    <w:p>
      <w:pPr>
        <w:snapToGrid w:val="0"/>
        <w:jc w:val="left"/>
        <w:rPr>
          <w:rFonts w:hint="eastAsia" w:ascii="宋体" w:hAnsi="宋体"/>
          <w:b/>
          <w:szCs w:val="21"/>
        </w:rPr>
      </w:pPr>
    </w:p>
    <w:p>
      <w:pPr>
        <w:snapToGrid w:val="0"/>
        <w:jc w:val="left"/>
        <w:rPr>
          <w:rFonts w:hAnsi="宋体"/>
          <w:sz w:val="30"/>
          <w:szCs w:val="30"/>
        </w:rPr>
      </w:pPr>
    </w:p>
    <w:p>
      <w:pPr>
        <w:pStyle w:val="23"/>
        <w:snapToGrid w:val="0"/>
        <w:spacing w:before="0" w:beforeLines="0" w:after="120" w:line="240" w:lineRule="auto"/>
        <w:rPr>
          <w:rFonts w:hint="eastAsia" w:hAnsi="宋体"/>
          <w:sz w:val="30"/>
          <w:szCs w:val="30"/>
        </w:rPr>
      </w:pPr>
    </w:p>
    <w:p>
      <w:pPr>
        <w:pStyle w:val="23"/>
        <w:snapToGrid w:val="0"/>
        <w:spacing w:before="0" w:beforeLines="0" w:after="120" w:line="240" w:lineRule="auto"/>
        <w:rPr>
          <w:rFonts w:hint="eastAsia" w:hAnsi="宋体"/>
          <w:sz w:val="30"/>
          <w:szCs w:val="30"/>
        </w:rPr>
      </w:pPr>
    </w:p>
    <w:p>
      <w:pPr>
        <w:pStyle w:val="23"/>
        <w:snapToGrid w:val="0"/>
        <w:spacing w:before="0" w:beforeLines="0" w:after="120" w:line="240" w:lineRule="auto"/>
        <w:rPr>
          <w:rFonts w:hint="eastAsia" w:hAnsi="宋体"/>
          <w:sz w:val="30"/>
          <w:szCs w:val="30"/>
        </w:rPr>
      </w:pPr>
    </w:p>
    <w:p>
      <w:pPr>
        <w:pStyle w:val="23"/>
        <w:snapToGrid w:val="0"/>
        <w:spacing w:before="0" w:beforeLines="0" w:after="120" w:line="240" w:lineRule="auto"/>
        <w:rPr>
          <w:rFonts w:hint="eastAsia" w:hAnsi="宋体"/>
          <w:sz w:val="30"/>
          <w:szCs w:val="30"/>
        </w:rPr>
      </w:pPr>
    </w:p>
    <w:p>
      <w:pPr>
        <w:pStyle w:val="23"/>
        <w:snapToGrid w:val="0"/>
        <w:spacing w:before="0" w:beforeLines="0" w:after="120" w:line="240" w:lineRule="auto"/>
        <w:rPr>
          <w:rFonts w:hint="eastAsia" w:hAnsi="宋体"/>
          <w:sz w:val="30"/>
          <w:szCs w:val="30"/>
        </w:rPr>
      </w:pPr>
    </w:p>
    <w:p>
      <w:pPr>
        <w:pStyle w:val="23"/>
        <w:snapToGrid w:val="0"/>
        <w:spacing w:before="0" w:beforeLines="0" w:after="120" w:line="240" w:lineRule="auto"/>
        <w:rPr>
          <w:rFonts w:hint="eastAsia" w:hAnsi="宋体"/>
          <w:sz w:val="30"/>
          <w:szCs w:val="30"/>
        </w:rPr>
      </w:pPr>
    </w:p>
    <w:p>
      <w:pPr>
        <w:pStyle w:val="23"/>
        <w:snapToGrid w:val="0"/>
        <w:spacing w:before="0" w:beforeLines="0" w:after="120" w:line="240" w:lineRule="auto"/>
        <w:rPr>
          <w:rFonts w:hint="eastAsia" w:hAnsi="宋体"/>
          <w:sz w:val="30"/>
          <w:szCs w:val="30"/>
        </w:rPr>
      </w:pPr>
    </w:p>
    <w:p>
      <w:pPr>
        <w:pStyle w:val="23"/>
        <w:snapToGrid w:val="0"/>
        <w:spacing w:before="0" w:beforeLines="0" w:after="120" w:line="240" w:lineRule="auto"/>
        <w:rPr>
          <w:rFonts w:hint="eastAsia" w:hAnsi="宋体"/>
          <w:sz w:val="30"/>
          <w:szCs w:val="30"/>
        </w:rPr>
      </w:pPr>
    </w:p>
    <w:p>
      <w:pPr>
        <w:pStyle w:val="23"/>
        <w:snapToGrid w:val="0"/>
        <w:spacing w:before="0" w:beforeLines="0" w:after="120" w:line="240" w:lineRule="auto"/>
        <w:rPr>
          <w:rFonts w:hint="eastAsia" w:hAnsi="宋体"/>
          <w:sz w:val="30"/>
          <w:szCs w:val="30"/>
        </w:rPr>
      </w:pPr>
    </w:p>
    <w:p>
      <w:pPr>
        <w:snapToGrid w:val="0"/>
        <w:jc w:val="left"/>
        <w:rPr>
          <w:rFonts w:hint="eastAsia" w:ascii="宋体" w:hAnsi="宋体"/>
          <w:b/>
          <w:sz w:val="28"/>
          <w:szCs w:val="28"/>
        </w:rPr>
      </w:pPr>
    </w:p>
    <w:p>
      <w:pPr>
        <w:snapToGrid w:val="0"/>
        <w:jc w:val="left"/>
        <w:rPr>
          <w:rFonts w:hint="eastAsia" w:ascii="宋体" w:hAnsi="宋体"/>
          <w:b/>
          <w:sz w:val="28"/>
          <w:szCs w:val="28"/>
        </w:rPr>
      </w:pPr>
    </w:p>
    <w:p>
      <w:pPr>
        <w:snapToGrid w:val="0"/>
        <w:jc w:val="left"/>
        <w:rPr>
          <w:rFonts w:hint="eastAsia" w:ascii="宋体" w:hAnsi="宋体"/>
          <w:b/>
          <w:sz w:val="28"/>
          <w:szCs w:val="28"/>
        </w:rPr>
      </w:pPr>
    </w:p>
    <w:p>
      <w:pPr>
        <w:snapToGrid w:val="0"/>
        <w:jc w:val="left"/>
        <w:rPr>
          <w:rFonts w:hint="eastAsia" w:ascii="宋体" w:hAnsi="宋体"/>
          <w:b/>
          <w:sz w:val="28"/>
          <w:szCs w:val="28"/>
        </w:rPr>
      </w:pPr>
    </w:p>
    <w:p>
      <w:pPr>
        <w:snapToGrid w:val="0"/>
        <w:jc w:val="left"/>
        <w:rPr>
          <w:rFonts w:hint="eastAsia" w:ascii="宋体" w:hAnsi="宋体"/>
          <w:b/>
          <w:sz w:val="28"/>
          <w:szCs w:val="28"/>
        </w:rPr>
      </w:pPr>
    </w:p>
    <w:p>
      <w:pPr>
        <w:snapToGrid w:val="0"/>
        <w:jc w:val="left"/>
        <w:rPr>
          <w:rFonts w:ascii="宋体" w:hAnsi="宋体"/>
          <w:b/>
          <w:sz w:val="28"/>
          <w:szCs w:val="28"/>
        </w:rPr>
      </w:pPr>
      <w:r>
        <w:rPr>
          <w:rFonts w:hint="eastAsia" w:ascii="宋体" w:hAnsi="宋体"/>
          <w:b/>
          <w:sz w:val="28"/>
          <w:szCs w:val="28"/>
        </w:rPr>
        <w:t>附件2-1：</w:t>
      </w:r>
    </w:p>
    <w:p>
      <w:pPr>
        <w:snapToGrid w:val="0"/>
        <w:jc w:val="center"/>
        <w:rPr>
          <w:rFonts w:ascii="宋体" w:hAnsi="宋体"/>
          <w:b/>
          <w:sz w:val="32"/>
          <w:szCs w:val="32"/>
        </w:rPr>
      </w:pPr>
      <w:r>
        <w:rPr>
          <w:rFonts w:hint="eastAsia" w:ascii="宋体" w:hAnsi="宋体"/>
          <w:b/>
          <w:sz w:val="32"/>
          <w:szCs w:val="32"/>
        </w:rPr>
        <w:t>设备配置清单</w:t>
      </w:r>
    </w:p>
    <w:p>
      <w:pPr>
        <w:snapToGrid w:val="0"/>
        <w:jc w:val="left"/>
        <w:rPr>
          <w:rFonts w:ascii="宋体" w:hAnsi="宋体"/>
          <w:szCs w:val="21"/>
          <w:u w:val="single"/>
        </w:rPr>
      </w:pPr>
      <w:r>
        <w:rPr>
          <w:rFonts w:hint="eastAsia" w:ascii="宋体" w:hAnsi="宋体"/>
          <w:szCs w:val="21"/>
        </w:rPr>
        <w:t>单位全称（公章）：</w:t>
      </w:r>
      <w:r>
        <w:rPr>
          <w:rFonts w:hint="eastAsia" w:ascii="宋体" w:hAnsi="宋体"/>
          <w:szCs w:val="21"/>
          <w:u w:val="single"/>
        </w:rPr>
        <w:t xml:space="preserve">                       </w:t>
      </w:r>
      <w:r>
        <w:rPr>
          <w:rFonts w:hint="eastAsia" w:ascii="宋体" w:hAnsi="宋体"/>
          <w:szCs w:val="21"/>
        </w:rPr>
        <w:t xml:space="preserve">   标项：</w:t>
      </w:r>
      <w:r>
        <w:rPr>
          <w:rFonts w:hint="eastAsia" w:ascii="宋体" w:hAnsi="宋体"/>
          <w:szCs w:val="21"/>
          <w:u w:val="single"/>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1290"/>
        <w:gridCol w:w="746"/>
        <w:gridCol w:w="1138"/>
        <w:gridCol w:w="1261"/>
        <w:gridCol w:w="1544"/>
        <w:gridCol w:w="1280"/>
        <w:gridCol w:w="1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设备名称</w:t>
            </w: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品牌</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规格</w:t>
            </w:r>
          </w:p>
          <w:p>
            <w:pPr>
              <w:snapToGrid w:val="0"/>
              <w:jc w:val="left"/>
              <w:rPr>
                <w:rFonts w:ascii="宋体" w:hAnsi="宋体"/>
                <w:szCs w:val="21"/>
              </w:rPr>
            </w:pPr>
            <w:r>
              <w:rPr>
                <w:rFonts w:hint="eastAsia" w:ascii="宋体" w:hAnsi="宋体"/>
                <w:szCs w:val="21"/>
              </w:rPr>
              <w:t>型号</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单位及</w:t>
            </w:r>
          </w:p>
          <w:p>
            <w:pPr>
              <w:snapToGrid w:val="0"/>
              <w:jc w:val="left"/>
              <w:rPr>
                <w:rFonts w:ascii="宋体" w:hAnsi="宋体"/>
                <w:szCs w:val="21"/>
              </w:rPr>
            </w:pPr>
            <w:r>
              <w:rPr>
                <w:rFonts w:hint="eastAsia" w:ascii="宋体" w:hAnsi="宋体"/>
                <w:szCs w:val="21"/>
              </w:rPr>
              <w:t>数量</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性能及指标</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产地</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szCs w:val="21"/>
              </w:rPr>
            </w:pPr>
            <w:r>
              <w:rPr>
                <w:rFonts w:hint="eastAsia" w:ascii="宋体" w:hAnsi="宋体"/>
                <w:szCs w:val="21"/>
              </w:rPr>
              <w:t>政策编码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r>
    </w:tbl>
    <w:p>
      <w:pPr>
        <w:snapToGrid w:val="0"/>
        <w:jc w:val="left"/>
        <w:rPr>
          <w:rFonts w:ascii="宋体" w:hAnsi="宋体"/>
          <w:b/>
          <w:szCs w:val="21"/>
        </w:rPr>
      </w:pPr>
      <w:r>
        <w:rPr>
          <w:rFonts w:hint="eastAsia" w:ascii="宋体" w:hAnsi="宋体"/>
          <w:szCs w:val="21"/>
        </w:rPr>
        <w:t>注：</w:t>
      </w:r>
      <w:r>
        <w:rPr>
          <w:rFonts w:hint="eastAsia" w:ascii="宋体" w:hAnsi="宋体"/>
          <w:b/>
          <w:szCs w:val="21"/>
        </w:rPr>
        <w:t>需提供所有设备清单，但价格不能出现在清单上。</w:t>
      </w:r>
    </w:p>
    <w:p>
      <w:pPr>
        <w:snapToGrid w:val="0"/>
        <w:jc w:val="left"/>
        <w:rPr>
          <w:rFonts w:hint="eastAsia" w:ascii="宋体" w:hAnsi="宋体"/>
          <w:b/>
          <w:szCs w:val="21"/>
        </w:rPr>
      </w:pPr>
      <w:r>
        <w:rPr>
          <w:rFonts w:hint="eastAsia" w:ascii="宋体" w:hAnsi="宋体"/>
          <w:b/>
          <w:szCs w:val="21"/>
        </w:rPr>
        <w:t>政策编码为节能产品或者环保标识产品的认证证书号。</w:t>
      </w:r>
    </w:p>
    <w:p>
      <w:pPr>
        <w:snapToGrid w:val="0"/>
        <w:jc w:val="left"/>
        <w:rPr>
          <w:rFonts w:ascii="宋体" w:hAnsi="宋体"/>
          <w:szCs w:val="21"/>
        </w:rPr>
      </w:pPr>
    </w:p>
    <w:p>
      <w:pPr>
        <w:snapToGrid w:val="0"/>
        <w:jc w:val="left"/>
        <w:rPr>
          <w:rFonts w:ascii="宋体" w:hAnsi="宋体"/>
          <w:szCs w:val="21"/>
        </w:rPr>
      </w:pPr>
    </w:p>
    <w:p>
      <w:pPr>
        <w:snapToGrid w:val="0"/>
        <w:jc w:val="left"/>
        <w:rPr>
          <w:rFonts w:ascii="宋体" w:hAnsi="宋体"/>
          <w:szCs w:val="21"/>
        </w:rPr>
      </w:pPr>
      <w:r>
        <w:rPr>
          <w:rFonts w:hint="eastAsia" w:ascii="宋体" w:hAnsi="宋体"/>
          <w:szCs w:val="21"/>
        </w:rPr>
        <w:t xml:space="preserve">全权代表签名：                          </w:t>
      </w:r>
    </w:p>
    <w:p>
      <w:pPr>
        <w:snapToGrid w:val="0"/>
        <w:jc w:val="left"/>
        <w:rPr>
          <w:rFonts w:ascii="宋体" w:hAnsi="宋体"/>
          <w:szCs w:val="21"/>
        </w:rPr>
      </w:pPr>
    </w:p>
    <w:p>
      <w:pPr>
        <w:snapToGrid w:val="0"/>
        <w:spacing w:before="120" w:beforeLines="50"/>
        <w:rPr>
          <w:rFonts w:ascii="宋体" w:hAnsi="宋体"/>
          <w:sz w:val="28"/>
          <w:szCs w:val="28"/>
        </w:rPr>
      </w:pPr>
    </w:p>
    <w:p>
      <w:pPr>
        <w:snapToGrid w:val="0"/>
        <w:spacing w:before="120" w:beforeLines="50"/>
        <w:rPr>
          <w:rFonts w:ascii="宋体" w:hAnsi="宋体"/>
          <w:sz w:val="28"/>
          <w:szCs w:val="28"/>
        </w:rPr>
      </w:pPr>
    </w:p>
    <w:p>
      <w:pPr>
        <w:snapToGrid w:val="0"/>
        <w:spacing w:before="120" w:beforeLines="50"/>
        <w:rPr>
          <w:rFonts w:ascii="宋体" w:hAnsi="宋体"/>
          <w:sz w:val="28"/>
          <w:szCs w:val="28"/>
        </w:rPr>
      </w:pPr>
    </w:p>
    <w:p>
      <w:pPr>
        <w:snapToGrid w:val="0"/>
        <w:ind w:right="420"/>
        <w:jc w:val="right"/>
        <w:rPr>
          <w:rFonts w:ascii="宋体" w:hAnsi="宋体"/>
          <w:szCs w:val="21"/>
        </w:rPr>
      </w:pPr>
      <w:r>
        <w:rPr>
          <w:rFonts w:hint="eastAsia" w:ascii="宋体" w:hAnsi="宋体"/>
          <w:szCs w:val="21"/>
        </w:rPr>
        <w:t xml:space="preserve">日期：           </w:t>
      </w:r>
    </w:p>
    <w:p>
      <w:pPr>
        <w:snapToGrid w:val="0"/>
        <w:spacing w:before="50" w:after="50"/>
        <w:rPr>
          <w:rFonts w:hint="eastAsia" w:ascii="宋体" w:hAnsi="宋体"/>
          <w:spacing w:val="20"/>
          <w:sz w:val="28"/>
          <w:szCs w:val="28"/>
        </w:rPr>
      </w:pPr>
    </w:p>
    <w:p>
      <w:pPr>
        <w:snapToGrid w:val="0"/>
        <w:spacing w:before="50" w:after="50"/>
        <w:rPr>
          <w:rFonts w:hint="eastAsia" w:ascii="宋体" w:hAnsi="宋体"/>
          <w:spacing w:val="20"/>
          <w:sz w:val="28"/>
          <w:szCs w:val="28"/>
        </w:rPr>
      </w:pPr>
    </w:p>
    <w:p>
      <w:pPr>
        <w:snapToGrid w:val="0"/>
        <w:spacing w:before="50" w:after="50"/>
        <w:rPr>
          <w:rFonts w:hint="eastAsia" w:ascii="宋体" w:hAnsi="宋体"/>
          <w:spacing w:val="20"/>
          <w:sz w:val="28"/>
          <w:szCs w:val="28"/>
        </w:rPr>
      </w:pPr>
    </w:p>
    <w:p>
      <w:pPr>
        <w:snapToGrid w:val="0"/>
        <w:spacing w:before="50" w:after="50"/>
        <w:rPr>
          <w:rFonts w:hint="eastAsia" w:ascii="宋体" w:hAnsi="宋体"/>
          <w:spacing w:val="20"/>
          <w:sz w:val="28"/>
          <w:szCs w:val="28"/>
        </w:rPr>
      </w:pPr>
    </w:p>
    <w:p>
      <w:pPr>
        <w:snapToGrid w:val="0"/>
        <w:spacing w:before="50" w:after="50"/>
        <w:rPr>
          <w:rFonts w:hint="eastAsia" w:ascii="宋体" w:hAnsi="宋体"/>
          <w:spacing w:val="20"/>
          <w:sz w:val="28"/>
          <w:szCs w:val="28"/>
        </w:rPr>
      </w:pPr>
    </w:p>
    <w:p>
      <w:pPr>
        <w:snapToGrid w:val="0"/>
        <w:spacing w:before="50" w:after="50"/>
        <w:rPr>
          <w:rFonts w:hint="eastAsia" w:ascii="宋体" w:hAnsi="宋体"/>
          <w:spacing w:val="20"/>
          <w:sz w:val="28"/>
          <w:szCs w:val="28"/>
        </w:rPr>
      </w:pPr>
    </w:p>
    <w:p>
      <w:pPr>
        <w:snapToGrid w:val="0"/>
        <w:spacing w:before="50" w:after="50"/>
        <w:rPr>
          <w:rFonts w:hint="eastAsia" w:ascii="宋体" w:hAnsi="宋体"/>
          <w:spacing w:val="20"/>
          <w:sz w:val="28"/>
          <w:szCs w:val="28"/>
        </w:rPr>
      </w:pPr>
    </w:p>
    <w:p>
      <w:pPr>
        <w:snapToGrid w:val="0"/>
        <w:spacing w:before="50" w:after="50"/>
        <w:rPr>
          <w:rFonts w:ascii="宋体" w:hAnsi="宋体"/>
          <w:b/>
          <w:sz w:val="28"/>
          <w:szCs w:val="28"/>
        </w:rPr>
      </w:pPr>
      <w:r>
        <w:rPr>
          <w:rFonts w:hint="eastAsia" w:ascii="宋体" w:hAnsi="宋体"/>
          <w:b/>
          <w:sz w:val="28"/>
          <w:szCs w:val="28"/>
        </w:rPr>
        <w:t>附件2-2：</w:t>
      </w:r>
    </w:p>
    <w:p>
      <w:pPr>
        <w:snapToGrid w:val="0"/>
        <w:spacing w:before="50" w:after="120" w:afterLines="50"/>
        <w:jc w:val="center"/>
        <w:rPr>
          <w:rFonts w:ascii="宋体" w:hAnsi="宋体"/>
          <w:b/>
          <w:sz w:val="30"/>
          <w:szCs w:val="30"/>
        </w:rPr>
      </w:pPr>
      <w:r>
        <w:rPr>
          <w:rFonts w:hint="eastAsia" w:ascii="宋体" w:hAnsi="宋体"/>
          <w:b/>
          <w:sz w:val="30"/>
          <w:szCs w:val="30"/>
        </w:rPr>
        <w:t>技 术 响 应 表</w:t>
      </w:r>
    </w:p>
    <w:p>
      <w:pPr>
        <w:snapToGrid w:val="0"/>
        <w:spacing w:before="50" w:after="120" w:afterLines="50"/>
        <w:jc w:val="center"/>
        <w:rPr>
          <w:rFonts w:ascii="宋体" w:hAnsi="宋体"/>
          <w:szCs w:val="21"/>
        </w:rPr>
      </w:pPr>
    </w:p>
    <w:p>
      <w:pPr>
        <w:pStyle w:val="15"/>
        <w:snapToGrid w:val="0"/>
        <w:ind w:firstLine="210" w:firstLineChars="100"/>
        <w:rPr>
          <w:rFonts w:ascii="宋体" w:hAnsi="宋体" w:eastAsia="宋体" w:cs="Times New Roman"/>
          <w:sz w:val="21"/>
          <w:szCs w:val="21"/>
          <w:u w:val="single"/>
        </w:rPr>
      </w:pPr>
      <w:r>
        <w:rPr>
          <w:rFonts w:hint="eastAsia" w:ascii="宋体" w:hAnsi="宋体" w:eastAsia="宋体" w:cs="Times New Roman"/>
          <w:sz w:val="21"/>
          <w:szCs w:val="21"/>
        </w:rPr>
        <w:t>单位全称（公章）：</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 xml:space="preserve"> 标项： </w:t>
      </w:r>
      <w:r>
        <w:rPr>
          <w:rFonts w:hint="eastAsia" w:ascii="宋体" w:hAnsi="宋体" w:eastAsia="宋体" w:cs="Times New Roman"/>
          <w:sz w:val="21"/>
          <w:szCs w:val="21"/>
          <w:u w:val="single"/>
        </w:rPr>
        <w:t xml:space="preserve">                          </w:t>
      </w:r>
    </w:p>
    <w:tbl>
      <w:tblPr>
        <w:tblStyle w:val="3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8"/>
              <w:ind w:firstLine="205" w:firstLineChars="98"/>
              <w:jc w:val="center"/>
              <w:rPr>
                <w:rFonts w:ascii="宋体" w:hAnsi="宋体"/>
                <w:sz w:val="21"/>
                <w:szCs w:val="21"/>
              </w:rPr>
            </w:pPr>
            <w:r>
              <w:rPr>
                <w:rFonts w:hint="eastAsia" w:ascii="宋体" w:hAnsi="宋体"/>
                <w:sz w:val="21"/>
                <w:szCs w:val="21"/>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pStyle w:val="18"/>
              <w:ind w:firstLine="205" w:firstLineChars="98"/>
              <w:jc w:val="center"/>
              <w:rPr>
                <w:rFonts w:ascii="宋体" w:hAnsi="宋体"/>
                <w:sz w:val="21"/>
                <w:szCs w:val="21"/>
              </w:rPr>
            </w:pPr>
            <w:r>
              <w:rPr>
                <w:rFonts w:hint="eastAsia" w:ascii="宋体" w:hAnsi="宋体"/>
                <w:sz w:val="21"/>
                <w:szCs w:val="21"/>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8"/>
              <w:ind w:firstLine="205" w:firstLineChars="98"/>
              <w:jc w:val="center"/>
              <w:rPr>
                <w:rFonts w:ascii="宋体" w:hAnsi="宋体"/>
                <w:sz w:val="21"/>
                <w:szCs w:val="21"/>
              </w:rPr>
            </w:pPr>
            <w:r>
              <w:rPr>
                <w:rFonts w:hint="eastAsia" w:ascii="宋体" w:hAnsi="宋体"/>
                <w:sz w:val="21"/>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beforeLines="0" w:after="120" w:afterLines="0" w:line="240" w:lineRule="auto"/>
              <w:outlineLvl w:val="0"/>
              <w:rPr>
                <w:rFonts w:hAnsi="宋体"/>
                <w:sz w:val="21"/>
                <w:szCs w:val="21"/>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0" w:beforeLines="0" w:after="120" w:line="240" w:lineRule="auto"/>
              <w:outlineLvl w:val="0"/>
              <w:rPr>
                <w:rFonts w:hAnsi="宋体"/>
                <w:sz w:val="21"/>
                <w:szCs w:val="21"/>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0" w:beforeLines="0" w:after="120" w:line="240" w:lineRule="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beforeLines="0" w:after="120" w:afterLines="0" w:line="240" w:lineRule="auto"/>
              <w:outlineLvl w:val="0"/>
              <w:rPr>
                <w:rFonts w:hAnsi="宋体"/>
                <w:sz w:val="21"/>
                <w:szCs w:val="21"/>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0" w:beforeLines="0" w:after="120" w:line="240" w:lineRule="auto"/>
              <w:rPr>
                <w:rFonts w:hAnsi="宋体"/>
                <w:sz w:val="21"/>
                <w:szCs w:val="21"/>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0" w:beforeLines="0" w:after="120" w:line="24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beforeLines="0" w:after="120" w:afterLines="0" w:line="240" w:lineRule="auto"/>
              <w:outlineLvl w:val="0"/>
              <w:rPr>
                <w:rFonts w:hAnsi="宋体"/>
                <w:sz w:val="21"/>
                <w:szCs w:val="21"/>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0" w:beforeLines="0" w:after="120" w:line="240" w:lineRule="auto"/>
              <w:outlineLvl w:val="0"/>
              <w:rPr>
                <w:rFonts w:hAnsi="宋体"/>
                <w:sz w:val="21"/>
                <w:szCs w:val="21"/>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0" w:beforeLines="0" w:after="120" w:line="240" w:lineRule="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beforeLines="0" w:after="120" w:afterLines="0" w:line="240" w:lineRule="auto"/>
              <w:outlineLvl w:val="0"/>
              <w:rPr>
                <w:rFonts w:hAnsi="宋体"/>
                <w:sz w:val="21"/>
                <w:szCs w:val="21"/>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0" w:beforeLines="0" w:after="120" w:line="240" w:lineRule="auto"/>
              <w:outlineLvl w:val="0"/>
              <w:rPr>
                <w:rFonts w:hAnsi="宋体"/>
                <w:sz w:val="21"/>
                <w:szCs w:val="21"/>
              </w:rPr>
            </w:pPr>
          </w:p>
        </w:tc>
        <w:tc>
          <w:tcPr>
            <w:tcW w:w="2423" w:type="dxa"/>
            <w:tcBorders>
              <w:top w:val="single" w:color="auto" w:sz="4" w:space="0"/>
              <w:left w:val="single" w:color="auto" w:sz="4" w:space="0"/>
              <w:right w:val="single" w:color="auto" w:sz="4" w:space="0"/>
            </w:tcBorders>
            <w:noWrap w:val="0"/>
            <w:vAlign w:val="top"/>
          </w:tcPr>
          <w:p>
            <w:pPr>
              <w:pStyle w:val="23"/>
              <w:snapToGrid w:val="0"/>
              <w:spacing w:before="0" w:beforeLines="0" w:after="120" w:line="240" w:lineRule="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beforeLines="0" w:after="120" w:afterLines="0" w:line="240" w:lineRule="auto"/>
              <w:outlineLvl w:val="0"/>
              <w:rPr>
                <w:rFonts w:hAnsi="宋体"/>
                <w:sz w:val="21"/>
                <w:szCs w:val="21"/>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0" w:beforeLines="0" w:after="120" w:line="240" w:lineRule="auto"/>
              <w:outlineLvl w:val="0"/>
              <w:rPr>
                <w:rFonts w:hAnsi="宋体"/>
                <w:sz w:val="21"/>
                <w:szCs w:val="21"/>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0" w:beforeLines="0" w:after="120" w:line="240" w:lineRule="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beforeLines="0" w:after="120" w:afterLines="0" w:line="240" w:lineRule="auto"/>
              <w:outlineLvl w:val="0"/>
              <w:rPr>
                <w:rFonts w:hAnsi="宋体"/>
                <w:sz w:val="21"/>
                <w:szCs w:val="21"/>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0" w:beforeLines="0" w:after="120" w:line="240" w:lineRule="auto"/>
              <w:outlineLvl w:val="0"/>
              <w:rPr>
                <w:rFonts w:hAnsi="宋体"/>
                <w:sz w:val="21"/>
                <w:szCs w:val="21"/>
              </w:rPr>
            </w:pPr>
          </w:p>
        </w:tc>
        <w:tc>
          <w:tcPr>
            <w:tcW w:w="2423" w:type="dxa"/>
            <w:tcBorders>
              <w:top w:val="single" w:color="auto" w:sz="4" w:space="0"/>
              <w:left w:val="single" w:color="auto" w:sz="4" w:space="0"/>
              <w:right w:val="single" w:color="auto" w:sz="4" w:space="0"/>
            </w:tcBorders>
            <w:noWrap w:val="0"/>
            <w:vAlign w:val="top"/>
          </w:tcPr>
          <w:p>
            <w:pPr>
              <w:pStyle w:val="23"/>
              <w:snapToGrid w:val="0"/>
              <w:spacing w:before="0" w:beforeLines="0" w:after="120" w:line="240" w:lineRule="auto"/>
              <w:outlineLvl w:val="0"/>
              <w:rPr>
                <w:rFonts w:hAnsi="宋体"/>
                <w:sz w:val="21"/>
                <w:szCs w:val="21"/>
              </w:rPr>
            </w:pPr>
          </w:p>
        </w:tc>
      </w:tr>
    </w:tbl>
    <w:p>
      <w:pPr>
        <w:pStyle w:val="18"/>
        <w:ind w:firstLine="205" w:firstLineChars="98"/>
        <w:rPr>
          <w:rFonts w:ascii="宋体" w:hAnsi="宋体"/>
          <w:sz w:val="21"/>
          <w:szCs w:val="21"/>
        </w:rPr>
      </w:pPr>
      <w:r>
        <w:rPr>
          <w:rFonts w:hint="eastAsia" w:ascii="宋体" w:hAnsi="宋体"/>
          <w:sz w:val="21"/>
          <w:szCs w:val="21"/>
        </w:rPr>
        <w:t>注：投标人应根据投标设备的性能指标、对照招标文件要求在“偏离</w:t>
      </w:r>
    </w:p>
    <w:p>
      <w:pPr>
        <w:pStyle w:val="18"/>
        <w:ind w:firstLine="205" w:firstLineChars="98"/>
        <w:rPr>
          <w:rFonts w:ascii="宋体" w:hAnsi="宋体"/>
          <w:sz w:val="21"/>
          <w:szCs w:val="21"/>
        </w:rPr>
      </w:pPr>
      <w:r>
        <w:rPr>
          <w:rFonts w:hint="eastAsia" w:ascii="宋体" w:hAnsi="宋体"/>
          <w:sz w:val="21"/>
          <w:szCs w:val="21"/>
        </w:rPr>
        <w:t>情况”栏注明“正偏离”、“负偏离”或“无偏离”。</w:t>
      </w:r>
    </w:p>
    <w:p>
      <w:pPr>
        <w:snapToGrid w:val="0"/>
        <w:spacing w:before="50" w:after="50"/>
        <w:rPr>
          <w:rFonts w:ascii="宋体" w:hAnsi="宋体"/>
          <w:szCs w:val="21"/>
        </w:rPr>
      </w:pPr>
    </w:p>
    <w:p>
      <w:pPr>
        <w:snapToGrid w:val="0"/>
        <w:spacing w:before="50" w:after="50"/>
        <w:rPr>
          <w:rFonts w:ascii="宋体" w:hAnsi="宋体"/>
          <w:szCs w:val="21"/>
        </w:rPr>
      </w:pPr>
    </w:p>
    <w:p>
      <w:pPr>
        <w:snapToGrid w:val="0"/>
        <w:spacing w:before="50" w:after="50"/>
        <w:ind w:firstLine="105" w:firstLineChars="50"/>
        <w:rPr>
          <w:rFonts w:ascii="宋体" w:hAnsi="宋体"/>
          <w:szCs w:val="21"/>
        </w:rPr>
      </w:pPr>
      <w:r>
        <w:rPr>
          <w:rFonts w:hint="eastAsia" w:ascii="宋体" w:hAnsi="宋体"/>
          <w:szCs w:val="21"/>
        </w:rPr>
        <w:t xml:space="preserve">全权代表签名：                  </w:t>
      </w:r>
    </w:p>
    <w:p>
      <w:pPr>
        <w:snapToGrid w:val="0"/>
        <w:spacing w:before="50" w:after="50"/>
        <w:rPr>
          <w:rFonts w:ascii="宋体" w:hAnsi="宋体"/>
          <w:spacing w:val="20"/>
          <w:sz w:val="28"/>
          <w:szCs w:val="28"/>
        </w:rPr>
      </w:pPr>
    </w:p>
    <w:p>
      <w:pPr>
        <w:snapToGrid w:val="0"/>
        <w:spacing w:before="50" w:after="50"/>
        <w:rPr>
          <w:rFonts w:ascii="宋体" w:hAnsi="宋体"/>
          <w:spacing w:val="20"/>
          <w:sz w:val="28"/>
          <w:szCs w:val="28"/>
        </w:rPr>
      </w:pPr>
    </w:p>
    <w:p>
      <w:pPr>
        <w:snapToGrid w:val="0"/>
        <w:spacing w:before="50" w:after="50"/>
        <w:rPr>
          <w:rFonts w:hint="eastAsia" w:ascii="宋体" w:hAnsi="宋体"/>
          <w:spacing w:val="20"/>
          <w:sz w:val="28"/>
          <w:szCs w:val="28"/>
        </w:rPr>
      </w:pPr>
    </w:p>
    <w:p>
      <w:pPr>
        <w:snapToGrid w:val="0"/>
        <w:spacing w:before="50" w:after="50"/>
        <w:ind w:right="420"/>
        <w:jc w:val="center"/>
        <w:rPr>
          <w:rFonts w:hint="eastAsia" w:ascii="宋体" w:hAnsi="宋体"/>
          <w:szCs w:val="21"/>
        </w:rPr>
      </w:pPr>
      <w:r>
        <w:rPr>
          <w:rFonts w:hint="eastAsia" w:ascii="宋体" w:hAnsi="宋体"/>
          <w:szCs w:val="21"/>
        </w:rPr>
        <w:t xml:space="preserve">日 期：         </w:t>
      </w:r>
    </w:p>
    <w:p>
      <w:pPr>
        <w:snapToGrid w:val="0"/>
        <w:spacing w:before="50" w:after="50"/>
        <w:ind w:firstLine="5600" w:firstLineChars="1750"/>
        <w:rPr>
          <w:rFonts w:hint="eastAsia" w:ascii="宋体" w:hAnsi="宋体"/>
          <w:spacing w:val="20"/>
          <w:sz w:val="28"/>
          <w:szCs w:val="28"/>
          <w:u w:val="single"/>
        </w:rPr>
      </w:pPr>
    </w:p>
    <w:p>
      <w:pPr>
        <w:snapToGrid w:val="0"/>
        <w:spacing w:before="50" w:after="50"/>
        <w:ind w:firstLine="4900" w:firstLineChars="1750"/>
        <w:rPr>
          <w:rFonts w:ascii="宋体" w:hAnsi="宋体"/>
          <w:sz w:val="28"/>
          <w:szCs w:val="28"/>
        </w:rPr>
      </w:pPr>
    </w:p>
    <w:p>
      <w:pPr>
        <w:snapToGrid w:val="0"/>
        <w:spacing w:before="50" w:after="120" w:afterLines="50"/>
        <w:jc w:val="left"/>
        <w:rPr>
          <w:rFonts w:hint="eastAsia" w:ascii="宋体" w:hAnsi="宋体"/>
          <w:sz w:val="28"/>
          <w:szCs w:val="28"/>
        </w:rPr>
      </w:pPr>
    </w:p>
    <w:p>
      <w:pPr>
        <w:snapToGrid w:val="0"/>
        <w:spacing w:before="50" w:after="120" w:afterLines="50"/>
        <w:jc w:val="left"/>
        <w:rPr>
          <w:rFonts w:hint="eastAsia" w:ascii="宋体" w:hAnsi="宋体"/>
          <w:sz w:val="28"/>
          <w:szCs w:val="28"/>
        </w:rPr>
      </w:pPr>
    </w:p>
    <w:p>
      <w:pPr>
        <w:snapToGrid w:val="0"/>
        <w:spacing w:before="50" w:after="120" w:afterLines="50"/>
        <w:jc w:val="left"/>
        <w:rPr>
          <w:rFonts w:hint="eastAsia" w:ascii="宋体" w:hAnsi="宋体"/>
          <w:sz w:val="28"/>
          <w:szCs w:val="28"/>
        </w:rPr>
      </w:pPr>
    </w:p>
    <w:p>
      <w:pPr>
        <w:snapToGrid w:val="0"/>
        <w:spacing w:before="50" w:after="120" w:afterLines="50"/>
        <w:jc w:val="left"/>
        <w:rPr>
          <w:rFonts w:hint="eastAsia" w:ascii="宋体" w:hAnsi="宋体"/>
          <w:sz w:val="28"/>
          <w:szCs w:val="28"/>
        </w:rPr>
      </w:pPr>
    </w:p>
    <w:p>
      <w:pPr>
        <w:snapToGrid w:val="0"/>
        <w:spacing w:before="50" w:after="120" w:afterLines="50"/>
        <w:jc w:val="left"/>
        <w:rPr>
          <w:rFonts w:hint="eastAsia" w:ascii="宋体" w:hAnsi="宋体"/>
          <w:sz w:val="28"/>
          <w:szCs w:val="28"/>
        </w:rPr>
      </w:pPr>
    </w:p>
    <w:p>
      <w:pPr>
        <w:snapToGrid w:val="0"/>
        <w:spacing w:before="50" w:after="120" w:afterLines="50"/>
        <w:jc w:val="left"/>
        <w:rPr>
          <w:rFonts w:hint="eastAsia" w:ascii="宋体" w:hAnsi="宋体"/>
          <w:sz w:val="28"/>
          <w:szCs w:val="28"/>
        </w:rPr>
      </w:pPr>
    </w:p>
    <w:p>
      <w:pPr>
        <w:snapToGrid w:val="0"/>
        <w:spacing w:before="50" w:after="120" w:afterLines="50"/>
        <w:jc w:val="left"/>
        <w:rPr>
          <w:rFonts w:hint="eastAsia" w:ascii="宋体" w:hAnsi="宋体"/>
          <w:sz w:val="28"/>
          <w:szCs w:val="28"/>
        </w:rPr>
      </w:pPr>
    </w:p>
    <w:p>
      <w:pPr>
        <w:snapToGrid w:val="0"/>
        <w:spacing w:before="50" w:after="120" w:afterLines="50"/>
        <w:jc w:val="left"/>
        <w:rPr>
          <w:rFonts w:hint="eastAsia" w:ascii="宋体" w:hAnsi="宋体"/>
          <w:sz w:val="28"/>
          <w:szCs w:val="28"/>
        </w:rPr>
      </w:pPr>
    </w:p>
    <w:p>
      <w:pPr>
        <w:snapToGrid w:val="0"/>
        <w:spacing w:before="50" w:after="120" w:afterLines="50"/>
        <w:jc w:val="left"/>
        <w:rPr>
          <w:rFonts w:ascii="宋体" w:hAnsi="宋体"/>
          <w:b/>
          <w:sz w:val="28"/>
          <w:szCs w:val="28"/>
        </w:rPr>
      </w:pPr>
      <w:r>
        <w:rPr>
          <w:rFonts w:hint="eastAsia" w:ascii="宋体" w:hAnsi="宋体"/>
          <w:b/>
          <w:sz w:val="28"/>
          <w:szCs w:val="28"/>
        </w:rPr>
        <w:t>附件2-3：</w:t>
      </w:r>
    </w:p>
    <w:p>
      <w:pPr>
        <w:snapToGrid w:val="0"/>
        <w:spacing w:before="120" w:beforeLines="50" w:after="50"/>
        <w:jc w:val="center"/>
        <w:rPr>
          <w:rFonts w:ascii="宋体" w:hAnsi="宋体"/>
          <w:b/>
          <w:sz w:val="32"/>
          <w:szCs w:val="32"/>
        </w:rPr>
      </w:pPr>
      <w:r>
        <w:rPr>
          <w:rFonts w:hint="eastAsia" w:ascii="宋体" w:hAnsi="宋体"/>
          <w:b/>
          <w:sz w:val="32"/>
          <w:szCs w:val="32"/>
        </w:rPr>
        <w:t>项目实施人员（主要从业人员及其技术资格）一览表</w:t>
      </w:r>
    </w:p>
    <w:p>
      <w:pPr>
        <w:snapToGrid w:val="0"/>
        <w:spacing w:before="120" w:beforeLines="50" w:after="50"/>
        <w:jc w:val="center"/>
        <w:rPr>
          <w:rFonts w:ascii="宋体" w:hAnsi="宋体"/>
          <w:szCs w:val="21"/>
          <w:u w:val="single"/>
        </w:rPr>
      </w:pPr>
    </w:p>
    <w:p>
      <w:pPr>
        <w:pStyle w:val="15"/>
        <w:snapToGrid w:val="0"/>
        <w:rPr>
          <w:rFonts w:ascii="宋体" w:hAnsi="宋体" w:eastAsia="宋体" w:cs="Times New Roman"/>
          <w:sz w:val="21"/>
          <w:szCs w:val="21"/>
          <w:u w:val="single"/>
        </w:rPr>
      </w:pPr>
      <w:r>
        <w:rPr>
          <w:rFonts w:hint="eastAsia" w:ascii="宋体" w:hAnsi="宋体" w:eastAsia="宋体" w:cs="Times New Roman"/>
          <w:sz w:val="21"/>
          <w:szCs w:val="21"/>
          <w:u w:val="single"/>
        </w:rPr>
        <w:t xml:space="preserve">单位全称（公章）： </w:t>
      </w:r>
      <w:r>
        <w:rPr>
          <w:rFonts w:hint="eastAsia" w:ascii="宋体" w:hAnsi="宋体" w:eastAsia="宋体" w:cs="Times New Roman"/>
          <w:sz w:val="21"/>
          <w:szCs w:val="21"/>
        </w:rPr>
        <w:t xml:space="preserve">                              标项：</w:t>
      </w:r>
      <w:r>
        <w:rPr>
          <w:rFonts w:hint="eastAsia" w:ascii="宋体" w:hAnsi="宋体" w:eastAsia="宋体" w:cs="Times New Roman"/>
          <w:sz w:val="21"/>
          <w:szCs w:val="21"/>
          <w:u w:val="single"/>
        </w:rPr>
        <w:t xml:space="preserve">                     </w:t>
      </w:r>
    </w:p>
    <w:tbl>
      <w:tblPr>
        <w:tblStyle w:val="3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260"/>
        <w:gridCol w:w="1980"/>
        <w:gridCol w:w="1260"/>
        <w:gridCol w:w="18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szCs w:val="21"/>
              </w:rPr>
            </w:pPr>
            <w:r>
              <w:rPr>
                <w:rFonts w:hint="eastAsia" w:ascii="宋体" w:hAnsi="宋体"/>
                <w:szCs w:val="21"/>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szCs w:val="21"/>
              </w:rPr>
            </w:pPr>
            <w:r>
              <w:rPr>
                <w:rFonts w:hint="eastAsia" w:ascii="宋体" w:hAnsi="宋体"/>
                <w:szCs w:val="21"/>
              </w:rPr>
              <w:t>职务</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szCs w:val="21"/>
              </w:rPr>
            </w:pPr>
            <w:r>
              <w:rPr>
                <w:rFonts w:hint="eastAsia" w:ascii="宋体" w:hAnsi="宋体"/>
                <w:szCs w:val="21"/>
              </w:rPr>
              <w:t>专业技</w:t>
            </w:r>
          </w:p>
          <w:p>
            <w:pPr>
              <w:snapToGrid w:val="0"/>
              <w:spacing w:before="120" w:beforeLines="50" w:after="50"/>
              <w:jc w:val="center"/>
              <w:rPr>
                <w:rFonts w:ascii="宋体" w:hAnsi="宋体"/>
                <w:szCs w:val="21"/>
              </w:rPr>
            </w:pPr>
            <w:r>
              <w:rPr>
                <w:rFonts w:hint="eastAsia" w:ascii="宋体" w:hAnsi="宋体"/>
                <w:szCs w:val="21"/>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szCs w:val="21"/>
              </w:rPr>
            </w:pPr>
            <w:r>
              <w:rPr>
                <w:rFonts w:hint="eastAsia" w:ascii="宋体" w:hAnsi="宋体"/>
                <w:szCs w:val="21"/>
              </w:rPr>
              <w:t>证书</w:t>
            </w:r>
          </w:p>
          <w:p>
            <w:pPr>
              <w:snapToGrid w:val="0"/>
              <w:spacing w:before="120" w:beforeLines="50" w:after="50"/>
              <w:jc w:val="center"/>
              <w:rPr>
                <w:rFonts w:ascii="宋体" w:hAnsi="宋体"/>
                <w:szCs w:val="21"/>
              </w:rPr>
            </w:pPr>
            <w:r>
              <w:rPr>
                <w:rFonts w:hint="eastAsia" w:ascii="宋体" w:hAnsi="宋体"/>
                <w:szCs w:val="21"/>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szCs w:val="21"/>
              </w:rPr>
            </w:pPr>
            <w:r>
              <w:rPr>
                <w:rFonts w:hint="eastAsia" w:ascii="宋体" w:hAnsi="宋体"/>
                <w:szCs w:val="21"/>
              </w:rPr>
              <w:t>参加本单位工作时间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szCs w:val="21"/>
              </w:rPr>
            </w:pPr>
            <w:r>
              <w:rPr>
                <w:rFonts w:hint="eastAsia" w:ascii="宋体" w:hAnsi="宋体"/>
                <w:szCs w:val="21"/>
              </w:rPr>
              <w:t>劳动合</w:t>
            </w:r>
          </w:p>
          <w:p>
            <w:pPr>
              <w:snapToGrid w:val="0"/>
              <w:spacing w:before="120" w:beforeLines="50" w:after="50"/>
              <w:jc w:val="center"/>
              <w:rPr>
                <w:rFonts w:ascii="宋体" w:hAnsi="宋体"/>
                <w:szCs w:val="21"/>
              </w:rPr>
            </w:pPr>
            <w:r>
              <w:rPr>
                <w:rFonts w:hint="eastAsia" w:ascii="宋体" w:hAnsi="宋体"/>
                <w:szCs w:val="21"/>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120" w:beforeLines="50" w:after="50"/>
              <w:ind w:left="52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bl>
    <w:p>
      <w:pPr>
        <w:snapToGrid w:val="0"/>
        <w:spacing w:before="50" w:after="120" w:afterLines="50"/>
        <w:jc w:val="left"/>
        <w:rPr>
          <w:rFonts w:ascii="宋体" w:hAnsi="宋体"/>
          <w:szCs w:val="21"/>
        </w:rPr>
      </w:pPr>
      <w:r>
        <w:rPr>
          <w:rFonts w:hint="eastAsia" w:ascii="宋体" w:hAnsi="宋体"/>
          <w:szCs w:val="21"/>
        </w:rPr>
        <w:t xml:space="preserve">注：在填写时，如本表格不适合投标单位的实际情况，可根据本表格式自行划表填写。 </w:t>
      </w:r>
    </w:p>
    <w:p>
      <w:pPr>
        <w:snapToGrid w:val="0"/>
        <w:spacing w:before="50" w:after="120" w:afterLines="50"/>
        <w:jc w:val="left"/>
        <w:rPr>
          <w:rFonts w:ascii="宋体" w:hAnsi="宋体"/>
          <w:szCs w:val="21"/>
        </w:rPr>
      </w:pPr>
    </w:p>
    <w:p>
      <w:pPr>
        <w:snapToGrid w:val="0"/>
        <w:spacing w:before="50" w:after="50"/>
        <w:rPr>
          <w:rFonts w:ascii="宋体" w:hAnsi="宋体"/>
          <w:szCs w:val="21"/>
        </w:rPr>
      </w:pPr>
      <w:r>
        <w:rPr>
          <w:rFonts w:hint="eastAsia" w:ascii="宋体" w:hAnsi="宋体"/>
          <w:szCs w:val="21"/>
        </w:rPr>
        <w:t xml:space="preserve">全权代表签名：               </w:t>
      </w:r>
    </w:p>
    <w:p>
      <w:pPr>
        <w:snapToGrid w:val="0"/>
        <w:spacing w:before="50" w:after="50"/>
        <w:rPr>
          <w:rFonts w:ascii="宋体" w:hAnsi="宋体"/>
          <w:szCs w:val="21"/>
        </w:rPr>
      </w:pPr>
    </w:p>
    <w:p>
      <w:pPr>
        <w:snapToGrid w:val="0"/>
        <w:spacing w:before="50" w:after="50"/>
        <w:rPr>
          <w:rFonts w:ascii="宋体" w:hAnsi="宋体"/>
          <w:szCs w:val="21"/>
        </w:rPr>
      </w:pPr>
    </w:p>
    <w:p>
      <w:pPr>
        <w:snapToGrid w:val="0"/>
        <w:spacing w:before="50" w:after="50"/>
        <w:ind w:firstLine="3360" w:firstLineChars="1600"/>
        <w:rPr>
          <w:rFonts w:ascii="宋体" w:hAnsi="宋体"/>
          <w:szCs w:val="21"/>
        </w:rPr>
      </w:pPr>
      <w:r>
        <w:rPr>
          <w:rFonts w:hint="eastAsia" w:ascii="宋体" w:hAnsi="宋体"/>
          <w:szCs w:val="21"/>
        </w:rPr>
        <w:t xml:space="preserve">日  期：          </w:t>
      </w:r>
    </w:p>
    <w:p>
      <w:pPr>
        <w:snapToGrid w:val="0"/>
        <w:spacing w:before="50" w:after="120" w:afterLines="50"/>
        <w:jc w:val="left"/>
        <w:rPr>
          <w:rFonts w:ascii="宋体" w:hAnsi="宋体"/>
          <w:szCs w:val="21"/>
        </w:rPr>
      </w:pPr>
    </w:p>
    <w:p>
      <w:pPr>
        <w:snapToGrid w:val="0"/>
        <w:spacing w:before="50" w:after="50"/>
        <w:rPr>
          <w:rFonts w:ascii="宋体" w:hAnsi="宋体"/>
          <w:b/>
          <w:sz w:val="28"/>
          <w:szCs w:val="28"/>
        </w:rPr>
      </w:pPr>
      <w:r>
        <w:rPr>
          <w:rFonts w:ascii="宋体" w:hAnsi="宋体"/>
          <w:szCs w:val="21"/>
        </w:rPr>
        <w:br w:type="page"/>
      </w:r>
      <w:r>
        <w:rPr>
          <w:rFonts w:hint="eastAsia" w:ascii="宋体" w:hAnsi="宋体"/>
          <w:b/>
          <w:sz w:val="28"/>
          <w:szCs w:val="28"/>
        </w:rPr>
        <w:t>附件2-4：</w:t>
      </w:r>
    </w:p>
    <w:p>
      <w:pPr>
        <w:snapToGrid w:val="0"/>
        <w:spacing w:before="50" w:after="120" w:afterLines="50"/>
        <w:jc w:val="center"/>
        <w:rPr>
          <w:rFonts w:ascii="宋体" w:hAnsi="宋体"/>
          <w:b/>
          <w:szCs w:val="21"/>
        </w:rPr>
      </w:pPr>
    </w:p>
    <w:p>
      <w:pPr>
        <w:snapToGrid w:val="0"/>
        <w:spacing w:before="50" w:after="120" w:afterLines="50"/>
        <w:jc w:val="center"/>
        <w:rPr>
          <w:rFonts w:ascii="宋体" w:hAnsi="宋体"/>
          <w:b/>
          <w:sz w:val="32"/>
          <w:szCs w:val="32"/>
        </w:rPr>
      </w:pPr>
      <w:r>
        <w:rPr>
          <w:rFonts w:hint="eastAsia" w:ascii="宋体" w:hAnsi="宋体"/>
          <w:b/>
          <w:sz w:val="32"/>
          <w:szCs w:val="32"/>
        </w:rPr>
        <w:t>选配件、专用耗材、售后服务优惠表（若有）</w:t>
      </w:r>
    </w:p>
    <w:p>
      <w:pPr>
        <w:snapToGrid w:val="0"/>
        <w:spacing w:before="50" w:after="120" w:afterLines="50"/>
        <w:jc w:val="center"/>
        <w:rPr>
          <w:rFonts w:ascii="宋体" w:hAnsi="宋体"/>
          <w:szCs w:val="21"/>
        </w:rPr>
      </w:pPr>
    </w:p>
    <w:p>
      <w:pPr>
        <w:pStyle w:val="15"/>
        <w:snapToGrid w:val="0"/>
        <w:rPr>
          <w:rFonts w:ascii="宋体" w:hAnsi="宋体" w:eastAsia="宋体" w:cs="Times New Roman"/>
          <w:sz w:val="21"/>
          <w:szCs w:val="21"/>
          <w:u w:val="single"/>
        </w:rPr>
      </w:pPr>
      <w:r>
        <w:rPr>
          <w:rFonts w:hint="eastAsia" w:ascii="宋体" w:hAnsi="宋体" w:eastAsia="宋体" w:cs="Times New Roman"/>
          <w:sz w:val="21"/>
          <w:szCs w:val="21"/>
        </w:rPr>
        <w:t>单位全称（公章）：</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 xml:space="preserve">    标项：</w:t>
      </w:r>
      <w:r>
        <w:rPr>
          <w:rFonts w:hint="eastAsia" w:ascii="宋体" w:hAnsi="宋体" w:eastAsia="宋体" w:cs="Times New Roman"/>
          <w:sz w:val="21"/>
          <w:szCs w:val="21"/>
          <w:u w:val="single"/>
        </w:rPr>
        <w:t xml:space="preserve">          </w:t>
      </w: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5"/>
        <w:gridCol w:w="2565"/>
        <w:gridCol w:w="1440"/>
        <w:gridCol w:w="1440"/>
        <w:gridCol w:w="2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trHeight w:val="601" w:hRule="atLeast"/>
        </w:trPr>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r>
              <w:rPr>
                <w:rFonts w:hint="eastAsia" w:hAnsi="宋体"/>
                <w:sz w:val="21"/>
                <w:szCs w:val="21"/>
              </w:rPr>
              <w:t>序号</w:t>
            </w:r>
          </w:p>
        </w:tc>
        <w:tc>
          <w:tcPr>
            <w:tcW w:w="2565" w:type="dxa"/>
            <w:tcBorders>
              <w:top w:val="single" w:color="auto" w:sz="4" w:space="0"/>
              <w:left w:val="single" w:color="auto" w:sz="4" w:space="0"/>
              <w:bottom w:val="single" w:color="auto" w:sz="2" w:space="0"/>
              <w:right w:val="single" w:color="auto" w:sz="4" w:space="0"/>
            </w:tcBorders>
            <w:noWrap w:val="0"/>
            <w:vAlign w:val="center"/>
          </w:tcPr>
          <w:p>
            <w:pPr>
              <w:pStyle w:val="23"/>
              <w:snapToGrid w:val="0"/>
              <w:spacing w:before="0" w:beforeLines="0" w:after="120" w:line="240" w:lineRule="auto"/>
              <w:jc w:val="center"/>
              <w:rPr>
                <w:rFonts w:hAnsi="宋体"/>
                <w:sz w:val="21"/>
                <w:szCs w:val="21"/>
              </w:rPr>
            </w:pPr>
            <w:r>
              <w:rPr>
                <w:rFonts w:hint="eastAsia" w:hAnsi="宋体"/>
                <w:sz w:val="21"/>
                <w:szCs w:val="21"/>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23"/>
              <w:snapToGrid w:val="0"/>
              <w:spacing w:before="0" w:beforeLines="0" w:after="120" w:line="240" w:lineRule="auto"/>
              <w:jc w:val="center"/>
              <w:rPr>
                <w:rFonts w:hAnsi="宋体"/>
                <w:sz w:val="21"/>
                <w:szCs w:val="21"/>
              </w:rPr>
            </w:pPr>
            <w:r>
              <w:rPr>
                <w:rFonts w:hint="eastAsia" w:hAnsi="宋体"/>
                <w:sz w:val="21"/>
                <w:szCs w:val="21"/>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r>
              <w:rPr>
                <w:rFonts w:hint="eastAsia" w:hAnsi="宋体"/>
                <w:sz w:val="21"/>
                <w:szCs w:val="21"/>
              </w:rPr>
              <w:t>单价</w:t>
            </w:r>
          </w:p>
        </w:tc>
        <w:tc>
          <w:tcPr>
            <w:tcW w:w="2475" w:type="dxa"/>
            <w:tcBorders>
              <w:top w:val="single" w:color="auto" w:sz="4" w:space="0"/>
              <w:left w:val="single" w:color="auto" w:sz="4" w:space="0"/>
              <w:bottom w:val="single" w:color="auto" w:sz="2" w:space="0"/>
              <w:right w:val="single" w:color="auto" w:sz="4" w:space="0"/>
            </w:tcBorders>
            <w:noWrap w:val="0"/>
            <w:vAlign w:val="center"/>
          </w:tcPr>
          <w:p>
            <w:pPr>
              <w:pStyle w:val="23"/>
              <w:snapToGrid w:val="0"/>
              <w:spacing w:before="0" w:beforeLines="0" w:after="120" w:line="240" w:lineRule="auto"/>
              <w:jc w:val="center"/>
              <w:rPr>
                <w:rFonts w:hAnsi="宋体"/>
                <w:sz w:val="21"/>
                <w:szCs w:val="21"/>
              </w:rPr>
            </w:pPr>
            <w:r>
              <w:rPr>
                <w:rFonts w:hint="eastAsia" w:hAnsi="宋体"/>
                <w:sz w:val="21"/>
                <w:szCs w:val="21"/>
              </w:rPr>
              <w:t>比投标报价</w:t>
            </w:r>
          </w:p>
          <w:p>
            <w:pPr>
              <w:pStyle w:val="23"/>
              <w:snapToGrid w:val="0"/>
              <w:spacing w:before="0" w:beforeLines="0" w:after="120" w:line="240" w:lineRule="auto"/>
              <w:jc w:val="center"/>
              <w:rPr>
                <w:rFonts w:hAnsi="宋体"/>
                <w:sz w:val="21"/>
                <w:szCs w:val="21"/>
              </w:rPr>
            </w:pPr>
            <w:r>
              <w:rPr>
                <w:rFonts w:hint="eastAsia" w:hAnsi="宋体"/>
                <w:sz w:val="21"/>
                <w:szCs w:val="21"/>
              </w:rPr>
              <w:t>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trHeight w:val="285" w:hRule="atLeast"/>
        </w:trPr>
        <w:tc>
          <w:tcPr>
            <w:tcW w:w="91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r>
              <w:rPr>
                <w:rFonts w:hint="eastAsia" w:hAnsi="宋体"/>
                <w:sz w:val="21"/>
                <w:szCs w:val="21"/>
              </w:rPr>
              <w:t>1</w:t>
            </w:r>
          </w:p>
        </w:tc>
        <w:tc>
          <w:tcPr>
            <w:tcW w:w="2565" w:type="dxa"/>
            <w:tcBorders>
              <w:top w:val="single" w:color="auto" w:sz="2" w:space="0"/>
              <w:left w:val="single" w:color="auto" w:sz="2" w:space="0"/>
              <w:bottom w:val="single" w:color="auto" w:sz="6" w:space="0"/>
              <w:right w:val="single" w:color="auto" w:sz="4" w:space="0"/>
            </w:tcBorders>
            <w:noWrap w:val="0"/>
            <w:vAlign w:val="center"/>
          </w:tcPr>
          <w:p>
            <w:pPr>
              <w:pStyle w:val="23"/>
              <w:snapToGrid w:val="0"/>
              <w:spacing w:before="0" w:beforeLines="0" w:after="120" w:line="240" w:lineRule="auto"/>
              <w:jc w:val="center"/>
              <w:rPr>
                <w:rFonts w:hAnsi="宋体"/>
                <w:sz w:val="21"/>
                <w:szCs w:val="21"/>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23"/>
              <w:snapToGrid w:val="0"/>
              <w:spacing w:before="0" w:beforeLines="0" w:after="120" w:line="240" w:lineRule="auto"/>
              <w:jc w:val="center"/>
              <w:rPr>
                <w:rFonts w:hAnsi="宋体"/>
                <w:sz w:val="21"/>
                <w:szCs w:val="21"/>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p>
        </w:tc>
        <w:tc>
          <w:tcPr>
            <w:tcW w:w="2475" w:type="dxa"/>
            <w:tcBorders>
              <w:top w:val="single" w:color="auto" w:sz="2" w:space="0"/>
              <w:left w:val="single" w:color="auto" w:sz="6" w:space="0"/>
              <w:bottom w:val="single" w:color="auto" w:sz="6" w:space="0"/>
              <w:right w:val="single" w:color="auto" w:sz="2" w:space="0"/>
            </w:tcBorders>
            <w:noWrap w:val="0"/>
            <w:vAlign w:val="center"/>
          </w:tcPr>
          <w:p>
            <w:pPr>
              <w:pStyle w:val="23"/>
              <w:snapToGrid w:val="0"/>
              <w:spacing w:before="0" w:beforeLines="0" w:after="120" w:line="24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trHeight w:val="285" w:hRule="atLeast"/>
        </w:trPr>
        <w:tc>
          <w:tcPr>
            <w:tcW w:w="91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r>
              <w:rPr>
                <w:rFonts w:hint="eastAsia" w:hAnsi="宋体"/>
                <w:sz w:val="21"/>
                <w:szCs w:val="21"/>
              </w:rPr>
              <w:t>2</w:t>
            </w:r>
          </w:p>
        </w:tc>
        <w:tc>
          <w:tcPr>
            <w:tcW w:w="2565" w:type="dxa"/>
            <w:tcBorders>
              <w:top w:val="single" w:color="auto" w:sz="6" w:space="0"/>
              <w:left w:val="single" w:color="auto" w:sz="2" w:space="0"/>
              <w:bottom w:val="single" w:color="auto" w:sz="6" w:space="0"/>
              <w:right w:val="single" w:color="auto" w:sz="4" w:space="0"/>
            </w:tcBorders>
            <w:noWrap w:val="0"/>
            <w:vAlign w:val="center"/>
          </w:tcPr>
          <w:p>
            <w:pPr>
              <w:pStyle w:val="23"/>
              <w:snapToGrid w:val="0"/>
              <w:spacing w:before="0" w:beforeLines="0" w:after="120" w:line="240" w:lineRule="auto"/>
              <w:jc w:val="center"/>
              <w:rPr>
                <w:rFonts w:hAnsi="宋体"/>
                <w:sz w:val="21"/>
                <w:szCs w:val="21"/>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3"/>
              <w:snapToGrid w:val="0"/>
              <w:spacing w:before="0" w:beforeLines="0" w:after="120" w:line="240" w:lineRule="auto"/>
              <w:jc w:val="center"/>
              <w:rPr>
                <w:rFonts w:hAnsi="宋体"/>
                <w:sz w:val="21"/>
                <w:szCs w:val="21"/>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p>
        </w:tc>
        <w:tc>
          <w:tcPr>
            <w:tcW w:w="2475" w:type="dxa"/>
            <w:tcBorders>
              <w:top w:val="single" w:color="auto" w:sz="6" w:space="0"/>
              <w:left w:val="single" w:color="auto" w:sz="6" w:space="0"/>
              <w:bottom w:val="single" w:color="auto" w:sz="6" w:space="0"/>
              <w:right w:val="single" w:color="auto" w:sz="2" w:space="0"/>
            </w:tcBorders>
            <w:noWrap w:val="0"/>
            <w:vAlign w:val="center"/>
          </w:tcPr>
          <w:p>
            <w:pPr>
              <w:pStyle w:val="23"/>
              <w:snapToGrid w:val="0"/>
              <w:spacing w:before="0" w:beforeLines="0" w:after="120" w:line="24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trHeight w:val="285" w:hRule="atLeast"/>
        </w:trPr>
        <w:tc>
          <w:tcPr>
            <w:tcW w:w="91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r>
              <w:rPr>
                <w:rFonts w:hint="eastAsia" w:hAnsi="宋体"/>
                <w:sz w:val="21"/>
                <w:szCs w:val="21"/>
              </w:rPr>
              <w:t>3</w:t>
            </w:r>
          </w:p>
        </w:tc>
        <w:tc>
          <w:tcPr>
            <w:tcW w:w="2565" w:type="dxa"/>
            <w:tcBorders>
              <w:top w:val="single" w:color="auto" w:sz="6" w:space="0"/>
              <w:left w:val="single" w:color="auto" w:sz="2" w:space="0"/>
              <w:bottom w:val="single" w:color="auto" w:sz="6" w:space="0"/>
              <w:right w:val="single" w:color="auto" w:sz="4" w:space="0"/>
            </w:tcBorders>
            <w:noWrap w:val="0"/>
            <w:vAlign w:val="center"/>
          </w:tcPr>
          <w:p>
            <w:pPr>
              <w:pStyle w:val="23"/>
              <w:snapToGrid w:val="0"/>
              <w:spacing w:before="0" w:beforeLines="0" w:after="120" w:line="240" w:lineRule="auto"/>
              <w:jc w:val="center"/>
              <w:rPr>
                <w:rFonts w:hAnsi="宋体"/>
                <w:sz w:val="21"/>
                <w:szCs w:val="21"/>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3"/>
              <w:snapToGrid w:val="0"/>
              <w:spacing w:before="0" w:beforeLines="0" w:after="120" w:line="240" w:lineRule="auto"/>
              <w:jc w:val="center"/>
              <w:rPr>
                <w:rFonts w:hAnsi="宋体"/>
                <w:sz w:val="21"/>
                <w:szCs w:val="21"/>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p>
        </w:tc>
        <w:tc>
          <w:tcPr>
            <w:tcW w:w="2475" w:type="dxa"/>
            <w:tcBorders>
              <w:top w:val="single" w:color="auto" w:sz="6" w:space="0"/>
              <w:left w:val="single" w:color="auto" w:sz="6" w:space="0"/>
              <w:bottom w:val="single" w:color="auto" w:sz="6" w:space="0"/>
              <w:right w:val="single" w:color="auto" w:sz="2" w:space="0"/>
            </w:tcBorders>
            <w:noWrap w:val="0"/>
            <w:vAlign w:val="center"/>
          </w:tcPr>
          <w:p>
            <w:pPr>
              <w:pStyle w:val="23"/>
              <w:snapToGrid w:val="0"/>
              <w:spacing w:before="0" w:beforeLines="0" w:after="120" w:line="24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trHeight w:val="285" w:hRule="atLeast"/>
        </w:trPr>
        <w:tc>
          <w:tcPr>
            <w:tcW w:w="91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r>
              <w:rPr>
                <w:rFonts w:hint="eastAsia" w:hAnsi="宋体"/>
                <w:sz w:val="21"/>
                <w:szCs w:val="21"/>
              </w:rPr>
              <w:t>4</w:t>
            </w:r>
          </w:p>
        </w:tc>
        <w:tc>
          <w:tcPr>
            <w:tcW w:w="2565" w:type="dxa"/>
            <w:tcBorders>
              <w:top w:val="single" w:color="auto" w:sz="6" w:space="0"/>
              <w:left w:val="single" w:color="auto" w:sz="2" w:space="0"/>
              <w:bottom w:val="single" w:color="auto" w:sz="6" w:space="0"/>
              <w:right w:val="single" w:color="auto" w:sz="4" w:space="0"/>
            </w:tcBorders>
            <w:noWrap w:val="0"/>
            <w:vAlign w:val="center"/>
          </w:tcPr>
          <w:p>
            <w:pPr>
              <w:pStyle w:val="23"/>
              <w:snapToGrid w:val="0"/>
              <w:spacing w:before="0" w:beforeLines="0" w:after="120" w:line="240" w:lineRule="auto"/>
              <w:jc w:val="center"/>
              <w:rPr>
                <w:rFonts w:hAnsi="宋体"/>
                <w:sz w:val="21"/>
                <w:szCs w:val="21"/>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3"/>
              <w:snapToGrid w:val="0"/>
              <w:spacing w:before="0" w:beforeLines="0" w:after="120" w:line="240" w:lineRule="auto"/>
              <w:jc w:val="center"/>
              <w:rPr>
                <w:rFonts w:hAnsi="宋体"/>
                <w:sz w:val="21"/>
                <w:szCs w:val="21"/>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p>
        </w:tc>
        <w:tc>
          <w:tcPr>
            <w:tcW w:w="2475" w:type="dxa"/>
            <w:tcBorders>
              <w:top w:val="single" w:color="auto" w:sz="6" w:space="0"/>
              <w:left w:val="single" w:color="auto" w:sz="6" w:space="0"/>
              <w:bottom w:val="single" w:color="auto" w:sz="6" w:space="0"/>
              <w:right w:val="single" w:color="auto" w:sz="2" w:space="0"/>
            </w:tcBorders>
            <w:noWrap w:val="0"/>
            <w:vAlign w:val="center"/>
          </w:tcPr>
          <w:p>
            <w:pPr>
              <w:pStyle w:val="23"/>
              <w:snapToGrid w:val="0"/>
              <w:spacing w:before="0" w:beforeLines="0" w:after="120" w:line="24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trHeight w:val="285" w:hRule="atLeast"/>
        </w:trPr>
        <w:tc>
          <w:tcPr>
            <w:tcW w:w="91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r>
              <w:rPr>
                <w:rFonts w:hint="eastAsia" w:hAnsi="宋体"/>
                <w:sz w:val="21"/>
                <w:szCs w:val="21"/>
              </w:rPr>
              <w:t>5</w:t>
            </w:r>
          </w:p>
        </w:tc>
        <w:tc>
          <w:tcPr>
            <w:tcW w:w="2565" w:type="dxa"/>
            <w:tcBorders>
              <w:top w:val="single" w:color="auto" w:sz="6" w:space="0"/>
              <w:left w:val="single" w:color="auto" w:sz="2" w:space="0"/>
              <w:bottom w:val="single" w:color="auto" w:sz="6" w:space="0"/>
              <w:right w:val="single" w:color="auto" w:sz="4" w:space="0"/>
            </w:tcBorders>
            <w:noWrap w:val="0"/>
            <w:vAlign w:val="center"/>
          </w:tcPr>
          <w:p>
            <w:pPr>
              <w:pStyle w:val="23"/>
              <w:snapToGrid w:val="0"/>
              <w:spacing w:before="0" w:beforeLines="0" w:after="120" w:line="240" w:lineRule="auto"/>
              <w:jc w:val="center"/>
              <w:rPr>
                <w:rFonts w:hAnsi="宋体"/>
                <w:sz w:val="21"/>
                <w:szCs w:val="21"/>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3"/>
              <w:snapToGrid w:val="0"/>
              <w:spacing w:before="0" w:beforeLines="0" w:after="120" w:line="240" w:lineRule="auto"/>
              <w:jc w:val="center"/>
              <w:rPr>
                <w:rFonts w:hAnsi="宋体"/>
                <w:sz w:val="21"/>
                <w:szCs w:val="21"/>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p>
        </w:tc>
        <w:tc>
          <w:tcPr>
            <w:tcW w:w="2475" w:type="dxa"/>
            <w:tcBorders>
              <w:top w:val="single" w:color="auto" w:sz="6" w:space="0"/>
              <w:left w:val="single" w:color="auto" w:sz="6" w:space="0"/>
              <w:bottom w:val="single" w:color="auto" w:sz="6" w:space="0"/>
              <w:right w:val="single" w:color="auto" w:sz="2" w:space="0"/>
            </w:tcBorders>
            <w:noWrap w:val="0"/>
            <w:vAlign w:val="center"/>
          </w:tcPr>
          <w:p>
            <w:pPr>
              <w:pStyle w:val="23"/>
              <w:snapToGrid w:val="0"/>
              <w:spacing w:before="0" w:beforeLines="0" w:after="120" w:line="24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trHeight w:val="285" w:hRule="atLeast"/>
        </w:trPr>
        <w:tc>
          <w:tcPr>
            <w:tcW w:w="91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r>
              <w:rPr>
                <w:rFonts w:hint="eastAsia" w:hAnsi="宋体"/>
                <w:sz w:val="21"/>
                <w:szCs w:val="21"/>
              </w:rPr>
              <w:t>6</w:t>
            </w:r>
          </w:p>
        </w:tc>
        <w:tc>
          <w:tcPr>
            <w:tcW w:w="2565" w:type="dxa"/>
            <w:tcBorders>
              <w:top w:val="single" w:color="auto" w:sz="6" w:space="0"/>
              <w:left w:val="single" w:color="auto" w:sz="2" w:space="0"/>
              <w:bottom w:val="single" w:color="auto" w:sz="6" w:space="0"/>
              <w:right w:val="single" w:color="auto" w:sz="4" w:space="0"/>
            </w:tcBorders>
            <w:noWrap w:val="0"/>
            <w:vAlign w:val="center"/>
          </w:tcPr>
          <w:p>
            <w:pPr>
              <w:pStyle w:val="23"/>
              <w:snapToGrid w:val="0"/>
              <w:spacing w:before="0" w:beforeLines="0" w:after="120" w:line="240" w:lineRule="auto"/>
              <w:jc w:val="center"/>
              <w:rPr>
                <w:rFonts w:hAnsi="宋体"/>
                <w:sz w:val="21"/>
                <w:szCs w:val="21"/>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3"/>
              <w:snapToGrid w:val="0"/>
              <w:spacing w:before="0" w:beforeLines="0" w:after="120" w:line="240" w:lineRule="auto"/>
              <w:jc w:val="center"/>
              <w:rPr>
                <w:rFonts w:hAnsi="宋体"/>
                <w:sz w:val="21"/>
                <w:szCs w:val="21"/>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3"/>
              <w:snapToGrid w:val="0"/>
              <w:spacing w:before="0" w:beforeLines="0" w:after="120" w:line="240" w:lineRule="auto"/>
              <w:jc w:val="center"/>
              <w:rPr>
                <w:rFonts w:hAnsi="宋体"/>
                <w:sz w:val="21"/>
                <w:szCs w:val="21"/>
              </w:rPr>
            </w:pPr>
          </w:p>
        </w:tc>
        <w:tc>
          <w:tcPr>
            <w:tcW w:w="2475" w:type="dxa"/>
            <w:tcBorders>
              <w:top w:val="single" w:color="auto" w:sz="6" w:space="0"/>
              <w:left w:val="single" w:color="auto" w:sz="6" w:space="0"/>
              <w:bottom w:val="single" w:color="auto" w:sz="6" w:space="0"/>
              <w:right w:val="single" w:color="auto" w:sz="2" w:space="0"/>
            </w:tcBorders>
            <w:noWrap w:val="0"/>
            <w:vAlign w:val="center"/>
          </w:tcPr>
          <w:p>
            <w:pPr>
              <w:pStyle w:val="23"/>
              <w:snapToGrid w:val="0"/>
              <w:spacing w:before="0" w:beforeLines="0" w:after="120" w:line="240" w:lineRule="auto"/>
              <w:jc w:val="center"/>
              <w:rPr>
                <w:rFonts w:hAnsi="宋体"/>
                <w:sz w:val="21"/>
                <w:szCs w:val="21"/>
              </w:rPr>
            </w:pPr>
          </w:p>
        </w:tc>
      </w:tr>
    </w:tbl>
    <w:p>
      <w:pPr>
        <w:snapToGrid w:val="0"/>
        <w:spacing w:before="50" w:after="50"/>
        <w:rPr>
          <w:rFonts w:ascii="宋体" w:hAnsi="宋体"/>
          <w:szCs w:val="21"/>
        </w:rPr>
      </w:pPr>
    </w:p>
    <w:p>
      <w:pPr>
        <w:snapToGrid w:val="0"/>
        <w:spacing w:before="50" w:after="50"/>
        <w:rPr>
          <w:rFonts w:ascii="宋体" w:hAnsi="宋体"/>
          <w:szCs w:val="21"/>
        </w:rPr>
      </w:pPr>
      <w:r>
        <w:rPr>
          <w:rFonts w:hint="eastAsia" w:ascii="宋体" w:hAnsi="宋体"/>
          <w:szCs w:val="21"/>
        </w:rPr>
        <w:t xml:space="preserve">全权代表签名：                </w:t>
      </w:r>
    </w:p>
    <w:p>
      <w:pPr>
        <w:snapToGrid w:val="0"/>
        <w:spacing w:before="50" w:after="50"/>
        <w:rPr>
          <w:rFonts w:ascii="宋体" w:hAnsi="宋体"/>
          <w:szCs w:val="21"/>
        </w:rPr>
      </w:pPr>
    </w:p>
    <w:p>
      <w:pPr>
        <w:snapToGrid w:val="0"/>
        <w:spacing w:before="50" w:after="50"/>
        <w:rPr>
          <w:rFonts w:ascii="宋体" w:hAnsi="宋体"/>
          <w:szCs w:val="21"/>
        </w:rPr>
      </w:pPr>
    </w:p>
    <w:p>
      <w:pPr>
        <w:snapToGrid w:val="0"/>
        <w:spacing w:before="50" w:after="50"/>
        <w:rPr>
          <w:rFonts w:ascii="宋体" w:hAnsi="宋体"/>
          <w:szCs w:val="21"/>
        </w:rPr>
      </w:pPr>
    </w:p>
    <w:p>
      <w:pPr>
        <w:snapToGrid w:val="0"/>
        <w:spacing w:before="50" w:after="50"/>
        <w:rPr>
          <w:rFonts w:ascii="宋体" w:hAnsi="宋体"/>
          <w:szCs w:val="21"/>
        </w:rPr>
      </w:pPr>
    </w:p>
    <w:p>
      <w:pPr>
        <w:snapToGrid w:val="0"/>
        <w:spacing w:before="50" w:after="50"/>
        <w:ind w:firstLine="3570" w:firstLineChars="1700"/>
        <w:rPr>
          <w:rFonts w:ascii="宋体" w:hAnsi="宋体"/>
          <w:szCs w:val="21"/>
        </w:rPr>
      </w:pPr>
      <w:r>
        <w:rPr>
          <w:rFonts w:hint="eastAsia" w:ascii="宋体" w:hAnsi="宋体"/>
          <w:szCs w:val="21"/>
        </w:rPr>
        <w:t xml:space="preserve">日 期：         </w:t>
      </w:r>
    </w:p>
    <w:p>
      <w:pPr>
        <w:snapToGrid w:val="0"/>
        <w:spacing w:before="120" w:beforeLines="50" w:after="50"/>
        <w:jc w:val="center"/>
        <w:rPr>
          <w:rFonts w:ascii="宋体" w:hAnsi="宋体"/>
          <w:szCs w:val="21"/>
        </w:rPr>
      </w:pPr>
    </w:p>
    <w:p>
      <w:pPr>
        <w:snapToGrid w:val="0"/>
        <w:spacing w:before="120" w:beforeLines="50" w:after="50"/>
        <w:jc w:val="center"/>
        <w:rPr>
          <w:rFonts w:ascii="宋体" w:hAnsi="宋体"/>
          <w:szCs w:val="21"/>
        </w:rPr>
      </w:pPr>
    </w:p>
    <w:p>
      <w:pPr>
        <w:snapToGrid w:val="0"/>
        <w:spacing w:before="120" w:beforeLines="50" w:after="50"/>
        <w:jc w:val="center"/>
        <w:rPr>
          <w:rFonts w:ascii="宋体" w:hAnsi="宋体"/>
          <w:szCs w:val="21"/>
        </w:rPr>
      </w:pPr>
    </w:p>
    <w:p>
      <w:pPr>
        <w:snapToGrid w:val="0"/>
        <w:spacing w:before="120" w:beforeLines="50" w:after="50"/>
        <w:jc w:val="center"/>
        <w:rPr>
          <w:rFonts w:ascii="宋体" w:hAnsi="宋体"/>
          <w:szCs w:val="21"/>
        </w:rPr>
      </w:pPr>
    </w:p>
    <w:p>
      <w:pPr>
        <w:snapToGrid w:val="0"/>
        <w:spacing w:before="120" w:beforeLines="50" w:after="50"/>
        <w:jc w:val="center"/>
        <w:rPr>
          <w:rFonts w:ascii="宋体" w:hAnsi="宋体"/>
          <w:szCs w:val="21"/>
        </w:rPr>
      </w:pPr>
    </w:p>
    <w:p>
      <w:pPr>
        <w:snapToGrid w:val="0"/>
        <w:spacing w:before="120" w:beforeLines="50" w:after="50"/>
        <w:jc w:val="center"/>
        <w:rPr>
          <w:rFonts w:ascii="宋体" w:hAnsi="宋体"/>
          <w:szCs w:val="21"/>
        </w:rPr>
      </w:pPr>
    </w:p>
    <w:p>
      <w:pPr>
        <w:snapToGrid w:val="0"/>
        <w:spacing w:before="120" w:beforeLines="50" w:after="50"/>
        <w:jc w:val="center"/>
        <w:rPr>
          <w:rFonts w:ascii="宋体" w:hAnsi="宋体"/>
          <w:szCs w:val="21"/>
        </w:rPr>
      </w:pPr>
    </w:p>
    <w:p>
      <w:pPr>
        <w:snapToGrid w:val="0"/>
        <w:spacing w:before="120" w:beforeLines="50" w:after="50"/>
        <w:jc w:val="center"/>
        <w:rPr>
          <w:rFonts w:hint="eastAsia" w:ascii="宋体" w:hAnsi="宋体"/>
          <w:szCs w:val="21"/>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ascii="宋体" w:hAnsi="宋体"/>
          <w:b/>
          <w:sz w:val="32"/>
          <w:szCs w:val="32"/>
        </w:rPr>
      </w:pPr>
      <w:r>
        <w:rPr>
          <w:rFonts w:hint="eastAsia" w:ascii="宋体" w:hAnsi="宋体"/>
          <w:b/>
          <w:sz w:val="28"/>
          <w:szCs w:val="28"/>
        </w:rPr>
        <w:t>附件3：</w:t>
      </w:r>
      <w:r>
        <w:rPr>
          <w:rFonts w:ascii="宋体" w:hAnsi="宋体"/>
          <w:b/>
          <w:sz w:val="32"/>
          <w:szCs w:val="32"/>
        </w:rPr>
        <w:t xml:space="preserve">                                  </w:t>
      </w:r>
      <w:r>
        <w:rPr>
          <w:rFonts w:hint="eastAsia" w:ascii="宋体" w:hAnsi="宋体"/>
          <w:b/>
          <w:sz w:val="32"/>
          <w:szCs w:val="32"/>
        </w:rPr>
        <w:t xml:space="preserve">       正本</w:t>
      </w:r>
    </w:p>
    <w:p>
      <w:pPr>
        <w:ind w:right="-110"/>
        <w:jc w:val="center"/>
        <w:rPr>
          <w:rFonts w:ascii="宋体" w:hAnsi="宋体"/>
          <w:spacing w:val="40"/>
          <w:sz w:val="52"/>
          <w:szCs w:val="52"/>
        </w:rPr>
      </w:pP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240" w:beforeLines="100"/>
        <w:ind w:right="-108"/>
        <w:jc w:val="center"/>
        <w:rPr>
          <w:rFonts w:hint="eastAsia" w:ascii="宋体" w:hAnsi="宋体" w:eastAsia="宋体"/>
          <w:sz w:val="32"/>
          <w:szCs w:val="32"/>
          <w:u w:val="single"/>
          <w:lang w:eastAsia="zh-CN"/>
        </w:rPr>
      </w:pPr>
      <w:r>
        <w:rPr>
          <w:rFonts w:hint="eastAsia" w:ascii="宋体" w:hAnsi="宋体"/>
          <w:sz w:val="32"/>
          <w:szCs w:val="32"/>
        </w:rPr>
        <w:t>项目编号：</w:t>
      </w:r>
      <w:r>
        <w:rPr>
          <w:rFonts w:hint="eastAsia" w:ascii="宋体" w:hAnsi="宋体"/>
          <w:sz w:val="32"/>
          <w:szCs w:val="32"/>
          <w:lang w:eastAsia="zh-CN"/>
        </w:rPr>
        <w:t>AJGK2019-016</w:t>
      </w:r>
    </w:p>
    <w:p>
      <w:pPr>
        <w:spacing w:after="100" w:afterAutospacing="1"/>
        <w:ind w:right="-108"/>
        <w:jc w:val="center"/>
        <w:rPr>
          <w:rFonts w:hint="eastAsia" w:ascii="宋体" w:hAnsi="宋体"/>
          <w:b/>
          <w:spacing w:val="40"/>
          <w:sz w:val="84"/>
          <w:szCs w:val="84"/>
        </w:rPr>
      </w:pP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报</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价</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文</w:t>
      </w:r>
    </w:p>
    <w:p>
      <w:pPr>
        <w:spacing w:after="100" w:afterAutospacing="1"/>
        <w:ind w:right="-108"/>
        <w:jc w:val="center"/>
        <w:rPr>
          <w:rFonts w:hint="eastAsia" w:ascii="宋体" w:hAnsi="宋体"/>
          <w:b/>
          <w:spacing w:val="40"/>
          <w:sz w:val="48"/>
          <w:szCs w:val="48"/>
        </w:rPr>
      </w:pPr>
      <w:r>
        <w:rPr>
          <w:rFonts w:hint="eastAsia" w:ascii="宋体" w:hAnsi="宋体"/>
          <w:b/>
          <w:spacing w:val="40"/>
          <w:sz w:val="48"/>
          <w:szCs w:val="48"/>
        </w:rPr>
        <w:t>件</w:t>
      </w:r>
    </w:p>
    <w:p>
      <w:pPr>
        <w:spacing w:after="100" w:afterAutospacing="1"/>
        <w:ind w:right="-108"/>
        <w:jc w:val="center"/>
        <w:rPr>
          <w:rFonts w:hint="eastAsia" w:ascii="宋体" w:hAnsi="宋体"/>
          <w:b/>
          <w:spacing w:val="40"/>
          <w:sz w:val="48"/>
          <w:szCs w:val="48"/>
        </w:rPr>
      </w:pPr>
    </w:p>
    <w:p>
      <w:pPr>
        <w:spacing w:after="100" w:afterAutospacing="1"/>
        <w:ind w:right="-108"/>
        <w:jc w:val="center"/>
        <w:rPr>
          <w:rFonts w:hint="eastAsia" w:ascii="宋体" w:hAnsi="宋体"/>
          <w:b/>
          <w:spacing w:val="40"/>
          <w:sz w:val="48"/>
          <w:szCs w:val="48"/>
        </w:rPr>
      </w:pPr>
    </w:p>
    <w:p>
      <w:pPr>
        <w:spacing w:after="100" w:afterAutospacing="1"/>
        <w:ind w:right="-108"/>
        <w:jc w:val="center"/>
        <w:rPr>
          <w:rFonts w:hint="eastAsia" w:ascii="宋体" w:hAnsi="宋体"/>
          <w:b/>
          <w:spacing w:val="40"/>
          <w:sz w:val="48"/>
          <w:szCs w:val="48"/>
        </w:rPr>
      </w:pPr>
    </w:p>
    <w:p>
      <w:pPr>
        <w:ind w:right="532"/>
        <w:rPr>
          <w:rFonts w:ascii="宋体" w:hAnsi="宋体"/>
          <w:sz w:val="32"/>
          <w:szCs w:val="32"/>
        </w:rPr>
      </w:pPr>
      <w:r>
        <w:rPr>
          <w:rFonts w:hint="eastAsia" w:ascii="宋体" w:hAnsi="宋体"/>
          <w:sz w:val="32"/>
          <w:szCs w:val="32"/>
        </w:rPr>
        <w:t>单位全称（公章）：</w:t>
      </w:r>
    </w:p>
    <w:p>
      <w:pPr>
        <w:ind w:right="-108"/>
        <w:rPr>
          <w:rFonts w:ascii="宋体" w:hAnsi="宋体"/>
          <w:sz w:val="32"/>
          <w:szCs w:val="32"/>
        </w:rPr>
      </w:pPr>
      <w:r>
        <w:rPr>
          <w:rFonts w:hint="eastAsia" w:ascii="宋体" w:hAnsi="宋体"/>
          <w:sz w:val="32"/>
          <w:szCs w:val="32"/>
        </w:rPr>
        <w:t>地    址：</w:t>
      </w:r>
    </w:p>
    <w:p>
      <w:pPr>
        <w:ind w:right="-108"/>
        <w:rPr>
          <w:rFonts w:ascii="宋体" w:hAnsi="宋体"/>
          <w:sz w:val="32"/>
          <w:szCs w:val="32"/>
        </w:rPr>
      </w:pPr>
      <w:r>
        <w:rPr>
          <w:rFonts w:hint="eastAsia" w:ascii="宋体" w:hAnsi="宋体"/>
          <w:sz w:val="32"/>
          <w:szCs w:val="32"/>
        </w:rPr>
        <w:t>时    间：</w:t>
      </w:r>
    </w:p>
    <w:p>
      <w:pPr>
        <w:pStyle w:val="24"/>
        <w:snapToGrid w:val="0"/>
        <w:ind w:left="-859" w:leftChars="-1190" w:hanging="1640" w:hangingChars="781"/>
        <w:rPr>
          <w:rFonts w:ascii="宋体" w:hAnsi="宋体"/>
          <w:szCs w:val="32"/>
        </w:rPr>
      </w:pPr>
    </w:p>
    <w:p>
      <w:pPr>
        <w:pStyle w:val="24"/>
        <w:snapToGrid w:val="0"/>
        <w:ind w:left="0" w:leftChars="0"/>
        <w:jc w:val="left"/>
        <w:rPr>
          <w:rFonts w:hint="eastAsia" w:ascii="宋体" w:hAnsi="宋体"/>
          <w:szCs w:val="32"/>
        </w:rPr>
      </w:pPr>
    </w:p>
    <w:p>
      <w:pPr>
        <w:pStyle w:val="24"/>
        <w:snapToGrid w:val="0"/>
        <w:ind w:left="0" w:leftChars="0"/>
        <w:jc w:val="left"/>
        <w:rPr>
          <w:rFonts w:hint="eastAsia" w:ascii="宋体" w:hAnsi="宋体"/>
          <w:szCs w:val="32"/>
        </w:rPr>
      </w:pPr>
    </w:p>
    <w:p>
      <w:pPr>
        <w:rPr>
          <w:rFonts w:hint="eastAsia"/>
        </w:rPr>
      </w:pPr>
    </w:p>
    <w:p>
      <w:pPr>
        <w:rPr>
          <w:rFonts w:hint="eastAsia"/>
        </w:rPr>
      </w:pPr>
    </w:p>
    <w:p>
      <w:pPr>
        <w:rPr>
          <w:rFonts w:hint="eastAsia"/>
        </w:rPr>
      </w:pPr>
    </w:p>
    <w:p>
      <w:pPr>
        <w:pStyle w:val="24"/>
        <w:snapToGrid w:val="0"/>
        <w:ind w:left="0" w:leftChars="0"/>
        <w:jc w:val="left"/>
        <w:rPr>
          <w:rFonts w:ascii="宋体" w:hAnsi="宋体"/>
          <w:b/>
          <w:szCs w:val="32"/>
        </w:rPr>
      </w:pPr>
      <w:r>
        <w:rPr>
          <w:rFonts w:hint="eastAsia" w:ascii="宋体" w:hAnsi="宋体"/>
          <w:b/>
          <w:szCs w:val="32"/>
        </w:rPr>
        <w:t>报价文件目录</w:t>
      </w:r>
    </w:p>
    <w:p>
      <w:pPr>
        <w:pStyle w:val="24"/>
        <w:snapToGrid w:val="0"/>
        <w:spacing w:line="400" w:lineRule="exact"/>
        <w:ind w:left="-25" w:leftChars="-12" w:firstLine="14" w:firstLineChars="7"/>
        <w:rPr>
          <w:rFonts w:ascii="宋体" w:hAnsi="宋体"/>
          <w:szCs w:val="32"/>
        </w:rPr>
      </w:pPr>
      <w:r>
        <w:rPr>
          <w:rFonts w:hint="eastAsia" w:ascii="宋体" w:hAnsi="宋体"/>
          <w:szCs w:val="32"/>
        </w:rPr>
        <w:t>（1）开标一览表（格式见</w:t>
      </w:r>
      <w:r>
        <w:rPr>
          <w:rFonts w:hint="eastAsia" w:ascii="宋体" w:hAnsi="宋体"/>
          <w:b/>
          <w:szCs w:val="32"/>
        </w:rPr>
        <w:t>附件3-1</w:t>
      </w:r>
      <w:r>
        <w:rPr>
          <w:rFonts w:hint="eastAsia" w:ascii="宋体" w:hAnsi="宋体"/>
          <w:szCs w:val="32"/>
        </w:rPr>
        <w:t>）；</w:t>
      </w:r>
    </w:p>
    <w:p>
      <w:pPr>
        <w:snapToGrid w:val="0"/>
        <w:spacing w:line="400" w:lineRule="exact"/>
        <w:jc w:val="left"/>
        <w:rPr>
          <w:rFonts w:ascii="宋体" w:hAnsi="宋体"/>
          <w:szCs w:val="32"/>
        </w:rPr>
      </w:pPr>
      <w:r>
        <w:rPr>
          <w:rFonts w:hint="eastAsia" w:ascii="宋体" w:hAnsi="宋体"/>
          <w:szCs w:val="32"/>
        </w:rPr>
        <w:t>（2）投标报价明细表（格式见</w:t>
      </w:r>
      <w:r>
        <w:rPr>
          <w:rFonts w:hint="eastAsia" w:ascii="宋体" w:hAnsi="宋体"/>
          <w:b/>
          <w:szCs w:val="32"/>
        </w:rPr>
        <w:t>附件3-2</w:t>
      </w:r>
      <w:r>
        <w:rPr>
          <w:rFonts w:hint="eastAsia" w:ascii="宋体" w:hAnsi="宋体"/>
          <w:szCs w:val="32"/>
        </w:rPr>
        <w:t>）；</w:t>
      </w:r>
    </w:p>
    <w:p>
      <w:pPr>
        <w:pStyle w:val="24"/>
        <w:snapToGrid w:val="0"/>
        <w:spacing w:line="400" w:lineRule="exact"/>
        <w:ind w:left="-17" w:leftChars="-8"/>
        <w:rPr>
          <w:rFonts w:ascii="宋体" w:hAnsi="宋体"/>
          <w:szCs w:val="32"/>
        </w:rPr>
      </w:pPr>
      <w:r>
        <w:rPr>
          <w:rFonts w:hint="eastAsia" w:ascii="宋体" w:hAnsi="宋体"/>
          <w:szCs w:val="32"/>
        </w:rPr>
        <w:t>（3）投标人针对报价需要说明的其他文件和说明（格式自拟）。</w:t>
      </w:r>
    </w:p>
    <w:p>
      <w:pPr>
        <w:pStyle w:val="23"/>
        <w:snapToGrid w:val="0"/>
        <w:spacing w:before="0" w:beforeLines="0" w:after="120" w:line="240" w:lineRule="auto"/>
        <w:rPr>
          <w:rFonts w:hint="eastAsia" w:hAnsi="宋体"/>
          <w:b/>
          <w:sz w:val="28"/>
          <w:szCs w:val="28"/>
        </w:rPr>
      </w:pPr>
    </w:p>
    <w:p>
      <w:pPr>
        <w:pStyle w:val="23"/>
        <w:snapToGrid w:val="0"/>
        <w:spacing w:before="0" w:beforeLines="0" w:after="120" w:line="240" w:lineRule="auto"/>
        <w:rPr>
          <w:rFonts w:hAnsi="宋体"/>
          <w:b/>
          <w:sz w:val="28"/>
          <w:szCs w:val="28"/>
        </w:rPr>
      </w:pPr>
      <w:r>
        <w:rPr>
          <w:rFonts w:hint="eastAsia" w:hAnsi="宋体"/>
          <w:b/>
          <w:sz w:val="28"/>
          <w:szCs w:val="28"/>
        </w:rPr>
        <w:t>附件3-1：</w:t>
      </w:r>
    </w:p>
    <w:p>
      <w:pPr>
        <w:snapToGrid w:val="0"/>
        <w:spacing w:before="50" w:after="240"/>
        <w:jc w:val="center"/>
        <w:rPr>
          <w:rFonts w:hint="eastAsia" w:ascii="宋体" w:hAnsi="宋体"/>
          <w:b/>
          <w:sz w:val="36"/>
          <w:szCs w:val="36"/>
        </w:rPr>
      </w:pPr>
      <w:r>
        <w:rPr>
          <w:rFonts w:hint="eastAsia" w:ascii="宋体" w:hAnsi="宋体"/>
          <w:b/>
          <w:sz w:val="36"/>
          <w:szCs w:val="36"/>
        </w:rPr>
        <w:t>开 标 一 览 表</w:t>
      </w:r>
    </w:p>
    <w:p>
      <w:pPr>
        <w:snapToGrid w:val="0"/>
        <w:ind w:firstLine="420" w:firstLineChars="200"/>
        <w:rPr>
          <w:rFonts w:hint="eastAsia" w:ascii="宋体" w:hAnsi="宋体"/>
          <w:szCs w:val="32"/>
        </w:rPr>
      </w:pPr>
      <w:r>
        <w:rPr>
          <w:rFonts w:hint="eastAsia" w:ascii="宋体" w:hAnsi="宋体"/>
          <w:szCs w:val="32"/>
        </w:rPr>
        <w:t>供应商全称（公章）：                                   招标编号</w:t>
      </w:r>
      <w:r>
        <w:rPr>
          <w:rFonts w:hint="eastAsia" w:ascii="宋体" w:hAnsi="宋体"/>
          <w:szCs w:val="32"/>
          <w:u w:val="single"/>
        </w:rPr>
        <w:t>：</w:t>
      </w:r>
      <w:r>
        <w:rPr>
          <w:rFonts w:hint="eastAsia" w:ascii="宋体" w:hAnsi="宋体"/>
          <w:szCs w:val="32"/>
          <w:u w:val="single"/>
          <w:lang w:eastAsia="zh-CN"/>
        </w:rPr>
        <w:t>AJGK2019-016</w:t>
      </w:r>
      <w:r>
        <w:rPr>
          <w:rFonts w:hint="eastAsia" w:ascii="仿宋" w:hAnsi="仿宋" w:eastAsia="仿宋"/>
          <w:b/>
          <w:sz w:val="30"/>
          <w:szCs w:val="30"/>
          <w:u w:val="single"/>
        </w:rPr>
        <w:t xml:space="preserve"> </w:t>
      </w:r>
      <w:r>
        <w:rPr>
          <w:rFonts w:hint="eastAsia" w:ascii="宋体" w:hAnsi="宋体"/>
          <w:szCs w:val="32"/>
          <w:u w:val="single"/>
        </w:rPr>
        <w:t xml:space="preserve"> </w:t>
      </w:r>
      <w:r>
        <w:rPr>
          <w:rFonts w:hint="eastAsia" w:ascii="宋体" w:hAnsi="宋体"/>
          <w:szCs w:val="32"/>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500"/>
        <w:gridCol w:w="1194"/>
        <w:gridCol w:w="2295"/>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cs="宋体"/>
                <w:szCs w:val="21"/>
              </w:rPr>
            </w:pPr>
            <w:r>
              <w:rPr>
                <w:rFonts w:hint="eastAsia" w:ascii="宋体" w:hAnsi="宋体" w:cs="宋体"/>
                <w:szCs w:val="21"/>
              </w:rPr>
              <w:t>序号</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cs="宋体"/>
                <w:szCs w:val="21"/>
              </w:rPr>
            </w:pPr>
            <w:r>
              <w:rPr>
                <w:rFonts w:hint="eastAsia" w:ascii="宋体" w:hAnsi="宋体" w:cs="宋体"/>
                <w:szCs w:val="21"/>
              </w:rPr>
              <w:t>项目名称</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cs="宋体"/>
                <w:szCs w:val="21"/>
              </w:rPr>
            </w:pPr>
            <w:r>
              <w:rPr>
                <w:rFonts w:hint="eastAsia" w:ascii="宋体" w:hAnsi="宋体" w:cs="宋体"/>
                <w:szCs w:val="21"/>
              </w:rPr>
              <w:t>数量</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cs="宋体"/>
                <w:szCs w:val="21"/>
              </w:rPr>
            </w:pPr>
            <w:r>
              <w:rPr>
                <w:rFonts w:hint="eastAsia" w:ascii="宋体" w:hAnsi="宋体" w:cs="宋体"/>
                <w:szCs w:val="21"/>
              </w:rPr>
              <w:t>投标总价（元）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400" w:lineRule="exact"/>
              <w:jc w:val="center"/>
              <w:rPr>
                <w:rFonts w:hint="eastAsia" w:ascii="宋体" w:hAnsi="宋体" w:cs="宋体"/>
                <w:szCs w:val="21"/>
              </w:rPr>
            </w:pPr>
            <w:r>
              <w:rPr>
                <w:rFonts w:hint="eastAsia" w:ascii="宋体" w:hAnsi="宋体" w:cs="宋体"/>
                <w:szCs w:val="21"/>
              </w:rPr>
              <w:t>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2" w:hRule="atLeast"/>
          <w:jc w:val="center"/>
        </w:trPr>
        <w:tc>
          <w:tcPr>
            <w:tcW w:w="851" w:type="dxa"/>
            <w:tcBorders>
              <w:top w:val="single" w:color="auto" w:sz="4" w:space="0"/>
              <w:left w:val="single" w:color="auto" w:sz="4" w:space="0"/>
              <w:right w:val="single" w:color="auto" w:sz="4" w:space="0"/>
            </w:tcBorders>
            <w:noWrap w:val="0"/>
            <w:vAlign w:val="center"/>
          </w:tcPr>
          <w:p>
            <w:pPr>
              <w:snapToGrid w:val="0"/>
              <w:spacing w:before="50" w:after="50" w:line="400" w:lineRule="exact"/>
              <w:jc w:val="center"/>
              <w:rPr>
                <w:rFonts w:hint="eastAsia" w:ascii="宋体" w:hAnsi="宋体" w:cs="宋体"/>
                <w:szCs w:val="21"/>
              </w:rPr>
            </w:pPr>
            <w:r>
              <w:rPr>
                <w:rFonts w:hint="eastAsia" w:ascii="宋体" w:hAnsi="宋体" w:cs="宋体"/>
                <w:szCs w:val="21"/>
              </w:rPr>
              <w:t>1</w:t>
            </w:r>
          </w:p>
        </w:tc>
        <w:tc>
          <w:tcPr>
            <w:tcW w:w="2500" w:type="dxa"/>
            <w:tcBorders>
              <w:top w:val="single" w:color="auto" w:sz="4" w:space="0"/>
              <w:left w:val="single" w:color="auto" w:sz="4" w:space="0"/>
              <w:right w:val="single" w:color="auto" w:sz="4" w:space="0"/>
            </w:tcBorders>
            <w:noWrap w:val="0"/>
            <w:vAlign w:val="center"/>
          </w:tcPr>
          <w:p>
            <w:pPr>
              <w:snapToGrid w:val="0"/>
              <w:spacing w:line="360" w:lineRule="atLeast"/>
              <w:jc w:val="center"/>
              <w:rPr>
                <w:rFonts w:hint="eastAsia" w:ascii="宋体" w:hAnsi="宋体" w:cs="宋体"/>
                <w:szCs w:val="21"/>
              </w:rPr>
            </w:pPr>
            <w:r>
              <w:rPr>
                <w:rFonts w:hint="eastAsia" w:ascii="宋体" w:hAnsi="宋体" w:cs="宋体"/>
                <w:szCs w:val="21"/>
              </w:rPr>
              <w:t>升级平台软件、建设平台基础支撑硬件、改造升级电子警察设备、升级改造交通信号控制系统、建设区间测速系统</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宋体" w:hAnsi="宋体" w:cs="宋体"/>
                <w:szCs w:val="21"/>
              </w:rPr>
            </w:pPr>
            <w:r>
              <w:rPr>
                <w:rFonts w:hint="eastAsia" w:ascii="宋体" w:hAnsi="宋体" w:cs="宋体"/>
                <w:szCs w:val="21"/>
              </w:rPr>
              <w:t>1批</w:t>
            </w:r>
          </w:p>
        </w:tc>
        <w:tc>
          <w:tcPr>
            <w:tcW w:w="2295" w:type="dxa"/>
            <w:tcBorders>
              <w:top w:val="single" w:color="auto" w:sz="4" w:space="0"/>
              <w:left w:val="single" w:color="auto" w:sz="4" w:space="0"/>
              <w:right w:val="single" w:color="auto" w:sz="4" w:space="0"/>
            </w:tcBorders>
            <w:noWrap w:val="0"/>
            <w:vAlign w:val="center"/>
          </w:tcPr>
          <w:p>
            <w:pPr>
              <w:snapToGrid w:val="0"/>
              <w:spacing w:before="50" w:after="50" w:line="400" w:lineRule="exact"/>
              <w:jc w:val="center"/>
              <w:rPr>
                <w:rFonts w:hint="eastAsia" w:ascii="宋体" w:hAnsi="宋体" w:cs="宋体"/>
                <w:szCs w:val="21"/>
              </w:rPr>
            </w:pPr>
          </w:p>
        </w:tc>
        <w:tc>
          <w:tcPr>
            <w:tcW w:w="2127" w:type="dxa"/>
            <w:tcBorders>
              <w:top w:val="single" w:color="auto" w:sz="4" w:space="0"/>
              <w:left w:val="single" w:color="auto" w:sz="4" w:space="0"/>
              <w:right w:val="single" w:color="auto" w:sz="4" w:space="0"/>
            </w:tcBorders>
            <w:noWrap w:val="0"/>
            <w:vAlign w:val="center"/>
          </w:tcPr>
          <w:p>
            <w:pPr>
              <w:snapToGrid w:val="0"/>
              <w:spacing w:before="50" w:after="50" w:line="400" w:lineRule="exact"/>
              <w:jc w:val="center"/>
              <w:rPr>
                <w:rFonts w:hint="eastAsia" w:ascii="宋体" w:hAnsi="宋体" w:cs="宋体"/>
                <w:szCs w:val="21"/>
              </w:rPr>
            </w:pPr>
            <w:r>
              <w:rPr>
                <w:rFonts w:hint="eastAsia" w:ascii="宋体" w:hAnsi="宋体" w:cs="宋体"/>
                <w:szCs w:val="21"/>
                <w:lang w:val="en-US" w:eastAsia="zh-CN"/>
              </w:rPr>
              <w:t>2303</w:t>
            </w: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9" w:hRule="atLeast"/>
          <w:jc w:val="center"/>
        </w:trPr>
        <w:tc>
          <w:tcPr>
            <w:tcW w:w="8967"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400" w:lineRule="exact"/>
              <w:rPr>
                <w:rFonts w:hint="eastAsia" w:ascii="宋体" w:hAnsi="宋体" w:cs="宋体"/>
                <w:szCs w:val="21"/>
              </w:rPr>
            </w:pPr>
            <w:r>
              <w:rPr>
                <w:rFonts w:hint="eastAsia" w:ascii="宋体" w:hAnsi="宋体" w:cs="宋体"/>
                <w:szCs w:val="21"/>
              </w:rPr>
              <w:t xml:space="preserve">合计金额大写：                                    小写： ￥            </w:t>
            </w:r>
          </w:p>
        </w:tc>
      </w:tr>
    </w:tbl>
    <w:p>
      <w:pPr>
        <w:snapToGrid w:val="0"/>
        <w:spacing w:before="50" w:after="50"/>
        <w:ind w:left="1016" w:leftChars="134" w:hanging="735" w:hangingChars="350"/>
        <w:jc w:val="left"/>
        <w:rPr>
          <w:rFonts w:hint="eastAsia" w:ascii="宋体" w:hAnsi="宋体"/>
          <w:szCs w:val="32"/>
        </w:rPr>
      </w:pPr>
    </w:p>
    <w:p>
      <w:pPr>
        <w:pStyle w:val="2"/>
        <w:spacing w:before="120"/>
        <w:rPr>
          <w:rFonts w:hint="eastAsia"/>
        </w:rPr>
      </w:pPr>
    </w:p>
    <w:p>
      <w:pPr>
        <w:snapToGrid w:val="0"/>
        <w:spacing w:before="50" w:after="50"/>
        <w:ind w:left="1016" w:leftChars="134" w:hanging="735" w:hangingChars="350"/>
        <w:jc w:val="left"/>
        <w:rPr>
          <w:rFonts w:hint="eastAsia" w:ascii="宋体" w:hAnsi="宋体"/>
          <w:szCs w:val="32"/>
        </w:rPr>
      </w:pPr>
      <w:r>
        <w:rPr>
          <w:rFonts w:hint="eastAsia" w:ascii="宋体" w:hAnsi="宋体"/>
          <w:szCs w:val="32"/>
        </w:rPr>
        <w:t>注: 1、此表报价单不得涂改，请按规定要求填报。</w:t>
      </w:r>
    </w:p>
    <w:p>
      <w:pPr>
        <w:snapToGrid w:val="0"/>
        <w:spacing w:before="50" w:after="50"/>
        <w:ind w:left="1155" w:leftChars="400" w:hanging="315" w:hangingChars="150"/>
        <w:jc w:val="left"/>
        <w:rPr>
          <w:rFonts w:hint="eastAsia" w:ascii="宋体" w:hAnsi="宋体"/>
          <w:szCs w:val="32"/>
        </w:rPr>
      </w:pPr>
      <w:r>
        <w:rPr>
          <w:rFonts w:hint="eastAsia" w:ascii="宋体" w:hAnsi="宋体"/>
          <w:szCs w:val="32"/>
        </w:rPr>
        <w:t>2、以上报价应与“投标费用明细表”中的“合计”数相一致。</w:t>
      </w:r>
    </w:p>
    <w:p>
      <w:pPr>
        <w:snapToGrid w:val="0"/>
        <w:spacing w:before="50" w:after="50"/>
        <w:ind w:left="1155" w:leftChars="400" w:hanging="315" w:hangingChars="150"/>
        <w:jc w:val="left"/>
        <w:rPr>
          <w:rFonts w:hint="eastAsia" w:ascii="宋体" w:hAnsi="宋体"/>
          <w:szCs w:val="32"/>
        </w:rPr>
      </w:pPr>
      <w:r>
        <w:rPr>
          <w:rFonts w:hint="eastAsia" w:ascii="宋体" w:hAnsi="宋体"/>
          <w:szCs w:val="32"/>
        </w:rPr>
        <w:t>3、项目费用包括项目实施所需的工程费、工时费、服务费、运输费、安装调试费、税费及其他费用。</w:t>
      </w: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snapToGrid w:val="0"/>
        <w:spacing w:before="50" w:after="50"/>
        <w:ind w:left="1155" w:leftChars="400" w:hanging="315" w:hangingChars="150"/>
        <w:jc w:val="left"/>
        <w:rPr>
          <w:rFonts w:hint="eastAsia" w:ascii="宋体" w:hAnsi="宋体"/>
          <w:szCs w:val="32"/>
        </w:rPr>
      </w:pPr>
    </w:p>
    <w:p>
      <w:pPr>
        <w:pStyle w:val="23"/>
        <w:snapToGrid w:val="0"/>
        <w:spacing w:before="0" w:beforeLines="0" w:after="120" w:line="240" w:lineRule="auto"/>
        <w:rPr>
          <w:rFonts w:hAnsi="宋体"/>
          <w:b/>
          <w:sz w:val="28"/>
          <w:szCs w:val="28"/>
        </w:rPr>
      </w:pPr>
      <w:r>
        <w:rPr>
          <w:rFonts w:hint="eastAsia" w:hAnsi="宋体"/>
          <w:b/>
          <w:sz w:val="28"/>
          <w:szCs w:val="28"/>
        </w:rPr>
        <w:t>附件3-2：</w:t>
      </w:r>
    </w:p>
    <w:p>
      <w:pPr>
        <w:pStyle w:val="23"/>
        <w:snapToGrid w:val="0"/>
        <w:spacing w:before="0" w:beforeLines="0" w:after="120" w:line="240" w:lineRule="auto"/>
        <w:jc w:val="center"/>
        <w:rPr>
          <w:rFonts w:hAnsi="宋体"/>
          <w:b/>
          <w:sz w:val="32"/>
          <w:szCs w:val="32"/>
        </w:rPr>
      </w:pPr>
      <w:r>
        <w:rPr>
          <w:rFonts w:hAnsi="宋体"/>
          <w:b/>
          <w:sz w:val="32"/>
          <w:szCs w:val="32"/>
        </w:rPr>
        <w:t>投</w:t>
      </w:r>
      <w:r>
        <w:rPr>
          <w:rFonts w:hint="eastAsia" w:hAnsi="宋体"/>
          <w:b/>
          <w:sz w:val="32"/>
          <w:szCs w:val="32"/>
        </w:rPr>
        <w:t xml:space="preserve"> </w:t>
      </w:r>
      <w:r>
        <w:rPr>
          <w:rFonts w:hAnsi="宋体"/>
          <w:b/>
          <w:sz w:val="32"/>
          <w:szCs w:val="32"/>
        </w:rPr>
        <w:t>标</w:t>
      </w:r>
      <w:r>
        <w:rPr>
          <w:rFonts w:hint="eastAsia" w:hAnsi="宋体"/>
          <w:b/>
          <w:sz w:val="32"/>
          <w:szCs w:val="32"/>
        </w:rPr>
        <w:t xml:space="preserve"> </w:t>
      </w:r>
      <w:r>
        <w:rPr>
          <w:rFonts w:hAnsi="宋体"/>
          <w:b/>
          <w:sz w:val="32"/>
          <w:szCs w:val="32"/>
        </w:rPr>
        <w:t>报</w:t>
      </w:r>
      <w:r>
        <w:rPr>
          <w:rFonts w:hint="eastAsia" w:hAnsi="宋体"/>
          <w:b/>
          <w:sz w:val="32"/>
          <w:szCs w:val="32"/>
        </w:rPr>
        <w:t xml:space="preserve"> </w:t>
      </w:r>
      <w:r>
        <w:rPr>
          <w:rFonts w:hAnsi="宋体"/>
          <w:b/>
          <w:sz w:val="32"/>
          <w:szCs w:val="32"/>
        </w:rPr>
        <w:t>价</w:t>
      </w:r>
      <w:r>
        <w:rPr>
          <w:rFonts w:hint="eastAsia" w:hAnsi="宋体"/>
          <w:b/>
          <w:sz w:val="32"/>
          <w:szCs w:val="32"/>
        </w:rPr>
        <w:t xml:space="preserve"> </w:t>
      </w:r>
      <w:r>
        <w:rPr>
          <w:rFonts w:hAnsi="宋体"/>
          <w:b/>
          <w:sz w:val="32"/>
          <w:szCs w:val="32"/>
        </w:rPr>
        <w:t>明</w:t>
      </w:r>
      <w:r>
        <w:rPr>
          <w:rFonts w:hint="eastAsia" w:hAnsi="宋体"/>
          <w:b/>
          <w:sz w:val="32"/>
          <w:szCs w:val="32"/>
        </w:rPr>
        <w:t xml:space="preserve"> </w:t>
      </w:r>
      <w:r>
        <w:rPr>
          <w:rFonts w:hAnsi="宋体"/>
          <w:b/>
          <w:sz w:val="32"/>
          <w:szCs w:val="32"/>
        </w:rPr>
        <w:t>细</w:t>
      </w:r>
      <w:r>
        <w:rPr>
          <w:rFonts w:hint="eastAsia" w:hAnsi="宋体"/>
          <w:b/>
          <w:sz w:val="32"/>
          <w:szCs w:val="32"/>
        </w:rPr>
        <w:t xml:space="preserve"> </w:t>
      </w:r>
      <w:r>
        <w:rPr>
          <w:rFonts w:hAnsi="宋体"/>
          <w:b/>
          <w:sz w:val="32"/>
          <w:szCs w:val="32"/>
        </w:rPr>
        <w:t>表</w:t>
      </w:r>
    </w:p>
    <w:p>
      <w:pPr>
        <w:snapToGrid w:val="0"/>
        <w:spacing w:before="50" w:after="50"/>
        <w:ind w:left="23" w:leftChars="11" w:right="-817" w:rightChars="-389"/>
        <w:rPr>
          <w:rFonts w:ascii="宋体" w:hAnsi="宋体"/>
          <w:szCs w:val="32"/>
          <w:u w:val="single"/>
        </w:rPr>
      </w:pPr>
      <w:r>
        <w:rPr>
          <w:rFonts w:hint="eastAsia" w:ascii="宋体" w:hAnsi="宋体"/>
          <w:szCs w:val="32"/>
        </w:rPr>
        <w:t>单位全称（公章）：</w:t>
      </w:r>
      <w:r>
        <w:rPr>
          <w:rFonts w:hint="eastAsia" w:ascii="宋体" w:hAnsi="宋体"/>
          <w:szCs w:val="32"/>
          <w:u w:val="single"/>
        </w:rPr>
        <w:t xml:space="preserve">                      </w:t>
      </w:r>
      <w:r>
        <w:rPr>
          <w:rFonts w:hint="eastAsia" w:ascii="宋体" w:hAnsi="宋体"/>
          <w:szCs w:val="32"/>
        </w:rPr>
        <w:t xml:space="preserve">   招标编号及标项：</w:t>
      </w:r>
      <w:r>
        <w:rPr>
          <w:rFonts w:hint="eastAsia" w:ascii="宋体" w:hAnsi="宋体"/>
          <w:szCs w:val="32"/>
          <w:u w:val="single"/>
        </w:rPr>
        <w:t xml:space="preserve">   </w:t>
      </w:r>
      <w:r>
        <w:rPr>
          <w:rFonts w:hint="eastAsia" w:ascii="宋体" w:hAnsi="宋体"/>
          <w:szCs w:val="32"/>
          <w:u w:val="single"/>
          <w:lang w:eastAsia="zh-CN"/>
        </w:rPr>
        <w:t>AJGK2019-016</w:t>
      </w:r>
      <w:r>
        <w:rPr>
          <w:rFonts w:hint="eastAsia" w:ascii="宋体" w:hAnsi="宋体"/>
          <w:szCs w:val="32"/>
          <w:u w:val="single"/>
        </w:rPr>
        <w:t xml:space="preserve">   </w:t>
      </w:r>
    </w:p>
    <w:tbl>
      <w:tblPr>
        <w:tblStyle w:val="3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631"/>
        <w:gridCol w:w="900"/>
        <w:gridCol w:w="1440"/>
        <w:gridCol w:w="990"/>
        <w:gridCol w:w="993"/>
        <w:gridCol w:w="1134"/>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23" w:leftChars="11" w:right="-817" w:rightChars="-389"/>
              <w:rPr>
                <w:rFonts w:ascii="宋体" w:hAnsi="宋体"/>
                <w:szCs w:val="32"/>
              </w:rPr>
            </w:pPr>
            <w:r>
              <w:rPr>
                <w:rFonts w:hint="eastAsia" w:ascii="宋体" w:hAnsi="宋体"/>
                <w:szCs w:val="32"/>
              </w:rPr>
              <w:t>序号</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23" w:leftChars="11" w:right="-817" w:rightChars="-389"/>
              <w:rPr>
                <w:rFonts w:ascii="宋体" w:hAnsi="宋体"/>
                <w:szCs w:val="32"/>
              </w:rPr>
            </w:pPr>
            <w:r>
              <w:rPr>
                <w:rFonts w:hint="eastAsia" w:ascii="宋体" w:hAnsi="宋体"/>
                <w:szCs w:val="32"/>
              </w:rPr>
              <w:t>设备名称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23" w:leftChars="11" w:right="-817" w:rightChars="-389" w:firstLine="105" w:firstLineChars="50"/>
              <w:rPr>
                <w:rFonts w:ascii="宋体" w:hAnsi="宋体"/>
                <w:szCs w:val="32"/>
              </w:rPr>
            </w:pPr>
            <w:r>
              <w:rPr>
                <w:rFonts w:hint="eastAsia" w:ascii="宋体" w:hAnsi="宋体"/>
                <w:szCs w:val="32"/>
              </w:rPr>
              <w:t>品牌</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23" w:leftChars="11" w:right="-817" w:rightChars="-389" w:firstLine="210" w:firstLineChars="100"/>
              <w:rPr>
                <w:rFonts w:ascii="宋体" w:hAnsi="宋体"/>
                <w:szCs w:val="32"/>
              </w:rPr>
            </w:pPr>
            <w:r>
              <w:rPr>
                <w:rFonts w:hint="eastAsia" w:ascii="宋体" w:hAnsi="宋体"/>
                <w:szCs w:val="32"/>
              </w:rPr>
              <w:t>规格型号</w:t>
            </w:r>
          </w:p>
        </w:tc>
        <w:tc>
          <w:tcPr>
            <w:tcW w:w="9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firstLine="210" w:firstLineChars="100"/>
              <w:rPr>
                <w:rFonts w:hint="eastAsia" w:ascii="宋体" w:hAnsi="宋体"/>
                <w:szCs w:val="32"/>
              </w:rPr>
            </w:pPr>
            <w:r>
              <w:rPr>
                <w:rFonts w:hint="eastAsia" w:ascii="宋体" w:hAnsi="宋体"/>
                <w:szCs w:val="32"/>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23" w:leftChars="11" w:right="-817" w:rightChars="-389" w:firstLine="210" w:firstLineChars="100"/>
              <w:rPr>
                <w:rFonts w:ascii="宋体" w:hAnsi="宋体"/>
                <w:szCs w:val="32"/>
              </w:rPr>
            </w:pPr>
            <w:r>
              <w:rPr>
                <w:rFonts w:hint="eastAsia" w:ascii="宋体" w:hAnsi="宋体"/>
                <w:szCs w:val="32"/>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23" w:leftChars="11" w:right="-817" w:rightChars="-389"/>
              <w:rPr>
                <w:rFonts w:ascii="宋体" w:hAnsi="宋体"/>
                <w:szCs w:val="32"/>
              </w:rPr>
            </w:pPr>
            <w:r>
              <w:rPr>
                <w:rFonts w:hint="eastAsia" w:ascii="宋体" w:hAnsi="宋体"/>
                <w:szCs w:val="32"/>
              </w:rPr>
              <w:t>单价（元）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23" w:leftChars="11" w:right="-817" w:rightChars="-389" w:firstLine="210" w:firstLineChars="100"/>
              <w:rPr>
                <w:rFonts w:ascii="宋体" w:hAnsi="宋体"/>
                <w:szCs w:val="32"/>
              </w:rPr>
            </w:pPr>
            <w:r>
              <w:rPr>
                <w:rFonts w:hint="eastAsia" w:ascii="宋体" w:hAnsi="宋体"/>
                <w:szCs w:val="32"/>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8"/>
                <w:szCs w:val="18"/>
              </w:rPr>
            </w:pPr>
            <w:r>
              <w:rPr>
                <w:rFonts w:hint="eastAsia" w:ascii="宋体" w:hAnsi="宋体"/>
                <w:color w:val="000000"/>
                <w:sz w:val="18"/>
                <w:szCs w:val="18"/>
              </w:rPr>
              <w:t>1</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8"/>
                <w:szCs w:val="18"/>
              </w:rPr>
            </w:pPr>
            <w:r>
              <w:rPr>
                <w:rFonts w:hint="eastAsia" w:ascii="宋体" w:hAnsi="宋体"/>
                <w:color w:val="000000"/>
                <w:sz w:val="18"/>
                <w:szCs w:val="18"/>
              </w:rPr>
              <w:t>2</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8"/>
                <w:szCs w:val="18"/>
              </w:rPr>
            </w:pPr>
            <w:r>
              <w:rPr>
                <w:rFonts w:hint="eastAsia" w:ascii="宋体" w:hAnsi="宋体"/>
                <w:color w:val="000000"/>
                <w:sz w:val="18"/>
                <w:szCs w:val="18"/>
              </w:rPr>
              <w:t>3</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8"/>
                <w:szCs w:val="18"/>
              </w:rPr>
            </w:pPr>
            <w:r>
              <w:rPr>
                <w:rFonts w:hint="eastAsia" w:ascii="宋体" w:hAnsi="宋体"/>
                <w:color w:val="000000"/>
                <w:sz w:val="18"/>
                <w:szCs w:val="18"/>
              </w:rPr>
              <w:t>4</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8"/>
                <w:szCs w:val="18"/>
              </w:rPr>
            </w:pPr>
            <w:r>
              <w:rPr>
                <w:rFonts w:hint="eastAsia" w:ascii="宋体" w:hAnsi="宋体"/>
                <w:color w:val="000000"/>
                <w:sz w:val="18"/>
                <w:szCs w:val="18"/>
              </w:rPr>
              <w:t>5</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8"/>
                <w:szCs w:val="18"/>
              </w:rPr>
            </w:pPr>
            <w:r>
              <w:rPr>
                <w:rFonts w:hint="eastAsia" w:ascii="宋体" w:hAnsi="宋体"/>
                <w:color w:val="000000"/>
                <w:sz w:val="18"/>
                <w:szCs w:val="18"/>
              </w:rPr>
              <w:t>6</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8"/>
                <w:szCs w:val="18"/>
              </w:rPr>
            </w:pPr>
            <w:r>
              <w:rPr>
                <w:rFonts w:hint="eastAsia" w:ascii="宋体" w:hAnsi="宋体"/>
                <w:color w:val="000000"/>
                <w:sz w:val="18"/>
                <w:szCs w:val="18"/>
              </w:rPr>
              <w:t>7</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3240" w:type="dxa"/>
            <w:gridSpan w:val="3"/>
            <w:vMerge w:val="restart"/>
            <w:tcBorders>
              <w:top w:val="single" w:color="auto" w:sz="4" w:space="0"/>
              <w:left w:val="single" w:color="auto" w:sz="4" w:space="0"/>
              <w:right w:val="single" w:color="auto" w:sz="4" w:space="0"/>
            </w:tcBorders>
            <w:noWrap w:val="0"/>
            <w:vAlign w:val="center"/>
          </w:tcPr>
          <w:p>
            <w:pPr>
              <w:snapToGrid w:val="0"/>
              <w:spacing w:before="50" w:after="50"/>
              <w:ind w:left="23" w:leftChars="11" w:right="-817" w:rightChars="-389"/>
              <w:rPr>
                <w:rFonts w:ascii="宋体" w:hAnsi="宋体"/>
                <w:szCs w:val="32"/>
              </w:rPr>
            </w:pPr>
            <w:r>
              <w:rPr>
                <w:rFonts w:hint="eastAsia" w:ascii="宋体" w:hAnsi="宋体"/>
                <w:szCs w:val="32"/>
              </w:rPr>
              <w:t>投 标 总  价</w:t>
            </w:r>
          </w:p>
        </w:tc>
        <w:tc>
          <w:tcPr>
            <w:tcW w:w="5974"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Cs w:val="32"/>
              </w:rPr>
            </w:pPr>
            <w:r>
              <w:rPr>
                <w:rFonts w:hint="eastAsia" w:ascii="宋体" w:hAnsi="宋体"/>
                <w:szCs w:val="32"/>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3240" w:type="dxa"/>
            <w:gridSpan w:val="3"/>
            <w:vMerge w:val="continue"/>
            <w:tcBorders>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Cs w:val="32"/>
              </w:rPr>
            </w:pPr>
          </w:p>
        </w:tc>
        <w:tc>
          <w:tcPr>
            <w:tcW w:w="5974"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ind w:left="23" w:leftChars="11" w:right="-817" w:rightChars="-389"/>
              <w:rPr>
                <w:rFonts w:ascii="宋体" w:hAnsi="宋体"/>
                <w:szCs w:val="32"/>
              </w:rPr>
            </w:pPr>
            <w:r>
              <w:rPr>
                <w:rFonts w:hint="eastAsia" w:ascii="宋体" w:hAnsi="宋体"/>
                <w:szCs w:val="32"/>
              </w:rPr>
              <w:t>大写：</w:t>
            </w:r>
          </w:p>
        </w:tc>
      </w:tr>
    </w:tbl>
    <w:p>
      <w:pPr>
        <w:snapToGrid w:val="0"/>
        <w:spacing w:before="50" w:after="50"/>
        <w:ind w:firstLine="210" w:firstLineChars="100"/>
        <w:jc w:val="left"/>
        <w:rPr>
          <w:rFonts w:hint="eastAsia" w:ascii="宋体" w:hAnsi="宋体"/>
          <w:szCs w:val="32"/>
        </w:rPr>
      </w:pPr>
      <w:r>
        <w:rPr>
          <w:rFonts w:hint="eastAsia" w:ascii="宋体" w:hAnsi="宋体"/>
          <w:szCs w:val="32"/>
        </w:rPr>
        <w:t>注: 1、此表报价单可按项目的明细情况列项填报。</w:t>
      </w:r>
    </w:p>
    <w:p>
      <w:pPr>
        <w:snapToGrid w:val="0"/>
        <w:spacing w:before="50" w:after="50"/>
        <w:ind w:firstLine="630" w:firstLineChars="300"/>
        <w:jc w:val="left"/>
        <w:rPr>
          <w:rFonts w:hint="eastAsia" w:ascii="宋体" w:hAnsi="宋体"/>
          <w:szCs w:val="32"/>
        </w:rPr>
      </w:pPr>
      <w:r>
        <w:rPr>
          <w:rFonts w:hint="eastAsia" w:ascii="宋体" w:hAnsi="宋体"/>
          <w:szCs w:val="32"/>
        </w:rPr>
        <w:t>2、以上报价应与“投标费用明细表”中的“合计”数相一致。</w:t>
      </w:r>
    </w:p>
    <w:p>
      <w:pPr>
        <w:snapToGrid w:val="0"/>
        <w:spacing w:before="50" w:after="50"/>
        <w:ind w:left="609" w:leftChars="290"/>
        <w:jc w:val="left"/>
        <w:rPr>
          <w:rFonts w:hint="eastAsia" w:ascii="宋体" w:hAnsi="宋体"/>
          <w:szCs w:val="32"/>
        </w:rPr>
      </w:pPr>
      <w:r>
        <w:rPr>
          <w:rFonts w:hint="eastAsia" w:ascii="宋体" w:hAnsi="宋体"/>
          <w:szCs w:val="32"/>
        </w:rPr>
        <w:t>3、项目费用包括项目实施所需的工程费、工时费、服务费、运输费、安装调试费、税费及其他一切费用。</w:t>
      </w:r>
    </w:p>
    <w:p>
      <w:pPr>
        <w:snapToGrid w:val="0"/>
        <w:spacing w:before="50" w:after="50"/>
        <w:ind w:left="609" w:leftChars="290"/>
        <w:jc w:val="left"/>
        <w:rPr>
          <w:rFonts w:hint="eastAsia" w:ascii="宋体" w:hAnsi="宋体"/>
          <w:szCs w:val="32"/>
        </w:rPr>
      </w:pPr>
      <w:r>
        <w:rPr>
          <w:rFonts w:hint="eastAsia" w:ascii="宋体" w:hAnsi="宋体"/>
          <w:szCs w:val="32"/>
        </w:rPr>
        <w:t>4、同品牌型号设备应执行同一报价。</w:t>
      </w:r>
    </w:p>
    <w:p>
      <w:pPr>
        <w:snapToGrid w:val="0"/>
        <w:spacing w:before="240" w:after="50"/>
        <w:jc w:val="left"/>
        <w:rPr>
          <w:rFonts w:hint="eastAsia" w:ascii="宋体" w:hAnsi="宋体"/>
          <w:szCs w:val="32"/>
        </w:rPr>
      </w:pPr>
      <w:r>
        <w:rPr>
          <w:rFonts w:hint="eastAsia" w:ascii="宋体" w:hAnsi="宋体"/>
          <w:szCs w:val="32"/>
        </w:rPr>
        <w:t>全权代表（签名）：</w:t>
      </w:r>
    </w:p>
    <w:p>
      <w:pPr>
        <w:snapToGrid w:val="0"/>
        <w:spacing w:before="240" w:after="50"/>
        <w:jc w:val="left"/>
        <w:rPr>
          <w:rFonts w:hint="eastAsia" w:ascii="宋体" w:hAnsi="宋体"/>
          <w:szCs w:val="32"/>
        </w:rPr>
      </w:pPr>
      <w:r>
        <w:rPr>
          <w:rFonts w:hint="eastAsia" w:ascii="宋体" w:hAnsi="宋体"/>
          <w:szCs w:val="32"/>
        </w:rPr>
        <w:t>日期：</w:t>
      </w:r>
      <w:bookmarkEnd w:id="15"/>
      <w:r>
        <w:rPr>
          <w:rFonts w:hint="eastAsia" w:ascii="宋体" w:hAnsi="宋体"/>
          <w:szCs w:val="32"/>
        </w:rPr>
        <w:t xml:space="preserve">      </w:t>
      </w:r>
    </w:p>
    <w:p/>
    <w:sectPr>
      <w:footerReference r:id="rId6" w:type="default"/>
      <w:footerReference r:id="rId7" w:type="even"/>
      <w:pgSz w:w="11906" w:h="16838"/>
      <w:pgMar w:top="1418" w:right="1418" w:bottom="1304"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E0002A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7"/>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 AQAADwAAAGRycy9kb3ducmV2LnhtbE2PQUvDQBCF74L/YRnBS7G7KdLGmE1BoTeFtha8TrNjkpqd DbvbtPrr3XrRy8DjPd77plyebS9G8qFzrCGbKhDEtTMdNxp2b6u7HESIyAZ7x6ThiwIsq+urEgvj TryhcRsbkUo4FKihjXEopAx1SxbD1A3Eyftw3mJM0jfSeDylctvLmVJzabHjtNDiQM8t1Z/bo9Xw /vJNtMmfJpPx/nDwavWwruWr1rc3mXoEEekc/8JwwU/oUCWmvTuyCaLXkB6Jv/fi5RmIvYaZWoCs SvmfvfoBUEsDBBQAAAAIAIdO4kAmCZnt1gEAAKEDAAAOAAAAZHJzL2Uyb0RvYy54bWytU82O0zAQ viPxDpbvNE23hd2o6QpULUJCgLTwAK5jN5b8J4/bpC8Ab8CJC3eeq8/B2Em6q+WyBy7O2DPzzXzf TNa3vdHkKAIoZ2tazuaUCMtdo+y+pt++3r26pgQisw3TzoqangTQ283LF+vOV2LhWqcbEQiCWKg6 X9M2Rl8VBfBWGAYz54VFp3TBsIjXsC+awDpEN7pYzOevi86FxgfHBQC+bgcnHRHDcwCdlIqLreMH I2wcUIPQLCIlaJUHusndSil4/CwliEh0TZFpzCcWQXuXzmKzZtU+MN8qPrbAntPCE06GKYtFL1Bb Fhk5BPUPlFE8OHAyzrgzxUAkK4IsyvkTbe5b5kXmglKDv4gO/w+Wfzp+CUQ1NV1QYpnBgZ9//jj/ +nP+/Z0skjydhwqj7j3Gxf6d63FppnfAx8S6l8GkL/Ih6EdxTxdxRR8JT0nl8uZqRQlHV3lVLper hFI8JPsA8b1whiSjpgFnlyVlx48Qh9ApJNWy7k5pneenLekQdHX9ZpUzLi5E1xaLJA5Dr8mK/a4f ie1cc0JeHS5ATS3uOyX6g0V9065MRpiM3WQcfFD7Ni9TagX820PEdnKXqcIAOxbGyWWe45al1Xh8 z1EPf9bmL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EAMx4DUAAAAAwEAAA8AAAAAAAAAAQAgAAAA IgAAAGRycy9kb3ducmV2LnhtbFBLAQIUABQAAAAIAIdO4kAmCZnt1gEAAKEDAAAOAAAAAAAAAAEA IAAAACMBAABkcnMvZTJvRG9jLnhtbFBLBQYAAAAABgAGAFkBAABrBQAAAAA= ">
              <v:fill on="f" focussize="0,0"/>
              <v:stroke on="f" weight="1.25pt"/>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p>
    <w:pPr>
      <w:pStyle w:val="27"/>
      <w:tabs>
        <w:tab w:val="left" w:pos="5300"/>
        <w:tab w:val="clear" w:pos="4153"/>
      </w:tabs>
      <w:ind w:right="360"/>
      <w:rPr>
        <w:rFonts w:hint="eastAsia"/>
      </w:rPr>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0"/>
      </w:rPr>
    </w:pPr>
    <w:r>
      <w:fldChar w:fldCharType="begin"/>
    </w:r>
    <w:r>
      <w:rPr>
        <w:rStyle w:val="40"/>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77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 AQAADwAAAGRycy9kb3ducmV2LnhtbE2PQUvDQBCF74L/YRnBS7G7KdLGmE1BoTeFtha8TrNjkpqd DbvbtPrr3XrRy8DjPd77plyebS9G8qFzrCGbKhDEtTMdNxp2b6u7HESIyAZ7x6ThiwIsq+urEgvj TryhcRsbkUo4FKihjXEopAx1SxbD1A3Eyftw3mJM0jfSeDylctvLmVJzabHjtNDiQM8t1Z/bo9Xw /vJNtMmfJpPx/nDwavWwruWr1rc3mXoEEekc/8JwwU/oUCWmvTuyCaLXkB6Jv/fi5RmIvYaZWoCs SvmfvfoBUEsDBBQAAAAIAIdO4kB0dtzp1gEAAKEDAAAOAAAAZHJzL2Uyb0RvYy54bWytU82O0zAQ viPxDpbvNM1uC0vUdAWqFiEhQFp4ANdxGku2x/K4TfoC8AacuHDnufocjJ20i5bLHrg44/n5Zr7P k9XtYA07qIAaXM3L2Zwz5SQ02u1q/vXL3YsbzjAK1wgDTtX8qJDfrp8/W/W+UlfQgWlUYATisOp9 zbsYfVUUKDtlBc7AK0fBFoIVka5hVzRB9IRuTXE1n78segiNDyAVInk3Y5BPiOEpgNC2WqoNyL1V Lo6oQRkRiRJ22iNf52nbVsn4qW1RRWZqTkxjPqkJ2dt0FuuVqHZB+E7LaQTxlBEecbJCO2p6gdqI KNg+6H+grJYBENo4k2CLkUhWhFiU80fa3HfCq8yFpEZ/ER3/H6z8ePgcmG5oEzhzwtKDn358P/38 ffr1jZVJnt5jRVn3nvLi8BaGlDr5kZyJ9dAGm77Eh1GcxD1exFVDZDIVlYvX10vOJIXK63KxWCaU 4qHYB4zvFFiWjJoHerssqTh8wDimnlNSLwd32hjyi8o41hPo8ubVMldcQoRuHDVJHMZZkxWH7TAR 2EJzJF49LUDNHe07Z+a9I33TrpyNcDa2Z2Pvg951eZlSf/Rv9pHGyVOmDiPs1JheLvOctiytxt/3 nPXwZ63/AF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EAMx4DUAAAAAwEAAA8AAAAAAAAAAQAgAAAA IgAAAGRycy9kb3ducmV2LnhtbFBLAQIUABQAAAAIAIdO4kB0dtzp1gEAAKEDAAAOAAAAAAAAAAEA IAAAACMBAABkcnMvZTJvRG9jLnhtbFBLBQYAAAAABgAGAFkBAABrBQAAAAA= ">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77</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0"/>
      </w:rPr>
    </w:pPr>
    <w:r>
      <w:fldChar w:fldCharType="begin"/>
    </w:r>
    <w:r>
      <w:rPr>
        <w:rStyle w:val="40"/>
      </w:rPr>
      <w:instrText xml:space="preserve">PAGE  </w:instrText>
    </w:r>
    <w:r>
      <w:fldChar w:fldCharType="separate"/>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5F6D6"/>
    <w:multiLevelType w:val="singleLevel"/>
    <w:tmpl w:val="C1C5F6D6"/>
    <w:lvl w:ilvl="0" w:tentative="0">
      <w:start w:val="1"/>
      <w:numFmt w:val="decimal"/>
      <w:lvlText w:val="%1."/>
      <w:lvlJc w:val="left"/>
      <w:pPr>
        <w:tabs>
          <w:tab w:val="left" w:pos="312"/>
        </w:tabs>
      </w:pPr>
    </w:lvl>
  </w:abstractNum>
  <w:abstractNum w:abstractNumId="1">
    <w:nsid w:val="CA859800"/>
    <w:multiLevelType w:val="multilevel"/>
    <w:tmpl w:val="CA859800"/>
    <w:lvl w:ilvl="0" w:tentative="0">
      <w:start w:val="1"/>
      <w:numFmt w:val="chineseCounting"/>
      <w:lvlText w:val="%1."/>
      <w:lvlJc w:val="left"/>
      <w:pPr>
        <w:tabs>
          <w:tab w:val="left" w:pos="0"/>
        </w:tabs>
        <w:ind w:left="432" w:hanging="432"/>
      </w:pPr>
      <w:rPr>
        <w:rFonts w:hint="eastAsia" w:ascii="宋体" w:hAnsi="宋体" w:eastAsia="宋体" w:cs="宋体"/>
      </w:rPr>
    </w:lvl>
    <w:lvl w:ilvl="1" w:tentative="0">
      <w:start w:val="1"/>
      <w:numFmt w:val="decimal"/>
      <w:lvlText w:val="%2."/>
      <w:lvlJc w:val="left"/>
      <w:pPr>
        <w:tabs>
          <w:tab w:val="left" w:pos="0"/>
        </w:tabs>
        <w:ind w:left="575" w:hanging="575"/>
      </w:pPr>
      <w:rPr>
        <w:rFonts w:hint="eastAsia" w:ascii="宋体" w:hAnsi="宋体" w:eastAsia="宋体" w:cs="宋体"/>
      </w:rPr>
    </w:lvl>
    <w:lvl w:ilvl="2" w:tentative="0">
      <w:start w:val="1"/>
      <w:numFmt w:val="decimal"/>
      <w:lvlText w:val="%2.%3."/>
      <w:lvlJc w:val="left"/>
      <w:pPr>
        <w:tabs>
          <w:tab w:val="left" w:pos="0"/>
        </w:tabs>
        <w:ind w:left="720" w:hanging="720"/>
      </w:pPr>
      <w:rPr>
        <w:rFonts w:hint="eastAsia" w:ascii="宋体" w:hAnsi="宋体" w:eastAsia="宋体" w:cs="宋体"/>
      </w:rPr>
    </w:lvl>
    <w:lvl w:ilvl="3" w:tentative="0">
      <w:start w:val="1"/>
      <w:numFmt w:val="decimal"/>
      <w:lvlText w:val="%2.%3.%4."/>
      <w:lvlJc w:val="left"/>
      <w:pPr>
        <w:tabs>
          <w:tab w:val="left" w:pos="0"/>
        </w:tabs>
        <w:ind w:left="864" w:hanging="864"/>
      </w:pPr>
      <w:rPr>
        <w:rFonts w:hint="eastAsia" w:ascii="宋体" w:hAnsi="宋体" w:eastAsia="宋体" w:cs="宋体"/>
      </w:rPr>
    </w:lvl>
    <w:lvl w:ilvl="4" w:tentative="0">
      <w:start w:val="1"/>
      <w:numFmt w:val="decimal"/>
      <w:lvlText w:val="%2.%3.%4.%5."/>
      <w:lvlJc w:val="left"/>
      <w:pPr>
        <w:tabs>
          <w:tab w:val="left" w:pos="0"/>
        </w:tabs>
        <w:ind w:left="1008" w:hanging="1008"/>
      </w:pPr>
      <w:rPr>
        <w:rFonts w:hint="eastAsia" w:ascii="宋体" w:hAnsi="宋体" w:eastAsia="宋体" w:cs="宋体"/>
      </w:rPr>
    </w:lvl>
    <w:lvl w:ilvl="5" w:tentative="0">
      <w:start w:val="1"/>
      <w:numFmt w:val="decimal"/>
      <w:lvlText w:val="%2.%3.%4.%5.%6."/>
      <w:lvlJc w:val="left"/>
      <w:pPr>
        <w:tabs>
          <w:tab w:val="left" w:pos="0"/>
        </w:tabs>
        <w:ind w:left="1151" w:hanging="1151"/>
      </w:pPr>
      <w:rPr>
        <w:rFonts w:hint="eastAsia" w:ascii="宋体" w:hAnsi="宋体" w:eastAsia="宋体" w:cs="宋体"/>
      </w:rPr>
    </w:lvl>
    <w:lvl w:ilvl="6" w:tentative="0">
      <w:start w:val="1"/>
      <w:numFmt w:val="decimal"/>
      <w:lvlText w:val="%1.%2.%3.%4.%5.%6.%7."/>
      <w:lvlJc w:val="left"/>
      <w:pPr>
        <w:tabs>
          <w:tab w:val="left" w:pos="0"/>
        </w:tabs>
        <w:ind w:left="1296" w:hanging="1296"/>
      </w:pPr>
      <w:rPr>
        <w:rFonts w:hint="eastAsia" w:ascii="宋体" w:hAnsi="宋体" w:eastAsia="宋体" w:cs="宋体"/>
      </w:rPr>
    </w:lvl>
    <w:lvl w:ilvl="7" w:tentative="0">
      <w:start w:val="1"/>
      <w:numFmt w:val="decimal"/>
      <w:lvlText w:val="%1.%2.%3.%4.%5.%6.%7.%8."/>
      <w:lvlJc w:val="left"/>
      <w:pPr>
        <w:tabs>
          <w:tab w:val="left" w:pos="0"/>
        </w:tabs>
        <w:ind w:left="1440" w:hanging="1440"/>
      </w:pPr>
      <w:rPr>
        <w:rFonts w:hint="eastAsia" w:ascii="宋体" w:hAnsi="宋体" w:eastAsia="宋体" w:cs="宋体"/>
      </w:rPr>
    </w:lvl>
    <w:lvl w:ilvl="8" w:tentative="0">
      <w:start w:val="1"/>
      <w:numFmt w:val="decimal"/>
      <w:lvlText w:val="%1.%2.%3.%4.%5.%6.%7.%8.%9."/>
      <w:lvlJc w:val="left"/>
      <w:pPr>
        <w:tabs>
          <w:tab w:val="left" w:pos="0"/>
        </w:tabs>
        <w:ind w:left="1583" w:hanging="1583"/>
      </w:pPr>
      <w:rPr>
        <w:rFonts w:hint="eastAsia" w:ascii="宋体" w:hAnsi="宋体" w:eastAsia="宋体" w:cs="宋体"/>
      </w:rPr>
    </w:lvl>
  </w:abstractNum>
  <w:abstractNum w:abstractNumId="2">
    <w:nsid w:val="00000005"/>
    <w:multiLevelType w:val="multilevel"/>
    <w:tmpl w:val="00000005"/>
    <w:lvl w:ilvl="0" w:tentative="0">
      <w:start w:val="1"/>
      <w:numFmt w:val="chineseCountingThousand"/>
      <w:pStyle w:val="145"/>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abstractNum w:abstractNumId="3">
    <w:nsid w:val="00000007"/>
    <w:multiLevelType w:val="singleLevel"/>
    <w:tmpl w:val="00000007"/>
    <w:lvl w:ilvl="0" w:tentative="0">
      <w:start w:val="1"/>
      <w:numFmt w:val="decimal"/>
      <w:pStyle w:val="175"/>
      <w:lvlText w:val="%1."/>
      <w:lvlJc w:val="left"/>
      <w:pPr>
        <w:tabs>
          <w:tab w:val="left" w:pos="1200"/>
        </w:tabs>
        <w:ind w:left="1200" w:hanging="360"/>
      </w:pPr>
    </w:lvl>
  </w:abstractNum>
  <w:abstractNum w:abstractNumId="4">
    <w:nsid w:val="0000000E"/>
    <w:multiLevelType w:val="multilevel"/>
    <w:tmpl w:val="0000000E"/>
    <w:lvl w:ilvl="0" w:tentative="0">
      <w:start w:val="1"/>
      <w:numFmt w:val="japaneseCounting"/>
      <w:pStyle w:val="13"/>
      <w:lvlText w:val="第%1章"/>
      <w:lvlJc w:val="left"/>
      <w:pPr>
        <w:tabs>
          <w:tab w:val="left" w:pos="1275"/>
        </w:tabs>
        <w:ind w:left="1275" w:hanging="85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1A4511E6"/>
    <w:multiLevelType w:val="multilevel"/>
    <w:tmpl w:val="1A4511E6"/>
    <w:lvl w:ilvl="0" w:tentative="0">
      <w:start w:val="1"/>
      <w:numFmt w:val="decimal"/>
      <w:lvlText w:val="%1."/>
      <w:lvlJc w:val="left"/>
      <w:pPr>
        <w:ind w:left="900" w:hanging="420"/>
      </w:pPr>
      <w:rPr>
        <w:rFonts w:hint="eastAsia"/>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3C1A6F07"/>
    <w:multiLevelType w:val="multilevel"/>
    <w:tmpl w:val="3C1A6F07"/>
    <w:lvl w:ilvl="0" w:tentative="0">
      <w:start w:val="1"/>
      <w:numFmt w:val="decimal"/>
      <w:lvlText w:val="%1."/>
      <w:lvlJc w:val="left"/>
      <w:pPr>
        <w:ind w:left="840" w:hanging="420"/>
      </w:pPr>
      <w:rPr>
        <w:rFonts w:hint="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3F0C6794"/>
    <w:multiLevelType w:val="multilevel"/>
    <w:tmpl w:val="3F0C6794"/>
    <w:lvl w:ilvl="0" w:tentative="0">
      <w:start w:val="1"/>
      <w:numFmt w:val="decimal"/>
      <w:lvlText w:val="%1."/>
      <w:lvlJc w:val="left"/>
      <w:pPr>
        <w:ind w:left="902" w:hanging="420"/>
      </w:pPr>
      <w:rPr>
        <w:rFonts w:hint="eastAsia"/>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8">
    <w:nsid w:val="420A28E2"/>
    <w:multiLevelType w:val="multilevel"/>
    <w:tmpl w:val="420A28E2"/>
    <w:lvl w:ilvl="0" w:tentative="0">
      <w:start w:val="2"/>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3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343D8EB"/>
    <w:multiLevelType w:val="singleLevel"/>
    <w:tmpl w:val="5343D8EB"/>
    <w:lvl w:ilvl="0" w:tentative="0">
      <w:start w:val="1"/>
      <w:numFmt w:val="decimal"/>
      <w:suff w:val="nothing"/>
      <w:lvlText w:val="%1."/>
      <w:lvlJc w:val="left"/>
    </w:lvl>
  </w:abstractNum>
  <w:abstractNum w:abstractNumId="10">
    <w:nsid w:val="5343DB53"/>
    <w:multiLevelType w:val="singleLevel"/>
    <w:tmpl w:val="5343DB53"/>
    <w:lvl w:ilvl="0" w:tentative="0">
      <w:start w:val="2"/>
      <w:numFmt w:val="chineseCounting"/>
      <w:suff w:val="nothing"/>
      <w:lvlText w:val="（%1）"/>
      <w:lvlJc w:val="left"/>
    </w:lvl>
  </w:abstractNum>
  <w:abstractNum w:abstractNumId="11">
    <w:nsid w:val="5B686905"/>
    <w:multiLevelType w:val="multilevel"/>
    <w:tmpl w:val="5B686905"/>
    <w:lvl w:ilvl="0" w:tentative="0">
      <w:start w:val="1"/>
      <w:numFmt w:val="decimal"/>
      <w:pStyle w:val="143"/>
      <w:lvlText w:val="%1、"/>
      <w:lvlJc w:val="left"/>
      <w:pPr>
        <w:tabs>
          <w:tab w:val="left" w:pos="255"/>
        </w:tabs>
        <w:ind w:left="255" w:hanging="2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885086B"/>
    <w:multiLevelType w:val="multilevel"/>
    <w:tmpl w:val="6885086B"/>
    <w:lvl w:ilvl="0" w:tentative="0">
      <w:start w:val="1"/>
      <w:numFmt w:val="decimal"/>
      <w:lvlText w:val="%1."/>
      <w:lvlJc w:val="left"/>
      <w:pPr>
        <w:ind w:left="840" w:hanging="420"/>
      </w:pPr>
      <w:rPr>
        <w:rFonts w:hint="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707743FD"/>
    <w:multiLevelType w:val="multilevel"/>
    <w:tmpl w:val="707743FD"/>
    <w:lvl w:ilvl="0" w:tentative="0">
      <w:start w:val="1"/>
      <w:numFmt w:val="decimal"/>
      <w:lvlText w:val="%1."/>
      <w:lvlJc w:val="left"/>
      <w:pPr>
        <w:ind w:left="902" w:hanging="420"/>
      </w:pPr>
      <w:rPr>
        <w:rFonts w:hint="eastAsia"/>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2"/>
  </w:num>
  <w:num w:numId="2">
    <w:abstractNumId w:val="4"/>
  </w:num>
  <w:num w:numId="3">
    <w:abstractNumId w:val="3"/>
  </w:num>
  <w:num w:numId="4">
    <w:abstractNumId w:val="8"/>
  </w:num>
  <w:num w:numId="5">
    <w:abstractNumId w:val="11"/>
  </w:num>
  <w:num w:numId="6">
    <w:abstractNumId w:val="9"/>
  </w:num>
  <w:num w:numId="7">
    <w:abstractNumId w:val="10"/>
  </w:num>
  <w:num w:numId="8">
    <w:abstractNumId w:val="1"/>
  </w:num>
  <w:num w:numId="9">
    <w:abstractNumId w:val="5"/>
  </w:num>
  <w:num w:numId="10">
    <w:abstractNumId w:val="6"/>
  </w:num>
  <w:num w:numId="11">
    <w:abstractNumId w:val="13"/>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BD"/>
    <w:rsid w:val="000013C9"/>
    <w:rsid w:val="00001F68"/>
    <w:rsid w:val="00002F3C"/>
    <w:rsid w:val="00002FE6"/>
    <w:rsid w:val="0000307B"/>
    <w:rsid w:val="000031FE"/>
    <w:rsid w:val="0000354B"/>
    <w:rsid w:val="000041B2"/>
    <w:rsid w:val="00006CE6"/>
    <w:rsid w:val="00007CD8"/>
    <w:rsid w:val="00007DEC"/>
    <w:rsid w:val="00010304"/>
    <w:rsid w:val="0001063B"/>
    <w:rsid w:val="00011F94"/>
    <w:rsid w:val="00012192"/>
    <w:rsid w:val="00012AA7"/>
    <w:rsid w:val="00013B23"/>
    <w:rsid w:val="00015914"/>
    <w:rsid w:val="00016188"/>
    <w:rsid w:val="0001786C"/>
    <w:rsid w:val="00017F5E"/>
    <w:rsid w:val="000205D5"/>
    <w:rsid w:val="0002127F"/>
    <w:rsid w:val="00021F42"/>
    <w:rsid w:val="0002332C"/>
    <w:rsid w:val="00024C3D"/>
    <w:rsid w:val="00024F57"/>
    <w:rsid w:val="00025A07"/>
    <w:rsid w:val="00026F4A"/>
    <w:rsid w:val="0002704A"/>
    <w:rsid w:val="000324EE"/>
    <w:rsid w:val="000339F6"/>
    <w:rsid w:val="000341CF"/>
    <w:rsid w:val="00034274"/>
    <w:rsid w:val="0003546B"/>
    <w:rsid w:val="00036CAE"/>
    <w:rsid w:val="00037288"/>
    <w:rsid w:val="00037F06"/>
    <w:rsid w:val="00040BFB"/>
    <w:rsid w:val="000416B0"/>
    <w:rsid w:val="00041EF8"/>
    <w:rsid w:val="0004360C"/>
    <w:rsid w:val="00043D3C"/>
    <w:rsid w:val="00043FF0"/>
    <w:rsid w:val="00045376"/>
    <w:rsid w:val="00051335"/>
    <w:rsid w:val="00051AB8"/>
    <w:rsid w:val="00051EEF"/>
    <w:rsid w:val="000561C2"/>
    <w:rsid w:val="000561F6"/>
    <w:rsid w:val="000607DE"/>
    <w:rsid w:val="000607E5"/>
    <w:rsid w:val="00064151"/>
    <w:rsid w:val="00064C2E"/>
    <w:rsid w:val="00065813"/>
    <w:rsid w:val="00065A25"/>
    <w:rsid w:val="00067D83"/>
    <w:rsid w:val="00070486"/>
    <w:rsid w:val="000705B3"/>
    <w:rsid w:val="00071735"/>
    <w:rsid w:val="0007279B"/>
    <w:rsid w:val="00072ADA"/>
    <w:rsid w:val="00073245"/>
    <w:rsid w:val="00073B46"/>
    <w:rsid w:val="0007428A"/>
    <w:rsid w:val="0007438C"/>
    <w:rsid w:val="0007463B"/>
    <w:rsid w:val="00074730"/>
    <w:rsid w:val="00074C2F"/>
    <w:rsid w:val="00075AC7"/>
    <w:rsid w:val="000764CC"/>
    <w:rsid w:val="00076910"/>
    <w:rsid w:val="00077A19"/>
    <w:rsid w:val="000808C6"/>
    <w:rsid w:val="0008136E"/>
    <w:rsid w:val="00081801"/>
    <w:rsid w:val="00081DB7"/>
    <w:rsid w:val="00082F34"/>
    <w:rsid w:val="000844E7"/>
    <w:rsid w:val="00086261"/>
    <w:rsid w:val="00086EC3"/>
    <w:rsid w:val="00086FA2"/>
    <w:rsid w:val="0009043D"/>
    <w:rsid w:val="000908EE"/>
    <w:rsid w:val="00090F71"/>
    <w:rsid w:val="000913E8"/>
    <w:rsid w:val="000924C7"/>
    <w:rsid w:val="0009369B"/>
    <w:rsid w:val="0009389A"/>
    <w:rsid w:val="00093D0B"/>
    <w:rsid w:val="00093E36"/>
    <w:rsid w:val="000967F9"/>
    <w:rsid w:val="000A0132"/>
    <w:rsid w:val="000A02B6"/>
    <w:rsid w:val="000A0682"/>
    <w:rsid w:val="000A0F3B"/>
    <w:rsid w:val="000A2E58"/>
    <w:rsid w:val="000A3301"/>
    <w:rsid w:val="000A547C"/>
    <w:rsid w:val="000A6A5A"/>
    <w:rsid w:val="000A6C6D"/>
    <w:rsid w:val="000B131A"/>
    <w:rsid w:val="000B14B3"/>
    <w:rsid w:val="000B168A"/>
    <w:rsid w:val="000B1FD2"/>
    <w:rsid w:val="000B2BF1"/>
    <w:rsid w:val="000B413D"/>
    <w:rsid w:val="000B7215"/>
    <w:rsid w:val="000C1353"/>
    <w:rsid w:val="000C18A6"/>
    <w:rsid w:val="000C1B14"/>
    <w:rsid w:val="000C2C0A"/>
    <w:rsid w:val="000C2DC5"/>
    <w:rsid w:val="000C36B4"/>
    <w:rsid w:val="000C6A88"/>
    <w:rsid w:val="000C6E53"/>
    <w:rsid w:val="000C6E5F"/>
    <w:rsid w:val="000C7532"/>
    <w:rsid w:val="000C77A8"/>
    <w:rsid w:val="000C7E47"/>
    <w:rsid w:val="000C7FE2"/>
    <w:rsid w:val="000D0B83"/>
    <w:rsid w:val="000D2F61"/>
    <w:rsid w:val="000D43D3"/>
    <w:rsid w:val="000D54A1"/>
    <w:rsid w:val="000D61F6"/>
    <w:rsid w:val="000D6666"/>
    <w:rsid w:val="000D72FC"/>
    <w:rsid w:val="000D7FAD"/>
    <w:rsid w:val="000E04E9"/>
    <w:rsid w:val="000E0586"/>
    <w:rsid w:val="000E1AE8"/>
    <w:rsid w:val="000E3120"/>
    <w:rsid w:val="000E366C"/>
    <w:rsid w:val="000E4EEF"/>
    <w:rsid w:val="000E50F4"/>
    <w:rsid w:val="000E6804"/>
    <w:rsid w:val="000E750D"/>
    <w:rsid w:val="000F084E"/>
    <w:rsid w:val="000F0E81"/>
    <w:rsid w:val="000F2D9A"/>
    <w:rsid w:val="000F3D71"/>
    <w:rsid w:val="000F411E"/>
    <w:rsid w:val="000F4225"/>
    <w:rsid w:val="000F4328"/>
    <w:rsid w:val="000F469C"/>
    <w:rsid w:val="000F746F"/>
    <w:rsid w:val="00100182"/>
    <w:rsid w:val="0010175B"/>
    <w:rsid w:val="00102A4C"/>
    <w:rsid w:val="00102EEB"/>
    <w:rsid w:val="00103422"/>
    <w:rsid w:val="001041C0"/>
    <w:rsid w:val="0010529C"/>
    <w:rsid w:val="00107DCF"/>
    <w:rsid w:val="00111127"/>
    <w:rsid w:val="0011133E"/>
    <w:rsid w:val="00111828"/>
    <w:rsid w:val="00112786"/>
    <w:rsid w:val="00112942"/>
    <w:rsid w:val="001134DB"/>
    <w:rsid w:val="00113705"/>
    <w:rsid w:val="0011490B"/>
    <w:rsid w:val="00116933"/>
    <w:rsid w:val="001179B1"/>
    <w:rsid w:val="00117E30"/>
    <w:rsid w:val="0012317F"/>
    <w:rsid w:val="00126C4F"/>
    <w:rsid w:val="00126EBC"/>
    <w:rsid w:val="001275C8"/>
    <w:rsid w:val="00130080"/>
    <w:rsid w:val="00131A17"/>
    <w:rsid w:val="00133E6A"/>
    <w:rsid w:val="00134836"/>
    <w:rsid w:val="00134897"/>
    <w:rsid w:val="0013554B"/>
    <w:rsid w:val="00136D2B"/>
    <w:rsid w:val="00137362"/>
    <w:rsid w:val="00137466"/>
    <w:rsid w:val="00137748"/>
    <w:rsid w:val="00137EF3"/>
    <w:rsid w:val="0014066B"/>
    <w:rsid w:val="001411F1"/>
    <w:rsid w:val="00141FC8"/>
    <w:rsid w:val="0014324D"/>
    <w:rsid w:val="0014496C"/>
    <w:rsid w:val="00144A08"/>
    <w:rsid w:val="00145083"/>
    <w:rsid w:val="00145DFD"/>
    <w:rsid w:val="00146D1F"/>
    <w:rsid w:val="00146E0E"/>
    <w:rsid w:val="00151142"/>
    <w:rsid w:val="0015186A"/>
    <w:rsid w:val="001518BC"/>
    <w:rsid w:val="001522F3"/>
    <w:rsid w:val="001526C4"/>
    <w:rsid w:val="00154B03"/>
    <w:rsid w:val="001551FE"/>
    <w:rsid w:val="00155861"/>
    <w:rsid w:val="00155A20"/>
    <w:rsid w:val="00160D6A"/>
    <w:rsid w:val="00161104"/>
    <w:rsid w:val="00162784"/>
    <w:rsid w:val="00164205"/>
    <w:rsid w:val="001667E9"/>
    <w:rsid w:val="00166DE6"/>
    <w:rsid w:val="00167185"/>
    <w:rsid w:val="001675F9"/>
    <w:rsid w:val="0016770B"/>
    <w:rsid w:val="00167AAE"/>
    <w:rsid w:val="0017236D"/>
    <w:rsid w:val="00172BB8"/>
    <w:rsid w:val="00173332"/>
    <w:rsid w:val="001740DD"/>
    <w:rsid w:val="0017525B"/>
    <w:rsid w:val="001758C4"/>
    <w:rsid w:val="00176387"/>
    <w:rsid w:val="001763E0"/>
    <w:rsid w:val="00177ED7"/>
    <w:rsid w:val="00180DE8"/>
    <w:rsid w:val="0018277A"/>
    <w:rsid w:val="001838C4"/>
    <w:rsid w:val="00184076"/>
    <w:rsid w:val="00184E45"/>
    <w:rsid w:val="00185F95"/>
    <w:rsid w:val="00187347"/>
    <w:rsid w:val="00191071"/>
    <w:rsid w:val="00191F9D"/>
    <w:rsid w:val="001939B2"/>
    <w:rsid w:val="00197C51"/>
    <w:rsid w:val="001A1907"/>
    <w:rsid w:val="001A1BCD"/>
    <w:rsid w:val="001A1CBB"/>
    <w:rsid w:val="001A3AD2"/>
    <w:rsid w:val="001A3CD6"/>
    <w:rsid w:val="001A553C"/>
    <w:rsid w:val="001A65C8"/>
    <w:rsid w:val="001A686D"/>
    <w:rsid w:val="001A698F"/>
    <w:rsid w:val="001A747E"/>
    <w:rsid w:val="001A78AB"/>
    <w:rsid w:val="001B2129"/>
    <w:rsid w:val="001B3D74"/>
    <w:rsid w:val="001B49D3"/>
    <w:rsid w:val="001B780F"/>
    <w:rsid w:val="001B7D4A"/>
    <w:rsid w:val="001C2540"/>
    <w:rsid w:val="001C2607"/>
    <w:rsid w:val="001C26F8"/>
    <w:rsid w:val="001C335F"/>
    <w:rsid w:val="001C3C61"/>
    <w:rsid w:val="001C3D6F"/>
    <w:rsid w:val="001C45D7"/>
    <w:rsid w:val="001C608C"/>
    <w:rsid w:val="001C6CF1"/>
    <w:rsid w:val="001D1FF0"/>
    <w:rsid w:val="001D3BF0"/>
    <w:rsid w:val="001D4049"/>
    <w:rsid w:val="001D4116"/>
    <w:rsid w:val="001D6378"/>
    <w:rsid w:val="001D65B2"/>
    <w:rsid w:val="001D6A03"/>
    <w:rsid w:val="001D75E8"/>
    <w:rsid w:val="001D7FF7"/>
    <w:rsid w:val="001E2016"/>
    <w:rsid w:val="001E4F1A"/>
    <w:rsid w:val="001E53AA"/>
    <w:rsid w:val="001E5868"/>
    <w:rsid w:val="001E688F"/>
    <w:rsid w:val="001E79F2"/>
    <w:rsid w:val="001F0895"/>
    <w:rsid w:val="001F108B"/>
    <w:rsid w:val="001F13E0"/>
    <w:rsid w:val="001F2941"/>
    <w:rsid w:val="001F36F2"/>
    <w:rsid w:val="001F5AF2"/>
    <w:rsid w:val="001F71AE"/>
    <w:rsid w:val="00200066"/>
    <w:rsid w:val="002019B8"/>
    <w:rsid w:val="00201C70"/>
    <w:rsid w:val="00201DB0"/>
    <w:rsid w:val="00201E8F"/>
    <w:rsid w:val="00202289"/>
    <w:rsid w:val="002028C5"/>
    <w:rsid w:val="0020388F"/>
    <w:rsid w:val="00203F7E"/>
    <w:rsid w:val="00204936"/>
    <w:rsid w:val="00204B0D"/>
    <w:rsid w:val="00204E7E"/>
    <w:rsid w:val="00205E2C"/>
    <w:rsid w:val="00206548"/>
    <w:rsid w:val="002073BC"/>
    <w:rsid w:val="00207B32"/>
    <w:rsid w:val="00207E65"/>
    <w:rsid w:val="00210646"/>
    <w:rsid w:val="00210AB8"/>
    <w:rsid w:val="00211732"/>
    <w:rsid w:val="002128F5"/>
    <w:rsid w:val="002146E2"/>
    <w:rsid w:val="00215BEA"/>
    <w:rsid w:val="00216B9B"/>
    <w:rsid w:val="0021716D"/>
    <w:rsid w:val="00220531"/>
    <w:rsid w:val="00220947"/>
    <w:rsid w:val="00220ADB"/>
    <w:rsid w:val="00221B32"/>
    <w:rsid w:val="00221BDB"/>
    <w:rsid w:val="00222EE1"/>
    <w:rsid w:val="0022506D"/>
    <w:rsid w:val="00225373"/>
    <w:rsid w:val="00225C12"/>
    <w:rsid w:val="002273D2"/>
    <w:rsid w:val="00227BBC"/>
    <w:rsid w:val="002312E4"/>
    <w:rsid w:val="002316FB"/>
    <w:rsid w:val="00231CD2"/>
    <w:rsid w:val="0023257D"/>
    <w:rsid w:val="00233025"/>
    <w:rsid w:val="00235844"/>
    <w:rsid w:val="00235D9B"/>
    <w:rsid w:val="002365E1"/>
    <w:rsid w:val="0023700D"/>
    <w:rsid w:val="0023734B"/>
    <w:rsid w:val="00240803"/>
    <w:rsid w:val="0024117B"/>
    <w:rsid w:val="00241AEE"/>
    <w:rsid w:val="00241EE6"/>
    <w:rsid w:val="002432A5"/>
    <w:rsid w:val="00246466"/>
    <w:rsid w:val="00246D91"/>
    <w:rsid w:val="0025023E"/>
    <w:rsid w:val="00251530"/>
    <w:rsid w:val="0025380A"/>
    <w:rsid w:val="00254562"/>
    <w:rsid w:val="00254947"/>
    <w:rsid w:val="00254E3F"/>
    <w:rsid w:val="002564C7"/>
    <w:rsid w:val="00256A63"/>
    <w:rsid w:val="002607A2"/>
    <w:rsid w:val="002614A1"/>
    <w:rsid w:val="00261E19"/>
    <w:rsid w:val="00263A92"/>
    <w:rsid w:val="00264EAE"/>
    <w:rsid w:val="00265E4C"/>
    <w:rsid w:val="00266161"/>
    <w:rsid w:val="00266CB1"/>
    <w:rsid w:val="0027078A"/>
    <w:rsid w:val="00270C99"/>
    <w:rsid w:val="00270CB8"/>
    <w:rsid w:val="0027241B"/>
    <w:rsid w:val="00272B34"/>
    <w:rsid w:val="00273EF4"/>
    <w:rsid w:val="002753A6"/>
    <w:rsid w:val="00275B42"/>
    <w:rsid w:val="00276C60"/>
    <w:rsid w:val="00276DF8"/>
    <w:rsid w:val="00277799"/>
    <w:rsid w:val="0028175B"/>
    <w:rsid w:val="00281FA3"/>
    <w:rsid w:val="002834D3"/>
    <w:rsid w:val="00284117"/>
    <w:rsid w:val="0028762F"/>
    <w:rsid w:val="00290A29"/>
    <w:rsid w:val="00291BC1"/>
    <w:rsid w:val="00292044"/>
    <w:rsid w:val="002941E6"/>
    <w:rsid w:val="00294FB5"/>
    <w:rsid w:val="00297D43"/>
    <w:rsid w:val="002A0D9C"/>
    <w:rsid w:val="002A28F0"/>
    <w:rsid w:val="002A30B0"/>
    <w:rsid w:val="002A317E"/>
    <w:rsid w:val="002A5C8F"/>
    <w:rsid w:val="002A7447"/>
    <w:rsid w:val="002B10E8"/>
    <w:rsid w:val="002B228A"/>
    <w:rsid w:val="002B3A2F"/>
    <w:rsid w:val="002B40D8"/>
    <w:rsid w:val="002B43C0"/>
    <w:rsid w:val="002B624C"/>
    <w:rsid w:val="002B63E4"/>
    <w:rsid w:val="002C05C5"/>
    <w:rsid w:val="002C3600"/>
    <w:rsid w:val="002C7B01"/>
    <w:rsid w:val="002D1839"/>
    <w:rsid w:val="002D331A"/>
    <w:rsid w:val="002D4AD7"/>
    <w:rsid w:val="002D4BA0"/>
    <w:rsid w:val="002D713A"/>
    <w:rsid w:val="002E0749"/>
    <w:rsid w:val="002E0BA0"/>
    <w:rsid w:val="002E1BA3"/>
    <w:rsid w:val="002E1DB1"/>
    <w:rsid w:val="002E2030"/>
    <w:rsid w:val="002E3D37"/>
    <w:rsid w:val="002E40EB"/>
    <w:rsid w:val="002E47C3"/>
    <w:rsid w:val="002E538F"/>
    <w:rsid w:val="002E63FE"/>
    <w:rsid w:val="002E7515"/>
    <w:rsid w:val="002E7B1E"/>
    <w:rsid w:val="002E7B93"/>
    <w:rsid w:val="002F0FD5"/>
    <w:rsid w:val="002F17CC"/>
    <w:rsid w:val="002F291B"/>
    <w:rsid w:val="002F297B"/>
    <w:rsid w:val="002F303C"/>
    <w:rsid w:val="002F4E7D"/>
    <w:rsid w:val="002F616B"/>
    <w:rsid w:val="002F7511"/>
    <w:rsid w:val="002F7561"/>
    <w:rsid w:val="00304E6E"/>
    <w:rsid w:val="00305588"/>
    <w:rsid w:val="00305C6A"/>
    <w:rsid w:val="00306A6E"/>
    <w:rsid w:val="00306E97"/>
    <w:rsid w:val="00306EA6"/>
    <w:rsid w:val="0031186D"/>
    <w:rsid w:val="00311986"/>
    <w:rsid w:val="00311CB8"/>
    <w:rsid w:val="00313372"/>
    <w:rsid w:val="00314975"/>
    <w:rsid w:val="00316622"/>
    <w:rsid w:val="00316665"/>
    <w:rsid w:val="00320E8A"/>
    <w:rsid w:val="003223EE"/>
    <w:rsid w:val="00322DD5"/>
    <w:rsid w:val="003234D5"/>
    <w:rsid w:val="00323642"/>
    <w:rsid w:val="003257EB"/>
    <w:rsid w:val="00325ACD"/>
    <w:rsid w:val="0032666E"/>
    <w:rsid w:val="003266F4"/>
    <w:rsid w:val="003272B1"/>
    <w:rsid w:val="00330BEA"/>
    <w:rsid w:val="00331DAD"/>
    <w:rsid w:val="0033254E"/>
    <w:rsid w:val="0033381B"/>
    <w:rsid w:val="00334523"/>
    <w:rsid w:val="003359F2"/>
    <w:rsid w:val="00335D73"/>
    <w:rsid w:val="00337CA4"/>
    <w:rsid w:val="00341771"/>
    <w:rsid w:val="003419E3"/>
    <w:rsid w:val="00343041"/>
    <w:rsid w:val="00344E43"/>
    <w:rsid w:val="0034531C"/>
    <w:rsid w:val="003455C9"/>
    <w:rsid w:val="0034718E"/>
    <w:rsid w:val="00347CB0"/>
    <w:rsid w:val="0035064A"/>
    <w:rsid w:val="00353902"/>
    <w:rsid w:val="00354249"/>
    <w:rsid w:val="0035572A"/>
    <w:rsid w:val="00355E6F"/>
    <w:rsid w:val="00356149"/>
    <w:rsid w:val="00357658"/>
    <w:rsid w:val="00362358"/>
    <w:rsid w:val="00362A0C"/>
    <w:rsid w:val="00363745"/>
    <w:rsid w:val="00363E73"/>
    <w:rsid w:val="00365245"/>
    <w:rsid w:val="00365BB0"/>
    <w:rsid w:val="00366F64"/>
    <w:rsid w:val="00367BA1"/>
    <w:rsid w:val="00367D2D"/>
    <w:rsid w:val="00371863"/>
    <w:rsid w:val="00372920"/>
    <w:rsid w:val="00374C7E"/>
    <w:rsid w:val="00376429"/>
    <w:rsid w:val="00376976"/>
    <w:rsid w:val="00376EED"/>
    <w:rsid w:val="00381961"/>
    <w:rsid w:val="003825E5"/>
    <w:rsid w:val="00383DF4"/>
    <w:rsid w:val="003840B4"/>
    <w:rsid w:val="00386F0A"/>
    <w:rsid w:val="003937FD"/>
    <w:rsid w:val="00394262"/>
    <w:rsid w:val="00394413"/>
    <w:rsid w:val="00395601"/>
    <w:rsid w:val="00395939"/>
    <w:rsid w:val="00395AEB"/>
    <w:rsid w:val="003960D6"/>
    <w:rsid w:val="00396125"/>
    <w:rsid w:val="00396170"/>
    <w:rsid w:val="003968D0"/>
    <w:rsid w:val="003A08BF"/>
    <w:rsid w:val="003A2BF9"/>
    <w:rsid w:val="003A4D11"/>
    <w:rsid w:val="003A6C98"/>
    <w:rsid w:val="003A6E23"/>
    <w:rsid w:val="003A6FB0"/>
    <w:rsid w:val="003B0847"/>
    <w:rsid w:val="003B0F5A"/>
    <w:rsid w:val="003B2FF7"/>
    <w:rsid w:val="003B36D6"/>
    <w:rsid w:val="003B5495"/>
    <w:rsid w:val="003B7D08"/>
    <w:rsid w:val="003B7E03"/>
    <w:rsid w:val="003C019F"/>
    <w:rsid w:val="003C101F"/>
    <w:rsid w:val="003C1D19"/>
    <w:rsid w:val="003C2B07"/>
    <w:rsid w:val="003C2D20"/>
    <w:rsid w:val="003C32A2"/>
    <w:rsid w:val="003C5425"/>
    <w:rsid w:val="003C6B95"/>
    <w:rsid w:val="003C6CBD"/>
    <w:rsid w:val="003C708D"/>
    <w:rsid w:val="003D1E97"/>
    <w:rsid w:val="003D3212"/>
    <w:rsid w:val="003D380A"/>
    <w:rsid w:val="003D45B6"/>
    <w:rsid w:val="003D469F"/>
    <w:rsid w:val="003D4BC5"/>
    <w:rsid w:val="003D4EE3"/>
    <w:rsid w:val="003D65C9"/>
    <w:rsid w:val="003D69C2"/>
    <w:rsid w:val="003D69F0"/>
    <w:rsid w:val="003E011F"/>
    <w:rsid w:val="003E0C91"/>
    <w:rsid w:val="003E182D"/>
    <w:rsid w:val="003E1B4A"/>
    <w:rsid w:val="003E2A6E"/>
    <w:rsid w:val="003E2E89"/>
    <w:rsid w:val="003E2FA4"/>
    <w:rsid w:val="003E38B5"/>
    <w:rsid w:val="003E440C"/>
    <w:rsid w:val="003E53BF"/>
    <w:rsid w:val="003E568B"/>
    <w:rsid w:val="003E56CC"/>
    <w:rsid w:val="003E7106"/>
    <w:rsid w:val="003E7D80"/>
    <w:rsid w:val="003E7ED4"/>
    <w:rsid w:val="003E7F5D"/>
    <w:rsid w:val="003F00E3"/>
    <w:rsid w:val="003F2521"/>
    <w:rsid w:val="003F298A"/>
    <w:rsid w:val="003F5151"/>
    <w:rsid w:val="003F5E3D"/>
    <w:rsid w:val="0040050B"/>
    <w:rsid w:val="00401986"/>
    <w:rsid w:val="00402B74"/>
    <w:rsid w:val="00405533"/>
    <w:rsid w:val="00405D1E"/>
    <w:rsid w:val="00405F09"/>
    <w:rsid w:val="0040645C"/>
    <w:rsid w:val="00406A55"/>
    <w:rsid w:val="004105A3"/>
    <w:rsid w:val="00411C22"/>
    <w:rsid w:val="00412D5C"/>
    <w:rsid w:val="0041315D"/>
    <w:rsid w:val="00413731"/>
    <w:rsid w:val="00414BD8"/>
    <w:rsid w:val="004157A3"/>
    <w:rsid w:val="0041728E"/>
    <w:rsid w:val="004173CC"/>
    <w:rsid w:val="0042005C"/>
    <w:rsid w:val="00421450"/>
    <w:rsid w:val="004218E1"/>
    <w:rsid w:val="004245EE"/>
    <w:rsid w:val="00424B7A"/>
    <w:rsid w:val="00426A07"/>
    <w:rsid w:val="00426A26"/>
    <w:rsid w:val="00430788"/>
    <w:rsid w:val="00430D8D"/>
    <w:rsid w:val="0043126E"/>
    <w:rsid w:val="00432EA6"/>
    <w:rsid w:val="00433B83"/>
    <w:rsid w:val="004354FD"/>
    <w:rsid w:val="0043550E"/>
    <w:rsid w:val="0043555F"/>
    <w:rsid w:val="004358CF"/>
    <w:rsid w:val="00435932"/>
    <w:rsid w:val="00437078"/>
    <w:rsid w:val="00437DC2"/>
    <w:rsid w:val="00440B5E"/>
    <w:rsid w:val="004426E9"/>
    <w:rsid w:val="00442A77"/>
    <w:rsid w:val="004430DE"/>
    <w:rsid w:val="0044381B"/>
    <w:rsid w:val="00443832"/>
    <w:rsid w:val="004440E6"/>
    <w:rsid w:val="00445C6B"/>
    <w:rsid w:val="004469AA"/>
    <w:rsid w:val="004473CB"/>
    <w:rsid w:val="00450793"/>
    <w:rsid w:val="0045146B"/>
    <w:rsid w:val="004530E3"/>
    <w:rsid w:val="00453208"/>
    <w:rsid w:val="004552D0"/>
    <w:rsid w:val="00455395"/>
    <w:rsid w:val="004558C8"/>
    <w:rsid w:val="00455B1F"/>
    <w:rsid w:val="00457667"/>
    <w:rsid w:val="0045778E"/>
    <w:rsid w:val="004606B6"/>
    <w:rsid w:val="00460A52"/>
    <w:rsid w:val="004622DA"/>
    <w:rsid w:val="00462D2C"/>
    <w:rsid w:val="00462DBF"/>
    <w:rsid w:val="0046447B"/>
    <w:rsid w:val="00464574"/>
    <w:rsid w:val="00465E1D"/>
    <w:rsid w:val="00467288"/>
    <w:rsid w:val="00467325"/>
    <w:rsid w:val="004729F9"/>
    <w:rsid w:val="004735FE"/>
    <w:rsid w:val="00475521"/>
    <w:rsid w:val="00475BD2"/>
    <w:rsid w:val="00476546"/>
    <w:rsid w:val="00477D36"/>
    <w:rsid w:val="00481C55"/>
    <w:rsid w:val="00483864"/>
    <w:rsid w:val="00483A9D"/>
    <w:rsid w:val="00483CAF"/>
    <w:rsid w:val="004844B5"/>
    <w:rsid w:val="004860D5"/>
    <w:rsid w:val="00487890"/>
    <w:rsid w:val="004902DB"/>
    <w:rsid w:val="0049188D"/>
    <w:rsid w:val="00492722"/>
    <w:rsid w:val="004928C8"/>
    <w:rsid w:val="00493236"/>
    <w:rsid w:val="004959E9"/>
    <w:rsid w:val="00496308"/>
    <w:rsid w:val="004A214C"/>
    <w:rsid w:val="004A28FD"/>
    <w:rsid w:val="004A34C7"/>
    <w:rsid w:val="004A4B94"/>
    <w:rsid w:val="004A4F09"/>
    <w:rsid w:val="004A674F"/>
    <w:rsid w:val="004A7554"/>
    <w:rsid w:val="004B0A5E"/>
    <w:rsid w:val="004B0FB0"/>
    <w:rsid w:val="004B4DA7"/>
    <w:rsid w:val="004B65B4"/>
    <w:rsid w:val="004B7DCF"/>
    <w:rsid w:val="004C0B89"/>
    <w:rsid w:val="004C1BE8"/>
    <w:rsid w:val="004C3036"/>
    <w:rsid w:val="004C36B5"/>
    <w:rsid w:val="004C36D0"/>
    <w:rsid w:val="004C3A49"/>
    <w:rsid w:val="004C486F"/>
    <w:rsid w:val="004C6DB1"/>
    <w:rsid w:val="004C7670"/>
    <w:rsid w:val="004D16EB"/>
    <w:rsid w:val="004D30D0"/>
    <w:rsid w:val="004D352D"/>
    <w:rsid w:val="004D5D16"/>
    <w:rsid w:val="004D6E6D"/>
    <w:rsid w:val="004E0283"/>
    <w:rsid w:val="004E05C5"/>
    <w:rsid w:val="004E08AA"/>
    <w:rsid w:val="004E6570"/>
    <w:rsid w:val="004E7616"/>
    <w:rsid w:val="004E7869"/>
    <w:rsid w:val="004E7BCA"/>
    <w:rsid w:val="004F0B77"/>
    <w:rsid w:val="004F10C9"/>
    <w:rsid w:val="004F10EA"/>
    <w:rsid w:val="004F126B"/>
    <w:rsid w:val="004F2176"/>
    <w:rsid w:val="004F2C19"/>
    <w:rsid w:val="004F375C"/>
    <w:rsid w:val="004F37C8"/>
    <w:rsid w:val="004F41FD"/>
    <w:rsid w:val="004F4558"/>
    <w:rsid w:val="004F682A"/>
    <w:rsid w:val="004F6B7E"/>
    <w:rsid w:val="0050159B"/>
    <w:rsid w:val="00501E9B"/>
    <w:rsid w:val="00502348"/>
    <w:rsid w:val="00502FC9"/>
    <w:rsid w:val="005036FD"/>
    <w:rsid w:val="00503BF5"/>
    <w:rsid w:val="00505357"/>
    <w:rsid w:val="005057D8"/>
    <w:rsid w:val="005058D4"/>
    <w:rsid w:val="00506DA8"/>
    <w:rsid w:val="00506E2D"/>
    <w:rsid w:val="00511D23"/>
    <w:rsid w:val="00512AA4"/>
    <w:rsid w:val="00512E6A"/>
    <w:rsid w:val="005134C5"/>
    <w:rsid w:val="005144B4"/>
    <w:rsid w:val="005158A3"/>
    <w:rsid w:val="00515FF6"/>
    <w:rsid w:val="00517CF4"/>
    <w:rsid w:val="00517E4E"/>
    <w:rsid w:val="00524770"/>
    <w:rsid w:val="00524C7A"/>
    <w:rsid w:val="00525526"/>
    <w:rsid w:val="005262E8"/>
    <w:rsid w:val="00526692"/>
    <w:rsid w:val="0052772E"/>
    <w:rsid w:val="00527A72"/>
    <w:rsid w:val="00530342"/>
    <w:rsid w:val="005328CF"/>
    <w:rsid w:val="00534BD0"/>
    <w:rsid w:val="0053509D"/>
    <w:rsid w:val="00537646"/>
    <w:rsid w:val="005378EE"/>
    <w:rsid w:val="00537A46"/>
    <w:rsid w:val="00540DB6"/>
    <w:rsid w:val="005414DF"/>
    <w:rsid w:val="00541BFF"/>
    <w:rsid w:val="00542449"/>
    <w:rsid w:val="00543334"/>
    <w:rsid w:val="00545101"/>
    <w:rsid w:val="005458C7"/>
    <w:rsid w:val="0054770A"/>
    <w:rsid w:val="00550B08"/>
    <w:rsid w:val="00550B82"/>
    <w:rsid w:val="00550FA3"/>
    <w:rsid w:val="00552105"/>
    <w:rsid w:val="00552341"/>
    <w:rsid w:val="005559D2"/>
    <w:rsid w:val="005609D4"/>
    <w:rsid w:val="005616F2"/>
    <w:rsid w:val="0056234E"/>
    <w:rsid w:val="00563483"/>
    <w:rsid w:val="00563A6C"/>
    <w:rsid w:val="005644F0"/>
    <w:rsid w:val="00564F29"/>
    <w:rsid w:val="00565DA8"/>
    <w:rsid w:val="00565FF0"/>
    <w:rsid w:val="005707D6"/>
    <w:rsid w:val="00570D79"/>
    <w:rsid w:val="00571175"/>
    <w:rsid w:val="00574BAA"/>
    <w:rsid w:val="0057585A"/>
    <w:rsid w:val="00575F7D"/>
    <w:rsid w:val="0057646C"/>
    <w:rsid w:val="00580476"/>
    <w:rsid w:val="00582891"/>
    <w:rsid w:val="00582B27"/>
    <w:rsid w:val="00584035"/>
    <w:rsid w:val="00584D16"/>
    <w:rsid w:val="0058531C"/>
    <w:rsid w:val="00585B1A"/>
    <w:rsid w:val="005860E8"/>
    <w:rsid w:val="00586B2D"/>
    <w:rsid w:val="0059330E"/>
    <w:rsid w:val="0059391D"/>
    <w:rsid w:val="00593BDA"/>
    <w:rsid w:val="00596F32"/>
    <w:rsid w:val="0059724A"/>
    <w:rsid w:val="00597495"/>
    <w:rsid w:val="00597A25"/>
    <w:rsid w:val="005A02D0"/>
    <w:rsid w:val="005A261E"/>
    <w:rsid w:val="005A3861"/>
    <w:rsid w:val="005A393F"/>
    <w:rsid w:val="005A7018"/>
    <w:rsid w:val="005A7C88"/>
    <w:rsid w:val="005A7D21"/>
    <w:rsid w:val="005B1142"/>
    <w:rsid w:val="005B2D5E"/>
    <w:rsid w:val="005B2DB3"/>
    <w:rsid w:val="005B482D"/>
    <w:rsid w:val="005B4A66"/>
    <w:rsid w:val="005B58C8"/>
    <w:rsid w:val="005B5BA8"/>
    <w:rsid w:val="005C00BD"/>
    <w:rsid w:val="005C0B5F"/>
    <w:rsid w:val="005C1915"/>
    <w:rsid w:val="005C215B"/>
    <w:rsid w:val="005C2167"/>
    <w:rsid w:val="005C2C15"/>
    <w:rsid w:val="005C4267"/>
    <w:rsid w:val="005C4F8F"/>
    <w:rsid w:val="005C5001"/>
    <w:rsid w:val="005C667E"/>
    <w:rsid w:val="005D0E72"/>
    <w:rsid w:val="005D31BC"/>
    <w:rsid w:val="005D37CF"/>
    <w:rsid w:val="005D5EC4"/>
    <w:rsid w:val="005D7D05"/>
    <w:rsid w:val="005E1504"/>
    <w:rsid w:val="005E1DE6"/>
    <w:rsid w:val="005E2ADE"/>
    <w:rsid w:val="005E5396"/>
    <w:rsid w:val="005E6DD7"/>
    <w:rsid w:val="005E6E40"/>
    <w:rsid w:val="005F0453"/>
    <w:rsid w:val="005F08F7"/>
    <w:rsid w:val="005F0B41"/>
    <w:rsid w:val="005F1AD4"/>
    <w:rsid w:val="005F3B33"/>
    <w:rsid w:val="005F4A1C"/>
    <w:rsid w:val="005F4CE4"/>
    <w:rsid w:val="005F5ACD"/>
    <w:rsid w:val="005F5F59"/>
    <w:rsid w:val="005F668B"/>
    <w:rsid w:val="005F6D4F"/>
    <w:rsid w:val="0060035D"/>
    <w:rsid w:val="006004FE"/>
    <w:rsid w:val="00602021"/>
    <w:rsid w:val="006037C6"/>
    <w:rsid w:val="00603843"/>
    <w:rsid w:val="00604504"/>
    <w:rsid w:val="00605FFE"/>
    <w:rsid w:val="00607911"/>
    <w:rsid w:val="0060794A"/>
    <w:rsid w:val="00607D30"/>
    <w:rsid w:val="006106B1"/>
    <w:rsid w:val="00614024"/>
    <w:rsid w:val="00614E17"/>
    <w:rsid w:val="00615DDA"/>
    <w:rsid w:val="006175DF"/>
    <w:rsid w:val="00617DBA"/>
    <w:rsid w:val="00617FA1"/>
    <w:rsid w:val="00620F6C"/>
    <w:rsid w:val="006211D5"/>
    <w:rsid w:val="00621D89"/>
    <w:rsid w:val="00622898"/>
    <w:rsid w:val="0062436D"/>
    <w:rsid w:val="006258CD"/>
    <w:rsid w:val="0063057E"/>
    <w:rsid w:val="00631D33"/>
    <w:rsid w:val="0063219E"/>
    <w:rsid w:val="00632DC0"/>
    <w:rsid w:val="006345C2"/>
    <w:rsid w:val="006351CA"/>
    <w:rsid w:val="006366B6"/>
    <w:rsid w:val="00640844"/>
    <w:rsid w:val="00640E57"/>
    <w:rsid w:val="0064195E"/>
    <w:rsid w:val="00642877"/>
    <w:rsid w:val="006434E7"/>
    <w:rsid w:val="00643514"/>
    <w:rsid w:val="00643608"/>
    <w:rsid w:val="006462A5"/>
    <w:rsid w:val="00646A49"/>
    <w:rsid w:val="00647BFE"/>
    <w:rsid w:val="00647C18"/>
    <w:rsid w:val="00650CF9"/>
    <w:rsid w:val="00651947"/>
    <w:rsid w:val="00653709"/>
    <w:rsid w:val="00654D42"/>
    <w:rsid w:val="00655452"/>
    <w:rsid w:val="00655D1C"/>
    <w:rsid w:val="0066004C"/>
    <w:rsid w:val="0066084E"/>
    <w:rsid w:val="00660B5B"/>
    <w:rsid w:val="0066220D"/>
    <w:rsid w:val="006626B0"/>
    <w:rsid w:val="006642B5"/>
    <w:rsid w:val="00665B1F"/>
    <w:rsid w:val="00666E75"/>
    <w:rsid w:val="00667ADF"/>
    <w:rsid w:val="006708E8"/>
    <w:rsid w:val="006717E3"/>
    <w:rsid w:val="00672F1D"/>
    <w:rsid w:val="0067346E"/>
    <w:rsid w:val="00673E86"/>
    <w:rsid w:val="00674439"/>
    <w:rsid w:val="00674C4C"/>
    <w:rsid w:val="00675FB3"/>
    <w:rsid w:val="006772D4"/>
    <w:rsid w:val="0067795C"/>
    <w:rsid w:val="00677D83"/>
    <w:rsid w:val="00680AC0"/>
    <w:rsid w:val="00680DBD"/>
    <w:rsid w:val="00681103"/>
    <w:rsid w:val="006811FE"/>
    <w:rsid w:val="006812D4"/>
    <w:rsid w:val="006834A0"/>
    <w:rsid w:val="006839C6"/>
    <w:rsid w:val="00684229"/>
    <w:rsid w:val="00684FD5"/>
    <w:rsid w:val="006855E6"/>
    <w:rsid w:val="00686D0E"/>
    <w:rsid w:val="00687ADF"/>
    <w:rsid w:val="00690076"/>
    <w:rsid w:val="0069124D"/>
    <w:rsid w:val="00691359"/>
    <w:rsid w:val="006926C8"/>
    <w:rsid w:val="00693AE2"/>
    <w:rsid w:val="00694B41"/>
    <w:rsid w:val="00695B22"/>
    <w:rsid w:val="00695BC3"/>
    <w:rsid w:val="00696155"/>
    <w:rsid w:val="0069716A"/>
    <w:rsid w:val="006A0B07"/>
    <w:rsid w:val="006A0EFB"/>
    <w:rsid w:val="006A212B"/>
    <w:rsid w:val="006A310C"/>
    <w:rsid w:val="006A33B0"/>
    <w:rsid w:val="006A44C3"/>
    <w:rsid w:val="006A6B2F"/>
    <w:rsid w:val="006A6B7A"/>
    <w:rsid w:val="006B0AF2"/>
    <w:rsid w:val="006B132E"/>
    <w:rsid w:val="006B14E0"/>
    <w:rsid w:val="006B17C3"/>
    <w:rsid w:val="006B3D1C"/>
    <w:rsid w:val="006B4486"/>
    <w:rsid w:val="006B66F1"/>
    <w:rsid w:val="006B788F"/>
    <w:rsid w:val="006C0376"/>
    <w:rsid w:val="006C069D"/>
    <w:rsid w:val="006C0CFC"/>
    <w:rsid w:val="006C0D06"/>
    <w:rsid w:val="006C15D6"/>
    <w:rsid w:val="006C1C11"/>
    <w:rsid w:val="006C3DC4"/>
    <w:rsid w:val="006C568B"/>
    <w:rsid w:val="006C7416"/>
    <w:rsid w:val="006C7671"/>
    <w:rsid w:val="006C77E9"/>
    <w:rsid w:val="006D04C4"/>
    <w:rsid w:val="006D1105"/>
    <w:rsid w:val="006D205D"/>
    <w:rsid w:val="006D22A2"/>
    <w:rsid w:val="006D3600"/>
    <w:rsid w:val="006D71CF"/>
    <w:rsid w:val="006E054F"/>
    <w:rsid w:val="006E0949"/>
    <w:rsid w:val="006E0ADE"/>
    <w:rsid w:val="006E13FE"/>
    <w:rsid w:val="006E163E"/>
    <w:rsid w:val="006E1AD7"/>
    <w:rsid w:val="006E1F86"/>
    <w:rsid w:val="006E37A2"/>
    <w:rsid w:val="006E4FD6"/>
    <w:rsid w:val="006E51EC"/>
    <w:rsid w:val="006E53F1"/>
    <w:rsid w:val="006E6B4F"/>
    <w:rsid w:val="006E76BF"/>
    <w:rsid w:val="006E7B68"/>
    <w:rsid w:val="006F05F0"/>
    <w:rsid w:val="006F0A51"/>
    <w:rsid w:val="006F12BA"/>
    <w:rsid w:val="006F1D13"/>
    <w:rsid w:val="006F3073"/>
    <w:rsid w:val="006F327E"/>
    <w:rsid w:val="006F36E4"/>
    <w:rsid w:val="006F3AC8"/>
    <w:rsid w:val="006F3DBB"/>
    <w:rsid w:val="006F6101"/>
    <w:rsid w:val="006F640E"/>
    <w:rsid w:val="006F6DC6"/>
    <w:rsid w:val="006F6E0A"/>
    <w:rsid w:val="006F7ACE"/>
    <w:rsid w:val="006F7C85"/>
    <w:rsid w:val="006F7CAC"/>
    <w:rsid w:val="00701F3A"/>
    <w:rsid w:val="0070227A"/>
    <w:rsid w:val="00703203"/>
    <w:rsid w:val="00703617"/>
    <w:rsid w:val="00703D47"/>
    <w:rsid w:val="00705DAC"/>
    <w:rsid w:val="00706A06"/>
    <w:rsid w:val="00711390"/>
    <w:rsid w:val="00711A42"/>
    <w:rsid w:val="00712CB4"/>
    <w:rsid w:val="007130DC"/>
    <w:rsid w:val="007131B1"/>
    <w:rsid w:val="00713D1A"/>
    <w:rsid w:val="00713FAB"/>
    <w:rsid w:val="00714EA0"/>
    <w:rsid w:val="0071504D"/>
    <w:rsid w:val="007150D6"/>
    <w:rsid w:val="007152D3"/>
    <w:rsid w:val="007178E8"/>
    <w:rsid w:val="007216B4"/>
    <w:rsid w:val="00721A88"/>
    <w:rsid w:val="00721BA9"/>
    <w:rsid w:val="00722EF2"/>
    <w:rsid w:val="00724544"/>
    <w:rsid w:val="00727690"/>
    <w:rsid w:val="007305B4"/>
    <w:rsid w:val="007328DE"/>
    <w:rsid w:val="007336D7"/>
    <w:rsid w:val="007341D6"/>
    <w:rsid w:val="007349E8"/>
    <w:rsid w:val="00736388"/>
    <w:rsid w:val="00741F47"/>
    <w:rsid w:val="00743113"/>
    <w:rsid w:val="00743A85"/>
    <w:rsid w:val="00743C14"/>
    <w:rsid w:val="0074412E"/>
    <w:rsid w:val="00744759"/>
    <w:rsid w:val="0074481C"/>
    <w:rsid w:val="00744FB2"/>
    <w:rsid w:val="00745288"/>
    <w:rsid w:val="0074656A"/>
    <w:rsid w:val="00746D25"/>
    <w:rsid w:val="00747AD6"/>
    <w:rsid w:val="0075132A"/>
    <w:rsid w:val="00752146"/>
    <w:rsid w:val="007522DE"/>
    <w:rsid w:val="00755C3A"/>
    <w:rsid w:val="00755C86"/>
    <w:rsid w:val="00756D78"/>
    <w:rsid w:val="00756DAC"/>
    <w:rsid w:val="007576DE"/>
    <w:rsid w:val="0076095E"/>
    <w:rsid w:val="00763FC2"/>
    <w:rsid w:val="0076448C"/>
    <w:rsid w:val="007739E5"/>
    <w:rsid w:val="00773D95"/>
    <w:rsid w:val="00774330"/>
    <w:rsid w:val="00774DBA"/>
    <w:rsid w:val="007758D6"/>
    <w:rsid w:val="00775B24"/>
    <w:rsid w:val="00776120"/>
    <w:rsid w:val="007765C9"/>
    <w:rsid w:val="0077666D"/>
    <w:rsid w:val="00777400"/>
    <w:rsid w:val="007809AE"/>
    <w:rsid w:val="00780EEB"/>
    <w:rsid w:val="0078131B"/>
    <w:rsid w:val="00781D07"/>
    <w:rsid w:val="00781F3A"/>
    <w:rsid w:val="00782952"/>
    <w:rsid w:val="007848BC"/>
    <w:rsid w:val="007857E1"/>
    <w:rsid w:val="007872CA"/>
    <w:rsid w:val="00787BAA"/>
    <w:rsid w:val="00790227"/>
    <w:rsid w:val="00790658"/>
    <w:rsid w:val="00792E50"/>
    <w:rsid w:val="00793C9E"/>
    <w:rsid w:val="00793CE9"/>
    <w:rsid w:val="007947ED"/>
    <w:rsid w:val="00794CC7"/>
    <w:rsid w:val="00794E71"/>
    <w:rsid w:val="007A088B"/>
    <w:rsid w:val="007A16C6"/>
    <w:rsid w:val="007A188C"/>
    <w:rsid w:val="007A5202"/>
    <w:rsid w:val="007A68EB"/>
    <w:rsid w:val="007A75EB"/>
    <w:rsid w:val="007B185F"/>
    <w:rsid w:val="007B1D37"/>
    <w:rsid w:val="007B36E5"/>
    <w:rsid w:val="007B3FBE"/>
    <w:rsid w:val="007B4EC0"/>
    <w:rsid w:val="007B5356"/>
    <w:rsid w:val="007B7A44"/>
    <w:rsid w:val="007C4733"/>
    <w:rsid w:val="007C522B"/>
    <w:rsid w:val="007C609F"/>
    <w:rsid w:val="007C6138"/>
    <w:rsid w:val="007C7FB4"/>
    <w:rsid w:val="007D17E6"/>
    <w:rsid w:val="007D2CAE"/>
    <w:rsid w:val="007D33FC"/>
    <w:rsid w:val="007D3BED"/>
    <w:rsid w:val="007D3C60"/>
    <w:rsid w:val="007D3ED8"/>
    <w:rsid w:val="007D659F"/>
    <w:rsid w:val="007D7061"/>
    <w:rsid w:val="007D7EEE"/>
    <w:rsid w:val="007E019C"/>
    <w:rsid w:val="007E3B02"/>
    <w:rsid w:val="007E5746"/>
    <w:rsid w:val="007E5C25"/>
    <w:rsid w:val="007E6B6A"/>
    <w:rsid w:val="007F281A"/>
    <w:rsid w:val="007F434D"/>
    <w:rsid w:val="007F459B"/>
    <w:rsid w:val="007F6BE0"/>
    <w:rsid w:val="007F6C7E"/>
    <w:rsid w:val="007F701B"/>
    <w:rsid w:val="007F71F6"/>
    <w:rsid w:val="007F7449"/>
    <w:rsid w:val="007F7AC6"/>
    <w:rsid w:val="007F7C1C"/>
    <w:rsid w:val="0080039E"/>
    <w:rsid w:val="0080179A"/>
    <w:rsid w:val="008020F0"/>
    <w:rsid w:val="00802A1D"/>
    <w:rsid w:val="00802ED1"/>
    <w:rsid w:val="00805DAD"/>
    <w:rsid w:val="008143BD"/>
    <w:rsid w:val="0081451A"/>
    <w:rsid w:val="00814797"/>
    <w:rsid w:val="00815A7B"/>
    <w:rsid w:val="00815AC7"/>
    <w:rsid w:val="0081634B"/>
    <w:rsid w:val="00821697"/>
    <w:rsid w:val="0082229A"/>
    <w:rsid w:val="0082331B"/>
    <w:rsid w:val="00824AE6"/>
    <w:rsid w:val="00825303"/>
    <w:rsid w:val="0082672C"/>
    <w:rsid w:val="00830BE3"/>
    <w:rsid w:val="0083225F"/>
    <w:rsid w:val="008322E5"/>
    <w:rsid w:val="00832A60"/>
    <w:rsid w:val="00832A7C"/>
    <w:rsid w:val="00833F45"/>
    <w:rsid w:val="0083562F"/>
    <w:rsid w:val="008379CD"/>
    <w:rsid w:val="00837A74"/>
    <w:rsid w:val="008432E8"/>
    <w:rsid w:val="00844044"/>
    <w:rsid w:val="008441E3"/>
    <w:rsid w:val="008448F0"/>
    <w:rsid w:val="00844EFC"/>
    <w:rsid w:val="00846365"/>
    <w:rsid w:val="008500CF"/>
    <w:rsid w:val="0085026F"/>
    <w:rsid w:val="00850C1C"/>
    <w:rsid w:val="00850C6E"/>
    <w:rsid w:val="008523D3"/>
    <w:rsid w:val="0085282B"/>
    <w:rsid w:val="00854CE4"/>
    <w:rsid w:val="00855CB9"/>
    <w:rsid w:val="00856682"/>
    <w:rsid w:val="0085781C"/>
    <w:rsid w:val="00861079"/>
    <w:rsid w:val="00861D4E"/>
    <w:rsid w:val="008627B4"/>
    <w:rsid w:val="00862B2F"/>
    <w:rsid w:val="0086361A"/>
    <w:rsid w:val="00863B62"/>
    <w:rsid w:val="0086657B"/>
    <w:rsid w:val="00867DDC"/>
    <w:rsid w:val="00871567"/>
    <w:rsid w:val="00872F43"/>
    <w:rsid w:val="0087358A"/>
    <w:rsid w:val="0087525E"/>
    <w:rsid w:val="00875B38"/>
    <w:rsid w:val="008767DF"/>
    <w:rsid w:val="00876A6F"/>
    <w:rsid w:val="008779F3"/>
    <w:rsid w:val="00880ADE"/>
    <w:rsid w:val="008826F9"/>
    <w:rsid w:val="00882FAC"/>
    <w:rsid w:val="0088563B"/>
    <w:rsid w:val="00885CE8"/>
    <w:rsid w:val="0088685B"/>
    <w:rsid w:val="008879B2"/>
    <w:rsid w:val="008913CE"/>
    <w:rsid w:val="00893269"/>
    <w:rsid w:val="0089400D"/>
    <w:rsid w:val="008943BD"/>
    <w:rsid w:val="00894E9B"/>
    <w:rsid w:val="00894F6A"/>
    <w:rsid w:val="00895F60"/>
    <w:rsid w:val="00896755"/>
    <w:rsid w:val="00897A87"/>
    <w:rsid w:val="008A0F1B"/>
    <w:rsid w:val="008A29AB"/>
    <w:rsid w:val="008A2FB1"/>
    <w:rsid w:val="008A39C7"/>
    <w:rsid w:val="008A3CEA"/>
    <w:rsid w:val="008A4272"/>
    <w:rsid w:val="008A6D8B"/>
    <w:rsid w:val="008A7C35"/>
    <w:rsid w:val="008B010F"/>
    <w:rsid w:val="008B125D"/>
    <w:rsid w:val="008B1A31"/>
    <w:rsid w:val="008B5CA8"/>
    <w:rsid w:val="008B6A65"/>
    <w:rsid w:val="008B7B3D"/>
    <w:rsid w:val="008B7E7A"/>
    <w:rsid w:val="008C037B"/>
    <w:rsid w:val="008C0F12"/>
    <w:rsid w:val="008C1979"/>
    <w:rsid w:val="008C26AC"/>
    <w:rsid w:val="008C3924"/>
    <w:rsid w:val="008C39C1"/>
    <w:rsid w:val="008C4AEF"/>
    <w:rsid w:val="008C4CCB"/>
    <w:rsid w:val="008C58FC"/>
    <w:rsid w:val="008C76EA"/>
    <w:rsid w:val="008D202D"/>
    <w:rsid w:val="008D281B"/>
    <w:rsid w:val="008D2CDB"/>
    <w:rsid w:val="008D6783"/>
    <w:rsid w:val="008E1E62"/>
    <w:rsid w:val="008E2F94"/>
    <w:rsid w:val="008E4291"/>
    <w:rsid w:val="008E42C3"/>
    <w:rsid w:val="008E42F9"/>
    <w:rsid w:val="008F05A9"/>
    <w:rsid w:val="008F292F"/>
    <w:rsid w:val="008F3645"/>
    <w:rsid w:val="008F39A5"/>
    <w:rsid w:val="008F4AF9"/>
    <w:rsid w:val="008F54BB"/>
    <w:rsid w:val="008F5C2C"/>
    <w:rsid w:val="008F5D14"/>
    <w:rsid w:val="008F6874"/>
    <w:rsid w:val="008F6976"/>
    <w:rsid w:val="008F731D"/>
    <w:rsid w:val="008F7BC1"/>
    <w:rsid w:val="008F7DE0"/>
    <w:rsid w:val="009019C7"/>
    <w:rsid w:val="00901B0D"/>
    <w:rsid w:val="009030A9"/>
    <w:rsid w:val="009039F7"/>
    <w:rsid w:val="00903BFF"/>
    <w:rsid w:val="00904C94"/>
    <w:rsid w:val="009056AD"/>
    <w:rsid w:val="00910692"/>
    <w:rsid w:val="0091174F"/>
    <w:rsid w:val="009123CF"/>
    <w:rsid w:val="009137C0"/>
    <w:rsid w:val="00913F91"/>
    <w:rsid w:val="0091612A"/>
    <w:rsid w:val="00916831"/>
    <w:rsid w:val="00917992"/>
    <w:rsid w:val="00917A53"/>
    <w:rsid w:val="00923AA7"/>
    <w:rsid w:val="00927166"/>
    <w:rsid w:val="00927A8F"/>
    <w:rsid w:val="00927B27"/>
    <w:rsid w:val="00927B46"/>
    <w:rsid w:val="00927ED8"/>
    <w:rsid w:val="00930A73"/>
    <w:rsid w:val="009311BE"/>
    <w:rsid w:val="0093175C"/>
    <w:rsid w:val="00931D62"/>
    <w:rsid w:val="00931E60"/>
    <w:rsid w:val="00932466"/>
    <w:rsid w:val="009328E2"/>
    <w:rsid w:val="0093334C"/>
    <w:rsid w:val="009348C3"/>
    <w:rsid w:val="0093497E"/>
    <w:rsid w:val="00936004"/>
    <w:rsid w:val="009361C1"/>
    <w:rsid w:val="00936281"/>
    <w:rsid w:val="00936442"/>
    <w:rsid w:val="00936762"/>
    <w:rsid w:val="00936E97"/>
    <w:rsid w:val="00937439"/>
    <w:rsid w:val="00937655"/>
    <w:rsid w:val="00937D4E"/>
    <w:rsid w:val="00937E4B"/>
    <w:rsid w:val="0094083F"/>
    <w:rsid w:val="009420D9"/>
    <w:rsid w:val="009420DD"/>
    <w:rsid w:val="00942840"/>
    <w:rsid w:val="00942939"/>
    <w:rsid w:val="00944428"/>
    <w:rsid w:val="009452AD"/>
    <w:rsid w:val="00945A27"/>
    <w:rsid w:val="00945EE6"/>
    <w:rsid w:val="00947150"/>
    <w:rsid w:val="00950DEE"/>
    <w:rsid w:val="00951813"/>
    <w:rsid w:val="0095193D"/>
    <w:rsid w:val="00953223"/>
    <w:rsid w:val="00954F4B"/>
    <w:rsid w:val="00956E60"/>
    <w:rsid w:val="009603D4"/>
    <w:rsid w:val="009666FB"/>
    <w:rsid w:val="009711DC"/>
    <w:rsid w:val="00972848"/>
    <w:rsid w:val="00973742"/>
    <w:rsid w:val="00974B00"/>
    <w:rsid w:val="009765DA"/>
    <w:rsid w:val="00980784"/>
    <w:rsid w:val="00980866"/>
    <w:rsid w:val="009809A9"/>
    <w:rsid w:val="00983F43"/>
    <w:rsid w:val="00984766"/>
    <w:rsid w:val="009847D6"/>
    <w:rsid w:val="0098496E"/>
    <w:rsid w:val="00984FC5"/>
    <w:rsid w:val="00985F21"/>
    <w:rsid w:val="009900CF"/>
    <w:rsid w:val="009902C4"/>
    <w:rsid w:val="00990B57"/>
    <w:rsid w:val="00991A57"/>
    <w:rsid w:val="00993213"/>
    <w:rsid w:val="00995577"/>
    <w:rsid w:val="00996A2F"/>
    <w:rsid w:val="009A2678"/>
    <w:rsid w:val="009A2B0B"/>
    <w:rsid w:val="009A4897"/>
    <w:rsid w:val="009A55EC"/>
    <w:rsid w:val="009A6517"/>
    <w:rsid w:val="009A6CA7"/>
    <w:rsid w:val="009B1FEE"/>
    <w:rsid w:val="009B2C04"/>
    <w:rsid w:val="009B41BF"/>
    <w:rsid w:val="009B7557"/>
    <w:rsid w:val="009B79C3"/>
    <w:rsid w:val="009C0EBB"/>
    <w:rsid w:val="009C1E9E"/>
    <w:rsid w:val="009C23E8"/>
    <w:rsid w:val="009C2481"/>
    <w:rsid w:val="009C2A37"/>
    <w:rsid w:val="009C3437"/>
    <w:rsid w:val="009C3E30"/>
    <w:rsid w:val="009C6244"/>
    <w:rsid w:val="009C64C9"/>
    <w:rsid w:val="009C69E7"/>
    <w:rsid w:val="009D0180"/>
    <w:rsid w:val="009D0C5C"/>
    <w:rsid w:val="009D1097"/>
    <w:rsid w:val="009D2CC0"/>
    <w:rsid w:val="009D30B0"/>
    <w:rsid w:val="009D35D7"/>
    <w:rsid w:val="009D35FC"/>
    <w:rsid w:val="009D372C"/>
    <w:rsid w:val="009D3BB1"/>
    <w:rsid w:val="009D69A1"/>
    <w:rsid w:val="009D7FE7"/>
    <w:rsid w:val="009E158C"/>
    <w:rsid w:val="009E17D4"/>
    <w:rsid w:val="009E439B"/>
    <w:rsid w:val="009E5169"/>
    <w:rsid w:val="009E58A7"/>
    <w:rsid w:val="009E5F8B"/>
    <w:rsid w:val="009E6391"/>
    <w:rsid w:val="009E676D"/>
    <w:rsid w:val="009E7A2F"/>
    <w:rsid w:val="009F06B2"/>
    <w:rsid w:val="009F0ACB"/>
    <w:rsid w:val="009F1256"/>
    <w:rsid w:val="009F2247"/>
    <w:rsid w:val="009F3D67"/>
    <w:rsid w:val="009F53C7"/>
    <w:rsid w:val="00A0021D"/>
    <w:rsid w:val="00A00737"/>
    <w:rsid w:val="00A022D6"/>
    <w:rsid w:val="00A05D8A"/>
    <w:rsid w:val="00A05E89"/>
    <w:rsid w:val="00A065AF"/>
    <w:rsid w:val="00A06E9A"/>
    <w:rsid w:val="00A111BA"/>
    <w:rsid w:val="00A11EBB"/>
    <w:rsid w:val="00A127D4"/>
    <w:rsid w:val="00A13643"/>
    <w:rsid w:val="00A13921"/>
    <w:rsid w:val="00A14977"/>
    <w:rsid w:val="00A152FB"/>
    <w:rsid w:val="00A15CB4"/>
    <w:rsid w:val="00A16BD3"/>
    <w:rsid w:val="00A170BE"/>
    <w:rsid w:val="00A20D21"/>
    <w:rsid w:val="00A21039"/>
    <w:rsid w:val="00A21082"/>
    <w:rsid w:val="00A22C17"/>
    <w:rsid w:val="00A2372D"/>
    <w:rsid w:val="00A2397B"/>
    <w:rsid w:val="00A24001"/>
    <w:rsid w:val="00A24BA2"/>
    <w:rsid w:val="00A25023"/>
    <w:rsid w:val="00A27382"/>
    <w:rsid w:val="00A30307"/>
    <w:rsid w:val="00A30FA5"/>
    <w:rsid w:val="00A310D1"/>
    <w:rsid w:val="00A31F9A"/>
    <w:rsid w:val="00A32059"/>
    <w:rsid w:val="00A3252F"/>
    <w:rsid w:val="00A35962"/>
    <w:rsid w:val="00A36207"/>
    <w:rsid w:val="00A36A9A"/>
    <w:rsid w:val="00A36FEB"/>
    <w:rsid w:val="00A37EE1"/>
    <w:rsid w:val="00A41037"/>
    <w:rsid w:val="00A42A0C"/>
    <w:rsid w:val="00A42E22"/>
    <w:rsid w:val="00A43966"/>
    <w:rsid w:val="00A457B7"/>
    <w:rsid w:val="00A46D52"/>
    <w:rsid w:val="00A47A8A"/>
    <w:rsid w:val="00A47CA9"/>
    <w:rsid w:val="00A50054"/>
    <w:rsid w:val="00A50237"/>
    <w:rsid w:val="00A509BF"/>
    <w:rsid w:val="00A52484"/>
    <w:rsid w:val="00A5323F"/>
    <w:rsid w:val="00A53563"/>
    <w:rsid w:val="00A6101B"/>
    <w:rsid w:val="00A61064"/>
    <w:rsid w:val="00A629CA"/>
    <w:rsid w:val="00A62D61"/>
    <w:rsid w:val="00A63257"/>
    <w:rsid w:val="00A6344D"/>
    <w:rsid w:val="00A643CB"/>
    <w:rsid w:val="00A64C11"/>
    <w:rsid w:val="00A660D5"/>
    <w:rsid w:val="00A70362"/>
    <w:rsid w:val="00A708CD"/>
    <w:rsid w:val="00A752A6"/>
    <w:rsid w:val="00A75937"/>
    <w:rsid w:val="00A76481"/>
    <w:rsid w:val="00A80670"/>
    <w:rsid w:val="00A80CDC"/>
    <w:rsid w:val="00A81D8A"/>
    <w:rsid w:val="00A82474"/>
    <w:rsid w:val="00A83B8C"/>
    <w:rsid w:val="00A83C98"/>
    <w:rsid w:val="00A84690"/>
    <w:rsid w:val="00A850E0"/>
    <w:rsid w:val="00A8737D"/>
    <w:rsid w:val="00A87A44"/>
    <w:rsid w:val="00A87CA0"/>
    <w:rsid w:val="00A87F4F"/>
    <w:rsid w:val="00A9460A"/>
    <w:rsid w:val="00A95D37"/>
    <w:rsid w:val="00A9629A"/>
    <w:rsid w:val="00A962C6"/>
    <w:rsid w:val="00A966B9"/>
    <w:rsid w:val="00A971A0"/>
    <w:rsid w:val="00A97455"/>
    <w:rsid w:val="00AA4203"/>
    <w:rsid w:val="00AA514D"/>
    <w:rsid w:val="00AA53A9"/>
    <w:rsid w:val="00AA57EC"/>
    <w:rsid w:val="00AA5E7A"/>
    <w:rsid w:val="00AA66CB"/>
    <w:rsid w:val="00AA6CCD"/>
    <w:rsid w:val="00AA73F8"/>
    <w:rsid w:val="00AA74F8"/>
    <w:rsid w:val="00AA7D50"/>
    <w:rsid w:val="00AB05C8"/>
    <w:rsid w:val="00AB0D29"/>
    <w:rsid w:val="00AB254A"/>
    <w:rsid w:val="00AB3C78"/>
    <w:rsid w:val="00AB60CB"/>
    <w:rsid w:val="00AB7F34"/>
    <w:rsid w:val="00AC0FE2"/>
    <w:rsid w:val="00AC2C6E"/>
    <w:rsid w:val="00AC3908"/>
    <w:rsid w:val="00AC400B"/>
    <w:rsid w:val="00AC43D4"/>
    <w:rsid w:val="00AC50E1"/>
    <w:rsid w:val="00AC5C27"/>
    <w:rsid w:val="00AC6564"/>
    <w:rsid w:val="00AC6CD9"/>
    <w:rsid w:val="00AC77DE"/>
    <w:rsid w:val="00AC7E68"/>
    <w:rsid w:val="00AD0D11"/>
    <w:rsid w:val="00AD1C42"/>
    <w:rsid w:val="00AD299E"/>
    <w:rsid w:val="00AD4D45"/>
    <w:rsid w:val="00AD5358"/>
    <w:rsid w:val="00AD5CF9"/>
    <w:rsid w:val="00AD65CA"/>
    <w:rsid w:val="00AD6840"/>
    <w:rsid w:val="00AE02DA"/>
    <w:rsid w:val="00AE0FDB"/>
    <w:rsid w:val="00AE1C34"/>
    <w:rsid w:val="00AE2C4A"/>
    <w:rsid w:val="00AE3083"/>
    <w:rsid w:val="00AE31D3"/>
    <w:rsid w:val="00AE3CC0"/>
    <w:rsid w:val="00AE3E25"/>
    <w:rsid w:val="00AE4877"/>
    <w:rsid w:val="00AE4F07"/>
    <w:rsid w:val="00AE557D"/>
    <w:rsid w:val="00AE5D65"/>
    <w:rsid w:val="00AF06BD"/>
    <w:rsid w:val="00AF24CD"/>
    <w:rsid w:val="00AF2F4C"/>
    <w:rsid w:val="00AF48D2"/>
    <w:rsid w:val="00AF6164"/>
    <w:rsid w:val="00AF6219"/>
    <w:rsid w:val="00AF7743"/>
    <w:rsid w:val="00B014D6"/>
    <w:rsid w:val="00B0156B"/>
    <w:rsid w:val="00B050F5"/>
    <w:rsid w:val="00B052B2"/>
    <w:rsid w:val="00B052C4"/>
    <w:rsid w:val="00B11D0E"/>
    <w:rsid w:val="00B12F0B"/>
    <w:rsid w:val="00B14DCF"/>
    <w:rsid w:val="00B15536"/>
    <w:rsid w:val="00B15AB6"/>
    <w:rsid w:val="00B1603C"/>
    <w:rsid w:val="00B1796B"/>
    <w:rsid w:val="00B17BF0"/>
    <w:rsid w:val="00B2074E"/>
    <w:rsid w:val="00B20A7B"/>
    <w:rsid w:val="00B22FD5"/>
    <w:rsid w:val="00B24479"/>
    <w:rsid w:val="00B24788"/>
    <w:rsid w:val="00B250F0"/>
    <w:rsid w:val="00B25366"/>
    <w:rsid w:val="00B2542F"/>
    <w:rsid w:val="00B273ED"/>
    <w:rsid w:val="00B27B54"/>
    <w:rsid w:val="00B32C35"/>
    <w:rsid w:val="00B33E07"/>
    <w:rsid w:val="00B34EA1"/>
    <w:rsid w:val="00B3519E"/>
    <w:rsid w:val="00B364BD"/>
    <w:rsid w:val="00B36F3D"/>
    <w:rsid w:val="00B40C14"/>
    <w:rsid w:val="00B41535"/>
    <w:rsid w:val="00B418B4"/>
    <w:rsid w:val="00B41B7D"/>
    <w:rsid w:val="00B4318A"/>
    <w:rsid w:val="00B43B66"/>
    <w:rsid w:val="00B4405C"/>
    <w:rsid w:val="00B44830"/>
    <w:rsid w:val="00B44C76"/>
    <w:rsid w:val="00B4502C"/>
    <w:rsid w:val="00B46FA0"/>
    <w:rsid w:val="00B47887"/>
    <w:rsid w:val="00B502D7"/>
    <w:rsid w:val="00B51F8E"/>
    <w:rsid w:val="00B5410C"/>
    <w:rsid w:val="00B559C1"/>
    <w:rsid w:val="00B55A70"/>
    <w:rsid w:val="00B55C45"/>
    <w:rsid w:val="00B5646F"/>
    <w:rsid w:val="00B5696B"/>
    <w:rsid w:val="00B618EF"/>
    <w:rsid w:val="00B61BFC"/>
    <w:rsid w:val="00B62DBC"/>
    <w:rsid w:val="00B6452D"/>
    <w:rsid w:val="00B64944"/>
    <w:rsid w:val="00B64A5F"/>
    <w:rsid w:val="00B6697C"/>
    <w:rsid w:val="00B67E9F"/>
    <w:rsid w:val="00B71E7C"/>
    <w:rsid w:val="00B71F01"/>
    <w:rsid w:val="00B72402"/>
    <w:rsid w:val="00B72C46"/>
    <w:rsid w:val="00B72D03"/>
    <w:rsid w:val="00B73BD7"/>
    <w:rsid w:val="00B73CCC"/>
    <w:rsid w:val="00B7403B"/>
    <w:rsid w:val="00B7452A"/>
    <w:rsid w:val="00B755EB"/>
    <w:rsid w:val="00B76BD3"/>
    <w:rsid w:val="00B7711B"/>
    <w:rsid w:val="00B802EF"/>
    <w:rsid w:val="00B8242A"/>
    <w:rsid w:val="00B82B6E"/>
    <w:rsid w:val="00B83577"/>
    <w:rsid w:val="00B84027"/>
    <w:rsid w:val="00B85C8F"/>
    <w:rsid w:val="00B861A5"/>
    <w:rsid w:val="00B879C5"/>
    <w:rsid w:val="00B9151A"/>
    <w:rsid w:val="00B915FC"/>
    <w:rsid w:val="00B92896"/>
    <w:rsid w:val="00B93B06"/>
    <w:rsid w:val="00B93CE6"/>
    <w:rsid w:val="00B945D8"/>
    <w:rsid w:val="00B94A36"/>
    <w:rsid w:val="00B94CB6"/>
    <w:rsid w:val="00B9671D"/>
    <w:rsid w:val="00B96975"/>
    <w:rsid w:val="00B97B37"/>
    <w:rsid w:val="00BA109A"/>
    <w:rsid w:val="00BA14D0"/>
    <w:rsid w:val="00BA1518"/>
    <w:rsid w:val="00BA15DD"/>
    <w:rsid w:val="00BA2290"/>
    <w:rsid w:val="00BA35E4"/>
    <w:rsid w:val="00BA3622"/>
    <w:rsid w:val="00BA3A1B"/>
    <w:rsid w:val="00BA3C8F"/>
    <w:rsid w:val="00BA4945"/>
    <w:rsid w:val="00BB1C85"/>
    <w:rsid w:val="00BB2C35"/>
    <w:rsid w:val="00BB2E9B"/>
    <w:rsid w:val="00BB514C"/>
    <w:rsid w:val="00BB562D"/>
    <w:rsid w:val="00BB635F"/>
    <w:rsid w:val="00BB64DE"/>
    <w:rsid w:val="00BC0824"/>
    <w:rsid w:val="00BC0AFC"/>
    <w:rsid w:val="00BC104D"/>
    <w:rsid w:val="00BC2944"/>
    <w:rsid w:val="00BC3644"/>
    <w:rsid w:val="00BC38A7"/>
    <w:rsid w:val="00BC6011"/>
    <w:rsid w:val="00BC624A"/>
    <w:rsid w:val="00BD0011"/>
    <w:rsid w:val="00BD0BE4"/>
    <w:rsid w:val="00BD168A"/>
    <w:rsid w:val="00BD2567"/>
    <w:rsid w:val="00BD2C20"/>
    <w:rsid w:val="00BD5783"/>
    <w:rsid w:val="00BD7570"/>
    <w:rsid w:val="00BD7D5B"/>
    <w:rsid w:val="00BE009B"/>
    <w:rsid w:val="00BE0A73"/>
    <w:rsid w:val="00BE20E0"/>
    <w:rsid w:val="00BE2BD2"/>
    <w:rsid w:val="00BF0652"/>
    <w:rsid w:val="00BF13C4"/>
    <w:rsid w:val="00BF2CD6"/>
    <w:rsid w:val="00BF4012"/>
    <w:rsid w:val="00BF4237"/>
    <w:rsid w:val="00BF4972"/>
    <w:rsid w:val="00BF7499"/>
    <w:rsid w:val="00BF7A44"/>
    <w:rsid w:val="00C00300"/>
    <w:rsid w:val="00C02609"/>
    <w:rsid w:val="00C03728"/>
    <w:rsid w:val="00C0428D"/>
    <w:rsid w:val="00C04530"/>
    <w:rsid w:val="00C06027"/>
    <w:rsid w:val="00C0633C"/>
    <w:rsid w:val="00C06382"/>
    <w:rsid w:val="00C07969"/>
    <w:rsid w:val="00C10474"/>
    <w:rsid w:val="00C106A2"/>
    <w:rsid w:val="00C107FF"/>
    <w:rsid w:val="00C10DB2"/>
    <w:rsid w:val="00C113D2"/>
    <w:rsid w:val="00C11E16"/>
    <w:rsid w:val="00C124F1"/>
    <w:rsid w:val="00C1297D"/>
    <w:rsid w:val="00C13375"/>
    <w:rsid w:val="00C13E01"/>
    <w:rsid w:val="00C1433C"/>
    <w:rsid w:val="00C145D2"/>
    <w:rsid w:val="00C17C2B"/>
    <w:rsid w:val="00C200B2"/>
    <w:rsid w:val="00C21904"/>
    <w:rsid w:val="00C21E23"/>
    <w:rsid w:val="00C222C4"/>
    <w:rsid w:val="00C242FF"/>
    <w:rsid w:val="00C25D1E"/>
    <w:rsid w:val="00C26357"/>
    <w:rsid w:val="00C307F3"/>
    <w:rsid w:val="00C30F40"/>
    <w:rsid w:val="00C31845"/>
    <w:rsid w:val="00C3221C"/>
    <w:rsid w:val="00C32FB6"/>
    <w:rsid w:val="00C3439F"/>
    <w:rsid w:val="00C34620"/>
    <w:rsid w:val="00C348B9"/>
    <w:rsid w:val="00C34B81"/>
    <w:rsid w:val="00C35785"/>
    <w:rsid w:val="00C35888"/>
    <w:rsid w:val="00C40B6B"/>
    <w:rsid w:val="00C41D40"/>
    <w:rsid w:val="00C42B0B"/>
    <w:rsid w:val="00C4309B"/>
    <w:rsid w:val="00C45EEF"/>
    <w:rsid w:val="00C50188"/>
    <w:rsid w:val="00C51019"/>
    <w:rsid w:val="00C5295B"/>
    <w:rsid w:val="00C53083"/>
    <w:rsid w:val="00C534D9"/>
    <w:rsid w:val="00C537BE"/>
    <w:rsid w:val="00C53A7B"/>
    <w:rsid w:val="00C5438C"/>
    <w:rsid w:val="00C569D0"/>
    <w:rsid w:val="00C6065B"/>
    <w:rsid w:val="00C640D6"/>
    <w:rsid w:val="00C65E0D"/>
    <w:rsid w:val="00C66C87"/>
    <w:rsid w:val="00C671C5"/>
    <w:rsid w:val="00C676F2"/>
    <w:rsid w:val="00C67C53"/>
    <w:rsid w:val="00C67C81"/>
    <w:rsid w:val="00C67E50"/>
    <w:rsid w:val="00C702FA"/>
    <w:rsid w:val="00C71CC8"/>
    <w:rsid w:val="00C742C8"/>
    <w:rsid w:val="00C74824"/>
    <w:rsid w:val="00C74D0A"/>
    <w:rsid w:val="00C74E02"/>
    <w:rsid w:val="00C75A98"/>
    <w:rsid w:val="00C76FEE"/>
    <w:rsid w:val="00C808B6"/>
    <w:rsid w:val="00C8302A"/>
    <w:rsid w:val="00C84570"/>
    <w:rsid w:val="00C84AEE"/>
    <w:rsid w:val="00C855B6"/>
    <w:rsid w:val="00C85A1C"/>
    <w:rsid w:val="00C90146"/>
    <w:rsid w:val="00C90990"/>
    <w:rsid w:val="00C90C83"/>
    <w:rsid w:val="00C911F4"/>
    <w:rsid w:val="00C919C8"/>
    <w:rsid w:val="00C9245C"/>
    <w:rsid w:val="00C94DBD"/>
    <w:rsid w:val="00C94FC4"/>
    <w:rsid w:val="00C95807"/>
    <w:rsid w:val="00C96882"/>
    <w:rsid w:val="00CA109F"/>
    <w:rsid w:val="00CA4AC3"/>
    <w:rsid w:val="00CA4F62"/>
    <w:rsid w:val="00CA6862"/>
    <w:rsid w:val="00CA7819"/>
    <w:rsid w:val="00CB02F2"/>
    <w:rsid w:val="00CB0DEF"/>
    <w:rsid w:val="00CB0F86"/>
    <w:rsid w:val="00CB1DC1"/>
    <w:rsid w:val="00CB3505"/>
    <w:rsid w:val="00CB4FD3"/>
    <w:rsid w:val="00CB70F4"/>
    <w:rsid w:val="00CC0F38"/>
    <w:rsid w:val="00CC1C97"/>
    <w:rsid w:val="00CC4BA6"/>
    <w:rsid w:val="00CC530A"/>
    <w:rsid w:val="00CC6234"/>
    <w:rsid w:val="00CC665A"/>
    <w:rsid w:val="00CC6C47"/>
    <w:rsid w:val="00CC746F"/>
    <w:rsid w:val="00CC7F5C"/>
    <w:rsid w:val="00CD02CE"/>
    <w:rsid w:val="00CD0E91"/>
    <w:rsid w:val="00CD2E5A"/>
    <w:rsid w:val="00CD414E"/>
    <w:rsid w:val="00CD44A4"/>
    <w:rsid w:val="00CD4658"/>
    <w:rsid w:val="00CE4D82"/>
    <w:rsid w:val="00CE6F75"/>
    <w:rsid w:val="00CF00A0"/>
    <w:rsid w:val="00CF0433"/>
    <w:rsid w:val="00CF1199"/>
    <w:rsid w:val="00CF23EB"/>
    <w:rsid w:val="00CF2D07"/>
    <w:rsid w:val="00CF4617"/>
    <w:rsid w:val="00CF63B8"/>
    <w:rsid w:val="00CF7BCB"/>
    <w:rsid w:val="00D00300"/>
    <w:rsid w:val="00D008E0"/>
    <w:rsid w:val="00D01324"/>
    <w:rsid w:val="00D014D9"/>
    <w:rsid w:val="00D01867"/>
    <w:rsid w:val="00D03395"/>
    <w:rsid w:val="00D034C5"/>
    <w:rsid w:val="00D0477F"/>
    <w:rsid w:val="00D05474"/>
    <w:rsid w:val="00D06289"/>
    <w:rsid w:val="00D075CB"/>
    <w:rsid w:val="00D11248"/>
    <w:rsid w:val="00D11B26"/>
    <w:rsid w:val="00D11DF6"/>
    <w:rsid w:val="00D1220B"/>
    <w:rsid w:val="00D133FB"/>
    <w:rsid w:val="00D139B6"/>
    <w:rsid w:val="00D14AD0"/>
    <w:rsid w:val="00D158CB"/>
    <w:rsid w:val="00D1744D"/>
    <w:rsid w:val="00D20879"/>
    <w:rsid w:val="00D22FCF"/>
    <w:rsid w:val="00D23889"/>
    <w:rsid w:val="00D23D77"/>
    <w:rsid w:val="00D24BF3"/>
    <w:rsid w:val="00D24C0E"/>
    <w:rsid w:val="00D2663F"/>
    <w:rsid w:val="00D35175"/>
    <w:rsid w:val="00D3754B"/>
    <w:rsid w:val="00D376C7"/>
    <w:rsid w:val="00D407D6"/>
    <w:rsid w:val="00D40C8A"/>
    <w:rsid w:val="00D41799"/>
    <w:rsid w:val="00D42219"/>
    <w:rsid w:val="00D43937"/>
    <w:rsid w:val="00D43B15"/>
    <w:rsid w:val="00D43D65"/>
    <w:rsid w:val="00D43DA0"/>
    <w:rsid w:val="00D45906"/>
    <w:rsid w:val="00D45BB8"/>
    <w:rsid w:val="00D46C8D"/>
    <w:rsid w:val="00D46FF7"/>
    <w:rsid w:val="00D52345"/>
    <w:rsid w:val="00D52554"/>
    <w:rsid w:val="00D52E76"/>
    <w:rsid w:val="00D53345"/>
    <w:rsid w:val="00D53A90"/>
    <w:rsid w:val="00D54104"/>
    <w:rsid w:val="00D5527A"/>
    <w:rsid w:val="00D56744"/>
    <w:rsid w:val="00D57424"/>
    <w:rsid w:val="00D5756F"/>
    <w:rsid w:val="00D60212"/>
    <w:rsid w:val="00D61398"/>
    <w:rsid w:val="00D632C9"/>
    <w:rsid w:val="00D636BD"/>
    <w:rsid w:val="00D63A6D"/>
    <w:rsid w:val="00D63C97"/>
    <w:rsid w:val="00D63EE3"/>
    <w:rsid w:val="00D64E20"/>
    <w:rsid w:val="00D65B94"/>
    <w:rsid w:val="00D6607E"/>
    <w:rsid w:val="00D66A75"/>
    <w:rsid w:val="00D672CB"/>
    <w:rsid w:val="00D67514"/>
    <w:rsid w:val="00D6783B"/>
    <w:rsid w:val="00D70EC6"/>
    <w:rsid w:val="00D72169"/>
    <w:rsid w:val="00D732C2"/>
    <w:rsid w:val="00D743E6"/>
    <w:rsid w:val="00D754F0"/>
    <w:rsid w:val="00D758DB"/>
    <w:rsid w:val="00D76936"/>
    <w:rsid w:val="00D80E5D"/>
    <w:rsid w:val="00D81A94"/>
    <w:rsid w:val="00D827D1"/>
    <w:rsid w:val="00D84AAB"/>
    <w:rsid w:val="00D84FAB"/>
    <w:rsid w:val="00D86083"/>
    <w:rsid w:val="00D86F11"/>
    <w:rsid w:val="00D87CC6"/>
    <w:rsid w:val="00D87CCF"/>
    <w:rsid w:val="00D901C1"/>
    <w:rsid w:val="00D905F8"/>
    <w:rsid w:val="00D90770"/>
    <w:rsid w:val="00D91A1D"/>
    <w:rsid w:val="00D92DB9"/>
    <w:rsid w:val="00D94497"/>
    <w:rsid w:val="00D94979"/>
    <w:rsid w:val="00D953B7"/>
    <w:rsid w:val="00D956E3"/>
    <w:rsid w:val="00D965D4"/>
    <w:rsid w:val="00D96B57"/>
    <w:rsid w:val="00DA0372"/>
    <w:rsid w:val="00DA15D1"/>
    <w:rsid w:val="00DA2E55"/>
    <w:rsid w:val="00DA41FE"/>
    <w:rsid w:val="00DA5032"/>
    <w:rsid w:val="00DA562C"/>
    <w:rsid w:val="00DA6C89"/>
    <w:rsid w:val="00DA7308"/>
    <w:rsid w:val="00DA78B8"/>
    <w:rsid w:val="00DB1092"/>
    <w:rsid w:val="00DB2F7D"/>
    <w:rsid w:val="00DB44FD"/>
    <w:rsid w:val="00DB4FB0"/>
    <w:rsid w:val="00DB57E9"/>
    <w:rsid w:val="00DB5C3A"/>
    <w:rsid w:val="00DB73AD"/>
    <w:rsid w:val="00DB75F7"/>
    <w:rsid w:val="00DC064D"/>
    <w:rsid w:val="00DC0E68"/>
    <w:rsid w:val="00DC0F83"/>
    <w:rsid w:val="00DC116F"/>
    <w:rsid w:val="00DC21C5"/>
    <w:rsid w:val="00DC2642"/>
    <w:rsid w:val="00DC3B87"/>
    <w:rsid w:val="00DC4FA6"/>
    <w:rsid w:val="00DC53AD"/>
    <w:rsid w:val="00DC5874"/>
    <w:rsid w:val="00DC6A16"/>
    <w:rsid w:val="00DC6F41"/>
    <w:rsid w:val="00DC78D1"/>
    <w:rsid w:val="00DC7917"/>
    <w:rsid w:val="00DC795E"/>
    <w:rsid w:val="00DC7D81"/>
    <w:rsid w:val="00DD0431"/>
    <w:rsid w:val="00DD06D8"/>
    <w:rsid w:val="00DD2AFC"/>
    <w:rsid w:val="00DD424F"/>
    <w:rsid w:val="00DD4745"/>
    <w:rsid w:val="00DD6225"/>
    <w:rsid w:val="00DD6D5B"/>
    <w:rsid w:val="00DE0EA4"/>
    <w:rsid w:val="00DE11A2"/>
    <w:rsid w:val="00DE2083"/>
    <w:rsid w:val="00DE2672"/>
    <w:rsid w:val="00DE3765"/>
    <w:rsid w:val="00DE4566"/>
    <w:rsid w:val="00DE5070"/>
    <w:rsid w:val="00DE59BA"/>
    <w:rsid w:val="00DE5F36"/>
    <w:rsid w:val="00DE7833"/>
    <w:rsid w:val="00DF029B"/>
    <w:rsid w:val="00DF033C"/>
    <w:rsid w:val="00DF53CE"/>
    <w:rsid w:val="00DF6CE1"/>
    <w:rsid w:val="00E04951"/>
    <w:rsid w:val="00E04AAF"/>
    <w:rsid w:val="00E05F8E"/>
    <w:rsid w:val="00E075AE"/>
    <w:rsid w:val="00E10FFF"/>
    <w:rsid w:val="00E1105F"/>
    <w:rsid w:val="00E12562"/>
    <w:rsid w:val="00E14538"/>
    <w:rsid w:val="00E14DA9"/>
    <w:rsid w:val="00E151D6"/>
    <w:rsid w:val="00E168ED"/>
    <w:rsid w:val="00E17125"/>
    <w:rsid w:val="00E20CDF"/>
    <w:rsid w:val="00E22CC4"/>
    <w:rsid w:val="00E2351C"/>
    <w:rsid w:val="00E24310"/>
    <w:rsid w:val="00E2563D"/>
    <w:rsid w:val="00E25B53"/>
    <w:rsid w:val="00E261BE"/>
    <w:rsid w:val="00E26CF7"/>
    <w:rsid w:val="00E27643"/>
    <w:rsid w:val="00E3030F"/>
    <w:rsid w:val="00E30469"/>
    <w:rsid w:val="00E31269"/>
    <w:rsid w:val="00E31AF3"/>
    <w:rsid w:val="00E31EA7"/>
    <w:rsid w:val="00E31F41"/>
    <w:rsid w:val="00E320E7"/>
    <w:rsid w:val="00E328EF"/>
    <w:rsid w:val="00E33D61"/>
    <w:rsid w:val="00E357B8"/>
    <w:rsid w:val="00E363CD"/>
    <w:rsid w:val="00E36F67"/>
    <w:rsid w:val="00E412F3"/>
    <w:rsid w:val="00E41518"/>
    <w:rsid w:val="00E41D47"/>
    <w:rsid w:val="00E42451"/>
    <w:rsid w:val="00E42A6C"/>
    <w:rsid w:val="00E44C83"/>
    <w:rsid w:val="00E44D3D"/>
    <w:rsid w:val="00E452C9"/>
    <w:rsid w:val="00E45722"/>
    <w:rsid w:val="00E4717F"/>
    <w:rsid w:val="00E520F7"/>
    <w:rsid w:val="00E5258D"/>
    <w:rsid w:val="00E52F96"/>
    <w:rsid w:val="00E53482"/>
    <w:rsid w:val="00E573C7"/>
    <w:rsid w:val="00E6082E"/>
    <w:rsid w:val="00E619C1"/>
    <w:rsid w:val="00E63243"/>
    <w:rsid w:val="00E64075"/>
    <w:rsid w:val="00E64D16"/>
    <w:rsid w:val="00E6538A"/>
    <w:rsid w:val="00E65B03"/>
    <w:rsid w:val="00E66511"/>
    <w:rsid w:val="00E6657F"/>
    <w:rsid w:val="00E66CDF"/>
    <w:rsid w:val="00E70A5B"/>
    <w:rsid w:val="00E70B26"/>
    <w:rsid w:val="00E71034"/>
    <w:rsid w:val="00E7142E"/>
    <w:rsid w:val="00E71553"/>
    <w:rsid w:val="00E723C1"/>
    <w:rsid w:val="00E7297D"/>
    <w:rsid w:val="00E732DA"/>
    <w:rsid w:val="00E758A4"/>
    <w:rsid w:val="00E77F62"/>
    <w:rsid w:val="00E8082F"/>
    <w:rsid w:val="00E83465"/>
    <w:rsid w:val="00E835F4"/>
    <w:rsid w:val="00E83B04"/>
    <w:rsid w:val="00E847B3"/>
    <w:rsid w:val="00E849CA"/>
    <w:rsid w:val="00E849E4"/>
    <w:rsid w:val="00E84C3D"/>
    <w:rsid w:val="00E857F8"/>
    <w:rsid w:val="00E8662C"/>
    <w:rsid w:val="00E86B74"/>
    <w:rsid w:val="00E86E99"/>
    <w:rsid w:val="00E87967"/>
    <w:rsid w:val="00E87ECC"/>
    <w:rsid w:val="00E908B4"/>
    <w:rsid w:val="00E920CF"/>
    <w:rsid w:val="00E94406"/>
    <w:rsid w:val="00E94EAE"/>
    <w:rsid w:val="00E94FB9"/>
    <w:rsid w:val="00E95948"/>
    <w:rsid w:val="00E970EE"/>
    <w:rsid w:val="00EA1197"/>
    <w:rsid w:val="00EA4A39"/>
    <w:rsid w:val="00EA5181"/>
    <w:rsid w:val="00EA54AE"/>
    <w:rsid w:val="00EA5974"/>
    <w:rsid w:val="00EB0A54"/>
    <w:rsid w:val="00EB1D2D"/>
    <w:rsid w:val="00EB4A7F"/>
    <w:rsid w:val="00EC0315"/>
    <w:rsid w:val="00EC0589"/>
    <w:rsid w:val="00EC186C"/>
    <w:rsid w:val="00EC194F"/>
    <w:rsid w:val="00EC1E0C"/>
    <w:rsid w:val="00EC366E"/>
    <w:rsid w:val="00EC455A"/>
    <w:rsid w:val="00EC4568"/>
    <w:rsid w:val="00EC4711"/>
    <w:rsid w:val="00EC52F5"/>
    <w:rsid w:val="00EC68B8"/>
    <w:rsid w:val="00EC7420"/>
    <w:rsid w:val="00EC7E4C"/>
    <w:rsid w:val="00ED0602"/>
    <w:rsid w:val="00ED08D0"/>
    <w:rsid w:val="00ED1CFB"/>
    <w:rsid w:val="00ED27D1"/>
    <w:rsid w:val="00ED2928"/>
    <w:rsid w:val="00ED3735"/>
    <w:rsid w:val="00ED478A"/>
    <w:rsid w:val="00ED5408"/>
    <w:rsid w:val="00ED62C3"/>
    <w:rsid w:val="00ED7896"/>
    <w:rsid w:val="00EE05DA"/>
    <w:rsid w:val="00EE13F3"/>
    <w:rsid w:val="00EE3E3D"/>
    <w:rsid w:val="00EE437C"/>
    <w:rsid w:val="00EE481C"/>
    <w:rsid w:val="00EE5475"/>
    <w:rsid w:val="00EE5CAB"/>
    <w:rsid w:val="00EE6487"/>
    <w:rsid w:val="00EE7C16"/>
    <w:rsid w:val="00EF033F"/>
    <w:rsid w:val="00EF04B0"/>
    <w:rsid w:val="00EF2163"/>
    <w:rsid w:val="00EF3948"/>
    <w:rsid w:val="00EF3FF5"/>
    <w:rsid w:val="00EF5024"/>
    <w:rsid w:val="00EF55D7"/>
    <w:rsid w:val="00EF6088"/>
    <w:rsid w:val="00EF6995"/>
    <w:rsid w:val="00EF70C4"/>
    <w:rsid w:val="00EF72F5"/>
    <w:rsid w:val="00F005E3"/>
    <w:rsid w:val="00F009FC"/>
    <w:rsid w:val="00F00DE9"/>
    <w:rsid w:val="00F0166F"/>
    <w:rsid w:val="00F0194D"/>
    <w:rsid w:val="00F02AB9"/>
    <w:rsid w:val="00F02F65"/>
    <w:rsid w:val="00F0474A"/>
    <w:rsid w:val="00F05262"/>
    <w:rsid w:val="00F0665D"/>
    <w:rsid w:val="00F071B6"/>
    <w:rsid w:val="00F078CB"/>
    <w:rsid w:val="00F078F7"/>
    <w:rsid w:val="00F10D99"/>
    <w:rsid w:val="00F11740"/>
    <w:rsid w:val="00F1640F"/>
    <w:rsid w:val="00F16D3E"/>
    <w:rsid w:val="00F171C1"/>
    <w:rsid w:val="00F17D47"/>
    <w:rsid w:val="00F208B2"/>
    <w:rsid w:val="00F21021"/>
    <w:rsid w:val="00F220AB"/>
    <w:rsid w:val="00F23A51"/>
    <w:rsid w:val="00F23F2D"/>
    <w:rsid w:val="00F24816"/>
    <w:rsid w:val="00F2483F"/>
    <w:rsid w:val="00F24C81"/>
    <w:rsid w:val="00F24E86"/>
    <w:rsid w:val="00F24F30"/>
    <w:rsid w:val="00F2506C"/>
    <w:rsid w:val="00F26BDE"/>
    <w:rsid w:val="00F27B71"/>
    <w:rsid w:val="00F314DB"/>
    <w:rsid w:val="00F3303E"/>
    <w:rsid w:val="00F33809"/>
    <w:rsid w:val="00F33E2B"/>
    <w:rsid w:val="00F36730"/>
    <w:rsid w:val="00F37568"/>
    <w:rsid w:val="00F42C93"/>
    <w:rsid w:val="00F44378"/>
    <w:rsid w:val="00F45FEA"/>
    <w:rsid w:val="00F5056C"/>
    <w:rsid w:val="00F505CB"/>
    <w:rsid w:val="00F5094F"/>
    <w:rsid w:val="00F51603"/>
    <w:rsid w:val="00F51BD4"/>
    <w:rsid w:val="00F527E5"/>
    <w:rsid w:val="00F54002"/>
    <w:rsid w:val="00F5460B"/>
    <w:rsid w:val="00F55AF0"/>
    <w:rsid w:val="00F5681A"/>
    <w:rsid w:val="00F603AC"/>
    <w:rsid w:val="00F6080A"/>
    <w:rsid w:val="00F61223"/>
    <w:rsid w:val="00F629D2"/>
    <w:rsid w:val="00F64257"/>
    <w:rsid w:val="00F667FB"/>
    <w:rsid w:val="00F67276"/>
    <w:rsid w:val="00F70811"/>
    <w:rsid w:val="00F7118F"/>
    <w:rsid w:val="00F72746"/>
    <w:rsid w:val="00F74129"/>
    <w:rsid w:val="00F747C5"/>
    <w:rsid w:val="00F75341"/>
    <w:rsid w:val="00F75A78"/>
    <w:rsid w:val="00F77558"/>
    <w:rsid w:val="00F77CE4"/>
    <w:rsid w:val="00F77DBD"/>
    <w:rsid w:val="00F81163"/>
    <w:rsid w:val="00F8136B"/>
    <w:rsid w:val="00F81873"/>
    <w:rsid w:val="00F82B17"/>
    <w:rsid w:val="00F833C8"/>
    <w:rsid w:val="00F83904"/>
    <w:rsid w:val="00F84176"/>
    <w:rsid w:val="00F841EA"/>
    <w:rsid w:val="00F855B9"/>
    <w:rsid w:val="00F862F6"/>
    <w:rsid w:val="00F8663D"/>
    <w:rsid w:val="00F877A2"/>
    <w:rsid w:val="00F878BF"/>
    <w:rsid w:val="00F903CE"/>
    <w:rsid w:val="00F91AB1"/>
    <w:rsid w:val="00F928FA"/>
    <w:rsid w:val="00F92FEF"/>
    <w:rsid w:val="00F945B1"/>
    <w:rsid w:val="00F9784F"/>
    <w:rsid w:val="00FA06BC"/>
    <w:rsid w:val="00FA1575"/>
    <w:rsid w:val="00FA18AF"/>
    <w:rsid w:val="00FA1CE5"/>
    <w:rsid w:val="00FA21E2"/>
    <w:rsid w:val="00FA3368"/>
    <w:rsid w:val="00FA3DDE"/>
    <w:rsid w:val="00FA52D8"/>
    <w:rsid w:val="00FA5562"/>
    <w:rsid w:val="00FA6500"/>
    <w:rsid w:val="00FA79F0"/>
    <w:rsid w:val="00FB0C1E"/>
    <w:rsid w:val="00FB2120"/>
    <w:rsid w:val="00FB3919"/>
    <w:rsid w:val="00FB6964"/>
    <w:rsid w:val="00FB7A1F"/>
    <w:rsid w:val="00FC03F2"/>
    <w:rsid w:val="00FC19BA"/>
    <w:rsid w:val="00FC2079"/>
    <w:rsid w:val="00FC2B36"/>
    <w:rsid w:val="00FC30DA"/>
    <w:rsid w:val="00FC568A"/>
    <w:rsid w:val="00FC7C9F"/>
    <w:rsid w:val="00FD1A4F"/>
    <w:rsid w:val="00FD3F58"/>
    <w:rsid w:val="00FD6D2B"/>
    <w:rsid w:val="00FD6D74"/>
    <w:rsid w:val="00FD6F09"/>
    <w:rsid w:val="00FE026D"/>
    <w:rsid w:val="00FE0E92"/>
    <w:rsid w:val="00FE1483"/>
    <w:rsid w:val="00FE2F60"/>
    <w:rsid w:val="00FE3437"/>
    <w:rsid w:val="00FE5002"/>
    <w:rsid w:val="00FE5B78"/>
    <w:rsid w:val="00FE6139"/>
    <w:rsid w:val="00FF0490"/>
    <w:rsid w:val="00FF0DE3"/>
    <w:rsid w:val="00FF107D"/>
    <w:rsid w:val="00FF140C"/>
    <w:rsid w:val="00FF31CE"/>
    <w:rsid w:val="00FF3464"/>
    <w:rsid w:val="00FF4C0B"/>
    <w:rsid w:val="00FF6C8A"/>
    <w:rsid w:val="00FF6F12"/>
    <w:rsid w:val="00FF7138"/>
    <w:rsid w:val="00FF72CF"/>
    <w:rsid w:val="00FF7414"/>
    <w:rsid w:val="01272AA0"/>
    <w:rsid w:val="024D7DEF"/>
    <w:rsid w:val="05B60794"/>
    <w:rsid w:val="05F61C0D"/>
    <w:rsid w:val="060C6523"/>
    <w:rsid w:val="09272CD2"/>
    <w:rsid w:val="0969387C"/>
    <w:rsid w:val="0AF17E80"/>
    <w:rsid w:val="0B8B2699"/>
    <w:rsid w:val="0BC068EE"/>
    <w:rsid w:val="0BC27A56"/>
    <w:rsid w:val="0C297935"/>
    <w:rsid w:val="0D9177C0"/>
    <w:rsid w:val="0EE74B23"/>
    <w:rsid w:val="0F5333BE"/>
    <w:rsid w:val="0F82196C"/>
    <w:rsid w:val="112A2879"/>
    <w:rsid w:val="121656BA"/>
    <w:rsid w:val="124B4430"/>
    <w:rsid w:val="126F15CC"/>
    <w:rsid w:val="13A42CCD"/>
    <w:rsid w:val="15AA02AB"/>
    <w:rsid w:val="16A80C8F"/>
    <w:rsid w:val="17131E9A"/>
    <w:rsid w:val="175C482F"/>
    <w:rsid w:val="17C77B0F"/>
    <w:rsid w:val="182A5635"/>
    <w:rsid w:val="182C72E5"/>
    <w:rsid w:val="186D3104"/>
    <w:rsid w:val="1904409E"/>
    <w:rsid w:val="1971240B"/>
    <w:rsid w:val="1AAC1E50"/>
    <w:rsid w:val="1AF9414E"/>
    <w:rsid w:val="1B1C4657"/>
    <w:rsid w:val="1CD83F70"/>
    <w:rsid w:val="1D7D14A9"/>
    <w:rsid w:val="1DAA14B9"/>
    <w:rsid w:val="1E606E29"/>
    <w:rsid w:val="1F0E3731"/>
    <w:rsid w:val="1FC10347"/>
    <w:rsid w:val="22173148"/>
    <w:rsid w:val="24FE653D"/>
    <w:rsid w:val="26133E87"/>
    <w:rsid w:val="26533170"/>
    <w:rsid w:val="285841FE"/>
    <w:rsid w:val="288D3CA4"/>
    <w:rsid w:val="2A3854D0"/>
    <w:rsid w:val="2B3576C3"/>
    <w:rsid w:val="2C28414D"/>
    <w:rsid w:val="2D8B7E46"/>
    <w:rsid w:val="2F9D43AD"/>
    <w:rsid w:val="30256E23"/>
    <w:rsid w:val="314C6B93"/>
    <w:rsid w:val="34681A08"/>
    <w:rsid w:val="34901F01"/>
    <w:rsid w:val="35A04621"/>
    <w:rsid w:val="35B44BCE"/>
    <w:rsid w:val="36975BCD"/>
    <w:rsid w:val="37381ED3"/>
    <w:rsid w:val="37695846"/>
    <w:rsid w:val="378C2FDA"/>
    <w:rsid w:val="388075DC"/>
    <w:rsid w:val="38E01A59"/>
    <w:rsid w:val="392A12E2"/>
    <w:rsid w:val="399C5A11"/>
    <w:rsid w:val="39F746B3"/>
    <w:rsid w:val="3A17564A"/>
    <w:rsid w:val="3A7F21A4"/>
    <w:rsid w:val="3A971851"/>
    <w:rsid w:val="3AA943D2"/>
    <w:rsid w:val="3B174BEC"/>
    <w:rsid w:val="3B75530D"/>
    <w:rsid w:val="3C904C5B"/>
    <w:rsid w:val="3EC2105E"/>
    <w:rsid w:val="3EC5358C"/>
    <w:rsid w:val="3F337A51"/>
    <w:rsid w:val="3F6A6298"/>
    <w:rsid w:val="41804112"/>
    <w:rsid w:val="41D91E2A"/>
    <w:rsid w:val="424F4807"/>
    <w:rsid w:val="42CA7374"/>
    <w:rsid w:val="42F83EEA"/>
    <w:rsid w:val="433439D3"/>
    <w:rsid w:val="43FA0118"/>
    <w:rsid w:val="46280398"/>
    <w:rsid w:val="465F572F"/>
    <w:rsid w:val="46942915"/>
    <w:rsid w:val="48513732"/>
    <w:rsid w:val="490F4DEA"/>
    <w:rsid w:val="49DB419A"/>
    <w:rsid w:val="4B96350F"/>
    <w:rsid w:val="4BAD4FE6"/>
    <w:rsid w:val="4BF44671"/>
    <w:rsid w:val="4CAA2668"/>
    <w:rsid w:val="4F8D633D"/>
    <w:rsid w:val="4FA407B6"/>
    <w:rsid w:val="4FBD38DE"/>
    <w:rsid w:val="51D2707B"/>
    <w:rsid w:val="52EC7319"/>
    <w:rsid w:val="530C4081"/>
    <w:rsid w:val="54900B31"/>
    <w:rsid w:val="56AD6B43"/>
    <w:rsid w:val="58DF1EA5"/>
    <w:rsid w:val="59554F6E"/>
    <w:rsid w:val="599E0097"/>
    <w:rsid w:val="5ACF620B"/>
    <w:rsid w:val="5AD1390C"/>
    <w:rsid w:val="5CF5669D"/>
    <w:rsid w:val="5DFB763C"/>
    <w:rsid w:val="5EBB1C78"/>
    <w:rsid w:val="5F010008"/>
    <w:rsid w:val="5FD561A1"/>
    <w:rsid w:val="61CF1933"/>
    <w:rsid w:val="6384325B"/>
    <w:rsid w:val="64F171D3"/>
    <w:rsid w:val="668100BD"/>
    <w:rsid w:val="673E73EE"/>
    <w:rsid w:val="676A50CD"/>
    <w:rsid w:val="67D37CE4"/>
    <w:rsid w:val="67F40DFA"/>
    <w:rsid w:val="68190F8C"/>
    <w:rsid w:val="68642724"/>
    <w:rsid w:val="687809B8"/>
    <w:rsid w:val="68822C8B"/>
    <w:rsid w:val="6A7A6DB7"/>
    <w:rsid w:val="6A973C6D"/>
    <w:rsid w:val="6AC53B98"/>
    <w:rsid w:val="6EDF50EC"/>
    <w:rsid w:val="6F822E81"/>
    <w:rsid w:val="700622A3"/>
    <w:rsid w:val="70302A9B"/>
    <w:rsid w:val="716250A0"/>
    <w:rsid w:val="72965B67"/>
    <w:rsid w:val="730A4315"/>
    <w:rsid w:val="731260C4"/>
    <w:rsid w:val="73651863"/>
    <w:rsid w:val="744448D9"/>
    <w:rsid w:val="75132823"/>
    <w:rsid w:val="77C71BB2"/>
    <w:rsid w:val="77F6275D"/>
    <w:rsid w:val="780C2BDF"/>
    <w:rsid w:val="7CF27E2F"/>
    <w:rsid w:val="7D4A653D"/>
    <w:rsid w:val="7DDD290B"/>
    <w:rsid w:val="7E1562E9"/>
    <w:rsid w:val="7EDF0C25"/>
    <w:rsid w:val="7F202A0A"/>
    <w:rsid w:val="7F49436C"/>
    <w:rsid w:val="7FAB47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44"/>
    <w:qFormat/>
    <w:uiPriority w:val="9"/>
    <w:pPr>
      <w:keepNext/>
      <w:keepLines/>
      <w:spacing w:line="440" w:lineRule="exact"/>
      <w:contextualSpacing/>
      <w:jc w:val="left"/>
      <w:outlineLvl w:val="0"/>
    </w:pPr>
    <w:rPr>
      <w:b/>
      <w:bCs/>
      <w:kern w:val="44"/>
      <w:szCs w:val="44"/>
    </w:rPr>
  </w:style>
  <w:style w:type="paragraph" w:styleId="4">
    <w:name w:val="heading 2"/>
    <w:basedOn w:val="1"/>
    <w:next w:val="5"/>
    <w:link w:val="119"/>
    <w:qFormat/>
    <w:uiPriority w:val="0"/>
    <w:pPr>
      <w:keepNext/>
      <w:keepLines/>
      <w:adjustRightInd w:val="0"/>
      <w:snapToGrid w:val="0"/>
      <w:spacing w:line="240" w:lineRule="auto"/>
      <w:outlineLvl w:val="1"/>
    </w:pPr>
    <w:rPr>
      <w:rFonts w:ascii="Arial" w:hAnsi="Arial" w:eastAsia="黑体"/>
      <w:b/>
      <w:bCs/>
      <w:sz w:val="32"/>
      <w:szCs w:val="32"/>
    </w:rPr>
  </w:style>
  <w:style w:type="paragraph" w:styleId="5">
    <w:name w:val="heading 3"/>
    <w:basedOn w:val="1"/>
    <w:next w:val="6"/>
    <w:link w:val="94"/>
    <w:qFormat/>
    <w:uiPriority w:val="9"/>
    <w:pPr>
      <w:keepNext/>
      <w:keepLines/>
      <w:adjustRightInd w:val="0"/>
      <w:snapToGrid w:val="0"/>
      <w:spacing w:line="240" w:lineRule="auto"/>
      <w:outlineLvl w:val="2"/>
    </w:pPr>
    <w:rPr>
      <w:b/>
      <w:bCs/>
      <w:sz w:val="28"/>
      <w:szCs w:val="28"/>
    </w:rPr>
  </w:style>
  <w:style w:type="paragraph" w:styleId="7">
    <w:name w:val="heading 4"/>
    <w:basedOn w:val="1"/>
    <w:next w:val="1"/>
    <w:link w:val="122"/>
    <w:qFormat/>
    <w:uiPriority w:val="9"/>
    <w:pPr>
      <w:keepNext/>
      <w:keepLines/>
      <w:snapToGrid w:val="0"/>
      <w:spacing w:line="240" w:lineRule="auto"/>
      <w:outlineLvl w:val="3"/>
    </w:pPr>
    <w:rPr>
      <w:rFonts w:eastAsia="黑体"/>
      <w:bCs/>
      <w:sz w:val="24"/>
      <w:szCs w:val="24"/>
    </w:rPr>
  </w:style>
  <w:style w:type="paragraph" w:styleId="8">
    <w:name w:val="heading 5"/>
    <w:basedOn w:val="1"/>
    <w:next w:val="1"/>
    <w:link w:val="48"/>
    <w:qFormat/>
    <w:uiPriority w:val="0"/>
    <w:pPr>
      <w:keepNext/>
      <w:keepLines/>
      <w:spacing w:before="280" w:after="290" w:line="376" w:lineRule="auto"/>
      <w:outlineLvl w:val="4"/>
    </w:pPr>
    <w:rPr>
      <w:b/>
      <w:bCs/>
      <w:sz w:val="28"/>
      <w:szCs w:val="28"/>
    </w:rPr>
  </w:style>
  <w:style w:type="paragraph" w:styleId="9">
    <w:name w:val="heading 6"/>
    <w:basedOn w:val="1"/>
    <w:next w:val="1"/>
    <w:link w:val="99"/>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51"/>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rPr>
  </w:style>
  <w:style w:type="paragraph" w:styleId="11">
    <w:name w:val="heading 8"/>
    <w:basedOn w:val="1"/>
    <w:next w:val="1"/>
    <w:link w:val="100"/>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rPr>
  </w:style>
  <w:style w:type="paragraph" w:styleId="12">
    <w:name w:val="heading 9"/>
    <w:basedOn w:val="1"/>
    <w:next w:val="1"/>
    <w:link w:val="77"/>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rPr>
  </w:style>
  <w:style w:type="character" w:default="1" w:styleId="38">
    <w:name w:val="Default Paragraph Font"/>
    <w:semiHidden/>
    <w:uiPriority w:val="0"/>
  </w:style>
  <w:style w:type="table" w:default="1" w:styleId="3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36"/>
      <w:tblCellMar>
        <w:top w:w="0" w:type="dxa"/>
        <w:left w:w="108" w:type="dxa"/>
        <w:bottom w:w="0" w:type="dxa"/>
        <w:right w:w="108" w:type="dxa"/>
      </w:tblCellMar>
    </w:tblPr>
  </w:style>
  <w:style w:type="paragraph" w:customStyle="1" w:styleId="2">
    <w:name w:val="章正文"/>
    <w:basedOn w:val="1"/>
    <w:qFormat/>
    <w:locked/>
    <w:uiPriority w:val="0"/>
    <w:pPr>
      <w:spacing w:before="156" w:beforeLines="50" w:after="120" w:line="300" w:lineRule="auto"/>
      <w:ind w:firstLine="480" w:firstLineChars="0"/>
    </w:pPr>
    <w:rPr>
      <w:rFonts w:ascii="Helvetica" w:hAnsi="Helvetica"/>
      <w:kern w:val="0"/>
    </w:rPr>
  </w:style>
  <w:style w:type="paragraph" w:customStyle="1" w:styleId="6">
    <w:name w:val="此正文"/>
    <w:basedOn w:val="1"/>
    <w:uiPriority w:val="0"/>
    <w:pPr>
      <w:spacing w:line="360" w:lineRule="auto"/>
      <w:ind w:firstLine="200" w:firstLineChars="200"/>
    </w:pPr>
    <w:rPr>
      <w:sz w:val="24"/>
      <w:szCs w:val="24"/>
    </w:rPr>
  </w:style>
  <w:style w:type="paragraph" w:styleId="13">
    <w:name w:val="List Number"/>
    <w:basedOn w:val="1"/>
    <w:uiPriority w:val="0"/>
    <w:pPr>
      <w:widowControl/>
      <w:numPr>
        <w:ilvl w:val="0"/>
        <w:numId w:val="2"/>
      </w:numPr>
      <w:tabs>
        <w:tab w:val="left" w:pos="454"/>
        <w:tab w:val="left" w:pos="720"/>
        <w:tab w:val="clear" w:pos="1275"/>
      </w:tabs>
      <w:spacing w:after="156" w:afterLines="50"/>
      <w:ind w:left="454" w:hanging="284"/>
      <w:jc w:val="left"/>
    </w:pPr>
    <w:rPr>
      <w:kern w:val="0"/>
      <w:sz w:val="24"/>
    </w:rPr>
  </w:style>
  <w:style w:type="paragraph" w:styleId="14">
    <w:name w:val="Normal Indent"/>
    <w:basedOn w:val="1"/>
    <w:link w:val="115"/>
    <w:uiPriority w:val="0"/>
    <w:pPr>
      <w:ind w:firstLine="420"/>
    </w:pPr>
  </w:style>
  <w:style w:type="paragraph" w:styleId="15">
    <w:name w:val="caption"/>
    <w:basedOn w:val="1"/>
    <w:next w:val="1"/>
    <w:qFormat/>
    <w:uiPriority w:val="0"/>
    <w:pPr>
      <w:spacing w:before="152" w:after="160"/>
    </w:pPr>
    <w:rPr>
      <w:rFonts w:ascii="Arial" w:hAnsi="Arial" w:eastAsia="黑体" w:cs="Arial"/>
      <w:sz w:val="20"/>
    </w:rPr>
  </w:style>
  <w:style w:type="paragraph" w:styleId="16">
    <w:name w:val="Document Map"/>
    <w:basedOn w:val="1"/>
    <w:link w:val="111"/>
    <w:uiPriority w:val="99"/>
    <w:rPr>
      <w:rFonts w:ascii="宋体"/>
      <w:sz w:val="18"/>
      <w:szCs w:val="18"/>
    </w:rPr>
  </w:style>
  <w:style w:type="paragraph" w:styleId="17">
    <w:name w:val="annotation text"/>
    <w:basedOn w:val="1"/>
    <w:link w:val="52"/>
    <w:uiPriority w:val="0"/>
    <w:pPr>
      <w:jc w:val="left"/>
    </w:pPr>
  </w:style>
  <w:style w:type="paragraph" w:styleId="18">
    <w:name w:val="Body Text 3"/>
    <w:basedOn w:val="1"/>
    <w:uiPriority w:val="0"/>
    <w:pPr>
      <w:spacing w:after="120"/>
    </w:pPr>
    <w:rPr>
      <w:sz w:val="16"/>
      <w:szCs w:val="16"/>
    </w:rPr>
  </w:style>
  <w:style w:type="paragraph" w:styleId="19">
    <w:name w:val="Body Text"/>
    <w:basedOn w:val="1"/>
    <w:link w:val="90"/>
    <w:uiPriority w:val="0"/>
    <w:pPr>
      <w:spacing w:after="120"/>
    </w:pPr>
  </w:style>
  <w:style w:type="paragraph" w:styleId="20">
    <w:name w:val="Body Text Indent"/>
    <w:basedOn w:val="1"/>
    <w:link w:val="125"/>
    <w:uiPriority w:val="0"/>
    <w:pPr>
      <w:spacing w:after="120"/>
      <w:ind w:left="420" w:leftChars="200"/>
    </w:pPr>
  </w:style>
  <w:style w:type="paragraph" w:styleId="21">
    <w:name w:val="List 2"/>
    <w:basedOn w:val="1"/>
    <w:uiPriority w:val="0"/>
    <w:pPr>
      <w:ind w:left="100" w:leftChars="200" w:hanging="200" w:hangingChars="200"/>
    </w:pPr>
    <w:rPr>
      <w:szCs w:val="24"/>
    </w:rPr>
  </w:style>
  <w:style w:type="paragraph" w:styleId="22">
    <w:name w:val="List Bullet 2"/>
    <w:basedOn w:val="1"/>
    <w:uiPriority w:val="0"/>
    <w:pPr>
      <w:numPr>
        <w:ilvl w:val="0"/>
        <w:numId w:val="3"/>
      </w:numPr>
      <w:tabs>
        <w:tab w:val="left" w:pos="1060"/>
        <w:tab w:val="clear" w:pos="1200"/>
      </w:tabs>
      <w:spacing w:line="360" w:lineRule="auto"/>
    </w:pPr>
    <w:rPr>
      <w:szCs w:val="24"/>
    </w:rPr>
  </w:style>
  <w:style w:type="paragraph" w:styleId="23">
    <w:name w:val="Plain Text"/>
    <w:basedOn w:val="1"/>
    <w:link w:val="95"/>
    <w:qFormat/>
    <w:uiPriority w:val="99"/>
    <w:pPr>
      <w:spacing w:before="156" w:beforeLines="50" w:after="156" w:afterLines="50" w:line="400" w:lineRule="exact"/>
    </w:pPr>
    <w:rPr>
      <w:rFonts w:ascii="宋体" w:hAnsi="Courier New"/>
      <w:sz w:val="24"/>
      <w:szCs w:val="24"/>
    </w:rPr>
  </w:style>
  <w:style w:type="paragraph" w:styleId="24">
    <w:name w:val="Date"/>
    <w:basedOn w:val="1"/>
    <w:next w:val="1"/>
    <w:link w:val="108"/>
    <w:uiPriority w:val="0"/>
    <w:pPr>
      <w:ind w:left="100" w:leftChars="2500"/>
    </w:pPr>
    <w:rPr>
      <w:szCs w:val="24"/>
    </w:rPr>
  </w:style>
  <w:style w:type="paragraph" w:styleId="25">
    <w:name w:val="Body Text Indent 2"/>
    <w:basedOn w:val="1"/>
    <w:link w:val="120"/>
    <w:uiPriority w:val="0"/>
    <w:pPr>
      <w:snapToGrid w:val="0"/>
      <w:ind w:firstLine="542" w:firstLineChars="225"/>
    </w:pPr>
    <w:rPr>
      <w:rFonts w:ascii="仿宋_GB2312" w:hAnsi="宋体" w:cs="Arial"/>
      <w:b/>
      <w:bCs/>
      <w:color w:val="000000"/>
      <w:sz w:val="24"/>
    </w:rPr>
  </w:style>
  <w:style w:type="paragraph" w:styleId="26">
    <w:name w:val="Balloon Text"/>
    <w:basedOn w:val="1"/>
    <w:link w:val="76"/>
    <w:uiPriority w:val="99"/>
    <w:rPr>
      <w:sz w:val="18"/>
      <w:szCs w:val="18"/>
    </w:rPr>
  </w:style>
  <w:style w:type="paragraph" w:styleId="27">
    <w:name w:val="footer"/>
    <w:basedOn w:val="1"/>
    <w:link w:val="82"/>
    <w:uiPriority w:val="99"/>
    <w:pPr>
      <w:tabs>
        <w:tab w:val="center" w:pos="4153"/>
        <w:tab w:val="right" w:pos="8306"/>
      </w:tabs>
      <w:snapToGrid w:val="0"/>
      <w:jc w:val="left"/>
    </w:pPr>
    <w:rPr>
      <w:sz w:val="18"/>
    </w:rPr>
  </w:style>
  <w:style w:type="paragraph" w:styleId="28">
    <w:name w:val="header"/>
    <w:basedOn w:val="1"/>
    <w:link w:val="70"/>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iPriority w:val="39"/>
    <w:pPr>
      <w:spacing w:line="360" w:lineRule="auto"/>
      <w:jc w:val="left"/>
    </w:pPr>
    <w:rPr>
      <w:sz w:val="24"/>
    </w:rPr>
  </w:style>
  <w:style w:type="paragraph" w:styleId="30">
    <w:name w:val="List"/>
    <w:basedOn w:val="1"/>
    <w:uiPriority w:val="0"/>
    <w:pPr>
      <w:ind w:left="200" w:hanging="200" w:hangingChars="200"/>
    </w:pPr>
    <w:rPr>
      <w:szCs w:val="24"/>
    </w:rPr>
  </w:style>
  <w:style w:type="paragraph" w:styleId="31">
    <w:name w:val="Body Text Indent 3"/>
    <w:basedOn w:val="1"/>
    <w:link w:val="81"/>
    <w:uiPriority w:val="0"/>
    <w:pPr>
      <w:spacing w:after="120"/>
      <w:ind w:left="420" w:leftChars="200"/>
    </w:pPr>
    <w:rPr>
      <w:sz w:val="16"/>
      <w:szCs w:val="16"/>
    </w:rPr>
  </w:style>
  <w:style w:type="paragraph" w:styleId="32">
    <w:name w:val="Normal (Web)"/>
    <w:basedOn w:val="1"/>
    <w:uiPriority w:val="0"/>
    <w:pPr>
      <w:widowControl/>
      <w:adjustRightInd/>
      <w:snapToGrid/>
      <w:spacing w:before="100" w:beforeAutospacing="1" w:after="100" w:afterAutospacing="1"/>
      <w:jc w:val="left"/>
    </w:pPr>
    <w:rPr>
      <w:rFonts w:ascii="宋体" w:hAnsi="宋体" w:eastAsia="宋体"/>
      <w:kern w:val="0"/>
      <w:sz w:val="24"/>
    </w:rPr>
  </w:style>
  <w:style w:type="paragraph" w:styleId="33">
    <w:name w:val="Title"/>
    <w:basedOn w:val="1"/>
    <w:next w:val="1"/>
    <w:link w:val="114"/>
    <w:qFormat/>
    <w:uiPriority w:val="0"/>
    <w:pPr>
      <w:spacing w:before="240" w:after="60"/>
      <w:jc w:val="center"/>
      <w:outlineLvl w:val="0"/>
    </w:pPr>
    <w:rPr>
      <w:rFonts w:ascii="Cambria" w:hAnsi="Cambria"/>
      <w:b/>
      <w:bCs/>
      <w:sz w:val="32"/>
      <w:szCs w:val="32"/>
    </w:rPr>
  </w:style>
  <w:style w:type="paragraph" w:styleId="34">
    <w:name w:val="annotation subject"/>
    <w:basedOn w:val="17"/>
    <w:next w:val="17"/>
    <w:link w:val="64"/>
    <w:uiPriority w:val="0"/>
    <w:rPr>
      <w:b/>
      <w:bCs/>
    </w:rPr>
  </w:style>
  <w:style w:type="paragraph" w:styleId="35">
    <w:name w:val="Body Text First Indent"/>
    <w:basedOn w:val="19"/>
    <w:link w:val="124"/>
    <w:uiPriority w:val="0"/>
    <w:pPr>
      <w:ind w:firstLine="420" w:firstLineChars="100"/>
    </w:pPr>
    <w:rPr>
      <w:lang w:val="en-US" w:eastAsia="zh-CN"/>
    </w:rPr>
  </w:style>
  <w:style w:type="table" w:styleId="37">
    <w:name w:val="Table Grid"/>
    <w:basedOn w:val="36"/>
    <w:qFormat/>
    <w:uiPriority w:val="59"/>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uiPriority w:val="0"/>
  </w:style>
  <w:style w:type="character" w:styleId="41">
    <w:name w:val="FollowedHyperlink"/>
    <w:uiPriority w:val="0"/>
    <w:rPr>
      <w:color w:val="800080"/>
      <w:u w:val="single"/>
    </w:rPr>
  </w:style>
  <w:style w:type="character" w:styleId="42">
    <w:name w:val="Hyperlink"/>
    <w:unhideWhenUsed/>
    <w:uiPriority w:val="99"/>
    <w:rPr>
      <w:color w:val="0000FF"/>
      <w:u w:val="single"/>
    </w:rPr>
  </w:style>
  <w:style w:type="character" w:styleId="43">
    <w:name w:val="annotation reference"/>
    <w:uiPriority w:val="0"/>
    <w:rPr>
      <w:sz w:val="21"/>
      <w:szCs w:val="21"/>
    </w:rPr>
  </w:style>
  <w:style w:type="character" w:customStyle="1" w:styleId="44">
    <w:name w:val="标题 1 Char"/>
    <w:link w:val="3"/>
    <w:uiPriority w:val="9"/>
    <w:rPr>
      <w:b/>
      <w:bCs/>
      <w:kern w:val="44"/>
      <w:sz w:val="21"/>
      <w:szCs w:val="44"/>
    </w:rPr>
  </w:style>
  <w:style w:type="character" w:customStyle="1" w:styleId="45">
    <w:name w:val="Char Char7"/>
    <w:uiPriority w:val="0"/>
    <w:rPr>
      <w:rFonts w:eastAsia="宋体"/>
      <w:kern w:val="2"/>
      <w:sz w:val="18"/>
      <w:lang w:val="en-US" w:eastAsia="zh-CN"/>
    </w:rPr>
  </w:style>
  <w:style w:type="character" w:customStyle="1" w:styleId="46">
    <w:name w:val="Table Text Char1"/>
    <w:link w:val="47"/>
    <w:locked/>
    <w:uiPriority w:val="0"/>
    <w:rPr>
      <w:rFonts w:ascii="Arial" w:hAnsi="Arial" w:cs="Arial"/>
    </w:rPr>
  </w:style>
  <w:style w:type="paragraph" w:customStyle="1" w:styleId="47">
    <w:name w:val="Table Text"/>
    <w:basedOn w:val="1"/>
    <w:link w:val="46"/>
    <w:uiPriority w:val="0"/>
    <w:pPr>
      <w:widowControl/>
      <w:snapToGrid w:val="0"/>
      <w:spacing w:before="80" w:after="80"/>
      <w:jc w:val="left"/>
    </w:pPr>
    <w:rPr>
      <w:rFonts w:ascii="Arial" w:hAnsi="Arial"/>
      <w:kern w:val="0"/>
      <w:sz w:val="20"/>
    </w:rPr>
  </w:style>
  <w:style w:type="character" w:customStyle="1" w:styleId="48">
    <w:name w:val="标题 5 Char"/>
    <w:link w:val="8"/>
    <w:uiPriority w:val="0"/>
    <w:rPr>
      <w:rFonts w:eastAsia="宋体"/>
      <w:b/>
      <w:bCs/>
      <w:kern w:val="2"/>
      <w:sz w:val="28"/>
      <w:szCs w:val="28"/>
      <w:lang w:val="en-US" w:eastAsia="zh-CN" w:bidi="ar-SA"/>
    </w:rPr>
  </w:style>
  <w:style w:type="character" w:customStyle="1" w:styleId="49">
    <w:name w:val="newsitemtext1"/>
    <w:uiPriority w:val="0"/>
    <w:rPr>
      <w:color w:val="000000"/>
      <w:spacing w:val="320"/>
      <w:sz w:val="21"/>
      <w:szCs w:val="21"/>
    </w:rPr>
  </w:style>
  <w:style w:type="character" w:customStyle="1" w:styleId="50">
    <w:name w:val="表正文 Char1"/>
    <w:uiPriority w:val="0"/>
    <w:rPr>
      <w:rFonts w:eastAsia="宋体"/>
      <w:kern w:val="2"/>
      <w:sz w:val="21"/>
      <w:lang w:val="en-US" w:eastAsia="zh-CN"/>
    </w:rPr>
  </w:style>
  <w:style w:type="character" w:customStyle="1" w:styleId="51">
    <w:name w:val="标题 7 Char"/>
    <w:link w:val="10"/>
    <w:uiPriority w:val="0"/>
    <w:rPr>
      <w:rFonts w:ascii="宋体" w:eastAsia="仿宋_GB2312"/>
      <w:b/>
      <w:sz w:val="24"/>
      <w:lang w:val="en-US" w:eastAsia="zh-CN" w:bidi="ar-SA"/>
    </w:rPr>
  </w:style>
  <w:style w:type="character" w:customStyle="1" w:styleId="52">
    <w:name w:val="批注文字 Char"/>
    <w:link w:val="17"/>
    <w:uiPriority w:val="0"/>
    <w:rPr>
      <w:rFonts w:eastAsia="宋体"/>
      <w:kern w:val="2"/>
      <w:sz w:val="21"/>
      <w:lang w:val="en-US" w:eastAsia="zh-CN" w:bidi="ar-SA"/>
    </w:rPr>
  </w:style>
  <w:style w:type="character" w:customStyle="1" w:styleId="53">
    <w:name w:val="font21"/>
    <w:qFormat/>
    <w:uiPriority w:val="0"/>
    <w:rPr>
      <w:rFonts w:ascii="宋体" w:hAnsi="宋体" w:eastAsia="宋体" w:cs="宋体"/>
      <w:color w:val="000000"/>
      <w:sz w:val="20"/>
      <w:szCs w:val="20"/>
      <w:u w:val="none"/>
    </w:rPr>
  </w:style>
  <w:style w:type="character" w:customStyle="1" w:styleId="54">
    <w:name w:val="annotation reference"/>
    <w:uiPriority w:val="0"/>
    <w:rPr>
      <w:sz w:val="21"/>
      <w:szCs w:val="21"/>
    </w:rPr>
  </w:style>
  <w:style w:type="character" w:customStyle="1" w:styleId="55">
    <w:name w:val="font41"/>
    <w:qFormat/>
    <w:uiPriority w:val="0"/>
    <w:rPr>
      <w:rFonts w:ascii="宋体" w:hAnsi="宋体" w:eastAsia="宋体" w:cs="宋体"/>
      <w:color w:val="000000"/>
      <w:sz w:val="21"/>
      <w:szCs w:val="21"/>
      <w:u w:val="none"/>
    </w:rPr>
  </w:style>
  <w:style w:type="character" w:customStyle="1" w:styleId="56">
    <w:name w:val="正文文本缩进 3 Char"/>
    <w:link w:val="57"/>
    <w:uiPriority w:val="0"/>
    <w:rPr>
      <w:sz w:val="16"/>
      <w:szCs w:val="16"/>
    </w:rPr>
  </w:style>
  <w:style w:type="paragraph" w:customStyle="1" w:styleId="57">
    <w:name w:val="Body Text Indent 3"/>
    <w:basedOn w:val="1"/>
    <w:link w:val="56"/>
    <w:uiPriority w:val="0"/>
    <w:pPr>
      <w:spacing w:after="120"/>
      <w:ind w:left="420" w:leftChars="200"/>
    </w:pPr>
    <w:rPr>
      <w:kern w:val="0"/>
      <w:sz w:val="16"/>
      <w:szCs w:val="16"/>
    </w:rPr>
  </w:style>
  <w:style w:type="character" w:customStyle="1" w:styleId="58">
    <w:name w:val="方案正文 Char"/>
    <w:link w:val="59"/>
    <w:uiPriority w:val="0"/>
    <w:rPr>
      <w:rFonts w:ascii="宋体" w:hAnsi="宋体" w:eastAsia="宋体"/>
      <w:kern w:val="2"/>
      <w:sz w:val="24"/>
      <w:szCs w:val="24"/>
      <w:lang w:val="en-US" w:eastAsia="zh-CN" w:bidi="ar-SA"/>
    </w:rPr>
  </w:style>
  <w:style w:type="paragraph" w:customStyle="1" w:styleId="59">
    <w:name w:val="方案正文"/>
    <w:basedOn w:val="1"/>
    <w:link w:val="58"/>
    <w:qFormat/>
    <w:uiPriority w:val="0"/>
    <w:pPr>
      <w:spacing w:before="156" w:beforeLines="50" w:after="156" w:afterLines="50" w:line="360" w:lineRule="auto"/>
      <w:ind w:firstLine="480" w:firstLineChars="200"/>
    </w:pPr>
    <w:rPr>
      <w:rFonts w:ascii="宋体" w:hAnsi="宋体"/>
      <w:sz w:val="24"/>
      <w:szCs w:val="24"/>
    </w:rPr>
  </w:style>
  <w:style w:type="character" w:customStyle="1" w:styleId="60">
    <w:name w:val="Char Char6"/>
    <w:uiPriority w:val="0"/>
    <w:rPr>
      <w:rFonts w:eastAsia="宋体"/>
      <w:kern w:val="2"/>
      <w:sz w:val="21"/>
      <w:lang w:val="en-US" w:eastAsia="zh-CN"/>
    </w:rPr>
  </w:style>
  <w:style w:type="character" w:customStyle="1" w:styleId="61">
    <w:name w:val="Char Char11"/>
    <w:uiPriority w:val="0"/>
    <w:rPr>
      <w:rFonts w:ascii="Arial" w:hAnsi="Arial" w:eastAsia="黑体"/>
      <w:b/>
      <w:bCs/>
      <w:kern w:val="2"/>
      <w:sz w:val="24"/>
      <w:szCs w:val="24"/>
      <w:lang w:val="en-US" w:eastAsia="zh-CN"/>
    </w:rPr>
  </w:style>
  <w:style w:type="character" w:customStyle="1" w:styleId="62">
    <w:name w:val="日期 Char1"/>
    <w:basedOn w:val="38"/>
    <w:uiPriority w:val="0"/>
  </w:style>
  <w:style w:type="character" w:customStyle="1" w:styleId="63">
    <w:name w:val="fo Char"/>
    <w:uiPriority w:val="0"/>
    <w:rPr>
      <w:rFonts w:ascii="Calibri" w:hAnsi="Calibri" w:eastAsia="宋体"/>
      <w:kern w:val="2"/>
      <w:sz w:val="18"/>
      <w:szCs w:val="18"/>
      <w:lang w:val="en-US" w:eastAsia="zh-CN"/>
    </w:rPr>
  </w:style>
  <w:style w:type="character" w:customStyle="1" w:styleId="64">
    <w:name w:val="批注主题 Char"/>
    <w:link w:val="34"/>
    <w:uiPriority w:val="0"/>
    <w:rPr>
      <w:rFonts w:eastAsia="宋体"/>
      <w:b/>
      <w:bCs/>
      <w:kern w:val="2"/>
      <w:sz w:val="21"/>
      <w:lang w:val="en-US" w:eastAsia="zh-CN" w:bidi="ar-SA"/>
    </w:rPr>
  </w:style>
  <w:style w:type="character" w:customStyle="1" w:styleId="65">
    <w:name w:val="Char Char10"/>
    <w:uiPriority w:val="0"/>
    <w:rPr>
      <w:rFonts w:ascii="宋体" w:eastAsia="仿宋_GB2312"/>
      <w:b/>
      <w:sz w:val="24"/>
      <w:lang w:val="en-US" w:eastAsia="zh-CN"/>
    </w:rPr>
  </w:style>
  <w:style w:type="character" w:customStyle="1" w:styleId="66">
    <w:name w:val="方案正文 Char Char"/>
    <w:uiPriority w:val="0"/>
    <w:rPr>
      <w:rFonts w:ascii="宋体" w:hAnsi="宋体" w:eastAsia="宋体"/>
      <w:sz w:val="24"/>
      <w:szCs w:val="24"/>
    </w:rPr>
  </w:style>
  <w:style w:type="character" w:customStyle="1" w:styleId="67">
    <w:name w:val="10"/>
    <w:basedOn w:val="38"/>
    <w:uiPriority w:val="0"/>
    <w:rPr>
      <w:rFonts w:hint="default" w:ascii="Times New Roman" w:hAnsi="Times New Roman" w:cs="Times New Roman"/>
    </w:rPr>
  </w:style>
  <w:style w:type="character" w:customStyle="1" w:styleId="68">
    <w:name w:val="正文段落 Char Char"/>
    <w:link w:val="69"/>
    <w:uiPriority w:val="0"/>
    <w:rPr>
      <w:rFonts w:ascii="宋体" w:hAnsi="宋体" w:eastAsia="宋体"/>
      <w:kern w:val="2"/>
      <w:sz w:val="28"/>
      <w:lang w:bidi="ar-SA"/>
    </w:rPr>
  </w:style>
  <w:style w:type="paragraph" w:customStyle="1" w:styleId="69">
    <w:name w:val="正文段落"/>
    <w:basedOn w:val="1"/>
    <w:link w:val="68"/>
    <w:uiPriority w:val="0"/>
    <w:pPr>
      <w:ind w:firstLine="560" w:firstLineChars="200"/>
    </w:pPr>
    <w:rPr>
      <w:rFonts w:ascii="宋体" w:hAnsi="宋体"/>
      <w:sz w:val="28"/>
    </w:rPr>
  </w:style>
  <w:style w:type="character" w:customStyle="1" w:styleId="70">
    <w:name w:val="页眉 Char"/>
    <w:link w:val="28"/>
    <w:uiPriority w:val="99"/>
    <w:rPr>
      <w:rFonts w:eastAsia="宋体"/>
      <w:kern w:val="2"/>
      <w:sz w:val="18"/>
      <w:szCs w:val="18"/>
      <w:lang w:val="en-US" w:eastAsia="zh-CN" w:bidi="ar-SA"/>
    </w:rPr>
  </w:style>
  <w:style w:type="character" w:customStyle="1" w:styleId="71">
    <w:name w:val="批注框文本 Char1"/>
    <w:uiPriority w:val="0"/>
    <w:rPr>
      <w:sz w:val="18"/>
      <w:szCs w:val="18"/>
    </w:rPr>
  </w:style>
  <w:style w:type="character" w:customStyle="1" w:styleId="72">
    <w:name w:val="font31"/>
    <w:uiPriority w:val="99"/>
    <w:rPr>
      <w:rFonts w:ascii="宋体" w:hAnsi="宋体" w:eastAsia="宋体" w:cs="宋体"/>
      <w:color w:val="FF0000"/>
      <w:sz w:val="21"/>
      <w:szCs w:val="21"/>
      <w:u w:val="none"/>
    </w:rPr>
  </w:style>
  <w:style w:type="character" w:customStyle="1" w:styleId="73">
    <w:name w:val="Char Char16"/>
    <w:uiPriority w:val="0"/>
    <w:rPr>
      <w:rFonts w:eastAsia="宋体"/>
      <w:b/>
      <w:bCs/>
      <w:kern w:val="44"/>
      <w:sz w:val="44"/>
      <w:szCs w:val="44"/>
      <w:lang w:val="en-US" w:eastAsia="zh-CN"/>
    </w:rPr>
  </w:style>
  <w:style w:type="character" w:customStyle="1" w:styleId="74">
    <w:name w:val="font01"/>
    <w:qFormat/>
    <w:uiPriority w:val="0"/>
    <w:rPr>
      <w:rFonts w:hint="eastAsia" w:ascii="宋体" w:hAnsi="宋体" w:eastAsia="宋体" w:cs="宋体"/>
      <w:b/>
      <w:color w:val="000000"/>
      <w:sz w:val="21"/>
      <w:szCs w:val="21"/>
      <w:u w:val="none"/>
    </w:rPr>
  </w:style>
  <w:style w:type="character" w:customStyle="1" w:styleId="75">
    <w:name w:val="Char Char8"/>
    <w:uiPriority w:val="0"/>
    <w:rPr>
      <w:rFonts w:ascii="Arial" w:hAnsi="Arial" w:eastAsia="黑体"/>
      <w:sz w:val="28"/>
      <w:lang w:val="en-US" w:eastAsia="zh-CN"/>
    </w:rPr>
  </w:style>
  <w:style w:type="character" w:customStyle="1" w:styleId="76">
    <w:name w:val="批注框文本 Char"/>
    <w:link w:val="26"/>
    <w:uiPriority w:val="99"/>
    <w:rPr>
      <w:kern w:val="2"/>
      <w:sz w:val="18"/>
      <w:szCs w:val="18"/>
    </w:rPr>
  </w:style>
  <w:style w:type="character" w:customStyle="1" w:styleId="77">
    <w:name w:val="标题 9 Char"/>
    <w:link w:val="12"/>
    <w:uiPriority w:val="0"/>
    <w:rPr>
      <w:rFonts w:ascii="Arial" w:hAnsi="Arial" w:eastAsia="黑体"/>
      <w:sz w:val="28"/>
      <w:lang w:val="en-US" w:eastAsia="zh-CN" w:bidi="ar-SA"/>
    </w:rPr>
  </w:style>
  <w:style w:type="character" w:customStyle="1" w:styleId="78">
    <w:name w:val="Char Char15"/>
    <w:uiPriority w:val="0"/>
    <w:rPr>
      <w:rFonts w:ascii="Arial" w:hAnsi="Arial" w:eastAsia="黑体"/>
      <w:b/>
      <w:bCs/>
      <w:kern w:val="2"/>
      <w:sz w:val="32"/>
      <w:szCs w:val="32"/>
      <w:lang w:val="en-US" w:eastAsia="zh-CN"/>
    </w:rPr>
  </w:style>
  <w:style w:type="character" w:customStyle="1" w:styleId="79">
    <w:name w:val="页脚 Char1"/>
    <w:uiPriority w:val="99"/>
    <w:rPr>
      <w:sz w:val="18"/>
      <w:szCs w:val="18"/>
    </w:rPr>
  </w:style>
  <w:style w:type="character" w:customStyle="1" w:styleId="80">
    <w:name w:val="font11"/>
    <w:uiPriority w:val="0"/>
    <w:rPr>
      <w:rFonts w:hint="eastAsia" w:ascii="宋体" w:hAnsi="宋体" w:eastAsia="宋体" w:cs="宋体"/>
      <w:b/>
      <w:color w:val="000000"/>
      <w:sz w:val="18"/>
      <w:szCs w:val="18"/>
      <w:u w:val="none"/>
    </w:rPr>
  </w:style>
  <w:style w:type="character" w:customStyle="1" w:styleId="81">
    <w:name w:val="正文文本缩进 3 Char1"/>
    <w:link w:val="31"/>
    <w:uiPriority w:val="0"/>
    <w:rPr>
      <w:kern w:val="2"/>
      <w:sz w:val="16"/>
      <w:szCs w:val="16"/>
    </w:rPr>
  </w:style>
  <w:style w:type="character" w:customStyle="1" w:styleId="82">
    <w:name w:val="页脚 Char"/>
    <w:link w:val="27"/>
    <w:uiPriority w:val="99"/>
    <w:rPr>
      <w:rFonts w:eastAsia="宋体"/>
      <w:kern w:val="2"/>
      <w:sz w:val="18"/>
      <w:lang w:val="en-US" w:eastAsia="zh-CN" w:bidi="ar-SA"/>
    </w:rPr>
  </w:style>
  <w:style w:type="character" w:customStyle="1" w:styleId="83">
    <w:name w:val="批注文字 Char1"/>
    <w:basedOn w:val="38"/>
    <w:uiPriority w:val="0"/>
  </w:style>
  <w:style w:type="character" w:customStyle="1" w:styleId="84">
    <w:name w:val="Char Char12"/>
    <w:uiPriority w:val="0"/>
    <w:rPr>
      <w:rFonts w:eastAsia="宋体"/>
      <w:b/>
      <w:bCs/>
      <w:kern w:val="2"/>
      <w:sz w:val="28"/>
      <w:szCs w:val="28"/>
      <w:lang w:val="en-US" w:eastAsia="zh-CN"/>
    </w:rPr>
  </w:style>
  <w:style w:type="character" w:customStyle="1" w:styleId="85">
    <w:name w:val="List Paragraph Char"/>
    <w:link w:val="86"/>
    <w:locked/>
    <w:uiPriority w:val="0"/>
    <w:rPr>
      <w:rFonts w:eastAsia="宋体"/>
      <w:szCs w:val="24"/>
      <w:lang w:bidi="ar-SA"/>
    </w:rPr>
  </w:style>
  <w:style w:type="paragraph" w:customStyle="1" w:styleId="86">
    <w:name w:val="列出段落1"/>
    <w:basedOn w:val="1"/>
    <w:link w:val="85"/>
    <w:qFormat/>
    <w:uiPriority w:val="0"/>
    <w:pPr>
      <w:ind w:firstLine="420" w:firstLineChars="200"/>
    </w:pPr>
    <w:rPr>
      <w:kern w:val="0"/>
      <w:sz w:val="20"/>
      <w:szCs w:val="24"/>
    </w:rPr>
  </w:style>
  <w:style w:type="character" w:customStyle="1" w:styleId="87">
    <w:name w:val="font71"/>
    <w:qFormat/>
    <w:uiPriority w:val="0"/>
    <w:rPr>
      <w:rFonts w:ascii="宋体" w:hAnsi="宋体" w:eastAsia="宋体" w:cs="宋体"/>
      <w:color w:val="FF0000"/>
      <w:sz w:val="20"/>
      <w:szCs w:val="20"/>
      <w:u w:val="none"/>
    </w:rPr>
  </w:style>
  <w:style w:type="character" w:customStyle="1" w:styleId="88">
    <w:name w:val="普通文字 Char Char2"/>
    <w:aliases w:val="纯文本 Char Char Char1,普通文字 Char Char Char1,普通文字1 Char1,普通文字2 Char1,普通文字3 Char1,普通文字4 Char1,普通文字5 Char1,普通文字6 Char1,普通文字11 Char1,普通文字21 Char1,普通文字31 Char1,普通文字41 Char1,普通文字7 Char1,正 文 1 Char1,普通文字 Char2,Texte Char1,小 Char1,普通文 Char,纯文本 Char1"/>
    <w:uiPriority w:val="0"/>
    <w:rPr>
      <w:rFonts w:ascii="宋体" w:hAnsi="Courier New" w:eastAsia="宋体"/>
      <w:sz w:val="24"/>
      <w:szCs w:val="24"/>
    </w:rPr>
  </w:style>
  <w:style w:type="character" w:customStyle="1" w:styleId="89">
    <w:name w:val="正文首行缩进 Char1"/>
    <w:basedOn w:val="90"/>
    <w:uiPriority w:val="0"/>
  </w:style>
  <w:style w:type="character" w:customStyle="1" w:styleId="90">
    <w:name w:val="正文文本 Char"/>
    <w:link w:val="19"/>
    <w:uiPriority w:val="0"/>
    <w:rPr>
      <w:kern w:val="2"/>
      <w:sz w:val="21"/>
    </w:rPr>
  </w:style>
  <w:style w:type="character" w:customStyle="1" w:styleId="91">
    <w:name w:val="Char Char Char Char Char Char"/>
    <w:uiPriority w:val="0"/>
    <w:rPr>
      <w:rFonts w:ascii="宋体" w:hAnsi="Courier New" w:eastAsia="宋体"/>
      <w:kern w:val="2"/>
      <w:sz w:val="24"/>
      <w:szCs w:val="24"/>
      <w:lang w:val="en-US" w:eastAsia="zh-CN"/>
    </w:rPr>
  </w:style>
  <w:style w:type="character" w:customStyle="1" w:styleId="92">
    <w:name w:val="Char Char4"/>
    <w:uiPriority w:val="0"/>
    <w:rPr>
      <w:rFonts w:ascii="宋体"/>
      <w:kern w:val="2"/>
      <w:sz w:val="18"/>
      <w:szCs w:val="18"/>
    </w:rPr>
  </w:style>
  <w:style w:type="character" w:customStyle="1" w:styleId="93">
    <w:name w:val="Char Char5"/>
    <w:uiPriority w:val="0"/>
    <w:rPr>
      <w:rFonts w:eastAsia="宋体"/>
      <w:kern w:val="2"/>
      <w:sz w:val="21"/>
      <w:lang w:val="en-US" w:eastAsia="zh-CN"/>
    </w:rPr>
  </w:style>
  <w:style w:type="character" w:customStyle="1" w:styleId="94">
    <w:name w:val="标题 3 Char"/>
    <w:link w:val="5"/>
    <w:uiPriority w:val="9"/>
    <w:rPr>
      <w:rFonts w:ascii="Times New Roman" w:hAnsi="Times New Roman" w:eastAsia="宋体"/>
      <w:b/>
      <w:bCs/>
      <w:kern w:val="2"/>
      <w:sz w:val="28"/>
      <w:szCs w:val="28"/>
      <w:lang w:val="en-US" w:eastAsia="zh-CN" w:bidi="ar-SA"/>
    </w:rPr>
  </w:style>
  <w:style w:type="character" w:customStyle="1" w:styleId="95">
    <w:name w:val="纯文本 Char"/>
    <w:link w:val="23"/>
    <w:uiPriority w:val="99"/>
    <w:rPr>
      <w:rFonts w:ascii="宋体" w:hAnsi="Courier New" w:eastAsia="宋体"/>
      <w:kern w:val="2"/>
      <w:sz w:val="24"/>
      <w:szCs w:val="24"/>
      <w:lang w:val="en-US" w:eastAsia="zh-CN" w:bidi="ar-SA"/>
    </w:rPr>
  </w:style>
  <w:style w:type="character" w:customStyle="1" w:styleId="96">
    <w:name w:val="A3"/>
    <w:uiPriority w:val="0"/>
    <w:rPr>
      <w:color w:val="211D1E"/>
      <w:sz w:val="18"/>
    </w:rPr>
  </w:style>
  <w:style w:type="character" w:customStyle="1" w:styleId="97">
    <w:name w:val="15"/>
    <w:basedOn w:val="38"/>
    <w:uiPriority w:val="0"/>
    <w:rPr>
      <w:rFonts w:hint="default" w:ascii="Times New Roman" w:hAnsi="Times New Roman" w:cs="Times New Roman"/>
    </w:rPr>
  </w:style>
  <w:style w:type="character" w:customStyle="1" w:styleId="98">
    <w:name w:val="Char Char9"/>
    <w:uiPriority w:val="0"/>
    <w:rPr>
      <w:rFonts w:ascii="Arial" w:hAnsi="Arial" w:eastAsia="黑体"/>
      <w:sz w:val="24"/>
      <w:lang w:val="en-US" w:eastAsia="zh-CN"/>
    </w:rPr>
  </w:style>
  <w:style w:type="character" w:customStyle="1" w:styleId="99">
    <w:name w:val="标题 6 Char"/>
    <w:link w:val="9"/>
    <w:uiPriority w:val="0"/>
    <w:rPr>
      <w:rFonts w:ascii="Arial" w:hAnsi="Arial" w:eastAsia="黑体"/>
      <w:b/>
      <w:bCs/>
      <w:kern w:val="2"/>
      <w:sz w:val="24"/>
      <w:szCs w:val="24"/>
      <w:lang w:val="en-US" w:eastAsia="zh-CN" w:bidi="ar-SA"/>
    </w:rPr>
  </w:style>
  <w:style w:type="character" w:customStyle="1" w:styleId="100">
    <w:name w:val="标题 8 Char"/>
    <w:link w:val="11"/>
    <w:uiPriority w:val="0"/>
    <w:rPr>
      <w:rFonts w:ascii="Arial" w:hAnsi="Arial" w:eastAsia="黑体"/>
      <w:sz w:val="24"/>
      <w:lang w:val="en-US" w:eastAsia="zh-CN" w:bidi="ar-SA"/>
    </w:rPr>
  </w:style>
  <w:style w:type="character" w:customStyle="1" w:styleId="101">
    <w:name w:val="列出段落 Char"/>
    <w:link w:val="102"/>
    <w:uiPriority w:val="0"/>
    <w:rPr>
      <w:szCs w:val="24"/>
    </w:rPr>
  </w:style>
  <w:style w:type="paragraph" w:customStyle="1" w:styleId="102">
    <w:name w:val="List Paragraph"/>
    <w:basedOn w:val="1"/>
    <w:link w:val="101"/>
    <w:qFormat/>
    <w:uiPriority w:val="0"/>
    <w:pPr>
      <w:ind w:firstLine="420" w:firstLineChars="200"/>
    </w:pPr>
    <w:rPr>
      <w:kern w:val="0"/>
      <w:sz w:val="20"/>
      <w:szCs w:val="24"/>
    </w:rPr>
  </w:style>
  <w:style w:type="character" w:customStyle="1" w:styleId="103">
    <w:name w:val="Char Char3"/>
    <w:uiPriority w:val="0"/>
    <w:rPr>
      <w:rFonts w:eastAsia="宋体"/>
      <w:kern w:val="2"/>
      <w:sz w:val="21"/>
      <w:lang w:val="en-US" w:eastAsia="zh-CN"/>
    </w:rPr>
  </w:style>
  <w:style w:type="character" w:customStyle="1" w:styleId="104">
    <w:name w:val="正文文本 2 Char"/>
    <w:link w:val="105"/>
    <w:uiPriority w:val="0"/>
    <w:rPr>
      <w:szCs w:val="24"/>
    </w:rPr>
  </w:style>
  <w:style w:type="paragraph" w:customStyle="1" w:styleId="105">
    <w:name w:val="Body Text 2"/>
    <w:basedOn w:val="1"/>
    <w:link w:val="104"/>
    <w:uiPriority w:val="0"/>
    <w:pPr>
      <w:spacing w:after="120" w:line="480" w:lineRule="auto"/>
    </w:pPr>
    <w:rPr>
      <w:kern w:val="0"/>
      <w:sz w:val="20"/>
      <w:szCs w:val="24"/>
    </w:rPr>
  </w:style>
  <w:style w:type="character" w:customStyle="1" w:styleId="106">
    <w:name w:val="bulletintext1"/>
    <w:uiPriority w:val="0"/>
    <w:rPr>
      <w:color w:val="000000"/>
      <w:sz w:val="18"/>
      <w:szCs w:val="18"/>
    </w:rPr>
  </w:style>
  <w:style w:type="character" w:customStyle="1" w:styleId="107">
    <w:name w:val="Char Char14"/>
    <w:uiPriority w:val="0"/>
    <w:rPr>
      <w:rFonts w:eastAsia="宋体"/>
      <w:b/>
      <w:bCs/>
      <w:kern w:val="2"/>
      <w:sz w:val="28"/>
      <w:szCs w:val="28"/>
      <w:lang w:val="en-US" w:eastAsia="zh-CN"/>
    </w:rPr>
  </w:style>
  <w:style w:type="character" w:customStyle="1" w:styleId="108">
    <w:name w:val="日期 Char"/>
    <w:link w:val="24"/>
    <w:uiPriority w:val="0"/>
    <w:rPr>
      <w:rFonts w:eastAsia="宋体"/>
      <w:kern w:val="2"/>
      <w:sz w:val="21"/>
      <w:szCs w:val="24"/>
      <w:lang w:val="en-US" w:eastAsia="zh-CN" w:bidi="ar-SA"/>
    </w:rPr>
  </w:style>
  <w:style w:type="character" w:customStyle="1" w:styleId="109">
    <w:name w:val="font61"/>
    <w:qFormat/>
    <w:uiPriority w:val="0"/>
    <w:rPr>
      <w:rFonts w:hint="eastAsia" w:ascii="宋体" w:hAnsi="宋体" w:eastAsia="宋体" w:cs="宋体"/>
      <w:color w:val="000000"/>
      <w:sz w:val="21"/>
      <w:szCs w:val="21"/>
      <w:u w:val="none"/>
    </w:rPr>
  </w:style>
  <w:style w:type="character" w:customStyle="1" w:styleId="110">
    <w:name w:val="文档结构图 Char1"/>
    <w:uiPriority w:val="0"/>
    <w:rPr>
      <w:rFonts w:ascii="宋体" w:eastAsia="宋体"/>
      <w:sz w:val="18"/>
      <w:szCs w:val="18"/>
    </w:rPr>
  </w:style>
  <w:style w:type="character" w:customStyle="1" w:styleId="111">
    <w:name w:val="文档结构图 Char"/>
    <w:link w:val="16"/>
    <w:uiPriority w:val="99"/>
    <w:rPr>
      <w:rFonts w:ascii="宋体"/>
      <w:kern w:val="2"/>
      <w:sz w:val="18"/>
      <w:szCs w:val="18"/>
      <w:lang w:bidi="ar-SA"/>
    </w:rPr>
  </w:style>
  <w:style w:type="character" w:customStyle="1" w:styleId="112">
    <w:name w:val="正文2 Char"/>
    <w:link w:val="113"/>
    <w:uiPriority w:val="0"/>
    <w:rPr>
      <w:sz w:val="24"/>
    </w:rPr>
  </w:style>
  <w:style w:type="paragraph" w:customStyle="1" w:styleId="113">
    <w:name w:val="正文2"/>
    <w:basedOn w:val="1"/>
    <w:link w:val="112"/>
    <w:uiPriority w:val="0"/>
    <w:pPr>
      <w:spacing w:before="156" w:line="360" w:lineRule="auto"/>
      <w:ind w:firstLine="510" w:firstLineChars="200"/>
    </w:pPr>
    <w:rPr>
      <w:kern w:val="0"/>
      <w:sz w:val="24"/>
    </w:rPr>
  </w:style>
  <w:style w:type="character" w:customStyle="1" w:styleId="114">
    <w:name w:val="标题 Char"/>
    <w:link w:val="33"/>
    <w:uiPriority w:val="0"/>
    <w:rPr>
      <w:rFonts w:ascii="Cambria" w:hAnsi="Cambria" w:cs="Times New Roman"/>
      <w:b/>
      <w:bCs/>
      <w:kern w:val="2"/>
      <w:sz w:val="32"/>
      <w:szCs w:val="32"/>
    </w:rPr>
  </w:style>
  <w:style w:type="character" w:customStyle="1" w:styleId="115">
    <w:name w:val="正文缩进 Char"/>
    <w:link w:val="14"/>
    <w:uiPriority w:val="0"/>
    <w:rPr>
      <w:rFonts w:eastAsia="宋体"/>
      <w:kern w:val="2"/>
      <w:sz w:val="21"/>
      <w:lang w:val="en-US" w:eastAsia="zh-CN" w:bidi="ar-SA"/>
    </w:rPr>
  </w:style>
  <w:style w:type="character" w:customStyle="1" w:styleId="116">
    <w:name w:val="Char Char13"/>
    <w:uiPriority w:val="0"/>
    <w:rPr>
      <w:rFonts w:eastAsia="黑体"/>
      <w:bCs/>
      <w:kern w:val="2"/>
      <w:sz w:val="24"/>
      <w:szCs w:val="24"/>
      <w:lang w:val="en-US" w:eastAsia="zh-CN"/>
    </w:rPr>
  </w:style>
  <w:style w:type="character" w:customStyle="1" w:styleId="117">
    <w:name w:val="标题 Char1"/>
    <w:uiPriority w:val="0"/>
    <w:rPr>
      <w:rFonts w:ascii="Cambria" w:hAnsi="Cambria" w:eastAsia="宋体" w:cs="黑体"/>
      <w:b/>
      <w:bCs/>
      <w:sz w:val="32"/>
      <w:szCs w:val="32"/>
    </w:rPr>
  </w:style>
  <w:style w:type="character" w:customStyle="1" w:styleId="118">
    <w:name w:val="page number"/>
    <w:basedOn w:val="38"/>
    <w:uiPriority w:val="0"/>
  </w:style>
  <w:style w:type="character" w:customStyle="1" w:styleId="119">
    <w:name w:val="标题 2 Char"/>
    <w:link w:val="4"/>
    <w:uiPriority w:val="0"/>
    <w:rPr>
      <w:rFonts w:ascii="Arial" w:hAnsi="Arial" w:eastAsia="黑体"/>
      <w:b/>
      <w:bCs/>
      <w:kern w:val="2"/>
      <w:sz w:val="32"/>
      <w:szCs w:val="32"/>
      <w:lang w:val="en-US" w:eastAsia="zh-CN" w:bidi="ar-SA"/>
    </w:rPr>
  </w:style>
  <w:style w:type="character" w:customStyle="1" w:styleId="120">
    <w:name w:val="正文文本缩进 2 Char"/>
    <w:link w:val="25"/>
    <w:locked/>
    <w:uiPriority w:val="0"/>
    <w:rPr>
      <w:rFonts w:ascii="仿宋_GB2312" w:hAnsi="宋体" w:eastAsia="宋体" w:cs="Arial"/>
      <w:b/>
      <w:bCs/>
      <w:color w:val="000000"/>
      <w:kern w:val="2"/>
      <w:sz w:val="24"/>
      <w:lang w:val="en-US" w:eastAsia="zh-CN" w:bidi="ar-SA"/>
    </w:rPr>
  </w:style>
  <w:style w:type="character" w:customStyle="1" w:styleId="121">
    <w:name w:val="页眉 Char1"/>
    <w:uiPriority w:val="0"/>
    <w:rPr>
      <w:sz w:val="18"/>
      <w:szCs w:val="18"/>
    </w:rPr>
  </w:style>
  <w:style w:type="character" w:customStyle="1" w:styleId="122">
    <w:name w:val="标题 4 Char"/>
    <w:link w:val="7"/>
    <w:uiPriority w:val="9"/>
    <w:rPr>
      <w:rFonts w:ascii="Times New Roman" w:hAnsi="Times New Roman" w:eastAsia="黑体"/>
      <w:bCs/>
      <w:kern w:val="2"/>
      <w:sz w:val="24"/>
      <w:szCs w:val="24"/>
      <w:lang w:val="en-US" w:eastAsia="zh-CN" w:bidi="ar-SA"/>
    </w:rPr>
  </w:style>
  <w:style w:type="character" w:customStyle="1" w:styleId="123">
    <w:name w:val="标题 1 Char Char"/>
    <w:uiPriority w:val="0"/>
    <w:rPr>
      <w:rFonts w:eastAsia="宋体"/>
      <w:b/>
      <w:spacing w:val="-2"/>
      <w:sz w:val="24"/>
      <w:lang w:val="en-US" w:eastAsia="zh-CN"/>
    </w:rPr>
  </w:style>
  <w:style w:type="character" w:customStyle="1" w:styleId="124">
    <w:name w:val="正文首行缩进 Char"/>
    <w:link w:val="35"/>
    <w:uiPriority w:val="0"/>
    <w:rPr>
      <w:rFonts w:eastAsia="宋体"/>
      <w:kern w:val="2"/>
      <w:sz w:val="21"/>
      <w:lang w:val="en-US" w:eastAsia="zh-CN" w:bidi="ar-SA"/>
    </w:rPr>
  </w:style>
  <w:style w:type="character" w:customStyle="1" w:styleId="125">
    <w:name w:val="正文文本缩进 Char"/>
    <w:link w:val="20"/>
    <w:uiPriority w:val="0"/>
    <w:rPr>
      <w:rFonts w:eastAsia="宋体"/>
      <w:kern w:val="2"/>
      <w:sz w:val="21"/>
      <w:lang w:val="en-US" w:eastAsia="zh-CN" w:bidi="ar-SA"/>
    </w:rPr>
  </w:style>
  <w:style w:type="character" w:customStyle="1" w:styleId="126">
    <w:name w:val="正文文本缩进 Char1"/>
    <w:basedOn w:val="38"/>
    <w:uiPriority w:val="0"/>
  </w:style>
  <w:style w:type="character" w:customStyle="1" w:styleId="127">
    <w:name w:val="正文文本 3 Char"/>
    <w:link w:val="128"/>
    <w:uiPriority w:val="0"/>
    <w:rPr>
      <w:sz w:val="16"/>
      <w:szCs w:val="16"/>
    </w:rPr>
  </w:style>
  <w:style w:type="paragraph" w:customStyle="1" w:styleId="128">
    <w:name w:val="Body Text 3"/>
    <w:basedOn w:val="1"/>
    <w:link w:val="127"/>
    <w:uiPriority w:val="0"/>
    <w:pPr>
      <w:spacing w:after="120"/>
    </w:pPr>
    <w:rPr>
      <w:kern w:val="0"/>
      <w:sz w:val="16"/>
      <w:szCs w:val="16"/>
    </w:rPr>
  </w:style>
  <w:style w:type="character" w:customStyle="1" w:styleId="129">
    <w:name w:val="font51"/>
    <w:qFormat/>
    <w:uiPriority w:val="0"/>
    <w:rPr>
      <w:rFonts w:ascii="Times New Roman" w:hAnsi="Times New Roman" w:cs="Times New Roman"/>
      <w:color w:val="000000"/>
      <w:sz w:val="21"/>
      <w:szCs w:val="21"/>
      <w:u w:val="none"/>
    </w:rPr>
  </w:style>
  <w:style w:type="paragraph" w:customStyle="1" w:styleId="130">
    <w:name w:val="Char Char23 Char Char Char Char Char Char"/>
    <w:basedOn w:val="1"/>
    <w:uiPriority w:val="0"/>
    <w:pPr>
      <w:jc w:val="center"/>
    </w:pPr>
    <w:rPr>
      <w:rFonts w:ascii="仿宋_GB2312" w:eastAsia="仿宋_GB2312"/>
      <w:b/>
      <w:kern w:val="0"/>
      <w:sz w:val="32"/>
      <w:szCs w:val="32"/>
      <w:lang/>
    </w:rPr>
  </w:style>
  <w:style w:type="paragraph" w:customStyle="1" w:styleId="131">
    <w:name w:val="No Spacing1"/>
    <w:uiPriority w:val="99"/>
    <w:pPr>
      <w:widowControl w:val="0"/>
      <w:jc w:val="both"/>
    </w:pPr>
    <w:rPr>
      <w:kern w:val="2"/>
      <w:sz w:val="21"/>
      <w:szCs w:val="21"/>
      <w:lang w:val="en-US" w:eastAsia="zh-CN" w:bidi="ar-SA"/>
    </w:rPr>
  </w:style>
  <w:style w:type="paragraph" w:customStyle="1" w:styleId="132">
    <w:name w:val="*正文"/>
    <w:basedOn w:val="1"/>
    <w:qFormat/>
    <w:uiPriority w:val="0"/>
    <w:pPr>
      <w:spacing w:line="360" w:lineRule="auto"/>
      <w:ind w:firstLine="560" w:firstLineChars="200"/>
    </w:pPr>
    <w:rPr>
      <w:rFonts w:ascii="仿宋_GB2312" w:eastAsia="仿宋_GB2312"/>
      <w:sz w:val="28"/>
      <w:szCs w:val="28"/>
    </w:rPr>
  </w:style>
  <w:style w:type="paragraph" w:customStyle="1" w:styleId="133">
    <w:name w:val="List Paragraph1"/>
    <w:basedOn w:val="1"/>
    <w:uiPriority w:val="0"/>
    <w:pPr>
      <w:ind w:firstLine="420" w:firstLineChars="200"/>
    </w:pPr>
    <w:rPr>
      <w:szCs w:val="24"/>
    </w:rPr>
  </w:style>
  <w:style w:type="paragraph" w:customStyle="1" w:styleId="134">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135">
    <w:name w:val="正文段"/>
    <w:basedOn w:val="1"/>
    <w:uiPriority w:val="0"/>
    <w:pPr>
      <w:widowControl/>
      <w:snapToGrid w:val="0"/>
      <w:spacing w:after="156" w:afterLines="50"/>
      <w:ind w:firstLine="200" w:firstLineChars="200"/>
    </w:pPr>
    <w:rPr>
      <w:kern w:val="0"/>
      <w:sz w:val="24"/>
    </w:rPr>
  </w:style>
  <w:style w:type="paragraph" w:customStyle="1" w:styleId="136">
    <w:name w:val="Document Map"/>
    <w:basedOn w:val="1"/>
    <w:uiPriority w:val="0"/>
    <w:rPr>
      <w:rFonts w:ascii="宋体" w:hAnsi="Calibri" w:cs="黑体"/>
      <w:sz w:val="18"/>
      <w:szCs w:val="18"/>
    </w:rPr>
  </w:style>
  <w:style w:type="paragraph" w:customStyle="1" w:styleId="137">
    <w:name w:val="Body Text First Indent"/>
    <w:basedOn w:val="19"/>
    <w:uiPriority w:val="0"/>
    <w:pPr>
      <w:ind w:firstLine="420" w:firstLineChars="100"/>
    </w:pPr>
    <w:rPr>
      <w:rFonts w:ascii="Calibri" w:hAnsi="Calibri" w:cs="黑体"/>
      <w:szCs w:val="22"/>
    </w:rPr>
  </w:style>
  <w:style w:type="paragraph" w:customStyle="1" w:styleId="138">
    <w:name w:val="正文1"/>
    <w:basedOn w:val="1"/>
    <w:uiPriority w:val="0"/>
    <w:pPr>
      <w:spacing w:before="156" w:beforeLines="50" w:line="360" w:lineRule="auto"/>
      <w:ind w:firstLine="420" w:firstLineChars="200"/>
    </w:pPr>
    <w:rPr>
      <w:rFonts w:ascii="宋体" w:hAnsi="宋体"/>
      <w:iCs/>
      <w:kern w:val="0"/>
      <w:sz w:val="24"/>
      <w:szCs w:val="21"/>
    </w:rPr>
  </w:style>
  <w:style w:type="paragraph" w:customStyle="1" w:styleId="139">
    <w:name w:val="样式 书籍标题3 + Arial 段前: 1 行 段后: 1 行"/>
    <w:basedOn w:val="1"/>
    <w:uiPriority w:val="0"/>
    <w:pPr>
      <w:numPr>
        <w:ilvl w:val="2"/>
        <w:numId w:val="4"/>
      </w:numPr>
      <w:spacing w:before="312" w:beforeLines="100" w:after="312" w:afterLines="100"/>
      <w:jc w:val="left"/>
      <w:outlineLvl w:val="2"/>
    </w:pPr>
    <w:rPr>
      <w:rFonts w:ascii="Arial" w:hAnsi="Arial"/>
      <w:b/>
      <w:bCs/>
      <w:spacing w:val="20"/>
      <w:sz w:val="28"/>
      <w:szCs w:val="28"/>
    </w:rPr>
  </w:style>
  <w:style w:type="paragraph" w:customStyle="1" w:styleId="140">
    <w:name w:val="Char"/>
    <w:basedOn w:val="1"/>
    <w:uiPriority w:val="0"/>
    <w:rPr>
      <w:rFonts w:ascii="仿宋_GB2312" w:eastAsia="仿宋_GB2312"/>
      <w:b/>
      <w:sz w:val="32"/>
      <w:szCs w:val="32"/>
    </w:rPr>
  </w:style>
  <w:style w:type="paragraph" w:customStyle="1" w:styleId="141">
    <w:name w:val="样式 首行缩进:  0.85 厘米"/>
    <w:basedOn w:val="1"/>
    <w:uiPriority w:val="0"/>
    <w:pPr>
      <w:spacing w:line="360" w:lineRule="auto"/>
      <w:ind w:firstLine="482"/>
    </w:pPr>
    <w:rPr>
      <w:rFonts w:cs="宋体"/>
      <w:sz w:val="24"/>
    </w:rPr>
  </w:style>
  <w:style w:type="paragraph" w:customStyle="1" w:styleId="142">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3">
    <w:name w:val="List Number 3"/>
    <w:basedOn w:val="1"/>
    <w:uiPriority w:val="0"/>
    <w:pPr>
      <w:numPr>
        <w:ilvl w:val="0"/>
        <w:numId w:val="5"/>
      </w:numPr>
    </w:pPr>
    <w:rPr>
      <w:szCs w:val="24"/>
    </w:rPr>
  </w:style>
  <w:style w:type="paragraph" w:customStyle="1" w:styleId="144">
    <w:name w:val="规范正文"/>
    <w:basedOn w:val="1"/>
    <w:uiPriority w:val="0"/>
    <w:pPr>
      <w:adjustRightInd w:val="0"/>
      <w:spacing w:line="360" w:lineRule="auto"/>
      <w:ind w:left="480"/>
      <w:textAlignment w:val="baseline"/>
    </w:pPr>
    <w:rPr>
      <w:kern w:val="0"/>
      <w:sz w:val="24"/>
    </w:rPr>
  </w:style>
  <w:style w:type="paragraph" w:customStyle="1" w:styleId="145">
    <w:name w:val="编号正文文本"/>
    <w:basedOn w:val="1"/>
    <w:uiPriority w:val="0"/>
    <w:pPr>
      <w:widowControl/>
      <w:numPr>
        <w:ilvl w:val="0"/>
        <w:numId w:val="1"/>
      </w:numPr>
      <w:tabs>
        <w:tab w:val="left" w:pos="238"/>
      </w:tabs>
      <w:spacing w:before="100" w:beforeAutospacing="1" w:after="100" w:afterAutospacing="1" w:line="360" w:lineRule="auto"/>
      <w:jc w:val="left"/>
    </w:pPr>
    <w:rPr>
      <w:rFonts w:ascii="Verdana" w:hAnsi="Verdana" w:eastAsia="微软雅黑"/>
      <w:kern w:val="0"/>
      <w:sz w:val="24"/>
      <w:lang w:eastAsia="en-US"/>
    </w:rPr>
  </w:style>
  <w:style w:type="paragraph" w:customStyle="1" w:styleId="146">
    <w:name w:val="Body Text Indent"/>
    <w:basedOn w:val="1"/>
    <w:uiPriority w:val="0"/>
    <w:pPr>
      <w:spacing w:after="120"/>
      <w:ind w:left="420" w:leftChars="200"/>
    </w:pPr>
    <w:rPr>
      <w:rFonts w:ascii="Calibri" w:hAnsi="Calibri" w:cs="黑体"/>
      <w:szCs w:val="22"/>
    </w:rPr>
  </w:style>
  <w:style w:type="paragraph" w:customStyle="1" w:styleId="147">
    <w:name w:val="表格文字"/>
    <w:basedOn w:val="1"/>
    <w:uiPriority w:val="0"/>
    <w:pPr>
      <w:spacing w:before="80" w:after="80"/>
    </w:pPr>
    <w:rPr>
      <w:rFonts w:ascii="Arial" w:hAnsi="Arial" w:eastAsia="仿宋_GB2312"/>
      <w:spacing w:val="10"/>
      <w:sz w:val="28"/>
      <w:szCs w:val="24"/>
    </w:rPr>
  </w:style>
  <w:style w:type="paragraph" w:customStyle="1" w:styleId="148">
    <w:name w:val="_Style 19"/>
    <w:basedOn w:val="1"/>
    <w:uiPriority w:val="0"/>
    <w:rPr>
      <w:rFonts w:ascii="仿宋_GB2312" w:hAnsi="宋体" w:eastAsia="仿宋_GB2312" w:cs="宋体"/>
      <w:b/>
      <w:bCs/>
      <w:color w:val="000000"/>
      <w:kern w:val="0"/>
      <w:szCs w:val="21"/>
    </w:rPr>
  </w:style>
  <w:style w:type="paragraph" w:styleId="149">
    <w:name w:val="List Paragraph"/>
    <w:basedOn w:val="1"/>
    <w:qFormat/>
    <w:uiPriority w:val="0"/>
    <w:pPr>
      <w:ind w:firstLine="420" w:firstLineChars="200"/>
    </w:pPr>
    <w:rPr>
      <w:rFonts w:ascii="Calibri" w:hAnsi="Calibri"/>
      <w:szCs w:val="22"/>
    </w:rPr>
  </w:style>
  <w:style w:type="paragraph" w:customStyle="1" w:styleId="150">
    <w:name w:val="List"/>
    <w:basedOn w:val="1"/>
    <w:uiPriority w:val="0"/>
    <w:pPr>
      <w:ind w:left="200" w:hanging="200" w:hangingChars="200"/>
    </w:pPr>
    <w:rPr>
      <w:szCs w:val="24"/>
    </w:rPr>
  </w:style>
  <w:style w:type="paragraph" w:customStyle="1" w:styleId="151">
    <w:name w:val="WPS Plain"/>
    <w:uiPriority w:val="0"/>
    <w:rPr>
      <w:lang w:val="en-US" w:eastAsia="zh-CN" w:bidi="ar-SA"/>
    </w:rPr>
  </w:style>
  <w:style w:type="paragraph" w:customStyle="1" w:styleId="152">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53">
    <w:name w:val="表内文字"/>
    <w:basedOn w:val="1"/>
    <w:uiPriority w:val="0"/>
    <w:pPr>
      <w:tabs>
        <w:tab w:val="left" w:pos="1418"/>
      </w:tabs>
      <w:spacing w:line="360" w:lineRule="auto"/>
      <w:jc w:val="center"/>
    </w:pPr>
    <w:rPr>
      <w:rFonts w:ascii="仿宋_GB2312" w:eastAsia="仿宋_GB2312"/>
      <w:spacing w:val="-20"/>
      <w:kern w:val="0"/>
      <w:sz w:val="24"/>
      <w:szCs w:val="24"/>
    </w:rPr>
  </w:style>
  <w:style w:type="paragraph" w:customStyle="1" w:styleId="154">
    <w:name w:val="Date"/>
    <w:basedOn w:val="1"/>
    <w:next w:val="1"/>
    <w:uiPriority w:val="0"/>
    <w:pPr>
      <w:ind w:left="100" w:leftChars="2500"/>
    </w:pPr>
    <w:rPr>
      <w:rFonts w:ascii="Calibri" w:hAnsi="Calibri" w:cs="黑体"/>
      <w:szCs w:val="24"/>
    </w:rPr>
  </w:style>
  <w:style w:type="paragraph" w:customStyle="1" w:styleId="155">
    <w:name w:val="S表格"/>
    <w:qFormat/>
    <w:locked/>
    <w:uiPriority w:val="0"/>
    <w:pPr>
      <w:jc w:val="center"/>
    </w:pPr>
    <w:rPr>
      <w:rFonts w:ascii="宋体" w:hAnsi="黑体" w:eastAsia="黑体"/>
      <w:kern w:val="2"/>
      <w:sz w:val="21"/>
      <w:szCs w:val="22"/>
      <w:lang w:val="en-US" w:eastAsia="zh-CN" w:bidi="ar-SA"/>
    </w:rPr>
  </w:style>
  <w:style w:type="paragraph" w:customStyle="1" w:styleId="156">
    <w:name w:val="Char1"/>
    <w:basedOn w:val="1"/>
    <w:uiPriority w:val="0"/>
    <w:pPr>
      <w:jc w:val="center"/>
    </w:pPr>
    <w:rPr>
      <w:rFonts w:ascii="仿宋_GB2312" w:eastAsia="仿宋_GB2312"/>
      <w:b/>
      <w:kern w:val="0"/>
      <w:sz w:val="32"/>
      <w:szCs w:val="32"/>
      <w:lang/>
    </w:rPr>
  </w:style>
  <w:style w:type="paragraph" w:customStyle="1" w:styleId="157">
    <w:name w:val="Plain Text"/>
    <w:basedOn w:val="1"/>
    <w:uiPriority w:val="0"/>
    <w:pPr>
      <w:spacing w:before="156" w:beforeLines="50" w:after="156" w:afterLines="50" w:line="400" w:lineRule="exact"/>
    </w:pPr>
    <w:rPr>
      <w:rFonts w:ascii="宋体" w:hAnsi="Courier New" w:cs="黑体"/>
      <w:sz w:val="24"/>
      <w:szCs w:val="24"/>
    </w:rPr>
  </w:style>
  <w:style w:type="paragraph" w:customStyle="1" w:styleId="158">
    <w:name w:val="标题6"/>
    <w:basedOn w:val="1"/>
    <w:next w:val="3"/>
    <w:uiPriority w:val="0"/>
    <w:pPr>
      <w:widowControl/>
      <w:snapToGrid w:val="0"/>
      <w:spacing w:before="156" w:beforeLines="50" w:after="156" w:afterLines="50" w:line="520" w:lineRule="atLeast"/>
      <w:ind w:firstLine="200" w:firstLineChars="200"/>
    </w:pPr>
    <w:rPr>
      <w:rFonts w:cs="Arial"/>
      <w:b/>
      <w:sz w:val="24"/>
      <w:szCs w:val="24"/>
    </w:rPr>
  </w:style>
  <w:style w:type="paragraph" w:customStyle="1" w:styleId="159">
    <w:name w:val="段"/>
    <w:uiPriority w:val="0"/>
    <w:pPr>
      <w:autoSpaceDE w:val="0"/>
      <w:autoSpaceDN w:val="0"/>
      <w:ind w:firstLine="200" w:firstLineChars="200"/>
      <w:jc w:val="both"/>
    </w:pPr>
    <w:rPr>
      <w:rFonts w:ascii="宋体"/>
      <w:lang w:val="en-US" w:eastAsia="zh-CN" w:bidi="ar-SA"/>
    </w:rPr>
  </w:style>
  <w:style w:type="paragraph" w:customStyle="1" w:styleId="160">
    <w:name w:val="样式 首行缩进:  0 字符"/>
    <w:basedOn w:val="1"/>
    <w:qFormat/>
    <w:uiPriority w:val="0"/>
  </w:style>
  <w:style w:type="paragraph" w:customStyle="1" w:styleId="161">
    <w:name w:val="彩色列表 - 着色 11"/>
    <w:basedOn w:val="1"/>
    <w:qFormat/>
    <w:uiPriority w:val="0"/>
    <w:pPr>
      <w:ind w:firstLine="420" w:firstLineChars="200"/>
    </w:pPr>
    <w:rPr>
      <w:szCs w:val="24"/>
    </w:rPr>
  </w:style>
  <w:style w:type="paragraph" w:customStyle="1" w:styleId="162">
    <w:name w:val="Char Char Char Char1"/>
    <w:basedOn w:val="1"/>
    <w:uiPriority w:val="0"/>
    <w:rPr>
      <w:rFonts w:ascii="Tahoma" w:hAnsi="Tahoma"/>
      <w:sz w:val="24"/>
    </w:rPr>
  </w:style>
  <w:style w:type="paragraph" w:customStyle="1" w:styleId="163">
    <w:name w:val="默认段落字体 Para Char Char Char Char"/>
    <w:basedOn w:val="1"/>
    <w:uiPriority w:val="0"/>
    <w:rPr>
      <w:szCs w:val="24"/>
    </w:rPr>
  </w:style>
  <w:style w:type="paragraph" w:customStyle="1" w:styleId="164">
    <w:name w:val="正文首行缩进1"/>
    <w:basedOn w:val="1"/>
    <w:uiPriority w:val="0"/>
    <w:pPr>
      <w:spacing w:after="120"/>
      <w:ind w:firstLine="420" w:firstLineChars="100"/>
    </w:pPr>
    <w:rPr>
      <w:rFonts w:ascii="Calibri" w:hAnsi="Calibri"/>
      <w:szCs w:val="24"/>
    </w:rPr>
  </w:style>
  <w:style w:type="paragraph" w:customStyle="1" w:styleId="165">
    <w:name w:val="Normal Indent"/>
    <w:basedOn w:val="1"/>
    <w:uiPriority w:val="0"/>
    <w:pPr>
      <w:ind w:firstLine="420"/>
    </w:pPr>
    <w:rPr>
      <w:rFonts w:ascii="Calibri" w:hAnsi="Calibri" w:cs="黑体"/>
      <w:szCs w:val="22"/>
    </w:rPr>
  </w:style>
  <w:style w:type="paragraph" w:customStyle="1" w:styleId="166">
    <w:name w:val="_Style 17"/>
    <w:basedOn w:val="1"/>
    <w:uiPriority w:val="0"/>
    <w:pPr>
      <w:jc w:val="center"/>
    </w:pPr>
    <w:rPr>
      <w:rFonts w:ascii="仿宋_GB2312" w:eastAsia="仿宋_GB2312"/>
      <w:b/>
      <w:kern w:val="0"/>
      <w:sz w:val="32"/>
      <w:szCs w:val="32"/>
      <w:lang/>
    </w:rPr>
  </w:style>
  <w:style w:type="paragraph" w:customStyle="1" w:styleId="167">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样式 首行缩进: 0 字符"/>
    <w:basedOn w:val="1"/>
    <w:uiPriority w:val="0"/>
    <w:pPr>
      <w:keepNext w:val="0"/>
      <w:keepLines w:val="0"/>
      <w:widowControl w:val="0"/>
      <w:suppressLineNumbers w:val="0"/>
      <w:spacing w:before="0" w:beforeAutospacing="0" w:after="0" w:afterAutospacing="0"/>
      <w:ind w:left="0" w:right="0" w:firstLine="964" w:firstLineChars="200"/>
      <w:jc w:val="both"/>
    </w:pPr>
    <w:rPr>
      <w:rFonts w:hint="default" w:ascii="Times New Roman" w:hAnsi="Times New Roman" w:eastAsia="宋体" w:cs="Times New Roman"/>
      <w:kern w:val="2"/>
      <w:sz w:val="21"/>
      <w:szCs w:val="21"/>
      <w:lang w:val="en-US" w:eastAsia="zh-CN" w:bidi="ar"/>
    </w:rPr>
  </w:style>
  <w:style w:type="paragraph" w:customStyle="1" w:styleId="169">
    <w:name w:val="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S图片"/>
    <w:basedOn w:val="1"/>
    <w:qFormat/>
    <w:uiPriority w:val="0"/>
    <w:pPr>
      <w:adjustRightInd w:val="0"/>
      <w:ind w:firstLine="0" w:firstLineChars="0"/>
      <w:jc w:val="center"/>
    </w:pPr>
    <w:rPr>
      <w:rFonts w:ascii="宋体" w:hAnsi="宋体" w:eastAsia="黑体"/>
      <w:sz w:val="21"/>
    </w:rPr>
  </w:style>
  <w:style w:type="paragraph" w:customStyle="1" w:styleId="171">
    <w:name w:val="a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2">
    <w:name w:val="List 2"/>
    <w:basedOn w:val="1"/>
    <w:uiPriority w:val="0"/>
    <w:pPr>
      <w:ind w:left="100" w:leftChars="200" w:hanging="200" w:hangingChars="200"/>
    </w:pPr>
    <w:rPr>
      <w:szCs w:val="24"/>
    </w:rPr>
  </w:style>
  <w:style w:type="paragraph" w:customStyle="1" w:styleId="173">
    <w:name w:val="无间隔2"/>
    <w:qFormat/>
    <w:uiPriority w:val="0"/>
    <w:pPr>
      <w:widowControl w:val="0"/>
      <w:jc w:val="both"/>
    </w:pPr>
    <w:rPr>
      <w:kern w:val="2"/>
      <w:sz w:val="21"/>
      <w:szCs w:val="24"/>
      <w:lang w:val="en-US" w:eastAsia="zh-CN" w:bidi="ar-SA"/>
    </w:rPr>
  </w:style>
  <w:style w:type="paragraph" w:customStyle="1" w:styleId="174">
    <w:name w:val="Body Text Indent 2"/>
    <w:basedOn w:val="1"/>
    <w:uiPriority w:val="0"/>
    <w:pPr>
      <w:snapToGrid w:val="0"/>
      <w:ind w:firstLine="542" w:firstLineChars="225"/>
    </w:pPr>
    <w:rPr>
      <w:rFonts w:ascii="仿宋_GB2312" w:hAnsi="宋体" w:cs="Arial"/>
      <w:b/>
      <w:bCs/>
      <w:color w:val="000000"/>
      <w:sz w:val="24"/>
    </w:rPr>
  </w:style>
  <w:style w:type="paragraph" w:customStyle="1" w:styleId="175">
    <w:name w:val="默认段落字体 Para Char Char Char Char Char Char Char Char Char1 Char Char Char Char"/>
    <w:basedOn w:val="1"/>
    <w:uiPriority w:val="0"/>
    <w:pPr>
      <w:numPr>
        <w:ilvl w:val="0"/>
        <w:numId w:val="3"/>
      </w:numPr>
      <w:tabs>
        <w:tab w:val="clear" w:pos="1200"/>
      </w:tabs>
      <w:ind w:left="0" w:firstLine="0"/>
    </w:pPr>
    <w:rPr>
      <w:rFonts w:ascii="Tahoma" w:hAnsi="Tahoma"/>
      <w:sz w:val="24"/>
    </w:rPr>
  </w:style>
  <w:style w:type="paragraph" w:customStyle="1" w:styleId="176">
    <w:name w:val="文档正文"/>
    <w:basedOn w:val="1"/>
    <w:uiPriority w:val="0"/>
    <w:pPr>
      <w:adjustRightInd w:val="0"/>
      <w:spacing w:line="312" w:lineRule="atLeast"/>
      <w:ind w:firstLine="567"/>
    </w:pPr>
    <w:rPr>
      <w:rFonts w:ascii="长城仿宋" w:eastAsia="长城仿宋"/>
      <w:kern w:val="0"/>
      <w:sz w:val="28"/>
      <w:szCs w:val="24"/>
    </w:rPr>
  </w:style>
  <w:style w:type="paragraph" w:customStyle="1" w:styleId="177">
    <w:name w:val="样式3"/>
    <w:basedOn w:val="157"/>
    <w:uiPriority w:val="0"/>
    <w:pPr>
      <w:spacing w:before="0" w:beforeLines="0" w:after="0" w:afterLines="0" w:line="0" w:lineRule="atLeast"/>
      <w:outlineLvl w:val="0"/>
    </w:pPr>
    <w:rPr>
      <w:sz w:val="28"/>
      <w:szCs w:val="20"/>
    </w:rPr>
  </w:style>
  <w:style w:type="paragraph" w:customStyle="1" w:styleId="178">
    <w:name w:val=" Char1"/>
    <w:basedOn w:val="1"/>
    <w:uiPriority w:val="0"/>
    <w:pPr>
      <w:jc w:val="center"/>
    </w:pPr>
    <w:rPr>
      <w:rFonts w:ascii="仿宋_GB2312" w:eastAsia="仿宋_GB2312"/>
      <w:b/>
      <w:kern w:val="0"/>
      <w:sz w:val="32"/>
      <w:szCs w:val="32"/>
      <w:lang w:val="en-GB"/>
    </w:rPr>
  </w:style>
  <w:style w:type="paragraph" w:customStyle="1" w:styleId="179">
    <w:name w:val="列出段落2"/>
    <w:basedOn w:val="1"/>
    <w:qFormat/>
    <w:uiPriority w:val="0"/>
    <w:pPr>
      <w:ind w:firstLine="420" w:firstLineChars="200"/>
    </w:pPr>
    <w:rPr>
      <w:rFonts w:ascii="Calibri" w:hAnsi="Calibri"/>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10223</Words>
  <Characters>58272</Characters>
  <Lines>485</Lines>
  <Paragraphs>136</Paragraphs>
  <TotalTime>1</TotalTime>
  <ScaleCrop>false</ScaleCrop>
  <LinksUpToDate>false</LinksUpToDate>
  <CharactersWithSpaces>68359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2018-05-22T07:00:00Z</dcterms:created>
  <dc:creator>微软用户</dc:creator>
  <cp:keywords>No Restrictions</cp:keywords>
  <cp:lastModifiedBy>WPS_1701756769</cp:lastModifiedBy>
  <cp:lastPrinted>2019-05-30T01:37:08Z</cp:lastPrinted>
  <dcterms:modified xsi:type="dcterms:W3CDTF">2024-02-22T05:54:51Z</dcterms:modified>
  <cp:revision>2</cp:revision>
  <dc:title>安吉智城建设发展有限公司浙江科技学院安吉校区标准化监考系统和多媒体教室建设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9b2091af-7285-4640-a847-9c32b5330052</vt:lpwstr>
  </property>
  <property fmtid="{D5CDD505-2E9C-101B-9397-08002B2CF9AE}" pid="3" name="DellClassification">
    <vt:lpwstr>No Restrictions</vt:lpwstr>
  </property>
  <property fmtid="{D5CDD505-2E9C-101B-9397-08002B2CF9AE}" pid="4" name="DellSubLabels">
    <vt:lpwstr/>
  </property>
  <property fmtid="{D5CDD505-2E9C-101B-9397-08002B2CF9AE}" pid="5" name="KSOProductBuildVer">
    <vt:lpwstr>2052-12.1.0.16388</vt:lpwstr>
  </property>
  <property fmtid="{D5CDD505-2E9C-101B-9397-08002B2CF9AE}" pid="6" name="ICV">
    <vt:lpwstr>237D1A60660047D8B4C508B756F4BBD2_13</vt:lpwstr>
  </property>
</Properties>
</file>