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700" w:lineRule="exact"/>
        <w:jc w:val="center"/>
        <w:rPr>
          <w:rStyle w:val="59"/>
          <w:rFonts w:hint="eastAsia" w:ascii="宋体" w:hAnsi="宋体" w:eastAsia="宋体" w:cs="宋体"/>
          <w:color w:val="auto"/>
          <w:spacing w:val="0"/>
          <w:sz w:val="54"/>
          <w:szCs w:val="54"/>
          <w:highlight w:val="none"/>
          <w:lang w:eastAsia="zh-CN"/>
        </w:rPr>
      </w:pPr>
      <w:r>
        <w:rPr>
          <w:rStyle w:val="59"/>
          <w:rFonts w:hint="eastAsia" w:ascii="宋体" w:hAnsi="宋体" w:cs="宋体"/>
          <w:color w:val="auto"/>
          <w:spacing w:val="0"/>
          <w:sz w:val="54"/>
          <w:szCs w:val="54"/>
          <w:highlight w:val="none"/>
          <w:lang w:eastAsia="zh-CN"/>
        </w:rPr>
        <w:t>安吉县食品药品检验检测中心离子色谱仪设备供货与安装政府采购项目</w:t>
      </w:r>
    </w:p>
    <w:p>
      <w:pPr>
        <w:jc w:val="left"/>
        <w:rPr>
          <w:rStyle w:val="59"/>
          <w:rFonts w:ascii="宋体" w:hAnsi="宋体" w:cs="宋体"/>
          <w:color w:val="auto"/>
          <w:spacing w:val="0"/>
          <w:sz w:val="72"/>
          <w:szCs w:val="44"/>
          <w:highlight w:val="none"/>
        </w:rPr>
      </w:pPr>
    </w:p>
    <w:p>
      <w:pPr>
        <w:spacing w:beforeLines="50" w:line="700" w:lineRule="exact"/>
        <w:jc w:val="center"/>
        <w:rPr>
          <w:rStyle w:val="59"/>
          <w:rFonts w:ascii="宋体" w:hAnsi="宋体" w:cs="宋体"/>
          <w:color w:val="auto"/>
          <w:spacing w:val="0"/>
          <w:sz w:val="72"/>
          <w:szCs w:val="44"/>
          <w:highlight w:val="none"/>
        </w:rPr>
      </w:pPr>
      <w:r>
        <w:rPr>
          <w:rStyle w:val="59"/>
          <w:rFonts w:hint="eastAsia" w:ascii="宋体" w:hAnsi="宋体" w:cs="宋体"/>
          <w:color w:val="auto"/>
          <w:spacing w:val="0"/>
          <w:sz w:val="72"/>
          <w:szCs w:val="44"/>
          <w:highlight w:val="none"/>
        </w:rPr>
        <w:t>公</w:t>
      </w:r>
    </w:p>
    <w:p>
      <w:pPr>
        <w:spacing w:beforeLines="50" w:line="800" w:lineRule="exact"/>
        <w:jc w:val="center"/>
        <w:rPr>
          <w:rStyle w:val="59"/>
          <w:rFonts w:ascii="宋体" w:hAnsi="宋体" w:cs="宋体"/>
          <w:color w:val="auto"/>
          <w:spacing w:val="0"/>
          <w:sz w:val="72"/>
          <w:szCs w:val="44"/>
          <w:highlight w:val="none"/>
        </w:rPr>
      </w:pPr>
      <w:r>
        <w:rPr>
          <w:rStyle w:val="59"/>
          <w:rFonts w:hint="eastAsia" w:ascii="宋体" w:hAnsi="宋体" w:cs="宋体"/>
          <w:color w:val="auto"/>
          <w:spacing w:val="0"/>
          <w:sz w:val="72"/>
          <w:szCs w:val="44"/>
          <w:highlight w:val="none"/>
        </w:rPr>
        <w:t>开</w:t>
      </w:r>
    </w:p>
    <w:p>
      <w:pPr>
        <w:spacing w:beforeLines="50" w:line="800" w:lineRule="exact"/>
        <w:jc w:val="center"/>
        <w:rPr>
          <w:rStyle w:val="59"/>
          <w:rFonts w:ascii="宋体" w:hAnsi="宋体" w:cs="宋体"/>
          <w:color w:val="auto"/>
          <w:spacing w:val="0"/>
          <w:sz w:val="72"/>
          <w:szCs w:val="44"/>
          <w:highlight w:val="none"/>
        </w:rPr>
      </w:pPr>
      <w:r>
        <w:rPr>
          <w:rStyle w:val="59"/>
          <w:rFonts w:hint="eastAsia" w:ascii="宋体" w:hAnsi="宋体" w:cs="宋体"/>
          <w:color w:val="auto"/>
          <w:spacing w:val="0"/>
          <w:sz w:val="72"/>
          <w:szCs w:val="44"/>
          <w:highlight w:val="none"/>
        </w:rPr>
        <w:t>招</w:t>
      </w:r>
    </w:p>
    <w:p>
      <w:pPr>
        <w:spacing w:beforeLines="50" w:line="800" w:lineRule="exact"/>
        <w:jc w:val="center"/>
        <w:rPr>
          <w:rStyle w:val="59"/>
          <w:rFonts w:ascii="宋体" w:hAnsi="宋体" w:cs="宋体"/>
          <w:color w:val="auto"/>
          <w:spacing w:val="0"/>
          <w:sz w:val="72"/>
          <w:szCs w:val="44"/>
          <w:highlight w:val="none"/>
        </w:rPr>
      </w:pPr>
      <w:r>
        <w:rPr>
          <w:rStyle w:val="59"/>
          <w:rFonts w:hint="eastAsia" w:ascii="宋体" w:hAnsi="宋体" w:cs="宋体"/>
          <w:color w:val="auto"/>
          <w:spacing w:val="0"/>
          <w:sz w:val="72"/>
          <w:szCs w:val="44"/>
          <w:highlight w:val="none"/>
        </w:rPr>
        <w:t>标</w:t>
      </w:r>
    </w:p>
    <w:p>
      <w:pPr>
        <w:spacing w:beforeLines="50" w:line="800" w:lineRule="exact"/>
        <w:jc w:val="center"/>
        <w:rPr>
          <w:rStyle w:val="59"/>
          <w:rFonts w:ascii="宋体" w:hAnsi="宋体" w:cs="宋体"/>
          <w:color w:val="auto"/>
          <w:spacing w:val="0"/>
          <w:sz w:val="72"/>
          <w:szCs w:val="72"/>
          <w:highlight w:val="none"/>
        </w:rPr>
      </w:pPr>
      <w:r>
        <w:rPr>
          <w:rStyle w:val="59"/>
          <w:rFonts w:hint="eastAsia" w:ascii="宋体" w:hAnsi="宋体" w:cs="宋体"/>
          <w:color w:val="auto"/>
          <w:spacing w:val="0"/>
          <w:sz w:val="72"/>
          <w:szCs w:val="72"/>
          <w:highlight w:val="none"/>
        </w:rPr>
        <w:t>采</w:t>
      </w:r>
    </w:p>
    <w:p>
      <w:pPr>
        <w:spacing w:beforeLines="50" w:line="800" w:lineRule="exact"/>
        <w:jc w:val="center"/>
        <w:rPr>
          <w:rStyle w:val="59"/>
          <w:rFonts w:ascii="宋体" w:hAnsi="宋体" w:cs="宋体"/>
          <w:color w:val="auto"/>
          <w:spacing w:val="0"/>
          <w:sz w:val="72"/>
          <w:szCs w:val="72"/>
          <w:highlight w:val="none"/>
        </w:rPr>
      </w:pPr>
      <w:r>
        <w:rPr>
          <w:rStyle w:val="59"/>
          <w:rFonts w:hint="eastAsia" w:ascii="宋体" w:hAnsi="宋体" w:cs="宋体"/>
          <w:color w:val="auto"/>
          <w:spacing w:val="0"/>
          <w:sz w:val="72"/>
          <w:szCs w:val="72"/>
          <w:highlight w:val="none"/>
        </w:rPr>
        <w:t>购</w:t>
      </w:r>
    </w:p>
    <w:p>
      <w:pPr>
        <w:spacing w:beforeLines="50" w:line="800" w:lineRule="exact"/>
        <w:jc w:val="center"/>
        <w:rPr>
          <w:rStyle w:val="59"/>
          <w:rFonts w:ascii="宋体" w:hAnsi="宋体" w:cs="宋体"/>
          <w:color w:val="auto"/>
          <w:spacing w:val="0"/>
          <w:sz w:val="72"/>
          <w:szCs w:val="72"/>
          <w:highlight w:val="none"/>
        </w:rPr>
      </w:pPr>
      <w:r>
        <w:rPr>
          <w:rStyle w:val="59"/>
          <w:rFonts w:hint="eastAsia" w:ascii="宋体" w:hAnsi="宋体" w:cs="宋体"/>
          <w:color w:val="auto"/>
          <w:spacing w:val="0"/>
          <w:sz w:val="72"/>
          <w:szCs w:val="72"/>
          <w:highlight w:val="none"/>
        </w:rPr>
        <w:t>文</w:t>
      </w:r>
    </w:p>
    <w:p>
      <w:pPr>
        <w:spacing w:beforeLines="50" w:line="800" w:lineRule="exact"/>
        <w:jc w:val="center"/>
        <w:rPr>
          <w:rStyle w:val="59"/>
          <w:rFonts w:ascii="宋体" w:hAnsi="宋体" w:cs="宋体"/>
          <w:color w:val="auto"/>
          <w:spacing w:val="0"/>
          <w:sz w:val="72"/>
          <w:szCs w:val="72"/>
          <w:highlight w:val="none"/>
        </w:rPr>
      </w:pPr>
      <w:r>
        <w:rPr>
          <w:rStyle w:val="59"/>
          <w:rFonts w:hint="eastAsia" w:ascii="宋体" w:hAnsi="宋体" w:cs="宋体"/>
          <w:color w:val="auto"/>
          <w:spacing w:val="0"/>
          <w:sz w:val="72"/>
          <w:szCs w:val="72"/>
          <w:highlight w:val="none"/>
        </w:rPr>
        <w:t>件</w:t>
      </w:r>
    </w:p>
    <w:p>
      <w:pPr>
        <w:pStyle w:val="15"/>
        <w:snapToGrid w:val="0"/>
        <w:spacing w:beforeLines="0" w:afterLines="0" w:line="300" w:lineRule="exact"/>
        <w:rPr>
          <w:rFonts w:hAnsi="宋体" w:cs="宋体"/>
          <w:highlight w:val="none"/>
        </w:rPr>
      </w:pPr>
    </w:p>
    <w:p>
      <w:pPr>
        <w:pStyle w:val="15"/>
        <w:snapToGrid w:val="0"/>
        <w:spacing w:beforeLines="0" w:afterLines="0" w:line="400" w:lineRule="exact"/>
        <w:rPr>
          <w:rFonts w:hint="eastAsia" w:hAnsi="宋体" w:cs="宋体"/>
          <w:highlight w:val="none"/>
        </w:rPr>
      </w:pPr>
    </w:p>
    <w:p>
      <w:pPr>
        <w:pStyle w:val="15"/>
        <w:snapToGrid w:val="0"/>
        <w:spacing w:beforeLines="0" w:afterLines="0" w:line="480" w:lineRule="exact"/>
        <w:rPr>
          <w:rFonts w:hint="eastAsia" w:hAnsi="宋体" w:eastAsia="宋体" w:cs="宋体"/>
          <w:highlight w:val="none"/>
          <w:lang w:eastAsia="zh-CN"/>
        </w:rPr>
      </w:pPr>
      <w:r>
        <w:rPr>
          <w:rFonts w:hint="eastAsia" w:hAnsi="宋体" w:cs="宋体"/>
          <w:highlight w:val="none"/>
        </w:rPr>
        <w:t>项目编号：</w:t>
      </w:r>
      <w:r>
        <w:rPr>
          <w:rFonts w:hint="eastAsia" w:hAnsi="宋体" w:cs="宋体"/>
          <w:color w:val="000000"/>
          <w:highlight w:val="none"/>
          <w:lang w:eastAsia="zh-CN"/>
        </w:rPr>
        <w:t>JCGK2024-006</w:t>
      </w:r>
    </w:p>
    <w:p>
      <w:pPr>
        <w:pStyle w:val="15"/>
        <w:snapToGrid w:val="0"/>
        <w:spacing w:beforeLines="0" w:afterLines="0" w:line="480" w:lineRule="exact"/>
        <w:rPr>
          <w:rFonts w:hint="eastAsia" w:hAnsi="宋体" w:eastAsia="宋体" w:cs="宋体"/>
          <w:highlight w:val="none"/>
          <w:lang w:eastAsia="zh-CN"/>
        </w:rPr>
      </w:pPr>
      <w:r>
        <w:rPr>
          <w:rFonts w:hint="eastAsia" w:hAnsi="宋体" w:cs="宋体"/>
          <w:highlight w:val="none"/>
        </w:rPr>
        <w:t>项目名称：</w:t>
      </w:r>
      <w:r>
        <w:rPr>
          <w:rFonts w:hint="eastAsia" w:hAnsi="宋体" w:cs="宋体"/>
          <w:highlight w:val="none"/>
          <w:lang w:eastAsia="zh-CN"/>
        </w:rPr>
        <w:t>安吉县食品药品检验检测中心离子色谱仪设备供货与安装政府采购项目</w:t>
      </w:r>
    </w:p>
    <w:p>
      <w:pPr>
        <w:pStyle w:val="15"/>
        <w:snapToGrid w:val="0"/>
        <w:spacing w:beforeLines="0" w:afterLines="0" w:line="480" w:lineRule="exact"/>
        <w:rPr>
          <w:rFonts w:hint="eastAsia" w:hAnsi="宋体" w:eastAsia="宋体" w:cs="宋体"/>
          <w:highlight w:val="none"/>
          <w:lang w:eastAsia="zh-CN"/>
        </w:rPr>
      </w:pPr>
      <w:r>
        <w:rPr>
          <w:rFonts w:hint="eastAsia" w:hAnsi="宋体" w:cs="宋体"/>
          <w:highlight w:val="none"/>
        </w:rPr>
        <w:t>采购单位：</w:t>
      </w:r>
      <w:r>
        <w:rPr>
          <w:rFonts w:hint="eastAsia" w:hAnsi="宋体" w:cs="宋体"/>
          <w:highlight w:val="none"/>
          <w:lang w:eastAsia="zh-CN"/>
        </w:rPr>
        <w:t>安吉县食品药品检验检测中心</w:t>
      </w:r>
    </w:p>
    <w:p>
      <w:pPr>
        <w:pStyle w:val="15"/>
        <w:snapToGrid w:val="0"/>
        <w:spacing w:beforeLines="0" w:afterLines="0" w:line="480" w:lineRule="exact"/>
        <w:rPr>
          <w:rFonts w:hAnsi="宋体" w:cs="宋体"/>
          <w:highlight w:val="none"/>
        </w:rPr>
      </w:pPr>
      <w:r>
        <w:rPr>
          <w:rFonts w:hint="eastAsia" w:hAnsi="宋体" w:cs="宋体"/>
          <w:highlight w:val="none"/>
        </w:rPr>
        <w:t>采购代理机构：安吉精诚采购代理有限公司</w:t>
      </w:r>
    </w:p>
    <w:p>
      <w:pPr>
        <w:pStyle w:val="15"/>
        <w:snapToGrid w:val="0"/>
        <w:spacing w:beforeLines="0" w:afterLines="0" w:line="480" w:lineRule="exact"/>
        <w:rPr>
          <w:rFonts w:hAnsi="宋体" w:cs="宋体"/>
          <w:highlight w:val="none"/>
        </w:rPr>
      </w:pPr>
      <w:r>
        <w:rPr>
          <w:rFonts w:hint="eastAsia" w:hAnsi="宋体" w:cs="宋体"/>
          <w:highlight w:val="none"/>
        </w:rPr>
        <w:t>采购类型：分散采购委托代理</w:t>
      </w:r>
    </w:p>
    <w:p>
      <w:pPr>
        <w:pStyle w:val="15"/>
        <w:snapToGrid w:val="0"/>
        <w:spacing w:beforeLines="0" w:afterLines="0" w:line="300" w:lineRule="exact"/>
        <w:jc w:val="right"/>
        <w:rPr>
          <w:rFonts w:hAnsi="宋体" w:cs="宋体"/>
          <w:highlight w:val="none"/>
        </w:rPr>
      </w:pPr>
    </w:p>
    <w:p>
      <w:pPr>
        <w:pStyle w:val="15"/>
        <w:snapToGrid w:val="0"/>
        <w:spacing w:beforeLines="0" w:afterLines="0" w:line="300" w:lineRule="exact"/>
        <w:jc w:val="right"/>
        <w:rPr>
          <w:rFonts w:hint="eastAsia" w:hAnsi="宋体" w:cs="宋体"/>
          <w:highlight w:val="none"/>
        </w:rPr>
      </w:pPr>
    </w:p>
    <w:p>
      <w:pPr>
        <w:pStyle w:val="15"/>
        <w:snapToGrid w:val="0"/>
        <w:spacing w:beforeLines="0" w:afterLines="0" w:line="300" w:lineRule="exact"/>
        <w:jc w:val="right"/>
        <w:rPr>
          <w:rFonts w:hAnsi="宋体" w:cs="宋体"/>
          <w:highlight w:val="none"/>
        </w:rPr>
      </w:pPr>
      <w:r>
        <w:rPr>
          <w:rFonts w:hint="eastAsia" w:hAnsi="宋体" w:cs="宋体"/>
          <w:highlight w:val="none"/>
        </w:rPr>
        <w:t>202</w:t>
      </w:r>
      <w:r>
        <w:rPr>
          <w:rFonts w:hint="eastAsia" w:hAnsi="宋体" w:cs="宋体"/>
          <w:highlight w:val="none"/>
          <w:lang w:val="en-US" w:eastAsia="zh-CN"/>
        </w:rPr>
        <w:t>4</w:t>
      </w:r>
      <w:r>
        <w:rPr>
          <w:rFonts w:hint="eastAsia" w:hAnsi="宋体" w:cs="宋体"/>
          <w:highlight w:val="none"/>
        </w:rPr>
        <w:t>年</w:t>
      </w:r>
      <w:r>
        <w:rPr>
          <w:rFonts w:hint="eastAsia" w:hAnsi="宋体" w:cs="宋体"/>
          <w:highlight w:val="none"/>
          <w:lang w:val="en-US" w:eastAsia="zh-CN"/>
        </w:rPr>
        <w:t>3</w:t>
      </w:r>
      <w:r>
        <w:rPr>
          <w:rFonts w:hint="eastAsia" w:hAnsi="宋体" w:cs="宋体"/>
          <w:highlight w:val="none"/>
        </w:rPr>
        <w:t>月</w:t>
      </w:r>
    </w:p>
    <w:p>
      <w:pPr>
        <w:rPr>
          <w:rFonts w:hAnsi="宋体" w:cs="宋体"/>
          <w:b/>
          <w:sz w:val="44"/>
          <w:szCs w:val="44"/>
          <w:highlight w:val="none"/>
        </w:rPr>
      </w:pPr>
    </w:p>
    <w:p>
      <w:pPr>
        <w:pStyle w:val="2"/>
        <w:rPr>
          <w:highlight w:val="none"/>
        </w:rPr>
      </w:pPr>
    </w:p>
    <w:p>
      <w:pPr>
        <w:pStyle w:val="15"/>
        <w:snapToGrid w:val="0"/>
        <w:spacing w:beforeLines="0" w:afterLines="0" w:line="240" w:lineRule="auto"/>
        <w:jc w:val="center"/>
        <w:rPr>
          <w:rFonts w:hAnsi="宋体" w:cs="宋体"/>
          <w:b/>
          <w:sz w:val="44"/>
          <w:szCs w:val="44"/>
          <w:highlight w:val="none"/>
        </w:rPr>
      </w:pPr>
      <w:r>
        <w:rPr>
          <w:rFonts w:hint="eastAsia" w:hAnsi="宋体" w:cs="宋体"/>
          <w:b/>
          <w:sz w:val="44"/>
          <w:szCs w:val="44"/>
          <w:highlight w:val="none"/>
        </w:rPr>
        <w:t>目      录</w:t>
      </w:r>
    </w:p>
    <w:p>
      <w:pPr>
        <w:pStyle w:val="21"/>
        <w:tabs>
          <w:tab w:val="right" w:leader="dot" w:pos="9412"/>
        </w:tabs>
        <w:spacing w:line="500" w:lineRule="exact"/>
        <w:rPr>
          <w:highlight w:val="none"/>
        </w:rPr>
      </w:pPr>
      <w:bookmarkStart w:id="0" w:name="_Toc317341927"/>
      <w:r>
        <w:rPr>
          <w:rFonts w:hint="eastAsia" w:ascii="宋体" w:hAnsi="宋体" w:cs="宋体"/>
          <w:sz w:val="24"/>
          <w:highlight w:val="none"/>
        </w:rPr>
        <w:fldChar w:fldCharType="begin"/>
      </w:r>
      <w:r>
        <w:rPr>
          <w:rStyle w:val="59"/>
          <w:rFonts w:hint="eastAsia" w:ascii="宋体" w:hAnsi="宋体" w:cs="宋体"/>
          <w:color w:val="auto"/>
          <w:spacing w:val="0"/>
          <w:sz w:val="24"/>
          <w:szCs w:val="24"/>
          <w:highlight w:val="none"/>
        </w:rPr>
        <w:instrText xml:space="preserve"> TOC \o "1-2" \u </w:instrText>
      </w:r>
      <w:r>
        <w:rPr>
          <w:rFonts w:hint="eastAsia" w:ascii="宋体" w:hAnsi="宋体" w:cs="宋体"/>
          <w:sz w:val="24"/>
          <w:highlight w:val="none"/>
        </w:rPr>
        <w:fldChar w:fldCharType="separate"/>
      </w:r>
      <w:r>
        <w:rPr>
          <w:rFonts w:hint="eastAsia" w:ascii="宋体" w:hAnsi="宋体" w:cs="宋体"/>
          <w:snapToGrid w:val="0"/>
          <w:szCs w:val="36"/>
          <w:highlight w:val="none"/>
        </w:rPr>
        <w:t>第一章 招标公告</w:t>
      </w:r>
      <w:r>
        <w:rPr>
          <w:highlight w:val="none"/>
        </w:rPr>
        <w:tab/>
      </w:r>
      <w:r>
        <w:rPr>
          <w:highlight w:val="none"/>
        </w:rPr>
        <w:fldChar w:fldCharType="begin"/>
      </w:r>
      <w:r>
        <w:rPr>
          <w:highlight w:val="none"/>
        </w:rPr>
        <w:instrText xml:space="preserve"> PAGEREF _Toc2057921334 </w:instrText>
      </w:r>
      <w:r>
        <w:rPr>
          <w:highlight w:val="none"/>
        </w:rPr>
        <w:fldChar w:fldCharType="separate"/>
      </w:r>
      <w:r>
        <w:rPr>
          <w:highlight w:val="none"/>
        </w:rPr>
        <w:t>- 3 -</w:t>
      </w:r>
      <w:r>
        <w:rPr>
          <w:highlight w:val="none"/>
        </w:rPr>
        <w:fldChar w:fldCharType="end"/>
      </w:r>
    </w:p>
    <w:p>
      <w:pPr>
        <w:pStyle w:val="21"/>
        <w:tabs>
          <w:tab w:val="right" w:leader="dot" w:pos="9412"/>
        </w:tabs>
        <w:spacing w:line="500" w:lineRule="exact"/>
        <w:rPr>
          <w:highlight w:val="none"/>
        </w:rPr>
      </w:pPr>
      <w:r>
        <w:rPr>
          <w:rFonts w:hint="eastAsia" w:ascii="宋体" w:hAnsi="宋体" w:cs="宋体"/>
          <w:snapToGrid w:val="0"/>
          <w:szCs w:val="36"/>
          <w:highlight w:val="none"/>
        </w:rPr>
        <w:t>第二章 招标需求</w:t>
      </w:r>
      <w:r>
        <w:rPr>
          <w:highlight w:val="none"/>
        </w:rPr>
        <w:tab/>
      </w:r>
      <w:r>
        <w:rPr>
          <w:highlight w:val="none"/>
        </w:rPr>
        <w:fldChar w:fldCharType="begin"/>
      </w:r>
      <w:r>
        <w:rPr>
          <w:highlight w:val="none"/>
        </w:rPr>
        <w:instrText xml:space="preserve"> PAGEREF _Toc191062758 </w:instrText>
      </w:r>
      <w:r>
        <w:rPr>
          <w:highlight w:val="none"/>
        </w:rPr>
        <w:fldChar w:fldCharType="separate"/>
      </w:r>
      <w:r>
        <w:rPr>
          <w:highlight w:val="none"/>
        </w:rPr>
        <w:t>- 6 -</w:t>
      </w:r>
      <w:r>
        <w:rPr>
          <w:highlight w:val="none"/>
        </w:rPr>
        <w:fldChar w:fldCharType="end"/>
      </w:r>
    </w:p>
    <w:p>
      <w:pPr>
        <w:pStyle w:val="21"/>
        <w:tabs>
          <w:tab w:val="right" w:leader="dot" w:pos="9412"/>
        </w:tabs>
        <w:spacing w:line="500" w:lineRule="exact"/>
        <w:rPr>
          <w:rFonts w:hint="default" w:eastAsia="宋体"/>
          <w:highlight w:val="none"/>
          <w:lang w:val="en-US" w:eastAsia="zh-CN"/>
        </w:rPr>
      </w:pPr>
      <w:r>
        <w:rPr>
          <w:rFonts w:hint="eastAsia" w:ascii="宋体" w:hAnsi="宋体" w:cs="宋体"/>
          <w:snapToGrid w:val="0"/>
          <w:szCs w:val="36"/>
          <w:highlight w:val="none"/>
        </w:rPr>
        <w:t>第三章 投标人须知</w:t>
      </w:r>
      <w:r>
        <w:rPr>
          <w:highlight w:val="none"/>
        </w:rPr>
        <w:tab/>
      </w:r>
      <w:r>
        <w:rPr>
          <w:rFonts w:hint="eastAsia"/>
          <w:highlight w:val="none"/>
          <w:lang w:val="en-US" w:eastAsia="zh-CN"/>
        </w:rPr>
        <w:t>30</w:t>
      </w:r>
    </w:p>
    <w:p>
      <w:pPr>
        <w:pStyle w:val="21"/>
        <w:tabs>
          <w:tab w:val="right" w:leader="dot" w:pos="9412"/>
        </w:tabs>
        <w:spacing w:line="500" w:lineRule="exact"/>
        <w:rPr>
          <w:rFonts w:hint="default" w:eastAsia="宋体"/>
          <w:highlight w:val="none"/>
          <w:lang w:val="en-US" w:eastAsia="zh-CN"/>
        </w:rPr>
      </w:pPr>
      <w:r>
        <w:rPr>
          <w:rFonts w:hint="eastAsia" w:ascii="宋体" w:hAnsi="宋体" w:cs="宋体"/>
          <w:snapToGrid w:val="0"/>
          <w:szCs w:val="36"/>
          <w:highlight w:val="none"/>
        </w:rPr>
        <w:t>第四章 评标办法及标准</w:t>
      </w:r>
      <w:r>
        <w:rPr>
          <w:highlight w:val="none"/>
        </w:rPr>
        <w:tab/>
      </w:r>
      <w:r>
        <w:rPr>
          <w:rFonts w:hint="eastAsia"/>
          <w:highlight w:val="none"/>
          <w:lang w:val="en-US" w:eastAsia="zh-CN"/>
        </w:rPr>
        <w:t>47</w:t>
      </w:r>
    </w:p>
    <w:p>
      <w:pPr>
        <w:pStyle w:val="21"/>
        <w:tabs>
          <w:tab w:val="right" w:leader="dot" w:pos="9412"/>
        </w:tabs>
        <w:spacing w:line="500" w:lineRule="exact"/>
        <w:rPr>
          <w:rFonts w:hint="default" w:eastAsia="宋体"/>
          <w:highlight w:val="none"/>
          <w:lang w:val="en-US" w:eastAsia="zh-CN"/>
        </w:rPr>
      </w:pPr>
      <w:r>
        <w:rPr>
          <w:rFonts w:hint="eastAsia" w:ascii="宋体" w:hAnsi="宋体" w:cs="宋体"/>
          <w:snapToGrid w:val="0"/>
          <w:szCs w:val="36"/>
          <w:highlight w:val="none"/>
        </w:rPr>
        <w:t>第五章 合同主要条款</w:t>
      </w:r>
      <w:r>
        <w:rPr>
          <w:highlight w:val="none"/>
        </w:rPr>
        <w:tab/>
      </w:r>
      <w:r>
        <w:rPr>
          <w:rFonts w:hint="eastAsia"/>
          <w:highlight w:val="none"/>
          <w:lang w:val="en-US" w:eastAsia="zh-CN"/>
        </w:rPr>
        <w:t>51</w:t>
      </w:r>
    </w:p>
    <w:p>
      <w:pPr>
        <w:pStyle w:val="21"/>
        <w:tabs>
          <w:tab w:val="right" w:leader="dot" w:pos="9412"/>
        </w:tabs>
        <w:spacing w:line="500" w:lineRule="exact"/>
        <w:rPr>
          <w:rFonts w:hint="default" w:eastAsia="宋体"/>
          <w:highlight w:val="none"/>
          <w:lang w:val="en-US" w:eastAsia="zh-CN"/>
        </w:rPr>
      </w:pPr>
      <w:r>
        <w:rPr>
          <w:rFonts w:hint="eastAsia" w:ascii="宋体" w:hAnsi="宋体" w:cs="宋体"/>
          <w:snapToGrid w:val="0"/>
          <w:szCs w:val="36"/>
          <w:highlight w:val="none"/>
        </w:rPr>
        <w:t>第六章 投标文件的格式</w:t>
      </w:r>
      <w:r>
        <w:rPr>
          <w:highlight w:val="none"/>
        </w:rPr>
        <w:tab/>
      </w:r>
      <w:r>
        <w:rPr>
          <w:rFonts w:hint="eastAsia"/>
          <w:highlight w:val="none"/>
          <w:lang w:val="en-US" w:eastAsia="zh-CN"/>
        </w:rPr>
        <w:t>55</w:t>
      </w:r>
    </w:p>
    <w:p>
      <w:pPr>
        <w:pStyle w:val="4"/>
        <w:spacing w:line="500" w:lineRule="exact"/>
        <w:jc w:val="center"/>
        <w:rPr>
          <w:rFonts w:ascii="宋体" w:hAnsi="宋体" w:cs="宋体"/>
          <w:b w:val="0"/>
          <w:bCs w:val="0"/>
          <w:kern w:val="2"/>
          <w:sz w:val="24"/>
          <w:szCs w:val="24"/>
          <w:highlight w:val="none"/>
        </w:rPr>
      </w:pPr>
      <w:r>
        <w:rPr>
          <w:rFonts w:hint="eastAsia" w:ascii="宋体" w:hAnsi="宋体" w:cs="宋体"/>
          <w:bCs w:val="0"/>
          <w:kern w:val="2"/>
          <w:szCs w:val="24"/>
          <w:highlight w:val="none"/>
        </w:rPr>
        <w:fldChar w:fldCharType="end"/>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43"/>
        <w:rPr>
          <w:highlight w:val="none"/>
        </w:rPr>
      </w:pPr>
    </w:p>
    <w:p>
      <w:pPr>
        <w:pStyle w:val="43"/>
        <w:rPr>
          <w:highlight w:val="none"/>
        </w:rPr>
      </w:pPr>
    </w:p>
    <w:p>
      <w:pPr>
        <w:pStyle w:val="43"/>
        <w:rPr>
          <w:highlight w:val="none"/>
        </w:rPr>
      </w:pPr>
    </w:p>
    <w:p>
      <w:pPr>
        <w:pStyle w:val="43"/>
        <w:rPr>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2"/>
        <w:ind w:firstLine="210"/>
        <w:rPr>
          <w:rFonts w:ascii="宋体" w:hAnsi="宋体" w:cs="宋体"/>
          <w:highlight w:val="none"/>
        </w:rPr>
      </w:pPr>
    </w:p>
    <w:p>
      <w:pPr>
        <w:pStyle w:val="4"/>
        <w:spacing w:line="240" w:lineRule="auto"/>
        <w:jc w:val="center"/>
        <w:rPr>
          <w:rFonts w:ascii="宋体" w:hAnsi="宋体" w:cs="宋体"/>
          <w:b w:val="0"/>
          <w:bCs w:val="0"/>
          <w:kern w:val="2"/>
          <w:sz w:val="36"/>
          <w:szCs w:val="36"/>
          <w:highlight w:val="none"/>
        </w:rPr>
      </w:pPr>
      <w:bookmarkStart w:id="1" w:name="_Toc16068"/>
      <w:bookmarkStart w:id="2" w:name="_Toc25049"/>
      <w:bookmarkStart w:id="3" w:name="_Toc26811"/>
      <w:bookmarkStart w:id="4" w:name="_Toc31677"/>
      <w:bookmarkStart w:id="5" w:name="_Toc2057921334"/>
      <w:r>
        <w:rPr>
          <w:rFonts w:hint="eastAsia" w:ascii="宋体" w:hAnsi="宋体" w:cs="宋体"/>
          <w:snapToGrid w:val="0"/>
          <w:sz w:val="36"/>
          <w:szCs w:val="36"/>
          <w:highlight w:val="none"/>
        </w:rPr>
        <w:t>第一章 招标公告</w:t>
      </w:r>
      <w:bookmarkEnd w:id="0"/>
      <w:bookmarkEnd w:id="1"/>
      <w:bookmarkEnd w:id="2"/>
      <w:bookmarkEnd w:id="3"/>
      <w:bookmarkEnd w:id="4"/>
      <w:bookmarkEnd w:id="5"/>
    </w:p>
    <w:tbl>
      <w:tblPr>
        <w:tblStyle w:val="32"/>
        <w:tblpPr w:leftFromText="180" w:rightFromText="180" w:vertAnchor="text" w:tblpX="210" w:tblpY="294"/>
        <w:tblOverlap w:val="never"/>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9189" w:type="dxa"/>
          </w:tcPr>
          <w:p>
            <w:pPr>
              <w:spacing w:line="400" w:lineRule="exact"/>
              <w:rPr>
                <w:rFonts w:ascii="宋体" w:hAnsi="宋体" w:cs="宋体"/>
                <w:szCs w:val="21"/>
                <w:highlight w:val="none"/>
              </w:rPr>
            </w:pPr>
            <w:bookmarkStart w:id="6" w:name="OLE_LINK3"/>
            <w:bookmarkStart w:id="7" w:name="_Toc317341935"/>
            <w:bookmarkStart w:id="8" w:name="_Toc222632752"/>
            <w:r>
              <w:rPr>
                <w:rFonts w:hint="eastAsia" w:ascii="宋体" w:hAnsi="宋体" w:cs="宋体"/>
                <w:b/>
                <w:bCs/>
                <w:szCs w:val="21"/>
                <w:highlight w:val="none"/>
              </w:rPr>
              <w:t>项目概况</w:t>
            </w:r>
          </w:p>
          <w:p>
            <w:pPr>
              <w:spacing w:line="400" w:lineRule="exact"/>
              <w:rPr>
                <w:rFonts w:ascii="宋体" w:hAnsi="宋体" w:cs="宋体"/>
                <w:szCs w:val="21"/>
                <w:highlight w:val="none"/>
              </w:rPr>
            </w:pPr>
            <w:r>
              <w:rPr>
                <w:rFonts w:hint="eastAsia" w:ascii="宋体" w:hAnsi="宋体" w:cs="宋体"/>
                <w:szCs w:val="21"/>
                <w:highlight w:val="none"/>
                <w:lang w:eastAsia="zh-CN"/>
              </w:rPr>
              <w:t>安吉县食品药品检验检测中心离子色谱仪设备供货与安装政府采购项目</w:t>
            </w:r>
            <w:r>
              <w:rPr>
                <w:rFonts w:hint="eastAsia" w:ascii="宋体" w:hAnsi="宋体" w:cs="宋体"/>
                <w:szCs w:val="21"/>
                <w:highlight w:val="none"/>
              </w:rPr>
              <w:t xml:space="preserve">的潜在投标人应在政府采购云平台http://www.zcygov.cn（以下简称“政采云平台”）；获取（下载）招标文件，并于 </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18</w:t>
            </w:r>
            <w:r>
              <w:rPr>
                <w:rFonts w:hint="eastAsia" w:ascii="宋体" w:hAnsi="宋体" w:cs="宋体"/>
                <w:szCs w:val="21"/>
                <w:highlight w:val="none"/>
              </w:rPr>
              <w:t>日</w:t>
            </w:r>
            <w:r>
              <w:rPr>
                <w:rFonts w:hint="eastAsia" w:ascii="宋体" w:hAnsi="宋体" w:cs="宋体"/>
                <w:szCs w:val="21"/>
                <w:highlight w:val="none"/>
                <w:lang w:val="en-US" w:eastAsia="zh-CN"/>
              </w:rPr>
              <w:t>14</w:t>
            </w:r>
            <w:r>
              <w:rPr>
                <w:rFonts w:hint="eastAsia" w:ascii="宋体" w:hAnsi="宋体" w:cs="宋体"/>
                <w:szCs w:val="21"/>
                <w:highlight w:val="none"/>
              </w:rPr>
              <w:t>:</w:t>
            </w:r>
            <w:r>
              <w:rPr>
                <w:rFonts w:hint="eastAsia" w:ascii="宋体" w:hAnsi="宋体" w:cs="宋体"/>
                <w:szCs w:val="21"/>
                <w:highlight w:val="none"/>
                <w:lang w:val="en-US" w:eastAsia="zh-CN"/>
              </w:rPr>
              <w:t>00</w:t>
            </w:r>
            <w:r>
              <w:rPr>
                <w:rFonts w:hint="eastAsia" w:ascii="宋体" w:hAnsi="宋体" w:cs="宋体"/>
                <w:szCs w:val="21"/>
                <w:highlight w:val="none"/>
              </w:rPr>
              <w:t xml:space="preserve">（北京时间）前递交（上传）投标文件。 </w:t>
            </w:r>
          </w:p>
        </w:tc>
      </w:tr>
    </w:tbl>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 xml:space="preserve">一、项目基本情况  </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项目编号：</w:t>
      </w:r>
      <w:r>
        <w:rPr>
          <w:rFonts w:hint="eastAsia" w:ascii="宋体" w:hAnsi="宋体" w:cs="宋体"/>
          <w:szCs w:val="21"/>
          <w:highlight w:val="none"/>
          <w:lang w:eastAsia="zh-CN"/>
        </w:rPr>
        <w:t>JCGK2024-006</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项目名称：</w:t>
      </w:r>
      <w:r>
        <w:rPr>
          <w:rFonts w:hint="eastAsia" w:ascii="宋体" w:hAnsi="宋体" w:cs="宋体"/>
          <w:szCs w:val="21"/>
          <w:highlight w:val="none"/>
          <w:lang w:eastAsia="zh-CN"/>
        </w:rPr>
        <w:t>安吉县食品药品检验检测中心离子色谱仪设备供货与安装政府采购项目</w:t>
      </w:r>
    </w:p>
    <w:p>
      <w:pPr>
        <w:spacing w:line="400" w:lineRule="exact"/>
        <w:ind w:firstLine="840" w:firstLineChars="400"/>
        <w:rPr>
          <w:rFonts w:hint="default" w:ascii="宋体" w:hAnsi="宋体" w:cs="宋体"/>
          <w:szCs w:val="21"/>
          <w:highlight w:val="none"/>
          <w:lang w:val="en-US"/>
        </w:rPr>
      </w:pPr>
      <w:r>
        <w:rPr>
          <w:rFonts w:hint="eastAsia" w:ascii="宋体" w:hAnsi="宋体" w:cs="宋体"/>
          <w:szCs w:val="21"/>
          <w:highlight w:val="none"/>
        </w:rPr>
        <w:t>预算金额（元）：</w:t>
      </w:r>
      <w:r>
        <w:rPr>
          <w:rFonts w:hint="eastAsia" w:ascii="宋体" w:hAnsi="宋体" w:cs="宋体"/>
          <w:szCs w:val="21"/>
          <w:highlight w:val="none"/>
          <w:lang w:val="en-US" w:eastAsia="zh-CN"/>
        </w:rPr>
        <w:t>320000</w:t>
      </w:r>
    </w:p>
    <w:p>
      <w:pPr>
        <w:spacing w:line="400" w:lineRule="exact"/>
        <w:ind w:firstLine="420" w:firstLineChars="200"/>
        <w:rPr>
          <w:rFonts w:hint="default" w:ascii="宋体" w:hAnsi="宋体" w:cs="宋体"/>
          <w:szCs w:val="21"/>
          <w:highlight w:val="none"/>
          <w:lang w:val="en-US"/>
        </w:rPr>
      </w:pPr>
      <w:r>
        <w:rPr>
          <w:rFonts w:hint="eastAsia" w:ascii="宋体" w:hAnsi="宋体" w:cs="宋体"/>
          <w:szCs w:val="21"/>
          <w:highlight w:val="none"/>
        </w:rPr>
        <w:t xml:space="preserve">    最高限价（元）：</w:t>
      </w:r>
      <w:r>
        <w:rPr>
          <w:rFonts w:hint="eastAsia" w:ascii="宋体" w:hAnsi="宋体" w:cs="宋体"/>
          <w:szCs w:val="21"/>
          <w:highlight w:val="none"/>
          <w:lang w:val="en-US" w:eastAsia="zh-CN"/>
        </w:rPr>
        <w:t>320000</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采购需求：</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w:t>
      </w:r>
      <w:r>
        <w:rPr>
          <w:rFonts w:hint="eastAsia" w:ascii="宋体" w:hAnsi="宋体" w:cs="宋体"/>
          <w:szCs w:val="21"/>
          <w:highlight w:val="none"/>
          <w:lang w:eastAsia="zh-CN"/>
        </w:rPr>
        <w:t>标项一</w:t>
      </w:r>
    </w:p>
    <w:p>
      <w:pPr>
        <w:spacing w:line="400" w:lineRule="exact"/>
        <w:ind w:firstLine="840" w:firstLineChars="400"/>
        <w:rPr>
          <w:rFonts w:hint="eastAsia" w:ascii="宋体" w:hAnsi="宋体" w:eastAsia="宋体" w:cs="宋体"/>
          <w:szCs w:val="21"/>
          <w:highlight w:val="none"/>
          <w:lang w:eastAsia="zh-CN"/>
        </w:rPr>
      </w:pPr>
      <w:r>
        <w:rPr>
          <w:rFonts w:hint="eastAsia" w:ascii="宋体" w:hAnsi="宋体" w:cs="宋体"/>
          <w:szCs w:val="21"/>
          <w:highlight w:val="none"/>
        </w:rPr>
        <w:t xml:space="preserve">标项名称: </w:t>
      </w:r>
      <w:r>
        <w:rPr>
          <w:rFonts w:hint="eastAsia" w:ascii="宋体" w:hAnsi="宋体" w:cs="宋体"/>
          <w:szCs w:val="21"/>
          <w:highlight w:val="none"/>
          <w:lang w:eastAsia="zh-CN"/>
        </w:rPr>
        <w:t>安吉县食品药品检验检测中心离子色谱仪设备供货与安装</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数量: </w:t>
      </w:r>
      <w:r>
        <w:rPr>
          <w:rFonts w:hint="eastAsia" w:ascii="宋体" w:hAnsi="宋体" w:cs="宋体"/>
          <w:szCs w:val="21"/>
          <w:highlight w:val="none"/>
          <w:lang w:val="en-US" w:eastAsia="zh-CN"/>
        </w:rPr>
        <w:t>1项</w:t>
      </w:r>
      <w:r>
        <w:rPr>
          <w:rFonts w:hint="eastAsia" w:ascii="宋体" w:hAnsi="宋体" w:cs="宋体"/>
          <w:szCs w:val="21"/>
          <w:highlight w:val="none"/>
        </w:rPr>
        <w:t xml:space="preserve">  </w:t>
      </w:r>
    </w:p>
    <w:p>
      <w:pPr>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 xml:space="preserve">    预算金额（元）:</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    简要规格描述或项目基本概况介绍、用途：</w:t>
      </w:r>
      <w:r>
        <w:rPr>
          <w:rFonts w:hint="eastAsia" w:ascii="宋体" w:hAnsi="宋体" w:cs="宋体"/>
          <w:szCs w:val="21"/>
          <w:highlight w:val="none"/>
          <w:lang w:eastAsia="zh-CN"/>
        </w:rPr>
        <w:t>包括离子色谱仪设备供货与安装等</w:t>
      </w:r>
      <w:r>
        <w:rPr>
          <w:rFonts w:hint="eastAsia" w:ascii="宋体" w:hAnsi="宋体" w:cs="宋体"/>
          <w:szCs w:val="21"/>
          <w:highlight w:val="none"/>
        </w:rPr>
        <w:t>，</w:t>
      </w:r>
      <w:r>
        <w:rPr>
          <w:rFonts w:hint="eastAsia" w:ascii="宋体" w:hAnsi="宋体" w:cs="宋体"/>
          <w:szCs w:val="21"/>
          <w:highlight w:val="none"/>
          <w:lang w:eastAsia="zh-CN"/>
        </w:rPr>
        <w:t>具体内容及</w:t>
      </w:r>
      <w:r>
        <w:rPr>
          <w:rFonts w:hint="eastAsia" w:ascii="宋体" w:hAnsi="宋体" w:cs="宋体"/>
          <w:szCs w:val="21"/>
          <w:highlight w:val="none"/>
        </w:rPr>
        <w:t>要求详见招标文件。</w:t>
      </w:r>
    </w:p>
    <w:p>
      <w:pPr>
        <w:spacing w:line="400" w:lineRule="exact"/>
        <w:ind w:firstLine="840" w:firstLineChars="400"/>
        <w:rPr>
          <w:rFonts w:ascii="宋体" w:hAnsi="宋体" w:cs="宋体"/>
          <w:szCs w:val="21"/>
          <w:highlight w:val="none"/>
        </w:rPr>
      </w:pPr>
      <w:r>
        <w:rPr>
          <w:rFonts w:hint="eastAsia" w:ascii="宋体" w:hAnsi="宋体" w:cs="宋体"/>
          <w:szCs w:val="21"/>
          <w:highlight w:val="none"/>
        </w:rPr>
        <w:t>备注：投标报价不得超</w:t>
      </w:r>
      <w:r>
        <w:rPr>
          <w:rFonts w:hint="eastAsia" w:ascii="宋体" w:hAnsi="宋体" w:cs="宋体"/>
          <w:szCs w:val="21"/>
          <w:highlight w:val="none"/>
          <w:lang w:eastAsia="zh-CN"/>
        </w:rPr>
        <w:t>最高限价</w:t>
      </w:r>
      <w:r>
        <w:rPr>
          <w:rFonts w:hint="eastAsia" w:ascii="宋体" w:hAnsi="宋体" w:cs="宋体"/>
          <w:szCs w:val="21"/>
          <w:highlight w:val="none"/>
        </w:rPr>
        <w:t>，否则投标无效。</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合同履约期限：标项 1，</w:t>
      </w:r>
      <w:r>
        <w:rPr>
          <w:rFonts w:hint="eastAsia" w:ascii="宋体" w:hAnsi="宋体" w:cs="宋体"/>
          <w:szCs w:val="21"/>
          <w:highlight w:val="none"/>
          <w:lang w:val="en-US" w:eastAsia="zh-CN"/>
        </w:rPr>
        <w:t>中标人须</w:t>
      </w:r>
      <w:r>
        <w:rPr>
          <w:rFonts w:hint="eastAsia" w:ascii="宋体" w:hAnsi="宋体" w:eastAsia="宋体" w:cs="宋体"/>
          <w:szCs w:val="21"/>
          <w:highlight w:val="none"/>
          <w:lang w:val="en-US" w:eastAsia="zh-CN"/>
        </w:rPr>
        <w:t>在</w:t>
      </w:r>
      <w:r>
        <w:rPr>
          <w:rFonts w:hint="eastAsia" w:ascii="宋体" w:hAnsi="宋体" w:cs="宋体"/>
          <w:szCs w:val="21"/>
          <w:highlight w:val="none"/>
          <w:lang w:val="en-US" w:eastAsia="zh-CN"/>
        </w:rPr>
        <w:t>合同签订后30</w:t>
      </w:r>
      <w:r>
        <w:rPr>
          <w:rFonts w:hint="eastAsia" w:ascii="宋体" w:hAnsi="宋体" w:eastAsia="宋体" w:cs="宋体"/>
          <w:szCs w:val="21"/>
          <w:highlight w:val="none"/>
          <w:lang w:val="en-US" w:eastAsia="zh-CN"/>
        </w:rPr>
        <w:t>天内完成供货、安装、调试及验收等所有建设工作</w:t>
      </w:r>
      <w:r>
        <w:rPr>
          <w:rFonts w:hint="eastAsia" w:ascii="宋体" w:hAnsi="宋体" w:cs="宋体"/>
          <w:szCs w:val="21"/>
          <w:highlight w:val="none"/>
        </w:rPr>
        <w:t>。</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本项目（否）接受联合体投标。</w:t>
      </w:r>
    </w:p>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二、申请人的资格要求：</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1.满足《中华人民共和国政府采购法》第二十二条规定；未被“信用中国”（www.creditchina.gov.cn)、中国政府采购网（www.ccgp.gov.cn）列入失信被执行人、重大税收违法失信主体、政府采购严重违法失信行为记录名单。</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2.落实政府采购政策需满足的资格要求：</w:t>
      </w:r>
      <w:r>
        <w:rPr>
          <w:rFonts w:hint="eastAsia" w:ascii="宋体" w:hAnsi="宋体" w:cs="宋体"/>
          <w:szCs w:val="21"/>
          <w:highlight w:val="none"/>
          <w:lang w:eastAsia="zh-CN"/>
        </w:rPr>
        <w:t>本项目专门面向中小（小微）企业采购，中小微型企业（监狱企业、残疾人福利性单位视同小微企业）应按照采购文件附件的格式要求在资格证明文件中提供《中小企业声明函》</w:t>
      </w:r>
      <w:r>
        <w:rPr>
          <w:rFonts w:hint="eastAsia"/>
          <w:highlight w:val="none"/>
          <w:lang w:eastAsia="zh-CN"/>
        </w:rPr>
        <w:t>。</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3.本项目的特定资格要求：</w:t>
      </w:r>
      <w:r>
        <w:rPr>
          <w:rFonts w:hint="eastAsia" w:ascii="宋体" w:hAnsi="宋体" w:cs="宋体"/>
          <w:szCs w:val="21"/>
          <w:highlight w:val="none"/>
          <w:lang w:eastAsia="zh-CN"/>
        </w:rPr>
        <w:t>无。</w:t>
      </w:r>
    </w:p>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 xml:space="preserve">三、获取招标文件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时间：/至</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18</w:t>
      </w:r>
      <w:r>
        <w:rPr>
          <w:rFonts w:hint="eastAsia" w:ascii="宋体" w:hAnsi="宋体" w:cs="宋体"/>
          <w:szCs w:val="21"/>
          <w:highlight w:val="none"/>
        </w:rPr>
        <w:t>日 ，每天上午00:00至12:00 ，下午12:00至23:59（北京时间，线上获取法定节假日均可，线下获取文件法定节假日除外）</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地点（网址）：政府采购云平台http://www.zcygov.cn（以下简称“政采云平台”）；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方式：本项目采购文件实行“政采云平台”在线获取，不提供采购文件纸质版。投标人获取采购文件前应先完成“政采云平台”的账号注册，同时办理CA数字证书申领； 潜在投标人登陆“政采云平台”，在线申请获取采购文件（进入“项目采购”应用，在获取采购文件菜单中选择项目，申请获取采购文件，本项目采购文件不收取工本费；仅需浏览采购文件的投标人可点击“游客，浏览采购文件”直接下载采购文件浏览）；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售价（元）：0 </w:t>
      </w:r>
    </w:p>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四、提交投标文件截止时间、开标时间和地点</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提交投标文件截止时间：</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18</w:t>
      </w:r>
      <w:r>
        <w:rPr>
          <w:rFonts w:hint="eastAsia" w:ascii="宋体" w:hAnsi="宋体" w:cs="宋体"/>
          <w:szCs w:val="21"/>
          <w:highlight w:val="none"/>
        </w:rPr>
        <w:t>日</w:t>
      </w:r>
      <w:r>
        <w:rPr>
          <w:rFonts w:hint="eastAsia" w:ascii="宋体" w:hAnsi="宋体" w:cs="宋体"/>
          <w:szCs w:val="21"/>
          <w:highlight w:val="none"/>
          <w:lang w:val="en-US" w:eastAsia="zh-CN"/>
        </w:rPr>
        <w:t>14</w:t>
      </w:r>
      <w:r>
        <w:rPr>
          <w:rFonts w:hint="eastAsia" w:ascii="宋体" w:hAnsi="宋体" w:cs="宋体"/>
          <w:szCs w:val="21"/>
          <w:highlight w:val="none"/>
        </w:rPr>
        <w:t>：</w:t>
      </w:r>
      <w:r>
        <w:rPr>
          <w:rFonts w:hint="eastAsia" w:ascii="宋体" w:hAnsi="宋体" w:cs="宋体"/>
          <w:szCs w:val="21"/>
          <w:highlight w:val="none"/>
          <w:lang w:val="en-US" w:eastAsia="zh-CN"/>
        </w:rPr>
        <w:t>00</w:t>
      </w:r>
      <w:r>
        <w:rPr>
          <w:rFonts w:hint="eastAsia" w:ascii="宋体" w:hAnsi="宋体" w:cs="宋体"/>
          <w:szCs w:val="21"/>
          <w:highlight w:val="none"/>
        </w:rPr>
        <w:t>（北京时间）</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投标地点（网址）：通过“政府采购云平台（www.zcygov.cn）”实行在线投标及开标。 </w:t>
      </w:r>
    </w:p>
    <w:p>
      <w:pPr>
        <w:spacing w:line="40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rPr>
        <w:t xml:space="preserve">    开标时间：</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18</w:t>
      </w:r>
      <w:r>
        <w:rPr>
          <w:rFonts w:hint="eastAsia" w:ascii="宋体" w:hAnsi="宋体" w:cs="宋体"/>
          <w:szCs w:val="21"/>
          <w:highlight w:val="none"/>
        </w:rPr>
        <w:t>日</w:t>
      </w:r>
      <w:r>
        <w:rPr>
          <w:rFonts w:hint="eastAsia" w:ascii="宋体" w:hAnsi="宋体" w:cs="宋体"/>
          <w:szCs w:val="21"/>
          <w:highlight w:val="none"/>
          <w:lang w:val="en-US" w:eastAsia="zh-CN"/>
        </w:rPr>
        <w:t>14</w:t>
      </w:r>
      <w:r>
        <w:rPr>
          <w:rFonts w:hint="eastAsia" w:ascii="宋体" w:hAnsi="宋体" w:cs="宋体"/>
          <w:szCs w:val="21"/>
          <w:highlight w:val="none"/>
        </w:rPr>
        <w:t>：</w:t>
      </w:r>
      <w:r>
        <w:rPr>
          <w:rFonts w:hint="eastAsia" w:ascii="宋体" w:hAnsi="宋体" w:cs="宋体"/>
          <w:szCs w:val="21"/>
          <w:highlight w:val="none"/>
          <w:lang w:val="en-US" w:eastAsia="zh-CN"/>
        </w:rPr>
        <w:t>00</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开标地点（网址）：通过“政府采购云平台（www.zcygov.cn）”实行在线投标及开标。  </w:t>
      </w:r>
    </w:p>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 xml:space="preserve">五、公告期限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自本公告发布之日起5个工作日。</w:t>
      </w:r>
    </w:p>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六、其他补充事宜</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00" w:lineRule="exact"/>
        <w:ind w:firstLine="840" w:firstLineChars="400"/>
        <w:rPr>
          <w:rFonts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00" w:lineRule="exact"/>
        <w:ind w:firstLine="840" w:firstLineChars="400"/>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投标人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840" w:firstLineChars="400"/>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 xml:space="preserve">.其他事项：1）、本项目执行的政府采购政策： 《政府采购促进中小企业发展管理办法》（财库﹝2020﹞46 号）； 《财政部、司法部关于政府采购支持监狱企业发展有关问题的通知》（财库〔2014〕68号）； 《国务院办公厅关于建立政府强制采购节能产品制度的通知》（国办发〔2007〕51号）； 《财政部、国家环保总局关于环境标志产品政府采购实施的意见》（财库[2006]90号）； 财政部民政部中国残疾人联合会《关于促进残疾人就业政府采购政策的通知》（财库〔2017〕141号）。 2）、资格审查： 本项目采用资格后审。3）本次采购有关信息发布媒介 浙江政府采购网 http://zfcg.czt.zj.gov.cn </w:t>
      </w:r>
      <w:r>
        <w:rPr>
          <w:rFonts w:hint="eastAsia" w:ascii="宋体" w:hAnsi="宋体" w:cs="宋体"/>
          <w:szCs w:val="21"/>
          <w:highlight w:val="none"/>
          <w:lang w:eastAsia="zh-CN"/>
        </w:rPr>
        <w:t>安吉县公共资源交易网</w:t>
      </w:r>
      <w:r>
        <w:rPr>
          <w:rFonts w:hint="eastAsia" w:ascii="宋体" w:hAnsi="宋体" w:cs="宋体"/>
          <w:szCs w:val="21"/>
          <w:highlight w:val="none"/>
        </w:rPr>
        <w:t xml:space="preserve"> </w:t>
      </w:r>
      <w:r>
        <w:rPr>
          <w:rFonts w:hint="eastAsia" w:ascii="宋体" w:hAnsi="宋体" w:cs="宋体"/>
          <w:szCs w:val="21"/>
          <w:highlight w:val="none"/>
          <w:lang w:eastAsia="zh-CN"/>
        </w:rPr>
        <w:t>http://www.anji.gov.cn/col/col1229656840/index.html</w:t>
      </w:r>
      <w:r>
        <w:rPr>
          <w:rFonts w:hint="eastAsia" w:ascii="宋体" w:hAnsi="宋体" w:cs="宋体"/>
          <w:szCs w:val="21"/>
          <w:highlight w:val="none"/>
        </w:rPr>
        <w:t xml:space="preserve"> 4）采购代理费用 由中标人支付。5）本采购项目中标单位与采购单位签订的政府采购合同适用于浙江省政府采购贷款政策，简称“政采贷”，具体内容可参阅《安吉财政“政采贷”办理指引》。网址：http://www.anji.gov.cn/art/2021/10/28/art_1229518630_3837633.html。</w:t>
      </w:r>
    </w:p>
    <w:p>
      <w:pPr>
        <w:spacing w:line="400" w:lineRule="exact"/>
        <w:ind w:firstLine="422" w:firstLineChars="200"/>
        <w:rPr>
          <w:rFonts w:ascii="宋体" w:hAnsi="宋体" w:cs="宋体"/>
          <w:b/>
          <w:bCs/>
          <w:szCs w:val="21"/>
          <w:highlight w:val="none"/>
        </w:rPr>
      </w:pPr>
      <w:r>
        <w:rPr>
          <w:rFonts w:hint="eastAsia" w:ascii="宋体" w:hAnsi="宋体" w:cs="宋体"/>
          <w:b/>
          <w:bCs/>
          <w:szCs w:val="21"/>
          <w:highlight w:val="none"/>
        </w:rPr>
        <w:t>七、对本次采购提出询问、质疑、投诉，请按以下方式联系</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1.采购人信息</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名    称：</w:t>
      </w:r>
      <w:r>
        <w:rPr>
          <w:rFonts w:hint="eastAsia" w:ascii="宋体" w:hAnsi="宋体" w:cs="宋体"/>
          <w:szCs w:val="21"/>
          <w:highlight w:val="none"/>
          <w:lang w:eastAsia="zh-CN"/>
        </w:rPr>
        <w:t>安吉县食品药品检验检测中心</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地    址：安吉县科技创业园食品药品检验检测中心</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传    真：/  </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    项目联系人（询问）：</w:t>
      </w:r>
      <w:r>
        <w:rPr>
          <w:rFonts w:hint="eastAsia" w:ascii="宋体" w:hAnsi="宋体" w:cs="宋体"/>
          <w:color w:val="auto"/>
          <w:szCs w:val="21"/>
          <w:highlight w:val="none"/>
          <w:lang w:val="en-US" w:eastAsia="zh-CN"/>
        </w:rPr>
        <w:t>朱柯仁</w:t>
      </w:r>
      <w:r>
        <w:rPr>
          <w:rFonts w:hint="eastAsia" w:ascii="宋体" w:hAnsi="宋体" w:cs="宋体"/>
          <w:szCs w:val="21"/>
          <w:highlight w:val="none"/>
        </w:rPr>
        <w:t xml:space="preserve">  </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    项目联系方式（询问）：0572-5318937</w:t>
      </w:r>
    </w:p>
    <w:p>
      <w:pPr>
        <w:spacing w:line="400" w:lineRule="exact"/>
        <w:ind w:firstLine="840" w:firstLineChars="400"/>
        <w:rPr>
          <w:rFonts w:hint="eastAsia" w:ascii="宋体" w:hAnsi="宋体" w:cs="宋体"/>
          <w:szCs w:val="21"/>
          <w:highlight w:val="none"/>
        </w:rPr>
      </w:pPr>
      <w:r>
        <w:rPr>
          <w:rFonts w:hint="eastAsia" w:ascii="宋体" w:hAnsi="宋体" w:cs="宋体"/>
          <w:szCs w:val="21"/>
          <w:highlight w:val="none"/>
        </w:rPr>
        <w:t xml:space="preserve">质疑联系人： </w:t>
      </w:r>
      <w:r>
        <w:rPr>
          <w:rFonts w:hint="eastAsia" w:ascii="宋体" w:hAnsi="宋体" w:cs="宋体"/>
          <w:szCs w:val="21"/>
          <w:highlight w:val="none"/>
          <w:lang w:eastAsia="zh-CN"/>
        </w:rPr>
        <w:t>张先生</w:t>
      </w:r>
      <w:r>
        <w:rPr>
          <w:rFonts w:hint="eastAsia" w:ascii="宋体" w:hAnsi="宋体" w:cs="宋体"/>
          <w:szCs w:val="21"/>
          <w:highlight w:val="none"/>
        </w:rPr>
        <w:t xml:space="preserve"> </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    质疑联系方式：0572-5318937</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2.采购代理机构信息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名    称：安吉精诚采购代理有限公司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地    址：安吉县昌硕街道云鸿东路68-70号（云鸿铭楼）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传    真：0572-5028961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项目联系人（询问）：宋涛</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项目联系方式（询问）：0572-</w:t>
      </w:r>
      <w:r>
        <w:rPr>
          <w:rFonts w:hint="eastAsia" w:ascii="宋体" w:hAnsi="宋体" w:cs="宋体"/>
          <w:szCs w:val="21"/>
          <w:highlight w:val="none"/>
          <w:lang w:val="en-US" w:eastAsia="zh-CN"/>
        </w:rPr>
        <w:t>5011113</w:t>
      </w:r>
      <w:r>
        <w:rPr>
          <w:rFonts w:hint="eastAsia" w:ascii="宋体" w:hAnsi="宋体" w:cs="宋体"/>
          <w:szCs w:val="21"/>
          <w:highlight w:val="none"/>
        </w:rPr>
        <w:t xml:space="preserve">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质疑联系人：</w:t>
      </w:r>
      <w:r>
        <w:rPr>
          <w:rFonts w:hint="eastAsia" w:ascii="宋体" w:hAnsi="宋体" w:cs="宋体"/>
          <w:szCs w:val="21"/>
          <w:highlight w:val="none"/>
          <w:lang w:eastAsia="zh-CN"/>
        </w:rPr>
        <w:t>丁卫飞</w:t>
      </w:r>
      <w:r>
        <w:rPr>
          <w:rFonts w:hint="eastAsia" w:ascii="宋体" w:hAnsi="宋体" w:cs="宋体"/>
          <w:szCs w:val="21"/>
          <w:highlight w:val="none"/>
        </w:rPr>
        <w:t xml:space="preserve">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    质疑联系方式：</w:t>
      </w:r>
      <w:r>
        <w:rPr>
          <w:rFonts w:hint="eastAsia" w:ascii="宋体" w:hAnsi="宋体" w:cs="宋体"/>
          <w:szCs w:val="21"/>
          <w:highlight w:val="none"/>
          <w:lang w:eastAsia="zh-CN"/>
        </w:rPr>
        <w:t>0572-5236715</w:t>
      </w:r>
      <w:r>
        <w:rPr>
          <w:rFonts w:hint="eastAsia" w:ascii="宋体" w:hAnsi="宋体" w:cs="宋体"/>
          <w:szCs w:val="21"/>
          <w:highlight w:val="none"/>
        </w:rPr>
        <w:t xml:space="preserve"> 　　　　　　     </w:t>
      </w:r>
    </w:p>
    <w:p>
      <w:pPr>
        <w:spacing w:line="40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    3.同级政府采购监督管理部门            </w:t>
      </w:r>
    </w:p>
    <w:p>
      <w:pPr>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    </w:t>
      </w:r>
      <w:bookmarkEnd w:id="6"/>
      <w:r>
        <w:rPr>
          <w:rFonts w:hint="eastAsia" w:ascii="宋体" w:hAnsi="宋体" w:cs="宋体"/>
          <w:szCs w:val="21"/>
          <w:highlight w:val="none"/>
        </w:rPr>
        <w:t xml:space="preserve">名    称：安吉县财政局             </w:t>
      </w:r>
    </w:p>
    <w:p>
      <w:pPr>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    地    址：浙江省湖州市安吉县凤凰路凤凰五区188号            </w:t>
      </w:r>
    </w:p>
    <w:p>
      <w:pPr>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    传    真：/             </w:t>
      </w:r>
    </w:p>
    <w:p>
      <w:pPr>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    联系人 ：</w:t>
      </w:r>
      <w:r>
        <w:rPr>
          <w:rFonts w:hint="eastAsia" w:ascii="宋体" w:hAnsi="宋体" w:cs="宋体"/>
          <w:highlight w:val="none"/>
        </w:rPr>
        <w:t>采监科王庭</w:t>
      </w:r>
      <w:r>
        <w:rPr>
          <w:rFonts w:hint="eastAsia" w:ascii="宋体" w:hAnsi="宋体" w:cs="宋体"/>
          <w:szCs w:val="21"/>
          <w:highlight w:val="none"/>
        </w:rPr>
        <w:t xml:space="preserve">              </w:t>
      </w:r>
    </w:p>
    <w:p>
      <w:pPr>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    监督投诉电话：0572-5807951</w:t>
      </w:r>
    </w:p>
    <w:p>
      <w:pPr>
        <w:spacing w:line="360" w:lineRule="exact"/>
        <w:ind w:firstLine="420" w:firstLineChars="200"/>
        <w:jc w:val="right"/>
        <w:rPr>
          <w:rFonts w:hint="eastAsia" w:ascii="宋体" w:hAnsi="宋体" w:cs="宋体"/>
          <w:szCs w:val="21"/>
          <w:highlight w:val="none"/>
          <w:lang w:eastAsia="zh-CN"/>
        </w:rPr>
      </w:pPr>
    </w:p>
    <w:p>
      <w:pPr>
        <w:spacing w:line="360" w:lineRule="exact"/>
        <w:ind w:firstLine="420" w:firstLineChars="200"/>
        <w:jc w:val="right"/>
        <w:rPr>
          <w:rFonts w:hint="eastAsia" w:ascii="宋体" w:hAnsi="宋体" w:cs="宋体"/>
          <w:szCs w:val="21"/>
          <w:highlight w:val="none"/>
          <w:lang w:eastAsia="zh-CN"/>
        </w:rPr>
      </w:pPr>
    </w:p>
    <w:p>
      <w:pPr>
        <w:spacing w:line="360" w:lineRule="exact"/>
        <w:ind w:firstLine="420" w:firstLineChars="200"/>
        <w:jc w:val="right"/>
        <w:rPr>
          <w:rFonts w:hint="eastAsia" w:ascii="宋体" w:hAnsi="宋体" w:eastAsia="宋体" w:cs="宋体"/>
          <w:szCs w:val="21"/>
          <w:highlight w:val="none"/>
          <w:lang w:eastAsia="zh-CN"/>
        </w:rPr>
      </w:pPr>
      <w:r>
        <w:rPr>
          <w:rFonts w:hint="eastAsia" w:ascii="宋体" w:hAnsi="宋体" w:cs="宋体"/>
          <w:szCs w:val="21"/>
          <w:highlight w:val="none"/>
          <w:lang w:eastAsia="zh-CN"/>
        </w:rPr>
        <w:t>安吉县食品药品检验检测中心</w:t>
      </w:r>
    </w:p>
    <w:p>
      <w:pPr>
        <w:spacing w:line="340" w:lineRule="exact"/>
        <w:ind w:firstLine="420" w:firstLineChars="200"/>
        <w:jc w:val="right"/>
        <w:rPr>
          <w:rFonts w:ascii="宋体" w:hAnsi="宋体" w:cs="宋体"/>
          <w:szCs w:val="21"/>
          <w:highlight w:val="none"/>
        </w:rPr>
      </w:pPr>
      <w:r>
        <w:rPr>
          <w:rFonts w:hint="eastAsia" w:ascii="宋体" w:hAnsi="宋体" w:cs="宋体"/>
          <w:szCs w:val="21"/>
          <w:highlight w:val="none"/>
        </w:rPr>
        <w:t>安吉精诚采购代理有限公司</w:t>
      </w:r>
    </w:p>
    <w:p>
      <w:pPr>
        <w:spacing w:line="340" w:lineRule="exact"/>
        <w:ind w:firstLine="420" w:firstLineChars="200"/>
        <w:jc w:val="righ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w:t>
      </w:r>
    </w:p>
    <w:p>
      <w:pPr>
        <w:spacing w:line="340" w:lineRule="exact"/>
        <w:ind w:firstLine="420" w:firstLineChars="200"/>
        <w:jc w:val="right"/>
        <w:rPr>
          <w:rFonts w:ascii="宋体" w:hAnsi="宋体" w:cs="宋体"/>
          <w:szCs w:val="21"/>
          <w:highlight w:val="none"/>
        </w:rPr>
      </w:pPr>
    </w:p>
    <w:p>
      <w:pPr>
        <w:pStyle w:val="4"/>
        <w:spacing w:line="240" w:lineRule="auto"/>
        <w:jc w:val="center"/>
        <w:rPr>
          <w:rFonts w:hint="eastAsia" w:ascii="宋体" w:hAnsi="宋体" w:cs="宋体"/>
          <w:snapToGrid w:val="0"/>
          <w:sz w:val="36"/>
          <w:szCs w:val="36"/>
          <w:highlight w:val="none"/>
        </w:rPr>
      </w:pPr>
      <w:bookmarkStart w:id="9" w:name="_Toc4523"/>
      <w:bookmarkStart w:id="10" w:name="_Toc7117"/>
      <w:bookmarkStart w:id="11" w:name="_Toc22570"/>
      <w:bookmarkStart w:id="12" w:name="_Toc31379"/>
      <w:bookmarkStart w:id="13" w:name="_Toc191062758"/>
    </w:p>
    <w:p>
      <w:pPr>
        <w:rPr>
          <w:rFonts w:hint="eastAsia" w:ascii="宋体" w:hAnsi="宋体" w:cs="宋体"/>
          <w:snapToGrid w:val="0"/>
          <w:sz w:val="36"/>
          <w:szCs w:val="36"/>
          <w:highlight w:val="none"/>
        </w:rPr>
      </w:pPr>
    </w:p>
    <w:p>
      <w:pPr>
        <w:rPr>
          <w:rFonts w:hint="eastAsia" w:ascii="宋体" w:hAnsi="宋体" w:cs="宋体"/>
          <w:snapToGrid w:val="0"/>
          <w:sz w:val="36"/>
          <w:szCs w:val="36"/>
          <w:highlight w:val="none"/>
        </w:rPr>
      </w:pPr>
    </w:p>
    <w:p>
      <w:pPr>
        <w:pStyle w:val="4"/>
        <w:spacing w:line="240" w:lineRule="auto"/>
        <w:jc w:val="center"/>
        <w:rPr>
          <w:rFonts w:ascii="宋体" w:hAnsi="宋体" w:cs="宋体"/>
          <w:snapToGrid w:val="0"/>
          <w:sz w:val="36"/>
          <w:szCs w:val="36"/>
          <w:highlight w:val="none"/>
        </w:rPr>
      </w:pPr>
      <w:r>
        <w:rPr>
          <w:rFonts w:hint="eastAsia" w:ascii="宋体" w:hAnsi="宋体" w:cs="宋体"/>
          <w:snapToGrid w:val="0"/>
          <w:sz w:val="36"/>
          <w:szCs w:val="36"/>
          <w:highlight w:val="none"/>
        </w:rPr>
        <w:t xml:space="preserve">第二章  </w:t>
      </w:r>
      <w:bookmarkEnd w:id="7"/>
      <w:bookmarkEnd w:id="9"/>
      <w:r>
        <w:rPr>
          <w:rFonts w:hint="eastAsia" w:ascii="宋体" w:hAnsi="宋体" w:cs="宋体"/>
          <w:snapToGrid w:val="0"/>
          <w:sz w:val="36"/>
          <w:szCs w:val="36"/>
          <w:highlight w:val="none"/>
        </w:rPr>
        <w:t>招标</w:t>
      </w:r>
      <w:bookmarkStart w:id="302" w:name="_GoBack"/>
      <w:bookmarkEnd w:id="302"/>
      <w:r>
        <w:rPr>
          <w:rFonts w:hint="eastAsia" w:ascii="宋体" w:hAnsi="宋体" w:cs="宋体"/>
          <w:snapToGrid w:val="0"/>
          <w:sz w:val="36"/>
          <w:szCs w:val="36"/>
          <w:highlight w:val="none"/>
        </w:rPr>
        <w:t>需求</w:t>
      </w:r>
      <w:bookmarkEnd w:id="10"/>
      <w:bookmarkEnd w:id="11"/>
      <w:bookmarkEnd w:id="12"/>
      <w:bookmarkEnd w:id="13"/>
      <w:bookmarkStart w:id="14" w:name="_Toc435954913"/>
      <w:bookmarkStart w:id="15" w:name="_Toc317341936"/>
    </w:p>
    <w:bookmarkEnd w:id="14"/>
    <w:p>
      <w:pPr>
        <w:pStyle w:val="5"/>
        <w:keepNext w:val="0"/>
        <w:keepLines w:val="0"/>
        <w:spacing w:line="500" w:lineRule="exact"/>
        <w:rPr>
          <w:rFonts w:ascii="宋体" w:hAnsi="宋体" w:eastAsia="宋体" w:cs="宋体"/>
          <w:bCs w:val="0"/>
          <w:sz w:val="24"/>
          <w:szCs w:val="24"/>
          <w:highlight w:val="none"/>
        </w:rPr>
      </w:pPr>
      <w:bookmarkStart w:id="16" w:name="_Toc24449"/>
      <w:bookmarkStart w:id="17" w:name="_Toc406664504"/>
      <w:bookmarkStart w:id="18" w:name="_Toc18981"/>
      <w:bookmarkStart w:id="19" w:name="_Toc32753"/>
      <w:bookmarkStart w:id="20" w:name="_Toc353802750"/>
      <w:r>
        <w:rPr>
          <w:rFonts w:hint="eastAsia" w:ascii="宋体" w:hAnsi="宋体" w:eastAsia="宋体" w:cs="宋体"/>
          <w:bCs w:val="0"/>
          <w:sz w:val="24"/>
          <w:szCs w:val="24"/>
          <w:highlight w:val="none"/>
        </w:rPr>
        <w:t>一、项目概况</w:t>
      </w:r>
      <w:bookmarkEnd w:id="16"/>
      <w:bookmarkEnd w:id="17"/>
      <w:bookmarkEnd w:id="18"/>
      <w:bookmarkEnd w:id="19"/>
      <w:bookmarkEnd w:id="20"/>
    </w:p>
    <w:p>
      <w:pPr>
        <w:spacing w:line="440" w:lineRule="exact"/>
        <w:ind w:firstLine="420" w:firstLineChars="200"/>
        <w:rPr>
          <w:rFonts w:hint="eastAsia" w:ascii="宋体" w:hAnsi="宋体" w:eastAsia="宋体" w:cs="宋体"/>
          <w:szCs w:val="21"/>
          <w:highlight w:val="none"/>
          <w:lang w:eastAsia="zh-CN"/>
        </w:rPr>
      </w:pPr>
      <w:bookmarkStart w:id="21" w:name="_Toc244048888"/>
      <w:bookmarkStart w:id="22" w:name="_Toc2598"/>
      <w:bookmarkStart w:id="23" w:name="_Toc19810"/>
      <w:r>
        <w:rPr>
          <w:rFonts w:hint="eastAsia" w:ascii="宋体" w:hAnsi="宋体" w:cs="宋体"/>
          <w:szCs w:val="21"/>
          <w:highlight w:val="none"/>
        </w:rPr>
        <w:t>1、项目名称：</w:t>
      </w:r>
      <w:r>
        <w:rPr>
          <w:rFonts w:hint="eastAsia" w:ascii="宋体" w:hAnsi="宋体" w:cs="宋体"/>
          <w:szCs w:val="21"/>
          <w:highlight w:val="none"/>
          <w:lang w:eastAsia="zh-CN"/>
        </w:rPr>
        <w:t>安吉县食品药品检验检测中心离子色谱仪设备供货与安装政府采购项目</w:t>
      </w:r>
    </w:p>
    <w:p>
      <w:pPr>
        <w:spacing w:line="44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2、项目编号：</w:t>
      </w:r>
      <w:r>
        <w:rPr>
          <w:rFonts w:hint="eastAsia" w:ascii="宋体" w:hAnsi="宋体" w:cs="宋体"/>
          <w:szCs w:val="21"/>
          <w:highlight w:val="none"/>
          <w:lang w:eastAsia="zh-CN"/>
        </w:rPr>
        <w:t>JCGK2024-006</w:t>
      </w:r>
    </w:p>
    <w:p>
      <w:pPr>
        <w:spacing w:line="44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3、采购人：</w:t>
      </w:r>
      <w:r>
        <w:rPr>
          <w:rFonts w:hint="eastAsia" w:ascii="宋体" w:hAnsi="宋体" w:cs="宋体"/>
          <w:szCs w:val="21"/>
          <w:highlight w:val="none"/>
          <w:lang w:eastAsia="zh-CN"/>
        </w:rPr>
        <w:t>安吉县食品药品检验检测中心</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4、采购方式：公开招标</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5、采购组织类型：分散采购委托代理</w:t>
      </w:r>
    </w:p>
    <w:p>
      <w:pPr>
        <w:rPr>
          <w:rFonts w:hint="eastAsia"/>
          <w:highlight w:val="none"/>
        </w:rPr>
      </w:pPr>
    </w:p>
    <w:p>
      <w:pPr>
        <w:pStyle w:val="5"/>
        <w:keepNext w:val="0"/>
        <w:keepLines w:val="0"/>
        <w:spacing w:line="500" w:lineRule="exact"/>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rPr>
        <w:t>二、</w:t>
      </w:r>
      <w:r>
        <w:rPr>
          <w:rFonts w:hint="eastAsia" w:ascii="宋体" w:hAnsi="宋体" w:eastAsia="宋体" w:cs="宋体"/>
          <w:bCs w:val="0"/>
          <w:sz w:val="24"/>
          <w:szCs w:val="24"/>
          <w:highlight w:val="none"/>
          <w:lang w:eastAsia="zh-CN"/>
        </w:rPr>
        <w:t>采购</w:t>
      </w:r>
      <w:r>
        <w:rPr>
          <w:rFonts w:hint="eastAsia" w:ascii="宋体" w:hAnsi="宋体" w:eastAsia="宋体" w:cs="宋体"/>
          <w:bCs w:val="0"/>
          <w:sz w:val="24"/>
          <w:szCs w:val="24"/>
          <w:highlight w:val="none"/>
        </w:rPr>
        <w:t>项目</w:t>
      </w:r>
      <w:bookmarkEnd w:id="21"/>
      <w:bookmarkEnd w:id="22"/>
      <w:bookmarkEnd w:id="23"/>
      <w:r>
        <w:rPr>
          <w:rFonts w:hint="eastAsia" w:ascii="宋体" w:hAnsi="宋体" w:eastAsia="宋体" w:cs="宋体"/>
          <w:bCs w:val="0"/>
          <w:sz w:val="24"/>
          <w:szCs w:val="24"/>
          <w:highlight w:val="none"/>
          <w:lang w:eastAsia="zh-CN"/>
        </w:rPr>
        <w:t>要求</w:t>
      </w:r>
    </w:p>
    <w:p>
      <w:pPr>
        <w:numPr>
          <w:ilvl w:val="0"/>
          <w:numId w:val="0"/>
        </w:numPr>
        <w:tabs>
          <w:tab w:val="left" w:pos="0"/>
        </w:tabs>
        <w:spacing w:line="400" w:lineRule="exact"/>
        <w:rPr>
          <w:rFonts w:hint="eastAsia" w:cs="宋体"/>
          <w:color w:val="auto"/>
          <w:szCs w:val="21"/>
          <w:highlight w:val="none"/>
        </w:rPr>
      </w:pPr>
      <w:bookmarkStart w:id="24" w:name="_Toc180046740"/>
      <w:bookmarkStart w:id="25" w:name="_Toc2470"/>
      <w:r>
        <w:rPr>
          <w:rFonts w:hint="eastAsia" w:cs="宋体"/>
          <w:color w:val="auto"/>
          <w:szCs w:val="21"/>
          <w:highlight w:val="none"/>
          <w:lang w:val="en-US" w:eastAsia="zh-CN"/>
        </w:rPr>
        <w:t>1、</w:t>
      </w:r>
      <w:r>
        <w:rPr>
          <w:rFonts w:hint="eastAsia" w:cs="宋体"/>
          <w:color w:val="auto"/>
          <w:szCs w:val="21"/>
          <w:highlight w:val="none"/>
        </w:rPr>
        <w:t>采购内容一览表：</w:t>
      </w:r>
    </w:p>
    <w:tbl>
      <w:tblPr>
        <w:tblStyle w:val="3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615"/>
        <w:gridCol w:w="4320"/>
        <w:gridCol w:w="100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33" w:type="dxa"/>
            <w:noWrap w:val="0"/>
            <w:vAlign w:val="center"/>
          </w:tcPr>
          <w:p>
            <w:pPr>
              <w:spacing w:line="440" w:lineRule="exact"/>
              <w:jc w:val="center"/>
              <w:rPr>
                <w:rFonts w:hint="eastAsia" w:ascii="宋体" w:hAnsi="宋体" w:eastAsia="宋体" w:cs="宋体"/>
                <w:bCs/>
                <w:szCs w:val="21"/>
                <w:highlight w:val="none"/>
                <w:lang w:eastAsia="zh-CN"/>
              </w:rPr>
            </w:pPr>
            <w:r>
              <w:rPr>
                <w:rFonts w:hint="eastAsia" w:ascii="宋体" w:hAnsi="宋体" w:cs="宋体"/>
                <w:bCs/>
                <w:szCs w:val="21"/>
                <w:highlight w:val="none"/>
                <w:lang w:eastAsia="zh-CN"/>
              </w:rPr>
              <w:t>序号</w:t>
            </w:r>
          </w:p>
        </w:tc>
        <w:tc>
          <w:tcPr>
            <w:tcW w:w="1615" w:type="dxa"/>
            <w:noWrap w:val="0"/>
            <w:vAlign w:val="center"/>
          </w:tcPr>
          <w:p>
            <w:pPr>
              <w:spacing w:line="44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名称</w:t>
            </w:r>
          </w:p>
        </w:tc>
        <w:tc>
          <w:tcPr>
            <w:tcW w:w="4320" w:type="dxa"/>
            <w:noWrap w:val="0"/>
            <w:vAlign w:val="center"/>
          </w:tcPr>
          <w:p>
            <w:pPr>
              <w:spacing w:line="440" w:lineRule="exact"/>
              <w:jc w:val="center"/>
              <w:rPr>
                <w:rFonts w:hint="eastAsia" w:ascii="宋体" w:hAnsi="宋体" w:eastAsia="宋体" w:cs="宋体"/>
                <w:bCs/>
                <w:szCs w:val="21"/>
                <w:highlight w:val="none"/>
              </w:rPr>
            </w:pPr>
            <w:r>
              <w:rPr>
                <w:rFonts w:hint="eastAsia" w:ascii="宋体" w:hAnsi="宋体" w:cs="宋体"/>
                <w:bCs/>
                <w:szCs w:val="21"/>
                <w:highlight w:val="none"/>
                <w:lang w:eastAsia="zh-CN"/>
              </w:rPr>
              <w:t>采购内容</w:t>
            </w:r>
          </w:p>
        </w:tc>
        <w:tc>
          <w:tcPr>
            <w:tcW w:w="1005" w:type="dxa"/>
            <w:noWrap w:val="0"/>
            <w:vAlign w:val="center"/>
          </w:tcPr>
          <w:p>
            <w:pPr>
              <w:spacing w:line="440" w:lineRule="exact"/>
              <w:ind w:firstLine="0" w:firstLineChars="0"/>
              <w:jc w:val="center"/>
              <w:rPr>
                <w:rFonts w:hint="eastAsia" w:ascii="宋体" w:hAnsi="宋体" w:eastAsia="宋体" w:cs="宋体"/>
                <w:bCs/>
                <w:szCs w:val="21"/>
                <w:highlight w:val="none"/>
              </w:rPr>
            </w:pPr>
            <w:r>
              <w:rPr>
                <w:rFonts w:hint="eastAsia" w:ascii="宋体" w:hAnsi="宋体" w:eastAsia="宋体" w:cs="宋体"/>
                <w:bCs/>
                <w:szCs w:val="21"/>
                <w:highlight w:val="none"/>
              </w:rPr>
              <w:t>数量</w:t>
            </w:r>
          </w:p>
        </w:tc>
        <w:tc>
          <w:tcPr>
            <w:tcW w:w="1425" w:type="dxa"/>
            <w:noWrap w:val="0"/>
            <w:vAlign w:val="center"/>
          </w:tcPr>
          <w:p>
            <w:pPr>
              <w:spacing w:line="440" w:lineRule="exact"/>
              <w:ind w:firstLine="0" w:firstLineChars="0"/>
              <w:jc w:val="center"/>
              <w:rPr>
                <w:rFonts w:hint="eastAsia" w:ascii="宋体" w:hAnsi="宋体" w:eastAsia="宋体" w:cs="宋体"/>
                <w:bCs/>
                <w:szCs w:val="21"/>
                <w:highlight w:val="none"/>
                <w:lang w:eastAsia="zh-CN"/>
              </w:rPr>
            </w:pPr>
            <w:r>
              <w:rPr>
                <w:rFonts w:hint="eastAsia" w:ascii="宋体" w:hAnsi="宋体" w:cs="宋体"/>
                <w:bCs/>
                <w:szCs w:val="21"/>
                <w:highlight w:val="none"/>
                <w:lang w:eastAsia="zh-CN"/>
              </w:rPr>
              <w:t>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33" w:type="dxa"/>
            <w:noWrap w:val="0"/>
            <w:vAlign w:val="center"/>
          </w:tcPr>
          <w:p>
            <w:pPr>
              <w:spacing w:line="440" w:lineRule="exact"/>
              <w:jc w:val="center"/>
              <w:rPr>
                <w:rFonts w:hint="eastAsia" w:ascii="宋体" w:hAnsi="宋体" w:eastAsia="宋体" w:cs="宋体"/>
                <w:bCs/>
                <w:szCs w:val="21"/>
                <w:highlight w:val="none"/>
                <w:lang w:val="en-US" w:eastAsia="zh-CN"/>
              </w:rPr>
            </w:pPr>
            <w:r>
              <w:rPr>
                <w:rFonts w:hint="eastAsia" w:ascii="宋体" w:hAnsi="宋体" w:cs="宋体"/>
                <w:bCs/>
                <w:szCs w:val="21"/>
                <w:highlight w:val="none"/>
                <w:lang w:val="en-US" w:eastAsia="zh-CN"/>
              </w:rPr>
              <w:t>1</w:t>
            </w:r>
          </w:p>
        </w:tc>
        <w:tc>
          <w:tcPr>
            <w:tcW w:w="1615" w:type="dxa"/>
            <w:noWrap w:val="0"/>
            <w:vAlign w:val="center"/>
          </w:tcPr>
          <w:p>
            <w:pPr>
              <w:widowControl/>
              <w:spacing w:line="440" w:lineRule="exact"/>
              <w:jc w:val="center"/>
              <w:rPr>
                <w:rFonts w:hint="eastAsia" w:ascii="宋体" w:hAnsi="宋体" w:eastAsia="宋体" w:cs="宋体"/>
                <w:sz w:val="21"/>
                <w:szCs w:val="21"/>
                <w:highlight w:val="none"/>
                <w:lang w:val="en-US" w:eastAsia="zh-CN"/>
              </w:rPr>
            </w:pPr>
            <w:r>
              <w:rPr>
                <w:rFonts w:hint="eastAsia" w:ascii="宋体" w:hAnsi="宋体" w:cs="宋体"/>
                <w:szCs w:val="21"/>
                <w:highlight w:val="none"/>
                <w:lang w:eastAsia="zh-CN"/>
              </w:rPr>
              <w:t>离子色谱仪</w:t>
            </w:r>
          </w:p>
        </w:tc>
        <w:tc>
          <w:tcPr>
            <w:tcW w:w="4320" w:type="dxa"/>
            <w:noWrap w:val="0"/>
            <w:vAlign w:val="center"/>
          </w:tcPr>
          <w:p>
            <w:pPr>
              <w:widowControl/>
              <w:spacing w:line="440" w:lineRule="exact"/>
              <w:jc w:val="lef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具体技术参数及要求详见采购文件。</w:t>
            </w:r>
          </w:p>
        </w:tc>
        <w:tc>
          <w:tcPr>
            <w:tcW w:w="1005" w:type="dxa"/>
            <w:noWrap w:val="0"/>
            <w:vAlign w:val="center"/>
          </w:tcPr>
          <w:p>
            <w:pPr>
              <w:widowControl/>
              <w:spacing w:line="44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1台</w:t>
            </w:r>
          </w:p>
        </w:tc>
        <w:tc>
          <w:tcPr>
            <w:tcW w:w="1425" w:type="dxa"/>
            <w:noWrap w:val="0"/>
            <w:vAlign w:val="center"/>
          </w:tcPr>
          <w:p>
            <w:pPr>
              <w:widowControl/>
              <w:spacing w:line="440" w:lineRule="exac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833" w:type="dxa"/>
            <w:noWrap w:val="0"/>
            <w:vAlign w:val="center"/>
          </w:tcPr>
          <w:p>
            <w:pPr>
              <w:spacing w:line="44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注</w:t>
            </w:r>
          </w:p>
        </w:tc>
        <w:tc>
          <w:tcPr>
            <w:tcW w:w="8365" w:type="dxa"/>
            <w:gridSpan w:val="4"/>
            <w:noWrap w:val="0"/>
            <w:vAlign w:val="center"/>
          </w:tcPr>
          <w:p>
            <w:pPr>
              <w:numPr>
                <w:ilvl w:val="0"/>
                <w:numId w:val="0"/>
              </w:numPr>
              <w:spacing w:line="440" w:lineRule="exact"/>
              <w:ind w:left="0" w:firstLine="0"/>
              <w:rPr>
                <w:rFonts w:hint="eastAsia" w:ascii="宋体" w:hAnsi="宋体" w:eastAsia="宋体" w:cs="宋体"/>
                <w:szCs w:val="21"/>
                <w:highlight w:val="none"/>
              </w:rPr>
            </w:pPr>
            <w:r>
              <w:rPr>
                <w:rFonts w:hint="eastAsia" w:ascii="宋体" w:hAnsi="宋体" w:eastAsia="宋体" w:cs="宋体"/>
                <w:szCs w:val="21"/>
                <w:highlight w:val="none"/>
                <w:lang w:val="en-US" w:eastAsia="zh-CN"/>
              </w:rPr>
              <w:t>1、投标</w:t>
            </w:r>
            <w:r>
              <w:rPr>
                <w:rFonts w:hint="eastAsia" w:ascii="宋体" w:hAnsi="宋体" w:eastAsia="宋体" w:cs="宋体"/>
                <w:szCs w:val="21"/>
                <w:highlight w:val="none"/>
              </w:rPr>
              <w:t>报价不得高于</w:t>
            </w:r>
            <w:r>
              <w:rPr>
                <w:rFonts w:hint="eastAsia" w:ascii="宋体" w:hAnsi="宋体" w:cs="宋体"/>
                <w:szCs w:val="21"/>
                <w:highlight w:val="none"/>
                <w:lang w:eastAsia="zh-CN"/>
              </w:rPr>
              <w:t>控制价</w:t>
            </w:r>
            <w:r>
              <w:rPr>
                <w:rFonts w:hint="eastAsia" w:ascii="宋体" w:hAnsi="宋体" w:eastAsia="宋体" w:cs="宋体"/>
                <w:szCs w:val="21"/>
                <w:highlight w:val="none"/>
              </w:rPr>
              <w:t>，否则</w:t>
            </w:r>
            <w:r>
              <w:rPr>
                <w:rFonts w:hint="eastAsia" w:ascii="宋体" w:hAnsi="宋体" w:eastAsia="宋体" w:cs="宋体"/>
                <w:szCs w:val="21"/>
                <w:highlight w:val="none"/>
                <w:lang w:eastAsia="zh-CN"/>
              </w:rPr>
              <w:t>投标</w:t>
            </w:r>
            <w:r>
              <w:rPr>
                <w:rFonts w:hint="eastAsia" w:ascii="宋体" w:hAnsi="宋体" w:eastAsia="宋体" w:cs="宋体"/>
                <w:szCs w:val="21"/>
                <w:highlight w:val="none"/>
              </w:rPr>
              <w:t>无效。</w:t>
            </w:r>
          </w:p>
          <w:p>
            <w:pPr>
              <w:numPr>
                <w:ilvl w:val="0"/>
                <w:numId w:val="0"/>
              </w:numPr>
              <w:spacing w:line="440" w:lineRule="exact"/>
              <w:ind w:left="0" w:firstLine="0"/>
              <w:rPr>
                <w:rFonts w:hint="eastAsia" w:ascii="宋体" w:hAnsi="宋体" w:eastAsia="宋体" w:cs="宋体"/>
                <w:szCs w:val="21"/>
                <w:highlight w:val="none"/>
              </w:rPr>
            </w:pPr>
            <w:r>
              <w:rPr>
                <w:rFonts w:hint="eastAsia" w:ascii="宋体" w:hAnsi="宋体" w:eastAsia="宋体" w:cs="宋体"/>
                <w:szCs w:val="21"/>
                <w:highlight w:val="none"/>
                <w:lang w:val="en-US" w:eastAsia="zh-CN"/>
              </w:rPr>
              <w:t>2、投标</w:t>
            </w:r>
            <w:r>
              <w:rPr>
                <w:rFonts w:hint="eastAsia" w:ascii="宋体" w:hAnsi="宋体" w:eastAsia="宋体" w:cs="宋体"/>
                <w:szCs w:val="21"/>
                <w:highlight w:val="none"/>
              </w:rPr>
              <w:t>报价应包括货款、标准附件、备品备件、专用工具、包装、运输、装卸、保险、税金、货到就位以及</w:t>
            </w:r>
            <w:r>
              <w:rPr>
                <w:rFonts w:hint="eastAsia" w:ascii="宋体" w:hAnsi="宋体" w:eastAsia="宋体" w:cs="宋体"/>
                <w:szCs w:val="21"/>
                <w:highlight w:val="none"/>
                <w:lang w:val="en-US" w:eastAsia="zh-CN"/>
              </w:rPr>
              <w:t>施工</w:t>
            </w:r>
            <w:r>
              <w:rPr>
                <w:rFonts w:hint="eastAsia" w:ascii="宋体" w:hAnsi="宋体" w:eastAsia="宋体" w:cs="宋体"/>
                <w:szCs w:val="21"/>
                <w:highlight w:val="none"/>
              </w:rPr>
              <w:t>安装、调试、培训、保修、售后服务</w:t>
            </w:r>
            <w:r>
              <w:rPr>
                <w:rFonts w:hint="eastAsia" w:ascii="宋体" w:hAnsi="宋体" w:cs="宋体"/>
                <w:szCs w:val="21"/>
                <w:highlight w:val="none"/>
                <w:lang w:eastAsia="zh-CN"/>
              </w:rPr>
              <w:t>、采购代理费</w:t>
            </w:r>
            <w:r>
              <w:rPr>
                <w:rFonts w:hint="eastAsia" w:ascii="宋体" w:hAnsi="宋体" w:eastAsia="宋体" w:cs="宋体"/>
                <w:szCs w:val="21"/>
                <w:highlight w:val="none"/>
              </w:rPr>
              <w:t>等与本项目有关的一切费用。</w:t>
            </w:r>
          </w:p>
          <w:p>
            <w:pPr>
              <w:numPr>
                <w:ilvl w:val="0"/>
                <w:numId w:val="0"/>
              </w:numPr>
              <w:spacing w:line="440" w:lineRule="exact"/>
              <w:ind w:left="0" w:firstLine="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3、供货期：</w:t>
            </w:r>
            <w:r>
              <w:rPr>
                <w:rFonts w:hint="eastAsia" w:ascii="宋体" w:hAnsi="宋体" w:cs="宋体"/>
                <w:szCs w:val="21"/>
                <w:highlight w:val="none"/>
                <w:lang w:val="en-US" w:eastAsia="zh-CN"/>
              </w:rPr>
              <w:t>中标人须在签订合同后30</w:t>
            </w:r>
            <w:r>
              <w:rPr>
                <w:rFonts w:hint="eastAsia" w:ascii="宋体" w:hAnsi="宋体" w:eastAsia="宋体" w:cs="宋体"/>
                <w:szCs w:val="21"/>
                <w:highlight w:val="none"/>
                <w:lang w:val="en-US" w:eastAsia="zh-CN"/>
              </w:rPr>
              <w:t>天内完成供货、安装、调试及验收等所有建设工作</w:t>
            </w:r>
            <w:r>
              <w:rPr>
                <w:rFonts w:hint="eastAsia" w:ascii="宋体" w:hAnsi="宋体" w:eastAsia="宋体" w:cs="宋体"/>
                <w:szCs w:val="21"/>
                <w:highlight w:val="none"/>
                <w:lang w:eastAsia="zh-CN"/>
              </w:rPr>
              <w:t>。</w:t>
            </w:r>
          </w:p>
        </w:tc>
      </w:tr>
    </w:tbl>
    <w:p>
      <w:pPr>
        <w:rPr>
          <w:rFonts w:hint="eastAsia"/>
          <w:highlight w:val="none"/>
        </w:rPr>
      </w:pPr>
    </w:p>
    <w:p>
      <w:pPr>
        <w:pStyle w:val="5"/>
        <w:keepNext w:val="0"/>
        <w:numPr>
          <w:ilvl w:val="255"/>
          <w:numId w:val="0"/>
        </w:numPr>
        <w:spacing w:line="500" w:lineRule="exac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三、</w:t>
      </w:r>
      <w:bookmarkEnd w:id="24"/>
      <w:r>
        <w:rPr>
          <w:rFonts w:hint="eastAsia" w:ascii="宋体" w:hAnsi="宋体" w:eastAsia="宋体" w:cs="宋体"/>
          <w:sz w:val="24"/>
          <w:szCs w:val="24"/>
          <w:highlight w:val="none"/>
          <w:lang w:eastAsia="zh-CN"/>
        </w:rPr>
        <w:t>技术参数及规格要求</w:t>
      </w:r>
    </w:p>
    <w:p>
      <w:pPr>
        <w:keepNext w:val="0"/>
        <w:numPr>
          <w:ilvl w:val="0"/>
          <w:numId w:val="0"/>
        </w:numPr>
        <w:tabs>
          <w:tab w:val="left" w:pos="420"/>
        </w:tabs>
        <w:spacing w:line="440" w:lineRule="exact"/>
        <w:ind w:firstLine="422" w:firstLineChars="200"/>
        <w:jc w:val="lef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w:t>
      </w:r>
      <w:r>
        <w:rPr>
          <w:rFonts w:hint="eastAsia" w:ascii="宋体" w:hAnsi="宋体" w:cs="宋体"/>
          <w:b/>
          <w:bCs/>
          <w:sz w:val="21"/>
          <w:szCs w:val="21"/>
          <w:highlight w:val="none"/>
          <w:lang w:val="en-US" w:eastAsia="zh-CN"/>
        </w:rPr>
        <w:t>、</w:t>
      </w:r>
      <w:r>
        <w:rPr>
          <w:rFonts w:hint="eastAsia" w:ascii="宋体" w:hAnsi="宋体" w:eastAsia="宋体" w:cs="宋体"/>
          <w:b/>
          <w:bCs/>
          <w:sz w:val="21"/>
          <w:szCs w:val="21"/>
          <w:highlight w:val="none"/>
          <w:lang w:val="en-US" w:eastAsia="zh-CN"/>
        </w:rPr>
        <w:t>离子色谱仪用途与功能</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仪器满足GB5009.34-2022食品中二氧化硫的离子色谱法的检测。 </w:t>
      </w:r>
    </w:p>
    <w:p>
      <w:pPr>
        <w:keepNext w:val="0"/>
        <w:numPr>
          <w:ilvl w:val="0"/>
          <w:numId w:val="0"/>
        </w:numPr>
        <w:tabs>
          <w:tab w:val="left" w:pos="420"/>
        </w:tabs>
        <w:spacing w:line="440" w:lineRule="exact"/>
        <w:ind w:firstLine="422" w:firstLineChars="200"/>
        <w:jc w:val="lef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2</w:t>
      </w:r>
      <w:r>
        <w:rPr>
          <w:rFonts w:hint="eastAsia" w:ascii="宋体" w:hAnsi="宋体" w:cs="宋体"/>
          <w:b/>
          <w:bCs/>
          <w:sz w:val="21"/>
          <w:szCs w:val="21"/>
          <w:highlight w:val="none"/>
          <w:lang w:val="en-US" w:eastAsia="zh-CN"/>
        </w:rPr>
        <w:t>、</w:t>
      </w:r>
      <w:r>
        <w:rPr>
          <w:rFonts w:hint="eastAsia" w:ascii="宋体" w:hAnsi="宋体" w:eastAsia="宋体" w:cs="宋体"/>
          <w:b/>
          <w:bCs/>
          <w:sz w:val="21"/>
          <w:szCs w:val="21"/>
          <w:highlight w:val="none"/>
          <w:lang w:val="en-US" w:eastAsia="zh-CN"/>
        </w:rPr>
        <w:t>仪器配置：</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一体化离子色谱系统：包括高压泵1套，内置柱温箱1套，保护柱1套，阴离子色谱柱1套，阴离子自再生微膜抑制器</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套，电导检测器1套，内置六通阀1套/自动进样器1套，软件操作系统1套</w:t>
      </w:r>
      <w:r>
        <w:rPr>
          <w:rFonts w:hint="eastAsia" w:ascii="宋体" w:hAnsi="宋体" w:cs="宋体"/>
          <w:sz w:val="21"/>
          <w:szCs w:val="21"/>
          <w:highlight w:val="none"/>
          <w:lang w:val="en-US" w:eastAsia="zh-CN"/>
        </w:rPr>
        <w:t>（配套台式电脑1台和打印机1台）</w:t>
      </w:r>
      <w:r>
        <w:rPr>
          <w:rFonts w:hint="eastAsia" w:ascii="宋体" w:hAnsi="宋体" w:eastAsia="宋体" w:cs="宋体"/>
          <w:sz w:val="21"/>
          <w:szCs w:val="21"/>
          <w:highlight w:val="none"/>
          <w:lang w:val="en-US" w:eastAsia="zh-CN"/>
        </w:rPr>
        <w:t>，报警传感器1套，内置淋洗液发生器1套，水蒸气发生装置1套</w:t>
      </w:r>
      <w:r>
        <w:rPr>
          <w:rFonts w:hint="eastAsia" w:ascii="宋体" w:hAnsi="宋体" w:cs="宋体"/>
          <w:sz w:val="21"/>
          <w:szCs w:val="21"/>
          <w:highlight w:val="none"/>
          <w:lang w:val="en-US" w:eastAsia="zh-CN"/>
        </w:rPr>
        <w:t>，氮气发生器1套，全自动一体化蒸馏仪1台</w:t>
      </w:r>
      <w:r>
        <w:rPr>
          <w:rFonts w:hint="eastAsia" w:ascii="宋体" w:hAnsi="宋体" w:eastAsia="宋体" w:cs="宋体"/>
          <w:sz w:val="21"/>
          <w:szCs w:val="21"/>
          <w:highlight w:val="none"/>
          <w:lang w:val="en-US" w:eastAsia="zh-CN"/>
        </w:rPr>
        <w:t>。</w:t>
      </w:r>
    </w:p>
    <w:p>
      <w:pPr>
        <w:keepNext w:val="0"/>
        <w:numPr>
          <w:ilvl w:val="0"/>
          <w:numId w:val="0"/>
        </w:numPr>
        <w:tabs>
          <w:tab w:val="left" w:pos="420"/>
        </w:tabs>
        <w:spacing w:line="440" w:lineRule="exact"/>
        <w:ind w:firstLine="422" w:firstLineChars="200"/>
        <w:jc w:val="lef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w:t>
      </w:r>
      <w:r>
        <w:rPr>
          <w:rFonts w:hint="eastAsia" w:ascii="宋体" w:hAnsi="宋体" w:cs="宋体"/>
          <w:b/>
          <w:bCs/>
          <w:sz w:val="21"/>
          <w:szCs w:val="21"/>
          <w:highlight w:val="none"/>
          <w:lang w:val="en-US" w:eastAsia="zh-CN"/>
        </w:rPr>
        <w:t>、</w:t>
      </w:r>
      <w:r>
        <w:rPr>
          <w:rFonts w:hint="eastAsia" w:ascii="宋体" w:hAnsi="宋体" w:eastAsia="宋体" w:cs="宋体"/>
          <w:b/>
          <w:bCs/>
          <w:sz w:val="21"/>
          <w:szCs w:val="21"/>
          <w:highlight w:val="none"/>
          <w:lang w:val="en-US" w:eastAsia="zh-CN"/>
        </w:rPr>
        <w:t>性能及技术参数要求</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3.1泵</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3.1.1 泵头及管路均为化学惰性非金属PEEK材质，适合pH为0～14的淋洗液及反相有机溶剂；</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3.1.2最大耐压：42MPa（peek材质）；</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3.1.3压力显示精度：≤0.1MPa；</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3.1.4流量设定值允许误差：≤0.1% ；</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3.1.5流量稳定性：≤0.1% ；</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3.1.6压力波动：≤0.5%；</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3.1.7标配自动后冲洗系统，可以对柱塞杆和密封圈进行自动清洗，减少密封圈的磨损，延长泵的维护周期（提供系统部件的照片）</w:t>
      </w:r>
      <w:r>
        <w:rPr>
          <w:rFonts w:hint="eastAsia" w:ascii="宋体" w:hAnsi="宋体" w:cs="宋体"/>
          <w:sz w:val="21"/>
          <w:szCs w:val="21"/>
          <w:highlight w:val="none"/>
          <w:lang w:val="en-US" w:eastAsia="zh-CN"/>
        </w:rPr>
        <w:t>；</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3.1.8流量范围：0.001-9.999mL/min（无需更换泵头）；流量增幅：≤0.001 mL/min；</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3.1.9标配漏液传感器，可进行漏液报警。</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3.2电导检测器</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3.2.1 自动量程电导检测器，μg/L~g/L浓度范围信号直接拓展，无需调整量程；并具有离子色谱数据采集、数字信号传输、数据补偿装置，提供政府部门颁发的相关装置的技术证明材料。</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3.2.2全程信号输出范围：0-50000μS/cm，无需调整量程；</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3.2.2电导池独立控温，可通过工作软件单独设定电导池温度</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3.2.3基线噪声：0.002μS</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3.2.4基线漂移：≤0.008μS/30min，</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3.2.5最小检测浓度：Cl-≤0.0003μg/ml ；Li＋≤0.0001μg/mL；仪器线性:≥0.9999；（提供市级及以上计量单位检定证书证明文件）</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3.2.6仪器定性重复性（以Cl-计）：≤0.05%，仪器定量重复性（以Cl-计）：≤0.08%，（提供市级及以上计量单位计量检定证书证明文件）</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3.2.7电导池体积：≤0.6μL；</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3.2.8检测器耐受最大压力：≥8Mpa；</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3.2.9信号采集频率：信号采集频率可调，并且最大采集频率不低于100Hz。</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3.3抑制器</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3.3.1使用电解技术在线产生抑制所需的H+或OH-，不需通入酸、碱进行再生；</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3.3.2并联式再生液流路设计，再生液经抑制器内部管路同时向阴阳电极同时提供再生液，而不是经过一个电极后再达到另一个电极，流路压力低</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3.3.3高抑制容量：抑制容量200μeq/min(阴离子)；</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3.3.4耐压能力强，在高达6MPa情况下无泄漏，2MPa下正常运行；</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3.3.5死体积≤40μL，更灵敏的响应信号；</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3.3.6抑制器连接在离子色谱柱和电导检测器之间，不能以软件功能代替；</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3.3.7抑制器具备芯片识别技术，能够对抑制器运行数据实时监控，智能监测耗材使用寿命。（提供实物图片以及软件截图证明文件，作为验收指标）</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3.4色谱柱</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3.4.1 色谱柱能耐受pH 0-14的工作范围，可耐受3000 psi以上压力，100%兼容反相试剂,可以使用强酸强碱淋洗液。</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3.4.2 柱容量不小于200μeq/根。</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3.4.3 Cl-：NO2-的分离能力可达到10000:1，适用于高氯基体样品中痕量亚硝酸盐的分析。</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3.4.4 氢氧根体系色谱柱：一次进样，可在30分钟内完成17种以上离子的分离。（提供仪器生产厂家官方的相关证明）。</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3.4.5 色谱柱含有芯片，可以自动识别，具备软件监控功能。</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3.5工作站</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3.5.1基于数据库设计，产生的所有数据都存储在数据库中，数据自动备份机制，可使数据永久存储，支持Win10/win7/国产麒麟等操作系统，离子色谱仪主机和自动进样器等拓展部件的控制，以及数据采集和处理均使用同一个软件，在同一界面内实现，不会出现因软件和硬件不是同一个厂家在做实验时弹出各种弹窗；</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3.5.2软件能够根据不同用户ID分配不同的操作权限，实现可不同用户的分级权限管理，保证数据的安全性；</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3.5.3可采用柱状图、折线图、气泡图等多种形式显示数据点的趋势与离散度； </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3.5.4可实现对于序列当中每一针样品进行不同的色谱运行方法，积分方法，校准曲线，打印模板设置，提供软件设置截图证明文件。</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3.5.5可导出txt格式原始数据，以满足国外期刊用专门画图软件绘制谱图的需求。可输出PDF、EXCEL等格式数据，方便数据读取和传输；</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3.5.6软件允许对所有执行的操作（包括关于谁和何时执行的信息）进行查询操作，根据良好的实验室实践（GLP）规则，检查跟踪窗口用于记录工作站的各个操作；</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3.5.7工作站标配虚拟柱软件技术，模拟本公司不同色谱柱对不同离子的分离效果，可帮助进行快速方法开发及辅助未知物定性。可选配软件集成全功能版虚拟柱技术。（提供软件截图）。</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3.5.8一个软件即可控制多种仪器，并且可以同时控制离子色谱、液相色谱、原子荧光等多种数据采集。</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3.5.9具备审计追踪功能、电子签名功能，满足不同用户实际行业需求。</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3.5.10具备基线扣除功能，去除梯度洗脱导致的基线漂移，降低痕量检测数据的处理难度。</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3.6柱温箱</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3.6.1循环立体风热加温模式，可视化设计，无需拆卸即可观察色谱柱型号与运行状态；</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3.6.2温度控制范围：环境温度+5-85℃；</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3.6.3柱温箱温度设定值允许误差：≤±0.1℃；</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3.6.4温度稳定性：≤0.1℃/h。</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3.7淋洗液发生器</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3.7.1仪器需内置淋洗液发生器，无高浓度试剂暴露风险，只需通入纯水，通过控制电流即可产生所需浓度的淋洗液，而非不同溶液间的在线混合或稀释产生，从而可以实现等度和梯度淋洗；梯度产生于泵后，死体积小；</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3.7.2淋洗液种类：KOH；</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3.7.3淋洗液浓度范围：0.1-120 mM</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3.7.4梯度精度：&lt;0.2%；</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3.7.5工作站软件直接控制：在工作站软件仪器控制界面/仪器方法中直接输入所需淋洗液浓度，而非编写百分比等其他非浓度参数。</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3.8低压脱气装置</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3.8.1内置低压脱气装置，可实现淋洗液在线脱气，有效避免可见气泡进入泵内造成基线漂移或淋洗液不足时泵空转损坏；</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3.8.2在线低压脱气无需真空泵或超声等离线手工脱气，提高工作效率；</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3.8.3脱气效率：1.0mL/min时脱气90% ；</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3.8.4脱气体积：7.5mL。</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3.9气液分离器</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3.9.1标配气液分离器用于拦截进入流路的气泡；</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3.10自动进样器</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3.10.1三轴式自动进样器，无需人工值守，可连续完成进样，进样批次一致性高；</w:t>
      </w:r>
    </w:p>
    <w:p>
      <w:pPr>
        <w:keepNext w:val="0"/>
        <w:numPr>
          <w:ilvl w:val="0"/>
          <w:numId w:val="0"/>
        </w:numPr>
        <w:tabs>
          <w:tab w:val="left" w:pos="420"/>
        </w:tabs>
        <w:spacing w:line="440" w:lineRule="exact"/>
        <w:ind w:firstLine="422" w:firstLineChars="200"/>
        <w:jc w:val="left"/>
        <w:rPr>
          <w:rFonts w:hint="eastAsia" w:ascii="宋体" w:hAnsi="宋体" w:eastAsia="宋体" w:cs="宋体"/>
          <w:sz w:val="21"/>
          <w:szCs w:val="21"/>
          <w:highlight w:val="none"/>
          <w:lang w:val="en-US" w:eastAsia="zh-CN"/>
        </w:rPr>
      </w:pPr>
      <w:r>
        <w:rPr>
          <w:rFonts w:hint="eastAsia" w:ascii="宋体" w:hAnsi="宋体" w:cs="宋体"/>
          <w:b/>
          <w:szCs w:val="21"/>
          <w:highlight w:val="none"/>
        </w:rPr>
        <w:t>▲</w:t>
      </w:r>
      <w:r>
        <w:rPr>
          <w:rFonts w:hint="eastAsia" w:ascii="宋体" w:hAnsi="宋体" w:eastAsia="宋体" w:cs="宋体"/>
          <w:sz w:val="21"/>
          <w:szCs w:val="21"/>
          <w:highlight w:val="none"/>
          <w:lang w:val="en-US" w:eastAsia="zh-CN"/>
        </w:rPr>
        <w:t>3.10.2样品位数：≥120位；样品瓶体积≤2mL；具有部分进样以及自动稀释功能，可自动完成标准曲线测试，单一样品稀释倍数≥1000倍。可通过软件对每一针样品进行不同进样量设置。（提供截图证明文件，作为验收指标）。</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3.10.3最大进样量：500μL；</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3.10.4死体积＜200μL</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3.10.5进样方式：满足全定量环和部分定量环进样；不同进样量无需更换定量环。</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3.10.6适用流速＜2mL/min</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3.11安全报警装置</w:t>
      </w:r>
    </w:p>
    <w:p>
      <w:pPr>
        <w:keepNext w:val="0"/>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3.11.1对仪器进行多位点、实时监测，仪器发生低压、超压、漏液、纯水余量不足等情况时，仪器会自动报警，自动关停仪器处理。</w:t>
      </w:r>
      <w:r>
        <w:rPr>
          <w:rFonts w:hint="eastAsia" w:ascii="宋体" w:hAnsi="宋体" w:eastAsia="宋体" w:cs="宋体"/>
          <w:sz w:val="21"/>
          <w:szCs w:val="21"/>
          <w:highlight w:val="none"/>
          <w:lang w:val="en-US" w:eastAsia="zh-CN"/>
        </w:rPr>
        <w:tab/>
      </w:r>
    </w:p>
    <w:p>
      <w:pPr>
        <w:numPr>
          <w:ilvl w:val="0"/>
          <w:numId w:val="0"/>
        </w:numPr>
        <w:tabs>
          <w:tab w:val="left" w:pos="420"/>
        </w:tabs>
        <w:spacing w:line="44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3.12</w:t>
      </w:r>
      <w:r>
        <w:rPr>
          <w:rFonts w:hint="eastAsia" w:ascii="宋体" w:hAnsi="宋体" w:cs="宋体"/>
          <w:sz w:val="21"/>
          <w:szCs w:val="21"/>
          <w:highlight w:val="none"/>
          <w:lang w:val="en-US" w:eastAsia="zh-CN"/>
        </w:rPr>
        <w:t>离子色谱仪</w:t>
      </w:r>
      <w:r>
        <w:rPr>
          <w:rFonts w:hint="eastAsia" w:ascii="宋体" w:hAnsi="宋体" w:eastAsia="宋体" w:cs="宋体"/>
          <w:sz w:val="21"/>
          <w:szCs w:val="21"/>
          <w:highlight w:val="none"/>
          <w:lang w:val="en-US" w:eastAsia="zh-CN"/>
        </w:rPr>
        <w:t>主机终身质保</w:t>
      </w:r>
    </w:p>
    <w:p>
      <w:pPr>
        <w:numPr>
          <w:ilvl w:val="0"/>
          <w:numId w:val="0"/>
        </w:numPr>
        <w:tabs>
          <w:tab w:val="left" w:pos="420"/>
        </w:tabs>
        <w:spacing w:line="440" w:lineRule="exact"/>
        <w:ind w:firstLineChars="200"/>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3.13水蒸气发生器</w:t>
      </w:r>
    </w:p>
    <w:p>
      <w:pPr>
        <w:numPr>
          <w:ilvl w:val="0"/>
          <w:numId w:val="0"/>
        </w:numPr>
        <w:tabs>
          <w:tab w:val="left" w:pos="420"/>
        </w:tabs>
        <w:spacing w:line="440" w:lineRule="exact"/>
        <w:ind w:firstLine="420" w:firstLineChars="200"/>
        <w:jc w:val="left"/>
        <w:rPr>
          <w:rFonts w:hint="eastAsia" w:ascii="宋体" w:hAnsi="宋体" w:eastAsia="宋体" w:cs="宋体"/>
          <w:szCs w:val="21"/>
          <w:highlight w:val="none"/>
          <w:lang w:eastAsia="zh-CN"/>
        </w:rPr>
      </w:pPr>
      <w:r>
        <w:rPr>
          <w:rFonts w:hint="eastAsia" w:ascii="宋体" w:hAnsi="宋体" w:cs="宋体"/>
          <w:sz w:val="21"/>
          <w:szCs w:val="21"/>
          <w:highlight w:val="none"/>
          <w:lang w:val="en-US" w:eastAsia="zh-CN"/>
        </w:rPr>
        <w:t>3.13.1</w:t>
      </w:r>
      <w:r>
        <w:rPr>
          <w:rFonts w:hint="eastAsia" w:ascii="宋体" w:hAnsi="宋体" w:eastAsia="宋体" w:cs="宋体"/>
          <w:szCs w:val="21"/>
          <w:highlight w:val="none"/>
        </w:rPr>
        <w:t>加热单元为六路，单路单控，单路加热功率≤400W，加热功率可自行设定，控制实验时间</w:t>
      </w:r>
      <w:r>
        <w:rPr>
          <w:rFonts w:hint="eastAsia" w:ascii="宋体" w:hAnsi="宋体" w:eastAsia="宋体" w:cs="宋体"/>
          <w:szCs w:val="21"/>
          <w:highlight w:val="none"/>
          <w:lang w:eastAsia="zh-CN"/>
        </w:rPr>
        <w:t>。</w:t>
      </w:r>
    </w:p>
    <w:p>
      <w:pPr>
        <w:numPr>
          <w:ilvl w:val="0"/>
          <w:numId w:val="0"/>
        </w:numPr>
        <w:tabs>
          <w:tab w:val="left" w:pos="420"/>
        </w:tabs>
        <w:spacing w:line="440" w:lineRule="exact"/>
        <w:ind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3.13.2</w:t>
      </w:r>
      <w:r>
        <w:rPr>
          <w:rFonts w:hint="eastAsia" w:ascii="宋体" w:hAnsi="宋体" w:eastAsia="宋体" w:cs="宋体"/>
          <w:szCs w:val="21"/>
          <w:highlight w:val="none"/>
        </w:rPr>
        <w:t>机器设有自动防干烧功能，超温报警提醒，自动停止工作</w:t>
      </w:r>
    </w:p>
    <w:p>
      <w:pPr>
        <w:numPr>
          <w:ilvl w:val="0"/>
          <w:numId w:val="0"/>
        </w:numPr>
        <w:tabs>
          <w:tab w:val="left" w:pos="420"/>
        </w:tabs>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3.13.3</w:t>
      </w:r>
      <w:r>
        <w:rPr>
          <w:rFonts w:hint="eastAsia" w:ascii="宋体" w:hAnsi="宋体" w:eastAsia="宋体" w:cs="宋体"/>
          <w:szCs w:val="21"/>
          <w:highlight w:val="none"/>
        </w:rPr>
        <w:t>内置纯水箱，可自动补水</w:t>
      </w:r>
    </w:p>
    <w:p>
      <w:pPr>
        <w:numPr>
          <w:ilvl w:val="0"/>
          <w:numId w:val="0"/>
        </w:numPr>
        <w:tabs>
          <w:tab w:val="left" w:pos="420"/>
        </w:tabs>
        <w:spacing w:line="440" w:lineRule="exact"/>
        <w:ind w:firstLineChars="20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3.13.4</w:t>
      </w:r>
      <w:r>
        <w:rPr>
          <w:rFonts w:hint="eastAsia" w:ascii="宋体" w:hAnsi="宋体" w:eastAsia="宋体" w:cs="宋体"/>
          <w:szCs w:val="21"/>
          <w:highlight w:val="none"/>
        </w:rPr>
        <w:t>具有防倒吸功能，防止实验完成后，烧瓶内溶液倒吸</w:t>
      </w:r>
      <w:r>
        <w:rPr>
          <w:rFonts w:hint="eastAsia" w:ascii="宋体" w:hAnsi="宋体" w:cs="宋体"/>
          <w:szCs w:val="21"/>
          <w:highlight w:val="none"/>
          <w:lang w:val="en-US" w:eastAsia="zh-CN"/>
        </w:rPr>
        <w:t>.</w:t>
      </w:r>
    </w:p>
    <w:p>
      <w:pPr>
        <w:numPr>
          <w:ilvl w:val="0"/>
          <w:numId w:val="0"/>
        </w:numPr>
        <w:tabs>
          <w:tab w:val="left" w:pos="420"/>
        </w:tabs>
        <w:spacing w:line="440" w:lineRule="exact"/>
        <w:ind w:firstLine="420" w:firstLineChars="200"/>
        <w:jc w:val="left"/>
        <w:rPr>
          <w:rFonts w:hint="eastAsia" w:ascii="宋体" w:hAnsi="宋体" w:cs="宋体"/>
          <w:szCs w:val="21"/>
          <w:highlight w:val="none"/>
          <w:lang w:val="en-US" w:eastAsia="zh-CN"/>
        </w:rPr>
      </w:pPr>
      <w:r>
        <w:rPr>
          <w:rFonts w:hint="eastAsia" w:ascii="宋体" w:hAnsi="宋体" w:eastAsia="宋体" w:cs="宋体"/>
          <w:szCs w:val="21"/>
          <w:highlight w:val="none"/>
          <w:lang w:val="en-US" w:eastAsia="zh-CN"/>
        </w:rPr>
        <w:t>3.14</w:t>
      </w:r>
      <w:r>
        <w:rPr>
          <w:rFonts w:hint="eastAsia" w:ascii="宋体" w:hAnsi="宋体" w:cs="宋体"/>
          <w:szCs w:val="21"/>
          <w:highlight w:val="none"/>
          <w:lang w:val="en-US" w:eastAsia="zh-CN"/>
        </w:rPr>
        <w:t>氮气发生器</w:t>
      </w:r>
    </w:p>
    <w:p>
      <w:pPr>
        <w:numPr>
          <w:ilvl w:val="0"/>
          <w:numId w:val="0"/>
        </w:numPr>
        <w:tabs>
          <w:tab w:val="left" w:pos="420"/>
        </w:tabs>
        <w:spacing w:line="440" w:lineRule="exact"/>
        <w:ind w:firstLineChars="200"/>
        <w:jc w:val="left"/>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3.14.1</w:t>
      </w:r>
      <w:r>
        <w:rPr>
          <w:rFonts w:hint="eastAsia" w:ascii="宋体" w:hAnsi="宋体" w:eastAsia="宋体" w:cs="宋体"/>
          <w:kern w:val="2"/>
          <w:sz w:val="21"/>
          <w:szCs w:val="21"/>
          <w:highlight w:val="none"/>
          <w:lang w:val="en-US" w:eastAsia="zh-CN" w:bidi="ar-SA"/>
        </w:rPr>
        <w:t>氮气流量0-</w:t>
      </w:r>
      <w:r>
        <w:rPr>
          <w:rFonts w:hint="eastAsia" w:ascii="宋体" w:hAnsi="宋体" w:cs="宋体"/>
          <w:kern w:val="2"/>
          <w:sz w:val="21"/>
          <w:szCs w:val="21"/>
          <w:highlight w:val="none"/>
          <w:lang w:val="en-US" w:eastAsia="zh-CN" w:bidi="ar-SA"/>
        </w:rPr>
        <w:t>24</w:t>
      </w:r>
      <w:r>
        <w:rPr>
          <w:rFonts w:hint="eastAsia" w:ascii="宋体" w:hAnsi="宋体" w:eastAsia="宋体" w:cs="宋体"/>
          <w:kern w:val="2"/>
          <w:sz w:val="21"/>
          <w:szCs w:val="21"/>
          <w:highlight w:val="none"/>
          <w:lang w:val="en-US" w:eastAsia="zh-CN" w:bidi="ar-SA"/>
        </w:rPr>
        <w:t>L/min可调，输出气体纯度最高99.9%，露点&lt;-40℃。</w:t>
      </w:r>
    </w:p>
    <w:p>
      <w:pPr>
        <w:numPr>
          <w:ilvl w:val="0"/>
          <w:numId w:val="0"/>
        </w:numPr>
        <w:tabs>
          <w:tab w:val="left" w:pos="420"/>
        </w:tabs>
        <w:spacing w:line="440" w:lineRule="exact"/>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3.14.2压缩空气分离制氮，采用进口超细化中空纤维膜物理分离压缩空气得到纯净氮气，纯物理分离，膜组件寿命高。</w:t>
      </w:r>
    </w:p>
    <w:p>
      <w:pPr>
        <w:numPr>
          <w:ilvl w:val="0"/>
          <w:numId w:val="0"/>
        </w:numPr>
        <w:tabs>
          <w:tab w:val="left" w:pos="420"/>
        </w:tabs>
        <w:spacing w:line="440" w:lineRule="exact"/>
        <w:ind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3.14.3整机采用精密电路，全进口电磁阀控制气流，仪器运行稳定可靠,气体输出压力&gt;0.4Mpa/4bar，压力稳定性&lt;0.03Mpa。</w:t>
      </w:r>
    </w:p>
    <w:p>
      <w:pPr>
        <w:numPr>
          <w:ilvl w:val="0"/>
          <w:numId w:val="0"/>
        </w:numPr>
        <w:tabs>
          <w:tab w:val="left" w:pos="420"/>
        </w:tabs>
        <w:spacing w:line="440" w:lineRule="exact"/>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3.14.4液晶屏幕，运行参数全展示，全面监控仪器运行状态。</w:t>
      </w:r>
    </w:p>
    <w:p>
      <w:pPr>
        <w:numPr>
          <w:ilvl w:val="0"/>
          <w:numId w:val="0"/>
        </w:numPr>
        <w:tabs>
          <w:tab w:val="left" w:pos="420"/>
        </w:tabs>
        <w:spacing w:line="440" w:lineRule="exact"/>
        <w:ind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3.14.5具有自动排水功能。</w:t>
      </w:r>
    </w:p>
    <w:p>
      <w:pPr>
        <w:numPr>
          <w:ilvl w:val="0"/>
          <w:numId w:val="0"/>
        </w:numPr>
        <w:tabs>
          <w:tab w:val="left" w:pos="420"/>
        </w:tabs>
        <w:spacing w:line="440" w:lineRule="exact"/>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3.15全自动一体化蒸馏仪</w:t>
      </w:r>
    </w:p>
    <w:p>
      <w:pPr>
        <w:numPr>
          <w:ilvl w:val="0"/>
          <w:numId w:val="0"/>
        </w:numPr>
        <w:tabs>
          <w:tab w:val="left" w:pos="420"/>
        </w:tabs>
        <w:spacing w:line="440" w:lineRule="exact"/>
        <w:ind w:firstLineChars="200"/>
        <w:jc w:val="left"/>
        <w:rPr>
          <w:rFonts w:hint="eastAsia" w:ascii="宋体" w:hAnsi="宋体" w:cs="宋体"/>
          <w:szCs w:val="21"/>
          <w:highlight w:val="none"/>
          <w:lang w:eastAsia="zh-CN"/>
        </w:rPr>
      </w:pPr>
      <w:r>
        <w:rPr>
          <w:rFonts w:hint="eastAsia" w:ascii="宋体" w:hAnsi="宋体" w:eastAsia="宋体" w:cs="宋体"/>
          <w:kern w:val="2"/>
          <w:sz w:val="21"/>
          <w:szCs w:val="21"/>
          <w:highlight w:val="none"/>
          <w:lang w:val="en-US" w:eastAsia="zh-CN" w:bidi="ar-SA"/>
        </w:rPr>
        <w:t>3.15.1</w:t>
      </w:r>
      <w:r>
        <w:rPr>
          <w:rFonts w:hint="eastAsia" w:ascii="宋体" w:hAnsi="宋体" w:cs="宋体"/>
          <w:szCs w:val="21"/>
          <w:highlight w:val="none"/>
        </w:rPr>
        <w:t>加热方式：远红外陶瓷辐射加热，采用智能PID控制，0~100%功率可程序线性设定</w:t>
      </w:r>
      <w:r>
        <w:rPr>
          <w:rFonts w:hint="eastAsia" w:ascii="宋体" w:hAnsi="宋体" w:cs="宋体"/>
          <w:szCs w:val="21"/>
          <w:highlight w:val="none"/>
          <w:lang w:eastAsia="zh-CN"/>
        </w:rPr>
        <w:t>。</w:t>
      </w:r>
    </w:p>
    <w:p>
      <w:pPr>
        <w:numPr>
          <w:ilvl w:val="0"/>
          <w:numId w:val="0"/>
        </w:numPr>
        <w:tabs>
          <w:tab w:val="left" w:pos="420"/>
        </w:tabs>
        <w:spacing w:line="440" w:lineRule="exact"/>
        <w:ind w:firstLine="420" w:firstLineChars="200"/>
        <w:jc w:val="left"/>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3.15.2</w:t>
      </w:r>
      <w:r>
        <w:rPr>
          <w:rFonts w:hint="eastAsia" w:ascii="宋体" w:hAnsi="宋体" w:cs="宋体"/>
          <w:szCs w:val="21"/>
          <w:highlight w:val="none"/>
        </w:rPr>
        <w:t>加热单元：采用适合圆底烧瓶加热的碗式形状的远红外陶瓷器皿，均可单孔单控</w:t>
      </w:r>
      <w:r>
        <w:rPr>
          <w:rFonts w:hint="eastAsia" w:ascii="宋体" w:hAnsi="宋体" w:cs="宋体"/>
          <w:szCs w:val="21"/>
          <w:highlight w:val="none"/>
          <w:lang w:val="en-US" w:eastAsia="zh-CN"/>
        </w:rPr>
        <w:t>.</w:t>
      </w:r>
    </w:p>
    <w:p>
      <w:pPr>
        <w:numPr>
          <w:ilvl w:val="0"/>
          <w:numId w:val="0"/>
        </w:numPr>
        <w:tabs>
          <w:tab w:val="left" w:pos="420"/>
        </w:tabs>
        <w:spacing w:line="440" w:lineRule="exact"/>
        <w:ind w:firstLineChars="200"/>
        <w:jc w:val="left"/>
        <w:rPr>
          <w:rFonts w:hint="eastAsia" w:ascii="宋体" w:hAnsi="宋体" w:cs="宋体"/>
          <w:szCs w:val="21"/>
          <w:highlight w:val="none"/>
        </w:rPr>
      </w:pPr>
      <w:r>
        <w:rPr>
          <w:rFonts w:hint="eastAsia" w:ascii="宋体" w:hAnsi="宋体" w:cs="宋体"/>
          <w:szCs w:val="21"/>
          <w:highlight w:val="none"/>
          <w:lang w:val="en-US" w:eastAsia="zh-CN"/>
        </w:rPr>
        <w:t>3.15.3</w:t>
      </w:r>
      <w:r>
        <w:rPr>
          <w:rFonts w:hint="eastAsia" w:ascii="宋体" w:hAnsi="宋体" w:cs="宋体"/>
          <w:szCs w:val="21"/>
          <w:highlight w:val="none"/>
        </w:rPr>
        <w:t>样品处理数量：≥</w:t>
      </w:r>
      <w:r>
        <w:rPr>
          <w:rFonts w:hint="eastAsia" w:ascii="宋体" w:hAnsi="宋体" w:cs="宋体"/>
          <w:szCs w:val="21"/>
          <w:highlight w:val="none"/>
          <w:lang w:val="en-US" w:eastAsia="zh-CN"/>
        </w:rPr>
        <w:t>3</w:t>
      </w:r>
      <w:r>
        <w:rPr>
          <w:rFonts w:hint="eastAsia" w:ascii="宋体" w:hAnsi="宋体" w:cs="宋体"/>
          <w:szCs w:val="21"/>
          <w:highlight w:val="none"/>
        </w:rPr>
        <w:t>个</w:t>
      </w:r>
    </w:p>
    <w:p>
      <w:pPr>
        <w:numPr>
          <w:ilvl w:val="0"/>
          <w:numId w:val="0"/>
        </w:numPr>
        <w:tabs>
          <w:tab w:val="left" w:pos="420"/>
        </w:tabs>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lang w:val="en-US" w:eastAsia="zh-CN"/>
        </w:rPr>
        <w:t>3.15.4</w:t>
      </w:r>
      <w:r>
        <w:rPr>
          <w:rFonts w:hint="eastAsia" w:ascii="宋体" w:hAnsi="宋体" w:cs="宋体"/>
          <w:szCs w:val="21"/>
          <w:highlight w:val="none"/>
        </w:rPr>
        <w:t>单孔加热功率≤400W</w:t>
      </w:r>
    </w:p>
    <w:p>
      <w:pPr>
        <w:numPr>
          <w:ilvl w:val="0"/>
          <w:numId w:val="0"/>
        </w:numPr>
        <w:tabs>
          <w:tab w:val="left" w:pos="420"/>
        </w:tabs>
        <w:spacing w:line="440" w:lineRule="exact"/>
        <w:ind w:firstLineChars="200"/>
        <w:jc w:val="left"/>
        <w:rPr>
          <w:rFonts w:hint="eastAsia" w:ascii="宋体" w:hAnsi="宋体" w:cs="宋体"/>
          <w:szCs w:val="21"/>
          <w:highlight w:val="none"/>
        </w:rPr>
      </w:pPr>
      <w:r>
        <w:rPr>
          <w:rFonts w:hint="eastAsia" w:ascii="宋体" w:hAnsi="宋体" w:cs="宋体"/>
          <w:szCs w:val="21"/>
          <w:highlight w:val="none"/>
          <w:lang w:val="en-US" w:eastAsia="zh-CN"/>
        </w:rPr>
        <w:t>3.15.5</w:t>
      </w:r>
      <w:r>
        <w:rPr>
          <w:rFonts w:hint="eastAsia" w:ascii="宋体" w:hAnsi="宋体" w:cs="宋体"/>
          <w:szCs w:val="21"/>
          <w:highlight w:val="none"/>
        </w:rPr>
        <w:t>蒸馏量控制：称重+时间双重控制</w:t>
      </w:r>
    </w:p>
    <w:p>
      <w:pPr>
        <w:numPr>
          <w:ilvl w:val="0"/>
          <w:numId w:val="0"/>
        </w:numPr>
        <w:tabs>
          <w:tab w:val="left" w:pos="420"/>
        </w:tabs>
        <w:spacing w:line="440" w:lineRule="exact"/>
        <w:ind w:firstLine="420" w:firstLineChars="200"/>
        <w:jc w:val="left"/>
        <w:rPr>
          <w:rFonts w:hint="eastAsia" w:ascii="宋体" w:hAnsi="宋体" w:cs="宋体"/>
          <w:szCs w:val="21"/>
          <w:highlight w:val="none"/>
          <w:lang w:val="en-US" w:eastAsia="zh-CN"/>
        </w:rPr>
      </w:pPr>
      <w:r>
        <w:rPr>
          <w:rFonts w:hint="eastAsia" w:ascii="宋体" w:hAnsi="宋体" w:cs="宋体"/>
          <w:szCs w:val="21"/>
          <w:highlight w:val="none"/>
          <w:lang w:val="en-US" w:eastAsia="zh-CN"/>
        </w:rPr>
        <w:t>3.15.6</w:t>
      </w:r>
      <w:r>
        <w:rPr>
          <w:rFonts w:hint="eastAsia" w:ascii="宋体" w:hAnsi="宋体" w:cs="宋体"/>
          <w:szCs w:val="21"/>
          <w:highlight w:val="none"/>
        </w:rPr>
        <w:t>蒸馏终点设定范围：1-500ml或同等换算单位：1-500g</w:t>
      </w:r>
    </w:p>
    <w:p>
      <w:pPr>
        <w:pStyle w:val="5"/>
        <w:keepNext w:val="0"/>
        <w:numPr>
          <w:ilvl w:val="0"/>
          <w:numId w:val="2"/>
        </w:num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供货、</w:t>
      </w:r>
      <w:r>
        <w:rPr>
          <w:rFonts w:hint="eastAsia" w:ascii="宋体" w:hAnsi="宋体" w:eastAsia="宋体" w:cs="宋体"/>
          <w:sz w:val="24"/>
          <w:szCs w:val="24"/>
          <w:highlight w:val="none"/>
          <w:lang w:eastAsia="zh-CN"/>
        </w:rPr>
        <w:t>安装</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调试</w:t>
      </w:r>
      <w:r>
        <w:rPr>
          <w:rFonts w:hint="eastAsia" w:ascii="宋体" w:hAnsi="宋体" w:eastAsia="宋体" w:cs="宋体"/>
          <w:sz w:val="24"/>
          <w:szCs w:val="24"/>
          <w:highlight w:val="none"/>
        </w:rPr>
        <w:t>与验收</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1、本项目由中标人负责所有设备的供货、运输装卸、安装直至所有项目通过验收为止，期间所有费用均由中标人自行承担。</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2、中标人应保证所提供产品是全新的、未经使用过的原厂原装产品。</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3、中标人所供产品应完全符合招标文件规定的质量、规格和性能要求。</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4、供应的货物交货时，应附有原厂产品合格证书、质量检测报告、装箱单等。包装箱外面应注明数量、名称、外形尺寸、毛重、厂家及品牌等。</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5、中标人应对整个交货过程负责，包括运输、装卸及安全措施。</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6、货物到达指定地点后，由双方指定联系人点箱点件进行数量统计，中标人对原包装箱内的数量负责。</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7、货物交货时，采购人应严格按产品验收制度验收，检查报验手续，查验产品出厂合格证、产品质量检测报告和装箱单等。</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8、中标人所供产品应达到相关合格标准，做到无明显批次差异，无歪斜、裂缝等缺陷。</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9、若因中标人制造工艺、质量问题等导致验收不合格，中标人应及时予以处理，直至验收合格，期间发生的一切费用由中标人承担，采购人保留向中标人索赔的权利。</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10、采购人及中标人根据相关标准及</w:t>
      </w:r>
      <w:r>
        <w:rPr>
          <w:rFonts w:hint="eastAsia" w:ascii="宋体" w:hAnsi="宋体" w:cs="宋体"/>
          <w:szCs w:val="21"/>
          <w:highlight w:val="none"/>
          <w:lang w:eastAsia="zh-CN"/>
        </w:rPr>
        <w:t>采购</w:t>
      </w:r>
      <w:r>
        <w:rPr>
          <w:rFonts w:hint="eastAsia" w:ascii="宋体" w:hAnsi="宋体" w:eastAsia="宋体" w:cs="宋体"/>
          <w:szCs w:val="21"/>
          <w:highlight w:val="none"/>
        </w:rPr>
        <w:t>文件的技术要求作为项目验收标准，验收合格后，双方共同签署验收合格证书，验收中若无法达到验收标准，由中标人进行整改，直至验收合格为止。验收费用由中标人承担。验收时双方对供应货物的质量有争议时，可委托第三方权威机构对该批次货物进行随机抽检，根据抽检结果判断是否合格。检测费用由责任方承担。</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11、按规定必须进行复检的产品需复检，经复检存在质量问题的，采购人应出具权威部门的检测报告，中标人负责更换同时承担由此造成的损失，对于不合格产品应在技术监督部门和有关部门监督下进行处理，不得以任何形式转移和继续销售。</w:t>
      </w:r>
    </w:p>
    <w:p>
      <w:pPr>
        <w:numPr>
          <w:ilvl w:val="0"/>
          <w:numId w:val="0"/>
        </w:numPr>
        <w:tabs>
          <w:tab w:val="left" w:pos="420"/>
        </w:tabs>
        <w:autoSpaceDE/>
        <w:autoSpaceDN/>
        <w:adjustRightInd/>
        <w:spacing w:line="3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12、如中标人提供的产品与投标承诺不符或在质保期内证明产品质量是有缺陷的（包括潜在缺陷等），采购人应报第三方权威机构进行检测，并凭有关单据进行索赔。</w:t>
      </w:r>
    </w:p>
    <w:bookmarkEnd w:id="25"/>
    <w:p>
      <w:pPr>
        <w:rPr>
          <w:rFonts w:hint="eastAsia"/>
          <w:highlight w:val="none"/>
          <w:lang w:eastAsia="zh-CN"/>
        </w:rPr>
      </w:pPr>
      <w:bookmarkStart w:id="26" w:name="_Toc411443268"/>
      <w:bookmarkStart w:id="27" w:name="_Toc1370988606"/>
      <w:bookmarkStart w:id="28" w:name="_Toc10956"/>
    </w:p>
    <w:p>
      <w:pPr>
        <w:pStyle w:val="5"/>
        <w:keepNext w:val="0"/>
        <w:spacing w:line="500" w:lineRule="exac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六</w:t>
      </w:r>
      <w:r>
        <w:rPr>
          <w:rFonts w:hint="eastAsia" w:ascii="宋体" w:hAnsi="宋体" w:eastAsia="宋体" w:cs="宋体"/>
          <w:sz w:val="24"/>
          <w:szCs w:val="24"/>
          <w:highlight w:val="none"/>
        </w:rPr>
        <w:t>、</w:t>
      </w:r>
      <w:bookmarkEnd w:id="26"/>
      <w:bookmarkEnd w:id="27"/>
      <w:bookmarkEnd w:id="28"/>
      <w:r>
        <w:rPr>
          <w:rFonts w:hint="eastAsia" w:ascii="宋体" w:hAnsi="宋体" w:eastAsia="宋体" w:cs="宋体"/>
          <w:sz w:val="24"/>
          <w:szCs w:val="24"/>
          <w:highlight w:val="none"/>
        </w:rPr>
        <w:t>▲安全责任</w:t>
      </w:r>
    </w:p>
    <w:p>
      <w:pPr>
        <w:spacing w:line="340" w:lineRule="exact"/>
        <w:ind w:firstLine="420" w:firstLineChars="200"/>
        <w:jc w:val="left"/>
        <w:rPr>
          <w:rFonts w:hint="eastAsia"/>
          <w:b w:val="0"/>
          <w:bCs/>
          <w:szCs w:val="24"/>
          <w:highlight w:val="none"/>
        </w:rPr>
      </w:pPr>
      <w:r>
        <w:rPr>
          <w:rFonts w:hint="eastAsia"/>
          <w:b w:val="0"/>
          <w:bCs/>
          <w:szCs w:val="24"/>
          <w:highlight w:val="none"/>
        </w:rPr>
        <w:t>1、提供5人次5天时间的系统性培训，包括仪器的基本原理、操作、日常维护及基础分析仪器理论和上机操作等内容。</w:t>
      </w:r>
    </w:p>
    <w:p>
      <w:pPr>
        <w:spacing w:line="340" w:lineRule="exact"/>
        <w:ind w:firstLine="420" w:firstLineChars="200"/>
        <w:jc w:val="left"/>
        <w:rPr>
          <w:rFonts w:hint="eastAsia"/>
          <w:b w:val="0"/>
          <w:bCs/>
          <w:szCs w:val="24"/>
          <w:highlight w:val="none"/>
        </w:rPr>
      </w:pPr>
      <w:r>
        <w:rPr>
          <w:rFonts w:hint="eastAsia"/>
          <w:b w:val="0"/>
          <w:bCs/>
          <w:szCs w:val="24"/>
          <w:highlight w:val="none"/>
        </w:rPr>
        <w:t>2、投标产品仪器必须有稳定的售后服务体系，仪器设备出现故障时，中标人维修人员必须在12小时做出明确答复，2日内派维修人员到达用户现场维修，故障必须在3天内修复或提供备用仪器。</w:t>
      </w:r>
    </w:p>
    <w:p>
      <w:pPr>
        <w:rPr>
          <w:rFonts w:hint="eastAsia"/>
          <w:highlight w:val="none"/>
        </w:rPr>
      </w:pPr>
    </w:p>
    <w:p>
      <w:pPr>
        <w:pStyle w:val="5"/>
        <w:keepNext w:val="0"/>
        <w:numPr>
          <w:ilvl w:val="-1"/>
          <w:numId w:val="0"/>
        </w:numPr>
        <w:spacing w:line="500" w:lineRule="exact"/>
        <w:rPr>
          <w:rFonts w:ascii="宋体" w:hAnsi="宋体" w:eastAsia="宋体" w:cs="宋体"/>
          <w:sz w:val="24"/>
          <w:szCs w:val="24"/>
          <w:highlight w:val="none"/>
        </w:rPr>
      </w:pPr>
      <w:r>
        <w:rPr>
          <w:rFonts w:hint="eastAsia" w:ascii="宋体" w:hAnsi="宋体" w:eastAsia="宋体" w:cs="宋体"/>
          <w:sz w:val="24"/>
          <w:szCs w:val="24"/>
          <w:highlight w:val="none"/>
          <w:lang w:eastAsia="zh-CN"/>
        </w:rPr>
        <w:t>七、▲商务要求表</w:t>
      </w:r>
    </w:p>
    <w:tbl>
      <w:tblPr>
        <w:tblStyle w:val="3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0"/>
        <w:gridCol w:w="8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contextualSpacing/>
              <w:rPr>
                <w:rFonts w:ascii="宋体" w:hAnsi="宋体"/>
                <w:kern w:val="0"/>
                <w:szCs w:val="30"/>
                <w:highlight w:val="none"/>
              </w:rPr>
            </w:pPr>
            <w:bookmarkStart w:id="29" w:name="_Toc992286889"/>
            <w:bookmarkStart w:id="30" w:name="_Toc526788491"/>
            <w:bookmarkStart w:id="31" w:name="_Toc8807223"/>
            <w:bookmarkStart w:id="32" w:name="_Toc23244"/>
            <w:bookmarkStart w:id="33" w:name="_Toc30587"/>
            <w:r>
              <w:rPr>
                <w:rFonts w:hint="eastAsia" w:ascii="宋体" w:hAnsi="宋体"/>
                <w:kern w:val="0"/>
                <w:szCs w:val="30"/>
                <w:highlight w:val="none"/>
              </w:rPr>
              <w:t>质保期</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contextualSpacing/>
              <w:rPr>
                <w:rFonts w:ascii="宋体" w:hAnsi="宋体"/>
                <w:kern w:val="0"/>
                <w:szCs w:val="30"/>
                <w:highlight w:val="none"/>
              </w:rPr>
            </w:pPr>
            <w:r>
              <w:rPr>
                <w:rFonts w:hint="eastAsia" w:ascii="宋体" w:hAnsi="宋体"/>
                <w:kern w:val="0"/>
                <w:szCs w:val="30"/>
                <w:highlight w:val="none"/>
              </w:rPr>
              <w:t>本项目</w:t>
            </w:r>
            <w:r>
              <w:rPr>
                <w:rFonts w:hint="eastAsia" w:ascii="宋体" w:hAnsi="宋体"/>
                <w:kern w:val="0"/>
                <w:szCs w:val="30"/>
                <w:highlight w:val="none"/>
                <w:lang w:eastAsia="zh-CN"/>
              </w:rPr>
              <w:t>整体</w:t>
            </w:r>
            <w:r>
              <w:rPr>
                <w:rFonts w:hint="eastAsia" w:ascii="宋体" w:hAnsi="宋体"/>
                <w:kern w:val="0"/>
                <w:szCs w:val="30"/>
                <w:highlight w:val="none"/>
              </w:rPr>
              <w:t>质保期</w:t>
            </w:r>
            <w:r>
              <w:rPr>
                <w:rFonts w:hint="eastAsia" w:ascii="宋体" w:hAnsi="宋体"/>
                <w:kern w:val="0"/>
                <w:szCs w:val="30"/>
                <w:highlight w:val="none"/>
                <w:lang w:val="en-US" w:eastAsia="zh-CN"/>
              </w:rPr>
              <w:t>2</w:t>
            </w:r>
            <w:r>
              <w:rPr>
                <w:rFonts w:hint="eastAsia" w:ascii="宋体" w:hAnsi="宋体"/>
                <w:kern w:val="0"/>
                <w:szCs w:val="30"/>
                <w:highlight w:val="none"/>
              </w:rPr>
              <w:t>年，自项目验收合格之日起算</w:t>
            </w:r>
            <w:r>
              <w:rPr>
                <w:rFonts w:ascii="宋体" w:hAnsi="宋体"/>
                <w:kern w:val="0"/>
                <w:szCs w:val="3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9"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售后服务要求</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1、在</w:t>
            </w:r>
            <w:r>
              <w:rPr>
                <w:rFonts w:hint="eastAsia" w:ascii="宋体" w:hAnsi="宋体" w:eastAsia="宋体" w:cs="Times New Roman"/>
                <w:kern w:val="0"/>
                <w:szCs w:val="30"/>
                <w:highlight w:val="none"/>
                <w:lang w:eastAsia="zh-CN"/>
              </w:rPr>
              <w:t>质保期</w:t>
            </w:r>
            <w:r>
              <w:rPr>
                <w:rFonts w:hint="eastAsia" w:ascii="宋体" w:hAnsi="宋体" w:eastAsia="宋体" w:cs="Times New Roman"/>
                <w:kern w:val="0"/>
                <w:szCs w:val="30"/>
                <w:highlight w:val="none"/>
              </w:rPr>
              <w:t>内，所有服务及配件全部免费，</w:t>
            </w:r>
            <w:r>
              <w:rPr>
                <w:rFonts w:hint="eastAsia" w:ascii="宋体" w:hAnsi="宋体" w:eastAsia="宋体" w:cs="Times New Roman"/>
                <w:kern w:val="0"/>
                <w:szCs w:val="30"/>
                <w:highlight w:val="none"/>
                <w:lang w:eastAsia="zh-CN"/>
              </w:rPr>
              <w:t>质保期外</w:t>
            </w:r>
            <w:r>
              <w:rPr>
                <w:rFonts w:hint="eastAsia" w:ascii="宋体" w:hAnsi="宋体" w:eastAsia="宋体" w:cs="Times New Roman"/>
                <w:kern w:val="0"/>
                <w:szCs w:val="30"/>
                <w:highlight w:val="none"/>
              </w:rPr>
              <w:t>提供有限保修（只收取配件费用，不收取人工等其他服务费用）。</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2、货物验收过程中，由于质量不合格或运输等原因所造成的一切费用均由</w:t>
            </w:r>
            <w:r>
              <w:rPr>
                <w:rFonts w:hint="eastAsia" w:cs="宋体"/>
                <w:b w:val="0"/>
                <w:bCs w:val="0"/>
                <w:color w:val="auto"/>
                <w:kern w:val="2"/>
                <w:sz w:val="21"/>
                <w:szCs w:val="21"/>
                <w:highlight w:val="none"/>
                <w:lang w:val="en-US" w:eastAsia="zh-CN"/>
              </w:rPr>
              <w:t>中标人</w:t>
            </w:r>
            <w:r>
              <w:rPr>
                <w:rFonts w:hint="eastAsia" w:ascii="宋体" w:hAnsi="宋体" w:eastAsia="宋体" w:cs="Times New Roman"/>
                <w:kern w:val="0"/>
                <w:szCs w:val="30"/>
                <w:highlight w:val="none"/>
              </w:rPr>
              <w:t>负责。</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3、质保期内须提供常设24小时热线服务和长期的免费技术支持，提供不间断的服务直到结束。维修点需提供足够的备件以适应买方维修需求。设备在运行过程中如果出现故障，</w:t>
            </w:r>
            <w:r>
              <w:rPr>
                <w:rFonts w:hint="eastAsia" w:cs="宋体"/>
                <w:b w:val="0"/>
                <w:bCs w:val="0"/>
                <w:color w:val="auto"/>
                <w:kern w:val="2"/>
                <w:sz w:val="21"/>
                <w:szCs w:val="21"/>
                <w:highlight w:val="none"/>
                <w:lang w:val="en-US" w:eastAsia="zh-CN"/>
              </w:rPr>
              <w:t>中标人在</w:t>
            </w:r>
            <w:r>
              <w:rPr>
                <w:rFonts w:hint="eastAsia" w:ascii="宋体" w:hAnsi="宋体" w:eastAsia="宋体" w:cs="Times New Roman"/>
                <w:kern w:val="0"/>
                <w:szCs w:val="30"/>
                <w:highlight w:val="none"/>
              </w:rPr>
              <w:t>故障排除后应出具书面故障诊断报告备案</w:t>
            </w:r>
            <w:r>
              <w:rPr>
                <w:rFonts w:hint="eastAsia" w:ascii="宋体" w:hAnsi="宋体" w:eastAsia="宋体" w:cs="Times New Roman"/>
                <w:kern w:val="0"/>
                <w:szCs w:val="30"/>
                <w:highlight w:val="none"/>
                <w:lang w:eastAsia="zh-CN"/>
              </w:rPr>
              <w:t>，</w:t>
            </w:r>
            <w:r>
              <w:rPr>
                <w:rFonts w:hint="eastAsia" w:ascii="宋体" w:hAnsi="宋体" w:eastAsia="宋体" w:cs="Times New Roman"/>
                <w:kern w:val="0"/>
                <w:szCs w:val="30"/>
                <w:highlight w:val="none"/>
              </w:rPr>
              <w:t>如不能修复应提供备品，以保证整个系统的正常运行，</w:t>
            </w:r>
            <w:r>
              <w:rPr>
                <w:rFonts w:hint="eastAsia" w:cs="宋体"/>
                <w:b w:val="0"/>
                <w:bCs w:val="0"/>
                <w:color w:val="auto"/>
                <w:kern w:val="2"/>
                <w:sz w:val="21"/>
                <w:szCs w:val="21"/>
                <w:highlight w:val="none"/>
                <w:lang w:val="en-US" w:eastAsia="zh-CN"/>
              </w:rPr>
              <w:t>中标人</w:t>
            </w:r>
            <w:r>
              <w:rPr>
                <w:rFonts w:hint="eastAsia" w:ascii="宋体" w:hAnsi="宋体" w:eastAsia="宋体" w:cs="Times New Roman"/>
                <w:kern w:val="0"/>
                <w:szCs w:val="30"/>
                <w:highlight w:val="none"/>
              </w:rPr>
              <w:t>有其它服务承诺的，一并履行，不得影响用户的正常工作</w:t>
            </w:r>
            <w:r>
              <w:rPr>
                <w:rFonts w:hint="eastAsia" w:ascii="宋体" w:hAnsi="宋体" w:eastAsia="宋体" w:cs="Times New Roman"/>
                <w:kern w:val="0"/>
                <w:szCs w:val="30"/>
                <w:highlight w:val="none"/>
                <w:lang w:eastAsia="zh-CN"/>
              </w:rPr>
              <w:t>工作</w:t>
            </w:r>
            <w:r>
              <w:rPr>
                <w:rFonts w:hint="eastAsia" w:ascii="宋体" w:hAnsi="宋体" w:eastAsia="宋体" w:cs="Times New Roman"/>
                <w:kern w:val="0"/>
                <w:szCs w:val="30"/>
                <w:highlight w:val="none"/>
              </w:rPr>
              <w:t>。</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4、质保期满后，维修只收取零配件成本费，免维修费。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contextualSpacing/>
              <w:rPr>
                <w:rFonts w:ascii="宋体" w:hAnsi="宋体"/>
                <w:szCs w:val="21"/>
                <w:highlight w:val="none"/>
              </w:rPr>
            </w:pPr>
            <w:r>
              <w:rPr>
                <w:rFonts w:hint="eastAsia" w:ascii="宋体" w:hAnsi="宋体"/>
                <w:szCs w:val="21"/>
                <w:highlight w:val="none"/>
              </w:rPr>
              <w:t>安装地点、</w:t>
            </w:r>
            <w:r>
              <w:rPr>
                <w:rFonts w:hint="eastAsia" w:ascii="宋体" w:hAnsi="宋体" w:cs="Arial"/>
                <w:szCs w:val="21"/>
                <w:highlight w:val="none"/>
              </w:rPr>
              <w:t>供货时间要求</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contextualSpacing/>
              <w:rPr>
                <w:rFonts w:ascii="宋体" w:hAnsi="宋体" w:cs="Arial"/>
                <w:szCs w:val="21"/>
                <w:highlight w:val="none"/>
              </w:rPr>
            </w:pPr>
            <w:r>
              <w:rPr>
                <w:rFonts w:hint="eastAsia" w:ascii="宋体" w:hAnsi="宋体" w:cs="Arial"/>
                <w:szCs w:val="21"/>
                <w:highlight w:val="none"/>
              </w:rPr>
              <w:t>1.设备配送和安装地点：采购单位指定地点。</w:t>
            </w:r>
          </w:p>
          <w:p>
            <w:pPr>
              <w:spacing w:line="320" w:lineRule="exact"/>
              <w:contextualSpacing/>
              <w:rPr>
                <w:rFonts w:ascii="宋体" w:hAnsi="宋体" w:cs="Arial"/>
                <w:color w:val="FF0000"/>
                <w:szCs w:val="21"/>
                <w:highlight w:val="none"/>
              </w:rPr>
            </w:pPr>
            <w:r>
              <w:rPr>
                <w:rFonts w:hint="eastAsia" w:ascii="宋体" w:hAnsi="宋体" w:cs="Arial"/>
                <w:szCs w:val="21"/>
                <w:highlight w:val="none"/>
              </w:rPr>
              <w:t>2.项目</w:t>
            </w:r>
            <w:r>
              <w:rPr>
                <w:rFonts w:hint="eastAsia" w:ascii="宋体" w:hAnsi="宋体" w:cs="Arial"/>
                <w:szCs w:val="21"/>
                <w:highlight w:val="none"/>
                <w:lang w:eastAsia="zh-CN"/>
              </w:rPr>
              <w:t>建设</w:t>
            </w:r>
            <w:r>
              <w:rPr>
                <w:rFonts w:hint="eastAsia" w:ascii="宋体" w:hAnsi="宋体" w:cs="Arial"/>
                <w:szCs w:val="21"/>
                <w:highlight w:val="none"/>
              </w:rPr>
              <w:t>时间要求：</w:t>
            </w:r>
            <w:r>
              <w:rPr>
                <w:rFonts w:hint="eastAsia" w:ascii="宋体" w:hAnsi="宋体" w:cs="Arial"/>
                <w:szCs w:val="21"/>
                <w:highlight w:val="none"/>
                <w:lang w:eastAsia="zh-CN"/>
              </w:rPr>
              <w:t>合同签订</w:t>
            </w:r>
            <w:r>
              <w:rPr>
                <w:rFonts w:hint="eastAsia" w:ascii="宋体" w:hAnsi="宋体" w:cs="Arial"/>
                <w:szCs w:val="21"/>
                <w:highlight w:val="none"/>
              </w:rPr>
              <w:t>后</w:t>
            </w:r>
            <w:r>
              <w:rPr>
                <w:rFonts w:hint="eastAsia" w:ascii="宋体" w:hAnsi="宋体" w:cs="Arial"/>
                <w:szCs w:val="21"/>
                <w:highlight w:val="none"/>
                <w:lang w:val="en-US" w:eastAsia="zh-CN"/>
              </w:rPr>
              <w:t>30</w:t>
            </w:r>
            <w:r>
              <w:rPr>
                <w:rFonts w:hint="eastAsia" w:ascii="宋体" w:hAnsi="宋体" w:cs="Arial"/>
                <w:szCs w:val="21"/>
                <w:highlight w:val="none"/>
              </w:rPr>
              <w:t>天内完成供货、安装及调试</w:t>
            </w:r>
            <w:r>
              <w:rPr>
                <w:rFonts w:hint="eastAsia" w:ascii="宋体" w:hAnsi="宋体" w:cs="Arial"/>
                <w:b/>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contextualSpacing/>
              <w:rPr>
                <w:rFonts w:hint="eastAsia" w:ascii="宋体" w:hAnsi="宋体" w:eastAsia="宋体" w:cs="Arial"/>
                <w:szCs w:val="21"/>
                <w:highlight w:val="none"/>
              </w:rPr>
            </w:pPr>
            <w:r>
              <w:rPr>
                <w:rFonts w:hint="eastAsia" w:ascii="宋体" w:hAnsi="宋体" w:eastAsia="宋体" w:cs="Arial"/>
                <w:szCs w:val="21"/>
                <w:highlight w:val="none"/>
              </w:rPr>
              <w:t>付款方式</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contextualSpacing/>
              <w:rPr>
                <w:rFonts w:hint="eastAsia" w:ascii="宋体" w:hAnsi="宋体" w:eastAsia="宋体" w:cs="Arial"/>
                <w:szCs w:val="21"/>
                <w:highlight w:val="none"/>
                <w:lang w:val="zh-TW"/>
              </w:rPr>
            </w:pPr>
            <w:r>
              <w:rPr>
                <w:rFonts w:hint="eastAsia" w:ascii="宋体" w:hAnsi="宋体" w:eastAsia="宋体" w:cs="Arial"/>
                <w:szCs w:val="21"/>
                <w:highlight w:val="none"/>
                <w:lang w:val="zh-TW"/>
              </w:rPr>
              <w:t>在合同签订生效以及具备实施条件后7个工作日内，支付本项目合同总额的的40%作为预付款</w:t>
            </w:r>
            <w:r>
              <w:rPr>
                <w:rFonts w:hint="eastAsia" w:ascii="宋体" w:hAnsi="宋体" w:eastAsia="宋体" w:cs="Arial"/>
                <w:b/>
                <w:bCs/>
                <w:szCs w:val="21"/>
                <w:highlight w:val="none"/>
                <w:lang w:val="zh-TW"/>
              </w:rPr>
              <w:t>（在签订合同时，</w:t>
            </w:r>
            <w:r>
              <w:rPr>
                <w:rFonts w:hint="eastAsia" w:ascii="宋体" w:hAnsi="宋体" w:eastAsia="宋体" w:cs="Arial"/>
                <w:b/>
                <w:bCs/>
                <w:szCs w:val="21"/>
                <w:highlight w:val="none"/>
                <w:lang w:val="zh-TW" w:eastAsia="zh-CN"/>
              </w:rPr>
              <w:t>中标人</w:t>
            </w:r>
            <w:r>
              <w:rPr>
                <w:rFonts w:hint="eastAsia" w:ascii="宋体" w:hAnsi="宋体" w:eastAsia="宋体" w:cs="Arial"/>
                <w:b/>
                <w:bCs/>
                <w:szCs w:val="21"/>
                <w:highlight w:val="none"/>
                <w:lang w:val="zh-TW"/>
              </w:rPr>
              <w:t>明确表示无需预付款或者主动要求降低预付款比例的，采购人可不适用前述规定）</w:t>
            </w:r>
            <w:r>
              <w:rPr>
                <w:rFonts w:hint="eastAsia" w:ascii="宋体" w:hAnsi="宋体" w:eastAsia="宋体" w:cs="Arial"/>
                <w:szCs w:val="21"/>
                <w:highlight w:val="none"/>
                <w:lang w:val="zh-TW"/>
              </w:rPr>
              <w:t>，到货安装调试</w:t>
            </w:r>
            <w:r>
              <w:rPr>
                <w:rFonts w:hint="eastAsia" w:ascii="宋体" w:hAnsi="宋体" w:eastAsia="宋体" w:cs="Arial"/>
                <w:szCs w:val="21"/>
                <w:highlight w:val="none"/>
                <w:lang w:val="zh-TW" w:eastAsia="zh-CN"/>
              </w:rPr>
              <w:t>并</w:t>
            </w:r>
            <w:r>
              <w:rPr>
                <w:rFonts w:hint="eastAsia" w:ascii="宋体" w:hAnsi="宋体" w:eastAsia="宋体" w:cs="Arial"/>
                <w:szCs w:val="21"/>
                <w:highlight w:val="none"/>
                <w:lang w:val="zh-TW"/>
              </w:rPr>
              <w:t>验收合格后</w:t>
            </w:r>
            <w:r>
              <w:rPr>
                <w:rFonts w:hint="eastAsia" w:ascii="宋体" w:hAnsi="宋体" w:cs="Arial"/>
                <w:szCs w:val="21"/>
                <w:highlight w:val="none"/>
                <w:lang w:val="en-US" w:eastAsia="zh-CN"/>
              </w:rPr>
              <w:t>2个月内支</w:t>
            </w:r>
            <w:r>
              <w:rPr>
                <w:rFonts w:hint="eastAsia" w:ascii="宋体" w:hAnsi="宋体" w:eastAsia="宋体" w:cs="Arial"/>
                <w:szCs w:val="21"/>
                <w:highlight w:val="none"/>
                <w:lang w:val="zh-TW"/>
              </w:rPr>
              <w:t>付</w:t>
            </w:r>
            <w:r>
              <w:rPr>
                <w:rFonts w:hint="eastAsia" w:ascii="宋体" w:hAnsi="宋体" w:cs="Arial"/>
                <w:szCs w:val="21"/>
                <w:highlight w:val="none"/>
                <w:lang w:val="en-US" w:eastAsia="zh-CN"/>
              </w:rPr>
              <w:t>60</w:t>
            </w:r>
            <w:r>
              <w:rPr>
                <w:rFonts w:hint="eastAsia" w:ascii="宋体" w:hAnsi="宋体" w:eastAsia="宋体" w:cs="Arial"/>
                <w:szCs w:val="21"/>
                <w:highlight w:val="none"/>
                <w:lang w:val="zh-TW"/>
              </w:rPr>
              <w:t>%。</w:t>
            </w:r>
          </w:p>
          <w:p>
            <w:pPr>
              <w:snapToGrid w:val="0"/>
              <w:spacing w:line="320" w:lineRule="exact"/>
              <w:contextualSpacing/>
              <w:rPr>
                <w:rFonts w:hint="eastAsia" w:ascii="宋体" w:hAnsi="宋体" w:eastAsia="宋体" w:cs="Arial"/>
                <w:szCs w:val="21"/>
                <w:highlight w:val="none"/>
              </w:rPr>
            </w:pPr>
            <w:r>
              <w:rPr>
                <w:rFonts w:hint="eastAsia" w:ascii="宋体" w:hAnsi="宋体" w:eastAsia="宋体" w:cs="Arial"/>
                <w:szCs w:val="21"/>
                <w:highlight w:val="none"/>
                <w:lang w:val="zh-TW"/>
              </w:rPr>
              <w:t>上述款项支付时，</w:t>
            </w:r>
            <w:r>
              <w:rPr>
                <w:rFonts w:hint="eastAsia" w:ascii="宋体" w:hAnsi="宋体" w:eastAsia="宋体" w:cs="Arial"/>
                <w:szCs w:val="21"/>
                <w:highlight w:val="none"/>
                <w:lang w:val="zh-TW" w:eastAsia="zh-CN"/>
              </w:rPr>
              <w:t>中标人</w:t>
            </w:r>
            <w:r>
              <w:rPr>
                <w:rFonts w:hint="eastAsia" w:ascii="宋体" w:hAnsi="宋体" w:eastAsia="宋体" w:cs="Arial"/>
                <w:szCs w:val="21"/>
                <w:highlight w:val="none"/>
                <w:lang w:val="zh-TW"/>
              </w:rPr>
              <w:t>需向采购人提供</w:t>
            </w:r>
            <w:r>
              <w:rPr>
                <w:rFonts w:hint="eastAsia" w:ascii="宋体" w:hAnsi="宋体" w:eastAsia="宋体" w:cs="Arial"/>
                <w:szCs w:val="21"/>
                <w:highlight w:val="none"/>
                <w:lang w:val="en-US" w:eastAsia="zh-CN"/>
              </w:rPr>
              <w:t>正规</w:t>
            </w:r>
            <w:r>
              <w:rPr>
                <w:rFonts w:hint="eastAsia" w:ascii="宋体" w:hAnsi="宋体" w:eastAsia="宋体" w:cs="Arial"/>
                <w:szCs w:val="21"/>
                <w:highlight w:val="none"/>
                <w:lang w:val="zh-TW"/>
              </w:rPr>
              <w:t>税务发票</w:t>
            </w:r>
            <w:r>
              <w:rPr>
                <w:rFonts w:hint="eastAsia" w:ascii="宋体" w:hAnsi="宋体" w:eastAsia="宋体" w:cs="Arial"/>
                <w:szCs w:val="21"/>
                <w:highlight w:val="none"/>
                <w:lang w:val="zh-TW" w:eastAsia="zh-CN"/>
              </w:rPr>
              <w:t>以及采购人要求提供的资料</w:t>
            </w:r>
            <w:r>
              <w:rPr>
                <w:rFonts w:hint="eastAsia" w:ascii="宋体" w:hAnsi="宋体" w:eastAsia="宋体" w:cs="Arial"/>
                <w:szCs w:val="21"/>
                <w:highlight w:val="none"/>
                <w:lang w:val="zh-T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highlight w:val="none"/>
              </w:rPr>
            </w:pPr>
            <w:r>
              <w:rPr>
                <w:rFonts w:hint="eastAsia" w:ascii="宋体" w:hAnsi="宋体"/>
                <w:szCs w:val="21"/>
                <w:highlight w:val="none"/>
              </w:rPr>
              <w:t>履约保证金</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宋体" w:hAnsi="宋体" w:eastAsia="宋体"/>
                <w:szCs w:val="21"/>
                <w:highlight w:val="none"/>
                <w:lang w:val="en-US" w:eastAsia="zh-CN"/>
              </w:rPr>
            </w:pPr>
            <w:r>
              <w:rPr>
                <w:rFonts w:hint="eastAsia" w:ascii="宋体" w:hAnsi="宋体" w:eastAsia="宋体"/>
                <w:szCs w:val="21"/>
                <w:highlight w:val="none"/>
                <w:lang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highlight w:val="none"/>
              </w:rPr>
            </w:pPr>
            <w:r>
              <w:rPr>
                <w:rFonts w:hint="eastAsia" w:ascii="宋体" w:hAnsi="宋体" w:eastAsia="宋体" w:cs="宋体"/>
                <w:b w:val="0"/>
                <w:bCs/>
                <w:sz w:val="21"/>
                <w:szCs w:val="21"/>
                <w:highlight w:val="none"/>
              </w:rPr>
              <w:t>投标报价</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报价须包含设备（软硬件）价款（必备的附件，如配件、备品备件、专用工具等）、运输安装调试费、安装人员住宿、安装所需工具、验收检测费（含质保期内）、质保期内的维护保养费、技术支持与培训费和税费等一切费用。投标报价为</w:t>
            </w:r>
            <w:r>
              <w:rPr>
                <w:rFonts w:hint="eastAsia" w:ascii="宋体" w:hAnsi="宋体" w:eastAsia="宋体" w:cs="Times New Roman"/>
                <w:kern w:val="0"/>
                <w:szCs w:val="30"/>
                <w:highlight w:val="none"/>
                <w:lang w:val="en-US" w:eastAsia="zh-CN"/>
              </w:rPr>
              <w:t>供应商</w:t>
            </w:r>
            <w:r>
              <w:rPr>
                <w:rFonts w:hint="eastAsia" w:ascii="宋体" w:hAnsi="宋体" w:eastAsia="宋体" w:cs="Times New Roman"/>
                <w:kern w:val="0"/>
                <w:szCs w:val="30"/>
                <w:highlight w:val="none"/>
              </w:rPr>
              <w:t>所能承受的最低、最终一次性报价。</w:t>
            </w:r>
            <w:r>
              <w:rPr>
                <w:rFonts w:hint="eastAsia" w:ascii="宋体" w:hAnsi="宋体" w:eastAsia="宋体" w:cs="Times New Roman"/>
                <w:kern w:val="0"/>
                <w:szCs w:val="30"/>
                <w:highlight w:val="none"/>
                <w:lang w:val="en-US" w:eastAsia="zh-CN"/>
              </w:rPr>
              <w:t>供应商</w:t>
            </w:r>
            <w:r>
              <w:rPr>
                <w:rFonts w:hint="eastAsia" w:ascii="宋体" w:hAnsi="宋体" w:eastAsia="宋体" w:cs="Times New Roman"/>
                <w:kern w:val="0"/>
                <w:szCs w:val="30"/>
                <w:highlight w:val="none"/>
              </w:rPr>
              <w:t>的投标报价为整个采购项目的总报价，如有漏项，视同已包含在其总项目中，合同总价不做调整。</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本项目由</w:t>
            </w:r>
            <w:r>
              <w:rPr>
                <w:rFonts w:hint="eastAsia" w:ascii="宋体" w:hAnsi="宋体" w:eastAsia="宋体" w:cs="Times New Roman"/>
                <w:kern w:val="0"/>
                <w:szCs w:val="30"/>
                <w:highlight w:val="none"/>
                <w:lang w:val="en-US" w:eastAsia="zh-CN"/>
              </w:rPr>
              <w:t>中标人</w:t>
            </w:r>
            <w:r>
              <w:rPr>
                <w:rFonts w:hint="eastAsia" w:ascii="宋体" w:hAnsi="宋体" w:eastAsia="宋体" w:cs="Times New Roman"/>
                <w:kern w:val="0"/>
                <w:szCs w:val="30"/>
                <w:highlight w:val="none"/>
              </w:rPr>
              <w:t>自行供货并负责安装、调试、协助验收并承担质保期内的维修费用。安装用的所有材料费、安装调试费及质保期内的维修费应全部包含在综合单价中。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Cs/>
                <w:highlight w:val="none"/>
              </w:rPr>
            </w:pPr>
            <w:r>
              <w:rPr>
                <w:rFonts w:hint="eastAsia" w:ascii="宋体" w:hAnsi="宋体" w:eastAsia="宋体" w:cs="宋体"/>
                <w:b w:val="0"/>
                <w:bCs/>
                <w:sz w:val="21"/>
                <w:szCs w:val="21"/>
                <w:highlight w:val="none"/>
              </w:rPr>
              <w:t>其他</w:t>
            </w:r>
          </w:p>
        </w:tc>
        <w:tc>
          <w:tcPr>
            <w:tcW w:w="81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1、</w:t>
            </w:r>
            <w:r>
              <w:rPr>
                <w:rFonts w:hint="eastAsia" w:cs="宋体"/>
                <w:b w:val="0"/>
                <w:bCs w:val="0"/>
                <w:color w:val="auto"/>
                <w:kern w:val="2"/>
                <w:sz w:val="21"/>
                <w:szCs w:val="21"/>
                <w:highlight w:val="none"/>
                <w:lang w:val="en-US" w:eastAsia="zh-CN"/>
              </w:rPr>
              <w:t>中标人</w:t>
            </w:r>
            <w:r>
              <w:rPr>
                <w:rFonts w:hint="eastAsia" w:ascii="宋体" w:hAnsi="宋体" w:eastAsia="宋体" w:cs="Times New Roman"/>
                <w:kern w:val="0"/>
                <w:szCs w:val="30"/>
                <w:highlight w:val="none"/>
              </w:rPr>
              <w:t xml:space="preserve">对各种型号的设备须提供足够的备件、附件和易损件并保证是原厂生产的产品，以满足设备正常运行的需要。  </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2、检验和维修设备及工具</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2.1 须提供足够的常用检修设备与工具。推荐的检修设备须在</w:t>
            </w:r>
            <w:r>
              <w:rPr>
                <w:rFonts w:hint="eastAsia" w:ascii="宋体" w:hAnsi="宋体" w:eastAsia="宋体" w:cs="Times New Roman"/>
                <w:kern w:val="0"/>
                <w:szCs w:val="30"/>
                <w:highlight w:val="none"/>
                <w:lang w:val="en-US" w:eastAsia="zh-CN"/>
              </w:rPr>
              <w:t>响应</w:t>
            </w:r>
            <w:r>
              <w:rPr>
                <w:rFonts w:hint="eastAsia" w:ascii="宋体" w:hAnsi="宋体" w:eastAsia="宋体" w:cs="Times New Roman"/>
                <w:kern w:val="0"/>
                <w:szCs w:val="30"/>
                <w:highlight w:val="none"/>
              </w:rPr>
              <w:t>文件中说明。这些设备及工具不能在安装时使用。</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2.2 所有货物必备的附件、零部件、工具、随车附件部件和中文操作维修手册应与检修设备一并提供。</w:t>
            </w:r>
          </w:p>
          <w:p>
            <w:pPr>
              <w:spacing w:line="320" w:lineRule="exact"/>
              <w:contextualSpacing/>
              <w:rPr>
                <w:rFonts w:hint="eastAsia" w:ascii="宋体" w:hAnsi="宋体" w:eastAsia="宋体" w:cs="Times New Roman"/>
                <w:kern w:val="0"/>
                <w:szCs w:val="30"/>
                <w:highlight w:val="none"/>
              </w:rPr>
            </w:pPr>
            <w:r>
              <w:rPr>
                <w:rFonts w:hint="eastAsia" w:ascii="宋体" w:hAnsi="宋体" w:eastAsia="宋体" w:cs="Times New Roman"/>
                <w:kern w:val="0"/>
                <w:szCs w:val="30"/>
                <w:highlight w:val="none"/>
              </w:rPr>
              <w:t>3、</w:t>
            </w:r>
            <w:r>
              <w:rPr>
                <w:rFonts w:hint="eastAsia" w:cs="宋体"/>
                <w:b w:val="0"/>
                <w:bCs w:val="0"/>
                <w:color w:val="auto"/>
                <w:kern w:val="2"/>
                <w:sz w:val="21"/>
                <w:szCs w:val="21"/>
                <w:highlight w:val="none"/>
                <w:lang w:val="en-US" w:eastAsia="zh-CN"/>
              </w:rPr>
              <w:t>中标人</w:t>
            </w:r>
            <w:r>
              <w:rPr>
                <w:rFonts w:hint="eastAsia" w:ascii="宋体" w:hAnsi="宋体" w:eastAsia="宋体" w:cs="Times New Roman"/>
                <w:kern w:val="0"/>
                <w:szCs w:val="30"/>
                <w:highlight w:val="none"/>
              </w:rPr>
              <w:t>应对采购人的操作人员及维修人员提供技术培训，使其能对设备进行日常操作和维护保养及能对一般故障进行维修。</w:t>
            </w:r>
          </w:p>
        </w:tc>
      </w:tr>
    </w:tbl>
    <w:p>
      <w:pPr>
        <w:keepNext w:val="0"/>
        <w:keepLines w:val="0"/>
        <w:numPr>
          <w:ilvl w:val="-1"/>
          <w:numId w:val="0"/>
        </w:numPr>
        <w:spacing w:line="500" w:lineRule="exact"/>
        <w:rPr>
          <w:rFonts w:hint="eastAsia"/>
          <w:highlight w:val="none"/>
          <w:lang w:eastAsia="zh-CN"/>
        </w:rPr>
      </w:pPr>
    </w:p>
    <w:p>
      <w:pPr>
        <w:pStyle w:val="5"/>
        <w:keepNext w:val="0"/>
        <w:keepLines w:val="0"/>
        <w:numPr>
          <w:ilvl w:val="-1"/>
          <w:numId w:val="0"/>
        </w:num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九、</w:t>
      </w:r>
      <w:r>
        <w:rPr>
          <w:rFonts w:hint="eastAsia" w:ascii="宋体" w:hAnsi="宋体" w:eastAsia="宋体" w:cs="宋体"/>
          <w:sz w:val="24"/>
          <w:szCs w:val="24"/>
          <w:highlight w:val="none"/>
        </w:rPr>
        <w:t>注意</w:t>
      </w:r>
      <w:bookmarkEnd w:id="29"/>
      <w:bookmarkEnd w:id="30"/>
      <w:bookmarkEnd w:id="31"/>
      <w:bookmarkEnd w:id="32"/>
      <w:bookmarkEnd w:id="33"/>
    </w:p>
    <w:p>
      <w:pPr>
        <w:rPr>
          <w:rFonts w:hint="eastAsia" w:ascii="宋体" w:hAnsi="宋体" w:cs="宋体"/>
          <w:b/>
          <w:szCs w:val="21"/>
          <w:highlight w:val="none"/>
        </w:rPr>
      </w:pPr>
      <w:r>
        <w:rPr>
          <w:rFonts w:hint="eastAsia" w:ascii="宋体" w:hAnsi="宋体" w:cs="宋体"/>
          <w:b/>
          <w:szCs w:val="21"/>
          <w:highlight w:val="none"/>
        </w:rPr>
        <w:t>1、本招标文件中加“▲”的技术参数为必须满足的技术参数，投标人投标时不允许出现负偏离情况，否则按无效标处理，加“★”的技术参数为重要技术参数，任何关于★条款的负偏离将导致技术评分失分。</w:t>
      </w:r>
    </w:p>
    <w:p>
      <w:pPr>
        <w:rPr>
          <w:b/>
          <w:bCs/>
          <w:highlight w:val="none"/>
        </w:rPr>
      </w:pPr>
      <w:r>
        <w:rPr>
          <w:rFonts w:hint="eastAsia" w:ascii="宋体" w:hAnsi="宋体" w:cs="宋体"/>
          <w:b/>
          <w:szCs w:val="21"/>
          <w:highlight w:val="none"/>
          <w:lang w:val="en-US" w:eastAsia="zh-CN"/>
        </w:rPr>
        <w:t>2</w:t>
      </w:r>
      <w:r>
        <w:rPr>
          <w:rFonts w:hint="eastAsia" w:ascii="宋体" w:hAnsi="宋体" w:cs="宋体"/>
          <w:b/>
          <w:szCs w:val="21"/>
          <w:highlight w:val="none"/>
        </w:rPr>
        <w:t>、本招标文件仅对拟采购货物提出原则性要求，并不是详尽的要求，投标人有责任对技术参数符合现行的相关技术规范、标准负责。</w:t>
      </w:r>
    </w:p>
    <w:p>
      <w:pPr>
        <w:autoSpaceDE w:val="0"/>
        <w:autoSpaceDN w:val="0"/>
        <w:adjustRightInd w:val="0"/>
        <w:snapToGrid w:val="0"/>
        <w:spacing w:line="400" w:lineRule="exact"/>
        <w:ind w:firstLine="422" w:firstLineChars="200"/>
        <w:jc w:val="left"/>
        <w:rPr>
          <w:rFonts w:ascii="宋体" w:hAnsi="宋体" w:cs="宋体"/>
          <w:b/>
          <w:szCs w:val="21"/>
          <w:highlight w:val="none"/>
        </w:rPr>
        <w:sectPr>
          <w:headerReference r:id="rId4" w:type="first"/>
          <w:headerReference r:id="rId3" w:type="default"/>
          <w:footerReference r:id="rId5" w:type="default"/>
          <w:pgSz w:w="11906" w:h="16838"/>
          <w:pgMar w:top="1247" w:right="1247" w:bottom="1247" w:left="1247" w:header="851" w:footer="992" w:gutter="0"/>
          <w:pgBorders>
            <w:top w:val="none" w:sz="0" w:space="0"/>
            <w:left w:val="none" w:sz="0" w:space="0"/>
            <w:bottom w:val="none" w:sz="0" w:space="0"/>
            <w:right w:val="none" w:sz="0" w:space="0"/>
          </w:pgBorders>
          <w:pgNumType w:fmt="numberInDash"/>
          <w:cols w:space="720" w:num="1"/>
          <w:titlePg/>
          <w:docGrid w:linePitch="312" w:charSpace="0"/>
        </w:sectPr>
      </w:pPr>
    </w:p>
    <w:p>
      <w:pPr>
        <w:pStyle w:val="4"/>
        <w:spacing w:line="480" w:lineRule="exact"/>
        <w:jc w:val="center"/>
        <w:rPr>
          <w:rFonts w:ascii="宋体" w:hAnsi="宋体" w:cs="宋体"/>
          <w:snapToGrid w:val="0"/>
          <w:sz w:val="36"/>
          <w:szCs w:val="36"/>
          <w:highlight w:val="none"/>
        </w:rPr>
      </w:pPr>
      <w:bookmarkStart w:id="34" w:name="_Toc25128"/>
      <w:bookmarkStart w:id="35" w:name="_Toc9984"/>
      <w:bookmarkStart w:id="36" w:name="_Toc66513769"/>
      <w:bookmarkStart w:id="37" w:name="_Toc26378"/>
      <w:bookmarkStart w:id="38" w:name="_Toc32212"/>
      <w:r>
        <w:rPr>
          <w:rFonts w:hint="eastAsia" w:ascii="宋体" w:hAnsi="宋体" w:cs="宋体"/>
          <w:snapToGrid w:val="0"/>
          <w:sz w:val="36"/>
          <w:szCs w:val="36"/>
          <w:highlight w:val="none"/>
        </w:rPr>
        <w:t>第三章  投标人须知</w:t>
      </w:r>
      <w:bookmarkEnd w:id="8"/>
      <w:bookmarkEnd w:id="15"/>
      <w:bookmarkEnd w:id="34"/>
      <w:bookmarkEnd w:id="35"/>
      <w:bookmarkEnd w:id="36"/>
      <w:bookmarkEnd w:id="37"/>
      <w:bookmarkEnd w:id="38"/>
    </w:p>
    <w:p>
      <w:pPr>
        <w:pStyle w:val="5"/>
        <w:spacing w:line="480" w:lineRule="exact"/>
        <w:rPr>
          <w:rFonts w:ascii="宋体" w:hAnsi="宋体" w:eastAsia="宋体" w:cs="宋体"/>
          <w:sz w:val="24"/>
          <w:szCs w:val="24"/>
          <w:highlight w:val="none"/>
        </w:rPr>
      </w:pPr>
      <w:bookmarkStart w:id="39" w:name="_Toc1331746462"/>
      <w:bookmarkStart w:id="40" w:name="_Toc317341937"/>
      <w:bookmarkStart w:id="41" w:name="_Toc15132"/>
      <w:bookmarkStart w:id="42" w:name="_Toc222632753"/>
      <w:bookmarkStart w:id="43" w:name="_Toc10466"/>
      <w:bookmarkStart w:id="44" w:name="_Toc4375"/>
      <w:bookmarkStart w:id="45" w:name="_Toc31607"/>
      <w:r>
        <w:rPr>
          <w:rFonts w:hint="eastAsia" w:ascii="宋体" w:hAnsi="宋体" w:eastAsia="宋体" w:cs="宋体"/>
          <w:sz w:val="24"/>
          <w:szCs w:val="24"/>
          <w:highlight w:val="none"/>
        </w:rPr>
        <w:t>前   附  表</w:t>
      </w:r>
      <w:bookmarkEnd w:id="39"/>
      <w:bookmarkEnd w:id="40"/>
      <w:bookmarkEnd w:id="41"/>
      <w:bookmarkEnd w:id="42"/>
      <w:bookmarkEnd w:id="43"/>
      <w:bookmarkEnd w:id="44"/>
      <w:bookmarkEnd w:id="45"/>
    </w:p>
    <w:tbl>
      <w:tblPr>
        <w:tblStyle w:val="32"/>
        <w:tblpPr w:leftFromText="180" w:rightFromText="180" w:vertAnchor="text" w:tblpXSpec="center" w:tblpY="1"/>
        <w:tblOverlap w:val="never"/>
        <w:tblW w:w="8703" w:type="dxa"/>
        <w:tblInd w:w="0" w:type="dxa"/>
        <w:tblLayout w:type="fixed"/>
        <w:tblCellMar>
          <w:top w:w="0" w:type="dxa"/>
          <w:left w:w="108" w:type="dxa"/>
          <w:bottom w:w="0" w:type="dxa"/>
          <w:right w:w="108" w:type="dxa"/>
        </w:tblCellMar>
      </w:tblPr>
      <w:tblGrid>
        <w:gridCol w:w="574"/>
        <w:gridCol w:w="8129"/>
      </w:tblGrid>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rPr>
                <w:rFonts w:ascii="宋体" w:hAnsi="宋体" w:cs="宋体"/>
                <w:szCs w:val="21"/>
                <w:highlight w:val="none"/>
                <w:lang w:val="zh-CN"/>
              </w:rPr>
            </w:pPr>
            <w:r>
              <w:rPr>
                <w:rFonts w:hint="eastAsia" w:ascii="宋体" w:hAnsi="宋体" w:cs="宋体"/>
                <w:szCs w:val="21"/>
                <w:highlight w:val="none"/>
                <w:cs/>
                <w:lang w:val="zh-CN"/>
              </w:rPr>
              <w:t>序号</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left="71" w:right="-263" w:firstLine="105"/>
              <w:jc w:val="center"/>
              <w:rPr>
                <w:rFonts w:ascii="宋体" w:hAnsi="宋体" w:cs="宋体"/>
                <w:szCs w:val="21"/>
                <w:highlight w:val="none"/>
                <w:lang w:val="zh-CN"/>
              </w:rPr>
            </w:pPr>
            <w:r>
              <w:rPr>
                <w:rFonts w:hint="eastAsia" w:ascii="宋体" w:hAnsi="宋体" w:cs="宋体"/>
                <w:szCs w:val="21"/>
                <w:highlight w:val="none"/>
                <w:lang w:val="zh-CN"/>
              </w:rPr>
              <w:t>内容及相关规定</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lang w:val="zh-CN"/>
              </w:rPr>
            </w:pPr>
            <w:r>
              <w:rPr>
                <w:rFonts w:hint="eastAsia" w:ascii="宋体" w:hAnsi="宋体" w:cs="宋体"/>
                <w:szCs w:val="21"/>
                <w:highlight w:val="none"/>
                <w:lang w:val="zh-CN"/>
              </w:rPr>
              <w:t>1</w:t>
            </w:r>
          </w:p>
        </w:tc>
        <w:tc>
          <w:tcPr>
            <w:tcW w:w="8129" w:type="dxa"/>
            <w:tcBorders>
              <w:top w:val="single" w:color="auto" w:sz="6" w:space="0"/>
              <w:left w:val="single" w:color="auto" w:sz="6" w:space="0"/>
              <w:right w:val="single" w:color="auto" w:sz="6" w:space="0"/>
            </w:tcBorders>
            <w:vAlign w:val="center"/>
          </w:tcPr>
          <w:p>
            <w:pPr>
              <w:adjustRightInd w:val="0"/>
              <w:snapToGrid w:val="0"/>
              <w:spacing w:line="340" w:lineRule="exact"/>
              <w:rPr>
                <w:rFonts w:hint="eastAsia" w:ascii="宋体" w:hAnsi="宋体" w:eastAsia="宋体" w:cs="宋体"/>
                <w:szCs w:val="21"/>
                <w:highlight w:val="none"/>
                <w:lang w:eastAsia="zh-CN"/>
              </w:rPr>
            </w:pPr>
            <w:r>
              <w:rPr>
                <w:rFonts w:hint="eastAsia" w:ascii="宋体" w:hAnsi="宋体" w:cs="宋体"/>
                <w:szCs w:val="21"/>
                <w:highlight w:val="none"/>
              </w:rPr>
              <w:t>项目名称：</w:t>
            </w:r>
            <w:r>
              <w:rPr>
                <w:rFonts w:hint="eastAsia" w:ascii="宋体" w:hAnsi="宋体" w:cs="宋体"/>
                <w:szCs w:val="21"/>
                <w:highlight w:val="none"/>
                <w:lang w:eastAsia="zh-CN"/>
              </w:rPr>
              <w:t>安吉县食品药品检验检测中心离子色谱仪设备供货与安装政府采购项目</w:t>
            </w:r>
          </w:p>
          <w:p>
            <w:pPr>
              <w:adjustRightInd w:val="0"/>
              <w:snapToGrid w:val="0"/>
              <w:spacing w:line="340" w:lineRule="exact"/>
              <w:rPr>
                <w:rFonts w:hint="eastAsia" w:ascii="宋体" w:hAnsi="宋体" w:eastAsia="宋体" w:cs="宋体"/>
                <w:szCs w:val="21"/>
                <w:highlight w:val="none"/>
                <w:lang w:eastAsia="zh-CN"/>
              </w:rPr>
            </w:pPr>
            <w:r>
              <w:rPr>
                <w:rFonts w:hint="eastAsia" w:ascii="宋体" w:hAnsi="宋体" w:cs="宋体"/>
                <w:szCs w:val="21"/>
                <w:highlight w:val="none"/>
              </w:rPr>
              <w:t>项目编号：</w:t>
            </w:r>
            <w:r>
              <w:rPr>
                <w:rFonts w:hint="eastAsia" w:ascii="宋体" w:hAnsi="宋体" w:cs="宋体"/>
                <w:szCs w:val="21"/>
                <w:highlight w:val="none"/>
                <w:lang w:eastAsia="zh-CN"/>
              </w:rPr>
              <w:t>JCGK2024-006</w:t>
            </w:r>
          </w:p>
          <w:p>
            <w:pPr>
              <w:adjustRightInd w:val="0"/>
              <w:snapToGrid w:val="0"/>
              <w:spacing w:line="340" w:lineRule="exact"/>
              <w:rPr>
                <w:rFonts w:ascii="宋体" w:hAnsi="宋体" w:cs="宋体"/>
                <w:szCs w:val="21"/>
                <w:highlight w:val="none"/>
              </w:rPr>
            </w:pPr>
            <w:r>
              <w:rPr>
                <w:rFonts w:hint="eastAsia" w:ascii="宋体" w:hAnsi="宋体" w:cs="宋体"/>
                <w:szCs w:val="21"/>
                <w:highlight w:val="none"/>
              </w:rPr>
              <w:t>项目内容：详见招标文件第二章</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2</w:t>
            </w:r>
          </w:p>
        </w:tc>
        <w:tc>
          <w:tcPr>
            <w:tcW w:w="8129" w:type="dxa"/>
            <w:tcBorders>
              <w:top w:val="single" w:color="auto" w:sz="6" w:space="0"/>
              <w:left w:val="single" w:color="auto" w:sz="6" w:space="0"/>
              <w:right w:val="single" w:color="auto" w:sz="6" w:space="0"/>
            </w:tcBorders>
            <w:vAlign w:val="center"/>
          </w:tcPr>
          <w:p>
            <w:pPr>
              <w:adjustRightInd w:val="0"/>
              <w:snapToGrid w:val="0"/>
              <w:spacing w:line="340" w:lineRule="exact"/>
              <w:rPr>
                <w:rFonts w:ascii="宋体" w:hAnsi="宋体" w:cs="宋体"/>
                <w:szCs w:val="21"/>
                <w:highlight w:val="none"/>
              </w:rPr>
            </w:pPr>
            <w:r>
              <w:rPr>
                <w:rFonts w:hint="eastAsia" w:ascii="宋体" w:hAnsi="宋体" w:cs="宋体"/>
                <w:szCs w:val="21"/>
                <w:highlight w:val="none"/>
              </w:rPr>
              <w:t>采购资金来源：财政预算资金，已落实。</w:t>
            </w:r>
          </w:p>
          <w:p>
            <w:pPr>
              <w:adjustRightInd w:val="0"/>
              <w:snapToGrid w:val="0"/>
              <w:spacing w:line="340" w:lineRule="exact"/>
              <w:rPr>
                <w:rFonts w:ascii="宋体" w:hAnsi="宋体" w:cs="宋体"/>
                <w:szCs w:val="21"/>
                <w:highlight w:val="none"/>
              </w:rPr>
            </w:pPr>
            <w:r>
              <w:rPr>
                <w:rFonts w:hint="eastAsia" w:ascii="宋体" w:hAnsi="宋体" w:cs="宋体"/>
                <w:szCs w:val="21"/>
                <w:highlight w:val="none"/>
              </w:rPr>
              <w:t>付款方式：财政专户支付。</w:t>
            </w:r>
          </w:p>
        </w:tc>
      </w:tr>
      <w:tr>
        <w:tblPrEx>
          <w:tblCellMar>
            <w:top w:w="0" w:type="dxa"/>
            <w:left w:w="108" w:type="dxa"/>
            <w:bottom w:w="0" w:type="dxa"/>
            <w:right w:w="108" w:type="dxa"/>
          </w:tblCellMar>
        </w:tblPrEx>
        <w:trPr>
          <w:trHeight w:val="37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lang w:val="zh-CN"/>
              </w:rPr>
            </w:pPr>
            <w:r>
              <w:rPr>
                <w:rFonts w:hint="eastAsia" w:ascii="宋体" w:hAnsi="宋体" w:cs="宋体"/>
                <w:szCs w:val="21"/>
                <w:highlight w:val="none"/>
              </w:rPr>
              <w:t>3</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69"/>
              <w:rPr>
                <w:rFonts w:ascii="宋体" w:hAnsi="宋体" w:cs="宋体"/>
                <w:szCs w:val="21"/>
                <w:highlight w:val="none"/>
                <w:lang w:val="zh-CN"/>
              </w:rPr>
            </w:pPr>
            <w:r>
              <w:rPr>
                <w:rFonts w:hint="eastAsia" w:ascii="宋体" w:hAnsi="宋体" w:cs="宋体"/>
                <w:szCs w:val="21"/>
                <w:highlight w:val="none"/>
                <w:lang w:val="zh-CN"/>
              </w:rPr>
              <w:t>投标人资格要求：见招标公告第五条</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lang w:val="zh-CN"/>
              </w:rPr>
            </w:pPr>
            <w:r>
              <w:rPr>
                <w:rFonts w:hint="eastAsia" w:ascii="宋体" w:hAnsi="宋体" w:cs="宋体"/>
                <w:szCs w:val="21"/>
                <w:highlight w:val="none"/>
              </w:rPr>
              <w:t>4</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left"/>
              <w:rPr>
                <w:rFonts w:ascii="宋体" w:hAnsi="宋体" w:cs="宋体"/>
                <w:szCs w:val="21"/>
                <w:highlight w:val="none"/>
                <w:lang w:val="zh-CN"/>
              </w:rPr>
            </w:pPr>
            <w:r>
              <w:rPr>
                <w:rFonts w:hint="eastAsia" w:ascii="宋体" w:hAnsi="宋体" w:cs="宋体"/>
                <w:szCs w:val="21"/>
                <w:highlight w:val="none"/>
                <w:lang w:val="zh-CN"/>
              </w:rPr>
              <w:t>投标有效期：</w:t>
            </w:r>
          </w:p>
          <w:p>
            <w:pPr>
              <w:autoSpaceDE w:val="0"/>
              <w:autoSpaceDN w:val="0"/>
              <w:adjustRightInd w:val="0"/>
              <w:spacing w:line="340" w:lineRule="exact"/>
              <w:jc w:val="left"/>
              <w:rPr>
                <w:rFonts w:ascii="宋体" w:hAnsi="宋体" w:cs="宋体"/>
                <w:szCs w:val="21"/>
                <w:highlight w:val="none"/>
                <w:lang w:val="zh-CN"/>
              </w:rPr>
            </w:pPr>
            <w:r>
              <w:rPr>
                <w:rFonts w:hint="eastAsia" w:ascii="宋体" w:hAnsi="宋体" w:cs="宋体"/>
                <w:szCs w:val="21"/>
                <w:highlight w:val="none"/>
                <w:lang w:val="zh-CN"/>
              </w:rPr>
              <w:t>自投标截止日起90天。</w:t>
            </w:r>
          </w:p>
          <w:p>
            <w:pPr>
              <w:autoSpaceDE w:val="0"/>
              <w:autoSpaceDN w:val="0"/>
              <w:adjustRightInd w:val="0"/>
              <w:spacing w:line="340" w:lineRule="exact"/>
              <w:jc w:val="left"/>
              <w:rPr>
                <w:rFonts w:ascii="宋体" w:hAnsi="宋体" w:cs="宋体"/>
                <w:szCs w:val="21"/>
                <w:highlight w:val="none"/>
                <w:lang w:val="zh-CN"/>
              </w:rPr>
            </w:pPr>
            <w:r>
              <w:rPr>
                <w:rFonts w:hint="eastAsia" w:ascii="宋体" w:hAnsi="宋体" w:cs="宋体"/>
                <w:szCs w:val="21"/>
                <w:highlight w:val="none"/>
              </w:rPr>
              <w:t>投标截止后，在投标有效期内，投标人不能撤销投标文件。投标人强行撤销投标文件的，应按预算金额的2%赔偿对招标代理机构造成的损失。</w:t>
            </w:r>
          </w:p>
        </w:tc>
      </w:tr>
      <w:tr>
        <w:tblPrEx>
          <w:tblCellMar>
            <w:top w:w="0" w:type="dxa"/>
            <w:left w:w="108" w:type="dxa"/>
            <w:bottom w:w="0" w:type="dxa"/>
            <w:right w:w="108" w:type="dxa"/>
          </w:tblCellMar>
        </w:tblPrEx>
        <w:trPr>
          <w:trHeight w:val="301"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lang w:val="zh-CN"/>
              </w:rPr>
            </w:pPr>
            <w:r>
              <w:rPr>
                <w:rFonts w:hint="eastAsia" w:ascii="宋体" w:hAnsi="宋体" w:cs="宋体"/>
                <w:szCs w:val="21"/>
                <w:highlight w:val="none"/>
              </w:rPr>
              <w:t>5</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6" w:lineRule="auto"/>
              <w:ind w:left="1"/>
              <w:textAlignment w:val="bottom"/>
              <w:rPr>
                <w:rFonts w:ascii="宋体" w:hAnsi="宋体" w:cs="宋体"/>
                <w:szCs w:val="21"/>
                <w:highlight w:val="none"/>
                <w:lang w:val="zh-CN"/>
              </w:rPr>
            </w:pPr>
            <w:r>
              <w:rPr>
                <w:rFonts w:hint="eastAsia" w:ascii="宋体" w:hAnsi="宋体" w:cs="宋体"/>
                <w:szCs w:val="21"/>
                <w:highlight w:val="none"/>
                <w:lang w:val="zh-CN"/>
              </w:rPr>
              <w:t>投标保证金：</w:t>
            </w:r>
            <w:r>
              <w:rPr>
                <w:rFonts w:hint="eastAsia" w:ascii="宋体" w:hAnsi="宋体" w:cs="宋体"/>
                <w:szCs w:val="21"/>
                <w:highlight w:val="none"/>
              </w:rPr>
              <w:t>无。</w:t>
            </w:r>
          </w:p>
        </w:tc>
      </w:tr>
      <w:tr>
        <w:tblPrEx>
          <w:tblCellMar>
            <w:top w:w="0" w:type="dxa"/>
            <w:left w:w="108" w:type="dxa"/>
            <w:bottom w:w="0" w:type="dxa"/>
            <w:right w:w="108" w:type="dxa"/>
          </w:tblCellMar>
        </w:tblPrEx>
        <w:trPr>
          <w:trHeight w:val="1942"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6</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40" w:lineRule="exact"/>
              <w:rPr>
                <w:rFonts w:ascii="宋体" w:hAnsi="宋体" w:cs="宋体"/>
                <w:szCs w:val="21"/>
                <w:highlight w:val="none"/>
                <w:lang w:val="zh-CN"/>
              </w:rPr>
            </w:pPr>
            <w:r>
              <w:rPr>
                <w:rFonts w:hint="eastAsia" w:ascii="宋体" w:hAnsi="宋体" w:cs="宋体"/>
                <w:szCs w:val="21"/>
                <w:highlight w:val="none"/>
                <w:lang w:val="zh-CN"/>
              </w:rPr>
              <w:t>投标报价及费用：</w:t>
            </w:r>
          </w:p>
          <w:p>
            <w:pPr>
              <w:pStyle w:val="8"/>
              <w:spacing w:line="340" w:lineRule="exact"/>
              <w:ind w:firstLine="0"/>
              <w:rPr>
                <w:rFonts w:ascii="宋体" w:hAnsi="宋体" w:cs="宋体"/>
                <w:szCs w:val="21"/>
                <w:highlight w:val="none"/>
              </w:rPr>
            </w:pPr>
            <w:r>
              <w:rPr>
                <w:rFonts w:hint="eastAsia" w:ascii="宋体" w:hAnsi="宋体" w:cs="宋体"/>
                <w:szCs w:val="21"/>
                <w:highlight w:val="none"/>
              </w:rPr>
              <w:t>1、本项目投标应以人民币报价；</w:t>
            </w:r>
          </w:p>
          <w:p>
            <w:pPr>
              <w:pStyle w:val="8"/>
              <w:spacing w:line="340" w:lineRule="exact"/>
              <w:ind w:firstLine="0"/>
              <w:rPr>
                <w:rFonts w:ascii="宋体" w:hAnsi="宋体" w:cs="宋体"/>
                <w:szCs w:val="21"/>
                <w:highlight w:val="none"/>
              </w:rPr>
            </w:pPr>
            <w:r>
              <w:rPr>
                <w:rFonts w:hint="eastAsia" w:ascii="宋体" w:hAnsi="宋体" w:cs="宋体"/>
                <w:szCs w:val="21"/>
                <w:highlight w:val="none"/>
              </w:rPr>
              <w:t>2、不论投标结果如何，投标人均应自行承担所有与投标有关的全部费用；</w:t>
            </w:r>
          </w:p>
          <w:p>
            <w:pPr>
              <w:pStyle w:val="8"/>
              <w:spacing w:line="340" w:lineRule="exact"/>
              <w:ind w:firstLine="0"/>
              <w:rPr>
                <w:rFonts w:ascii="宋体" w:hAnsi="宋体" w:cs="宋体"/>
                <w:szCs w:val="21"/>
                <w:highlight w:val="none"/>
              </w:rPr>
            </w:pPr>
            <w:r>
              <w:rPr>
                <w:rFonts w:hint="eastAsia" w:ascii="宋体" w:hAnsi="宋体" w:cs="宋体"/>
                <w:szCs w:val="21"/>
                <w:highlight w:val="none"/>
              </w:rPr>
              <w:t>3、采购代理费用由中标人支付（</w:t>
            </w:r>
            <w:r>
              <w:rPr>
                <w:rFonts w:hint="eastAsia" w:ascii="宋体" w:hAnsi="宋体" w:cs="宋体"/>
                <w:color w:val="auto"/>
                <w:szCs w:val="21"/>
                <w:highlight w:val="none"/>
              </w:rPr>
              <w:t>收费标准为：收费额按照</w:t>
            </w:r>
            <w:r>
              <w:rPr>
                <w:rFonts w:hint="eastAsia" w:ascii="宋体" w:hAnsi="宋体" w:cs="宋体"/>
                <w:color w:val="auto"/>
                <w:szCs w:val="21"/>
                <w:highlight w:val="none"/>
                <w:lang w:eastAsia="zh-CN"/>
              </w:rPr>
              <w:t>中标总价</w:t>
            </w:r>
            <w:r>
              <w:rPr>
                <w:rFonts w:hint="eastAsia" w:ascii="宋体" w:hAnsi="宋体" w:cs="宋体"/>
                <w:color w:val="auto"/>
                <w:szCs w:val="21"/>
                <w:highlight w:val="none"/>
              </w:rPr>
              <w:t>计算，100万（含）以内的按1.5%，100</w:t>
            </w:r>
            <w:r>
              <w:rPr>
                <w:rFonts w:hint="eastAsia" w:ascii="宋体" w:hAnsi="宋体" w:cs="宋体"/>
                <w:color w:val="auto"/>
                <w:szCs w:val="21"/>
                <w:highlight w:val="none"/>
                <w:lang w:eastAsia="zh-CN"/>
              </w:rPr>
              <w:t>万</w:t>
            </w:r>
            <w:r>
              <w:rPr>
                <w:rFonts w:hint="eastAsia" w:ascii="宋体" w:hAnsi="宋体" w:cs="宋体"/>
                <w:color w:val="auto"/>
                <w:szCs w:val="21"/>
                <w:highlight w:val="none"/>
              </w:rPr>
              <w:t>-500万（含）的按</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%，差额定律累进法计算</w:t>
            </w:r>
            <w:r>
              <w:rPr>
                <w:rFonts w:hint="eastAsia" w:ascii="宋体" w:hAnsi="宋体" w:cs="宋体"/>
                <w:color w:val="auto"/>
                <w:szCs w:val="21"/>
                <w:highlight w:val="none"/>
                <w:lang w:eastAsia="zh-CN"/>
              </w:rPr>
              <w:t>后</w:t>
            </w:r>
            <w:r>
              <w:rPr>
                <w:rFonts w:hint="eastAsia" w:ascii="宋体" w:hAnsi="宋体" w:cs="宋体"/>
                <w:color w:val="auto"/>
                <w:szCs w:val="21"/>
                <w:highlight w:val="none"/>
                <w:lang w:val="en-US" w:eastAsia="zh-CN"/>
              </w:rPr>
              <w:t>收取</w:t>
            </w:r>
            <w:r>
              <w:rPr>
                <w:rFonts w:hint="eastAsia" w:ascii="宋体" w:hAnsi="宋体" w:cs="宋体"/>
                <w:szCs w:val="21"/>
                <w:highlight w:val="none"/>
              </w:rPr>
              <w:t>）。</w:t>
            </w:r>
            <w:r>
              <w:rPr>
                <w:rFonts w:hint="eastAsia" w:ascii="宋体" w:hAnsi="宋体" w:cs="宋体"/>
                <w:color w:val="auto"/>
                <w:szCs w:val="21"/>
                <w:highlight w:val="none"/>
              </w:rPr>
              <w:t>帐户名称：安吉精诚采购代理有限公司，开户银行：浙江安吉农村商业银行营业部，帐号：201000283159854</w:t>
            </w:r>
          </w:p>
        </w:tc>
      </w:tr>
      <w:tr>
        <w:tblPrEx>
          <w:tblCellMar>
            <w:top w:w="0" w:type="dxa"/>
            <w:left w:w="108" w:type="dxa"/>
            <w:bottom w:w="0" w:type="dxa"/>
            <w:right w:w="108" w:type="dxa"/>
          </w:tblCellMar>
        </w:tblPrEx>
        <w:trPr>
          <w:trHeight w:val="519"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7</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left="71" w:right="69"/>
              <w:rPr>
                <w:rFonts w:ascii="宋体" w:hAnsi="宋体" w:cs="宋体"/>
                <w:szCs w:val="21"/>
                <w:highlight w:val="none"/>
                <w:u w:val="single"/>
              </w:rPr>
            </w:pPr>
            <w:r>
              <w:rPr>
                <w:rFonts w:hint="eastAsia" w:ascii="宋体" w:hAnsi="宋体" w:cs="宋体"/>
                <w:szCs w:val="21"/>
                <w:highlight w:val="none"/>
                <w:lang w:val="zh-CN"/>
              </w:rPr>
              <w:t>本项目投标报价上限：</w:t>
            </w:r>
          </w:p>
          <w:p>
            <w:pPr>
              <w:autoSpaceDE w:val="0"/>
              <w:autoSpaceDN w:val="0"/>
              <w:adjustRightInd w:val="0"/>
              <w:spacing w:line="276" w:lineRule="auto"/>
              <w:ind w:left="71" w:right="69"/>
              <w:rPr>
                <w:rFonts w:ascii="宋体" w:hAnsi="宋体" w:cs="宋体"/>
                <w:szCs w:val="21"/>
                <w:highlight w:val="none"/>
              </w:rPr>
            </w:pPr>
            <w:r>
              <w:rPr>
                <w:rFonts w:hint="eastAsia" w:ascii="宋体" w:hAnsi="宋体" w:cs="宋体"/>
                <w:szCs w:val="21"/>
                <w:highlight w:val="none"/>
              </w:rPr>
              <w:t>报价不得超预算，否则投标无效。</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8</w:t>
            </w:r>
          </w:p>
        </w:tc>
        <w:tc>
          <w:tcPr>
            <w:tcW w:w="8129" w:type="dxa"/>
            <w:tcBorders>
              <w:top w:val="single" w:color="auto" w:sz="6" w:space="0"/>
              <w:left w:val="single" w:color="auto" w:sz="6" w:space="0"/>
              <w:bottom w:val="single" w:color="auto" w:sz="6" w:space="0"/>
              <w:right w:val="single" w:color="auto" w:sz="6" w:space="0"/>
            </w:tcBorders>
            <w:vAlign w:val="center"/>
          </w:tcPr>
          <w:p>
            <w:pPr>
              <w:pStyle w:val="8"/>
              <w:spacing w:line="340" w:lineRule="exact"/>
              <w:ind w:firstLine="0"/>
              <w:rPr>
                <w:rFonts w:ascii="宋体" w:hAnsi="宋体" w:cs="宋体"/>
                <w:szCs w:val="21"/>
                <w:highlight w:val="none"/>
              </w:rPr>
            </w:pPr>
            <w:r>
              <w:rPr>
                <w:rFonts w:hint="eastAsia" w:ascii="宋体" w:hAnsi="宋体" w:cs="宋体"/>
                <w:szCs w:val="21"/>
                <w:highlight w:val="none"/>
              </w:rPr>
              <w:t>现场踏勘：</w:t>
            </w:r>
          </w:p>
          <w:p>
            <w:pPr>
              <w:pStyle w:val="8"/>
              <w:spacing w:line="340" w:lineRule="exact"/>
              <w:ind w:firstLine="0"/>
              <w:rPr>
                <w:rFonts w:ascii="宋体" w:hAnsi="宋体" w:cs="宋体"/>
                <w:szCs w:val="21"/>
                <w:highlight w:val="none"/>
              </w:rPr>
            </w:pPr>
            <w:r>
              <w:rPr>
                <w:rFonts w:hint="eastAsia" w:ascii="宋体" w:hAnsi="宋体" w:cs="宋体"/>
                <w:szCs w:val="21"/>
                <w:highlight w:val="none"/>
              </w:rPr>
              <w:t>不集中组织，投标人可自行前往，踏勘现场所发生的费用由投标人自己承担。</w:t>
            </w:r>
          </w:p>
        </w:tc>
      </w:tr>
      <w:tr>
        <w:tblPrEx>
          <w:tblCellMar>
            <w:top w:w="0" w:type="dxa"/>
            <w:left w:w="108" w:type="dxa"/>
            <w:bottom w:w="0" w:type="dxa"/>
            <w:right w:w="108" w:type="dxa"/>
          </w:tblCellMar>
        </w:tblPrEx>
        <w:trPr>
          <w:trHeight w:val="640"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9</w:t>
            </w:r>
          </w:p>
        </w:tc>
        <w:tc>
          <w:tcPr>
            <w:tcW w:w="8129"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cs="宋体"/>
                <w:kern w:val="0"/>
                <w:szCs w:val="21"/>
                <w:highlight w:val="none"/>
              </w:rPr>
            </w:pPr>
            <w:r>
              <w:rPr>
                <w:rFonts w:hint="eastAsia" w:ascii="宋体" w:hAnsi="宋体" w:cs="宋体"/>
                <w:kern w:val="0"/>
                <w:szCs w:val="21"/>
                <w:highlight w:val="none"/>
              </w:rPr>
              <w:t>答疑与澄清：</w:t>
            </w:r>
          </w:p>
          <w:p>
            <w:pPr>
              <w:spacing w:line="300" w:lineRule="exact"/>
              <w:rPr>
                <w:rFonts w:ascii="宋体" w:hAnsi="宋体" w:cs="宋体"/>
                <w:szCs w:val="21"/>
                <w:highlight w:val="none"/>
              </w:rPr>
            </w:pPr>
            <w:r>
              <w:rPr>
                <w:rFonts w:hint="eastAsia" w:ascii="宋体" w:hAnsi="宋体" w:cs="宋体"/>
                <w:szCs w:val="21"/>
                <w:highlight w:val="none"/>
              </w:rPr>
              <w:t>（1）投标人认为招标文件使自己的权益受到损害的，可以自获取招标文件之日或者招标文件公告期限届满之日（公告期限届满后获取招标文件的，以公告期限届满之日为准）起7个工作日内，以书面形式向采购人和招标代理机构提出质疑。质疑投标人对采购人、采购代理机构的答复不满意或者采购人、采购代理机构未在规定的时间内作出答复的，可以在答复期满后十五个工作日内向同级政府采购监督管理部门投诉。</w:t>
            </w:r>
          </w:p>
          <w:p>
            <w:pPr>
              <w:spacing w:line="300" w:lineRule="exact"/>
              <w:rPr>
                <w:rFonts w:ascii="宋体" w:hAnsi="宋体" w:cs="宋体"/>
                <w:szCs w:val="21"/>
                <w:highlight w:val="none"/>
              </w:rPr>
            </w:pPr>
            <w:r>
              <w:rPr>
                <w:rFonts w:hint="eastAsia" w:ascii="宋体" w:hAnsi="宋体" w:cs="宋体"/>
                <w:szCs w:val="21"/>
                <w:highlight w:val="none"/>
              </w:rPr>
              <w:t>（2）质疑和投诉需按照《政府采购质疑和投诉办法》（财政部令第94号）规定，范本在浙江政府采购网中“下载专区”内下载，质疑时投标人需在法定质疑期内一次性提出针对同一采购环节的质疑。投标人为自然人的，应当由本人签字；投标人为法人或者其他组织的，应当由法定代表人、主要负责人，或者其授权代表签字或者盖章，并加盖公章。</w:t>
            </w:r>
          </w:p>
          <w:p>
            <w:pPr>
              <w:spacing w:line="300" w:lineRule="exact"/>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lang w:val="zh-CN"/>
              </w:rPr>
              <w:t>质疑受理：</w:t>
            </w:r>
            <w:r>
              <w:rPr>
                <w:rFonts w:hint="eastAsia" w:ascii="宋体" w:hAnsi="宋体" w:cs="宋体"/>
                <w:szCs w:val="21"/>
                <w:highlight w:val="none"/>
              </w:rPr>
              <w:t>1、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w:t>
            </w:r>
          </w:p>
          <w:p>
            <w:pPr>
              <w:spacing w:line="300" w:lineRule="exact"/>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zh-CN"/>
              </w:rPr>
              <w:t>投标人可将书面质疑函邮寄至</w:t>
            </w:r>
            <w:r>
              <w:rPr>
                <w:rFonts w:hint="eastAsia" w:ascii="宋体" w:hAnsi="宋体" w:cs="宋体"/>
                <w:szCs w:val="21"/>
                <w:highlight w:val="none"/>
              </w:rPr>
              <w:t>浙江省安吉县昌硕街道云鸿东路68-70号（云鸿铭楼）安吉精诚采购代理有限公司，联系人</w:t>
            </w:r>
            <w:r>
              <w:rPr>
                <w:rFonts w:hint="eastAsia" w:ascii="宋体" w:hAnsi="宋体" w:cs="宋体"/>
                <w:szCs w:val="21"/>
                <w:highlight w:val="none"/>
                <w:lang w:eastAsia="zh-CN"/>
              </w:rPr>
              <w:t>：丁卫飞</w:t>
            </w:r>
            <w:r>
              <w:rPr>
                <w:rFonts w:hint="eastAsia" w:ascii="宋体" w:hAnsi="宋体" w:cs="宋体"/>
                <w:szCs w:val="21"/>
                <w:highlight w:val="none"/>
              </w:rPr>
              <w:t xml:space="preserve"> 0572-</w:t>
            </w:r>
            <w:r>
              <w:rPr>
                <w:rFonts w:hint="eastAsia" w:ascii="宋体" w:hAnsi="宋体" w:cs="宋体"/>
                <w:szCs w:val="21"/>
                <w:highlight w:val="none"/>
                <w:lang w:val="en-US" w:eastAsia="zh-CN"/>
              </w:rPr>
              <w:t>5236715</w:t>
            </w:r>
            <w:r>
              <w:rPr>
                <w:rFonts w:hint="eastAsia" w:ascii="宋体" w:hAnsi="宋体" w:cs="宋体"/>
                <w:szCs w:val="21"/>
                <w:highlight w:val="none"/>
              </w:rPr>
              <w:t>，同时将质疑函扫描件以电子邮件形式发送至电子邮箱</w:t>
            </w:r>
            <w:r>
              <w:rPr>
                <w:highlight w:val="none"/>
              </w:rPr>
              <w:fldChar w:fldCharType="begin"/>
            </w:r>
            <w:r>
              <w:rPr>
                <w:highlight w:val="none"/>
              </w:rPr>
              <w:instrText xml:space="preserve"> HYPERLINK "mailto:379797688@qq.com" </w:instrText>
            </w:r>
            <w:r>
              <w:rPr>
                <w:highlight w:val="none"/>
              </w:rPr>
              <w:fldChar w:fldCharType="separate"/>
            </w:r>
            <w:r>
              <w:rPr>
                <w:rFonts w:hint="eastAsia" w:ascii="宋体" w:hAnsi="宋体" w:cs="宋体"/>
                <w:highlight w:val="none"/>
              </w:rPr>
              <w:t>34895112</w:t>
            </w:r>
            <w:r>
              <w:rPr>
                <w:rStyle w:val="37"/>
                <w:rFonts w:hint="eastAsia" w:ascii="宋体" w:hAnsi="宋体" w:cs="宋体"/>
                <w:color w:val="auto"/>
                <w:szCs w:val="21"/>
                <w:highlight w:val="none"/>
              </w:rPr>
              <w:t>@qq.com</w:t>
            </w:r>
            <w:r>
              <w:rPr>
                <w:rStyle w:val="37"/>
                <w:rFonts w:hint="eastAsia" w:ascii="宋体" w:hAnsi="宋体" w:cs="宋体"/>
                <w:color w:val="auto"/>
                <w:szCs w:val="21"/>
                <w:highlight w:val="none"/>
              </w:rPr>
              <w:fldChar w:fldCharType="end"/>
            </w:r>
            <w:r>
              <w:rPr>
                <w:rFonts w:hint="eastAsia" w:ascii="宋体" w:hAnsi="宋体" w:cs="宋体"/>
                <w:szCs w:val="21"/>
                <w:highlight w:val="none"/>
                <w:u w:val="single"/>
              </w:rPr>
              <w:t>。</w:t>
            </w:r>
          </w:p>
        </w:tc>
      </w:tr>
      <w:tr>
        <w:tblPrEx>
          <w:tblCellMar>
            <w:top w:w="0" w:type="dxa"/>
            <w:left w:w="108" w:type="dxa"/>
            <w:bottom w:w="0" w:type="dxa"/>
            <w:right w:w="108" w:type="dxa"/>
          </w:tblCellMar>
        </w:tblPrEx>
        <w:trPr>
          <w:trHeight w:val="4760"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10</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left"/>
              <w:rPr>
                <w:highlight w:val="none"/>
              </w:rPr>
            </w:pPr>
            <w:r>
              <w:rPr>
                <w:rFonts w:hint="eastAsia"/>
                <w:highlight w:val="none"/>
              </w:rPr>
              <w:t>投标文件的制作及组成：</w:t>
            </w:r>
          </w:p>
          <w:p>
            <w:pPr>
              <w:autoSpaceDE w:val="0"/>
              <w:autoSpaceDN w:val="0"/>
              <w:adjustRightInd w:val="0"/>
              <w:spacing w:line="340" w:lineRule="exact"/>
              <w:jc w:val="left"/>
              <w:rPr>
                <w:highlight w:val="none"/>
                <w:lang w:val="zh-CN"/>
              </w:rPr>
            </w:pPr>
            <w:r>
              <w:rPr>
                <w:rFonts w:hint="eastAsia"/>
                <w:highlight w:val="none"/>
              </w:rPr>
              <w:t>(1)</w:t>
            </w:r>
            <w:r>
              <w:rPr>
                <w:rFonts w:hint="eastAsia"/>
                <w:highlight w:val="none"/>
                <w:lang w:val="zh-CN"/>
              </w:rPr>
              <w:t>投标文件组成：</w:t>
            </w:r>
          </w:p>
          <w:p>
            <w:pPr>
              <w:autoSpaceDE w:val="0"/>
              <w:autoSpaceDN w:val="0"/>
              <w:adjustRightInd w:val="0"/>
              <w:spacing w:line="340" w:lineRule="exact"/>
              <w:jc w:val="left"/>
              <w:rPr>
                <w:highlight w:val="none"/>
                <w:lang w:val="zh-CN"/>
              </w:rPr>
            </w:pPr>
            <w:r>
              <w:rPr>
                <w:rFonts w:hint="eastAsia"/>
                <w:highlight w:val="none"/>
                <w:lang w:val="zh-CN"/>
              </w:rPr>
              <w:t>资格证明文件、报价文件、技术资信文件。</w:t>
            </w:r>
          </w:p>
          <w:p>
            <w:pPr>
              <w:autoSpaceDE w:val="0"/>
              <w:autoSpaceDN w:val="0"/>
              <w:adjustRightInd w:val="0"/>
              <w:spacing w:line="340" w:lineRule="exact"/>
              <w:jc w:val="left"/>
              <w:rPr>
                <w:highlight w:val="none"/>
              </w:rPr>
            </w:pPr>
            <w:r>
              <w:rPr>
                <w:rFonts w:hint="eastAsia"/>
                <w:highlight w:val="none"/>
              </w:rPr>
              <w:t>(2)投标文件编制：</w:t>
            </w:r>
          </w:p>
          <w:p>
            <w:pPr>
              <w:autoSpaceDE w:val="0"/>
              <w:autoSpaceDN w:val="0"/>
              <w:adjustRightInd w:val="0"/>
              <w:spacing w:line="340" w:lineRule="exact"/>
              <w:jc w:val="left"/>
              <w:rPr>
                <w:highlight w:val="none"/>
              </w:rPr>
            </w:pPr>
            <w:r>
              <w:rPr>
                <w:rFonts w:hint="eastAsia"/>
                <w:highlight w:val="none"/>
              </w:rPr>
              <w:t>投标人应先安装“政采云电子交易客户端”，并按照本招标文件和“政采云平台”的要求，通过“政采云电子交易客户端”编制并加密投标文件。</w:t>
            </w:r>
          </w:p>
          <w:p>
            <w:pPr>
              <w:autoSpaceDE w:val="0"/>
              <w:autoSpaceDN w:val="0"/>
              <w:adjustRightInd w:val="0"/>
              <w:spacing w:line="340" w:lineRule="exact"/>
              <w:jc w:val="left"/>
              <w:rPr>
                <w:highlight w:val="none"/>
              </w:rPr>
            </w:pPr>
            <w:r>
              <w:rPr>
                <w:rFonts w:hint="eastAsia"/>
                <w:highlight w:val="none"/>
              </w:rPr>
              <w:t>(3)投标文件的形式：</w:t>
            </w:r>
          </w:p>
          <w:p>
            <w:pPr>
              <w:autoSpaceDE w:val="0"/>
              <w:autoSpaceDN w:val="0"/>
              <w:adjustRightInd w:val="0"/>
              <w:spacing w:line="340" w:lineRule="exact"/>
              <w:jc w:val="left"/>
              <w:rPr>
                <w:highlight w:val="none"/>
              </w:rPr>
            </w:pPr>
            <w:r>
              <w:rPr>
                <w:rFonts w:hint="eastAsia"/>
                <w:highlight w:val="none"/>
              </w:rPr>
              <w:t>☑电子投标文件（包括“电子加密投标文件”和“备份投标文件”，在投标文件编制完成后同时生成）。</w:t>
            </w:r>
          </w:p>
          <w:p>
            <w:pPr>
              <w:autoSpaceDE w:val="0"/>
              <w:autoSpaceDN w:val="0"/>
              <w:adjustRightInd w:val="0"/>
              <w:spacing w:line="340" w:lineRule="exact"/>
              <w:jc w:val="left"/>
              <w:rPr>
                <w:highlight w:val="none"/>
              </w:rPr>
            </w:pPr>
            <w:r>
              <w:rPr>
                <w:rFonts w:hint="eastAsia"/>
                <w:highlight w:val="none"/>
              </w:rPr>
              <w:t>“电子加密投标文件”是指通过“政采云电子交易客户端”完成投标文件编制后生成并加密的数据电文形式的投标文件；“备份投标文件”是指与“电子加密投标文件”同时生成的数据电文形式的电子文件，其他方式编制的备份投标文件无效。</w:t>
            </w:r>
          </w:p>
          <w:p>
            <w:pPr>
              <w:autoSpaceDE w:val="0"/>
              <w:autoSpaceDN w:val="0"/>
              <w:adjustRightInd w:val="0"/>
              <w:spacing w:line="340" w:lineRule="exact"/>
              <w:jc w:val="left"/>
              <w:rPr>
                <w:highlight w:val="none"/>
              </w:rPr>
            </w:pPr>
            <w:r>
              <w:rPr>
                <w:rFonts w:hint="eastAsia"/>
                <w:highlight w:val="none"/>
              </w:rPr>
              <w:t>(4)投标文件份数：</w:t>
            </w:r>
          </w:p>
          <w:p>
            <w:pPr>
              <w:autoSpaceDE w:val="0"/>
              <w:autoSpaceDN w:val="0"/>
              <w:adjustRightInd w:val="0"/>
              <w:spacing w:line="340" w:lineRule="exact"/>
              <w:jc w:val="left"/>
              <w:rPr>
                <w:highlight w:val="none"/>
              </w:rPr>
            </w:pPr>
            <w:r>
              <w:rPr>
                <w:rFonts w:hint="eastAsia"/>
                <w:highlight w:val="none"/>
              </w:rPr>
              <w:t>“电子加密投标文件”(必须提交）：在线上传递交一份。</w:t>
            </w:r>
          </w:p>
          <w:p>
            <w:pPr>
              <w:autoSpaceDE w:val="0"/>
              <w:autoSpaceDN w:val="0"/>
              <w:adjustRightInd w:val="0"/>
              <w:spacing w:line="340" w:lineRule="exact"/>
              <w:jc w:val="left"/>
              <w:rPr>
                <w:highlight w:val="none"/>
              </w:rPr>
            </w:pPr>
            <w:r>
              <w:rPr>
                <w:rFonts w:hint="eastAsia"/>
                <w:highlight w:val="none"/>
              </w:rPr>
              <w:t>“备份投标文件”（不强制提交）：密封包装后在投标截止时间前邮寄至安吉县昌硕街道云鸿东路68-70号（云鸿铭楼）安吉精诚采购代理有限公司，联系人宋涛，联系电话0572-5028961，数量为U盘一份。</w:t>
            </w:r>
          </w:p>
        </w:tc>
      </w:tr>
      <w:tr>
        <w:tblPrEx>
          <w:tblCellMar>
            <w:top w:w="0" w:type="dxa"/>
            <w:left w:w="108" w:type="dxa"/>
            <w:bottom w:w="0" w:type="dxa"/>
            <w:right w:w="108" w:type="dxa"/>
          </w:tblCellMar>
        </w:tblPrEx>
        <w:trPr>
          <w:trHeight w:val="3765"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11</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left"/>
              <w:rPr>
                <w:highlight w:val="none"/>
              </w:rPr>
            </w:pPr>
            <w:r>
              <w:rPr>
                <w:rFonts w:hint="eastAsia"/>
                <w:highlight w:val="none"/>
              </w:rPr>
              <w:t>投标文件的上传和递交：</w:t>
            </w:r>
          </w:p>
          <w:p>
            <w:pPr>
              <w:autoSpaceDE w:val="0"/>
              <w:autoSpaceDN w:val="0"/>
              <w:adjustRightInd w:val="0"/>
              <w:spacing w:line="340" w:lineRule="exact"/>
              <w:jc w:val="left"/>
              <w:rPr>
                <w:highlight w:val="none"/>
              </w:rPr>
            </w:pPr>
            <w:r>
              <w:rPr>
                <w:rFonts w:hint="eastAsia"/>
                <w:highlight w:val="none"/>
              </w:rPr>
              <w:t>（1）“电子加密投标文件”的上传、递交：</w:t>
            </w:r>
          </w:p>
          <w:p>
            <w:pPr>
              <w:autoSpaceDE w:val="0"/>
              <w:autoSpaceDN w:val="0"/>
              <w:adjustRightInd w:val="0"/>
              <w:spacing w:line="340" w:lineRule="exact"/>
              <w:jc w:val="left"/>
              <w:rPr>
                <w:highlight w:val="none"/>
              </w:rPr>
            </w:pPr>
            <w:r>
              <w:rPr>
                <w:rFonts w:hint="eastAsia"/>
                <w:highlight w:val="none"/>
              </w:rPr>
              <w:t>投标人应在投标截止时间前将“电子加密投标文件”成功上传递交至“政采云平台”，否则投标无效。</w:t>
            </w:r>
          </w:p>
          <w:p>
            <w:pPr>
              <w:autoSpaceDE w:val="0"/>
              <w:autoSpaceDN w:val="0"/>
              <w:adjustRightInd w:val="0"/>
              <w:spacing w:line="340" w:lineRule="exact"/>
              <w:jc w:val="left"/>
              <w:rPr>
                <w:highlight w:val="none"/>
              </w:rPr>
            </w:pPr>
            <w:r>
              <w:rPr>
                <w:rFonts w:hint="eastAsia"/>
                <w:highlight w:val="none"/>
              </w:rPr>
              <w:t>“电子加密投标文件”成功上传递交后，投标人可自行打印投标文件接收回执。</w:t>
            </w:r>
          </w:p>
          <w:p>
            <w:pPr>
              <w:autoSpaceDE w:val="0"/>
              <w:autoSpaceDN w:val="0"/>
              <w:adjustRightInd w:val="0"/>
              <w:spacing w:line="340" w:lineRule="exact"/>
              <w:jc w:val="left"/>
              <w:rPr>
                <w:highlight w:val="none"/>
              </w:rPr>
            </w:pPr>
            <w:r>
              <w:rPr>
                <w:rFonts w:hint="eastAsia"/>
                <w:highlight w:val="none"/>
              </w:rPr>
              <w:t>（2）“备份投标文件”的密封包装、递交：</w:t>
            </w:r>
          </w:p>
          <w:p>
            <w:pPr>
              <w:autoSpaceDE w:val="0"/>
              <w:autoSpaceDN w:val="0"/>
              <w:adjustRightInd w:val="0"/>
              <w:spacing w:line="340" w:lineRule="exact"/>
              <w:jc w:val="left"/>
              <w:rPr>
                <w:highlight w:val="none"/>
              </w:rPr>
            </w:pPr>
            <w:r>
              <w:rPr>
                <w:rFonts w:hint="eastAsia"/>
                <w:highlight w:val="none"/>
              </w:rPr>
              <w:t>投标人在“政采云平台”完成“电子加密投标文件”的上传递交后，还可以在投标截止时间前递交以介质（U盘）存储的 “备份投标文件”（一份）；</w:t>
            </w:r>
          </w:p>
          <w:p>
            <w:pPr>
              <w:autoSpaceDE w:val="0"/>
              <w:autoSpaceDN w:val="0"/>
              <w:adjustRightInd w:val="0"/>
              <w:spacing w:line="340" w:lineRule="exact"/>
              <w:jc w:val="left"/>
              <w:rPr>
                <w:highlight w:val="none"/>
              </w:rPr>
            </w:pPr>
            <w:r>
              <w:rPr>
                <w:rFonts w:hint="eastAsia"/>
                <w:highlight w:val="none"/>
              </w:rPr>
              <w:t>“备份投标文件”应当密封包装，并在包装上标注投标项目名称、投标单位名称并加盖公章。没有密封包装或者逾期送达的“备份投标文件”无效；</w:t>
            </w:r>
          </w:p>
          <w:p>
            <w:pPr>
              <w:autoSpaceDE w:val="0"/>
              <w:autoSpaceDN w:val="0"/>
              <w:adjustRightInd w:val="0"/>
              <w:spacing w:line="340" w:lineRule="exact"/>
              <w:jc w:val="left"/>
              <w:rPr>
                <w:highlight w:val="none"/>
              </w:rPr>
            </w:pPr>
            <w:r>
              <w:rPr>
                <w:rFonts w:hint="eastAsia"/>
                <w:highlight w:val="none"/>
              </w:rPr>
              <w:t>通过“政府采购云平台”成功上传递交的“电子加密投标文件”已按时解密的，“备份投标文件”自动失效。投标截止时间前，投标人仅递交了“备份投标文件”而未将“电子加密投标文件”成功上传至“政采云平台”的，投标无效。</w:t>
            </w:r>
          </w:p>
        </w:tc>
      </w:tr>
      <w:tr>
        <w:tblPrEx>
          <w:tblCellMar>
            <w:top w:w="0" w:type="dxa"/>
            <w:left w:w="108" w:type="dxa"/>
            <w:bottom w:w="0" w:type="dxa"/>
            <w:right w:w="108" w:type="dxa"/>
          </w:tblCellMar>
        </w:tblPrEx>
        <w:trPr>
          <w:trHeight w:val="977"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12</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left"/>
              <w:rPr>
                <w:highlight w:val="none"/>
                <w:lang w:val="zh-CN"/>
              </w:rPr>
            </w:pPr>
            <w:r>
              <w:rPr>
                <w:rFonts w:hint="eastAsia"/>
                <w:highlight w:val="none"/>
                <w:lang w:val="zh-CN"/>
              </w:rPr>
              <w:t>投标文件递交地点及截止时间：</w:t>
            </w:r>
          </w:p>
          <w:p>
            <w:pPr>
              <w:autoSpaceDE w:val="0"/>
              <w:autoSpaceDN w:val="0"/>
              <w:adjustRightInd w:val="0"/>
              <w:spacing w:line="340" w:lineRule="exact"/>
              <w:jc w:val="left"/>
              <w:rPr>
                <w:highlight w:val="none"/>
                <w:lang w:val="zh-CN"/>
              </w:rPr>
            </w:pPr>
            <w:r>
              <w:rPr>
                <w:rFonts w:hint="eastAsia"/>
                <w:highlight w:val="none"/>
                <w:lang w:val="zh-CN"/>
              </w:rPr>
              <w:t>地点：通过“政采云平台（www.zcygov.cn）”实行在线投标响应</w:t>
            </w:r>
          </w:p>
          <w:p>
            <w:pPr>
              <w:autoSpaceDE w:val="0"/>
              <w:autoSpaceDN w:val="0"/>
              <w:adjustRightInd w:val="0"/>
              <w:spacing w:line="340" w:lineRule="exact"/>
              <w:jc w:val="left"/>
              <w:rPr>
                <w:rFonts w:hint="eastAsia"/>
                <w:highlight w:val="none"/>
                <w:lang w:val="zh-CN"/>
              </w:rPr>
            </w:pPr>
            <w:r>
              <w:rPr>
                <w:rFonts w:hint="eastAsia"/>
                <w:highlight w:val="none"/>
                <w:lang w:val="zh-CN"/>
              </w:rPr>
              <w:t>时间：2024年</w:t>
            </w:r>
            <w:r>
              <w:rPr>
                <w:rFonts w:hint="eastAsia"/>
                <w:highlight w:val="none"/>
                <w:lang w:val="en-US" w:eastAsia="zh-CN"/>
              </w:rPr>
              <w:t>4</w:t>
            </w:r>
            <w:r>
              <w:rPr>
                <w:rFonts w:hint="eastAsia"/>
                <w:highlight w:val="none"/>
                <w:lang w:val="zh-CN"/>
              </w:rPr>
              <w:t>月</w:t>
            </w:r>
            <w:r>
              <w:rPr>
                <w:rFonts w:hint="eastAsia"/>
                <w:highlight w:val="none"/>
                <w:lang w:val="en-US" w:eastAsia="zh-CN"/>
              </w:rPr>
              <w:t>18</w:t>
            </w:r>
            <w:r>
              <w:rPr>
                <w:rFonts w:hint="eastAsia"/>
                <w:highlight w:val="none"/>
                <w:lang w:val="zh-CN"/>
              </w:rPr>
              <w:t>日</w:t>
            </w:r>
            <w:r>
              <w:rPr>
                <w:rFonts w:hint="eastAsia"/>
                <w:highlight w:val="none"/>
                <w:lang w:val="en-US" w:eastAsia="zh-CN"/>
              </w:rPr>
              <w:t>14</w:t>
            </w:r>
            <w:r>
              <w:rPr>
                <w:rFonts w:hint="eastAsia"/>
                <w:highlight w:val="none"/>
                <w:lang w:val="zh-CN"/>
              </w:rPr>
              <w:t>：</w:t>
            </w:r>
            <w:r>
              <w:rPr>
                <w:rFonts w:hint="eastAsia"/>
                <w:highlight w:val="none"/>
                <w:lang w:val="zh-CN" w:eastAsia="zh-CN"/>
              </w:rPr>
              <w:t>00</w:t>
            </w:r>
            <w:r>
              <w:rPr>
                <w:rFonts w:hint="eastAsia"/>
                <w:highlight w:val="none"/>
                <w:lang w:val="zh-CN"/>
              </w:rPr>
              <w:t>时</w:t>
            </w:r>
          </w:p>
        </w:tc>
      </w:tr>
      <w:tr>
        <w:tblPrEx>
          <w:tblCellMar>
            <w:top w:w="0" w:type="dxa"/>
            <w:left w:w="108" w:type="dxa"/>
            <w:bottom w:w="0" w:type="dxa"/>
            <w:right w:w="108" w:type="dxa"/>
          </w:tblCellMar>
        </w:tblPrEx>
        <w:trPr>
          <w:trHeight w:val="269"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13</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ind w:right="0"/>
              <w:jc w:val="left"/>
              <w:rPr>
                <w:rFonts w:hint="eastAsia" w:ascii="Times New Roman" w:hAnsi="Times New Roman" w:cs="Times New Roman"/>
                <w:szCs w:val="24"/>
                <w:highlight w:val="none"/>
                <w:lang w:val="zh-CN"/>
              </w:rPr>
            </w:pPr>
            <w:r>
              <w:rPr>
                <w:rFonts w:hint="eastAsia" w:ascii="Times New Roman" w:hAnsi="Times New Roman" w:cs="Times New Roman"/>
                <w:szCs w:val="24"/>
                <w:highlight w:val="none"/>
                <w:lang w:val="zh-CN"/>
              </w:rPr>
              <w:t>开标会议时间和地点：</w:t>
            </w:r>
          </w:p>
          <w:p>
            <w:pPr>
              <w:autoSpaceDE w:val="0"/>
              <w:autoSpaceDN w:val="0"/>
              <w:adjustRightInd w:val="0"/>
              <w:spacing w:line="340" w:lineRule="exact"/>
              <w:jc w:val="left"/>
              <w:rPr>
                <w:rFonts w:hint="eastAsia" w:ascii="Times New Roman" w:hAnsi="Times New Roman" w:cs="Times New Roman"/>
                <w:szCs w:val="24"/>
                <w:highlight w:val="none"/>
                <w:lang w:val="zh-CN"/>
              </w:rPr>
            </w:pPr>
            <w:r>
              <w:rPr>
                <w:rFonts w:hint="eastAsia" w:ascii="Times New Roman" w:hAnsi="Times New Roman" w:cs="Times New Roman"/>
                <w:szCs w:val="24"/>
                <w:highlight w:val="none"/>
                <w:lang w:val="zh-CN"/>
              </w:rPr>
              <w:t>地点：通过“政采云平台（www.zcygov.cn）”实行在线开标</w:t>
            </w:r>
          </w:p>
          <w:p>
            <w:pPr>
              <w:autoSpaceDE w:val="0"/>
              <w:autoSpaceDN w:val="0"/>
              <w:adjustRightInd w:val="0"/>
              <w:spacing w:line="340" w:lineRule="exact"/>
              <w:jc w:val="left"/>
              <w:rPr>
                <w:rFonts w:hint="eastAsia" w:ascii="Times New Roman" w:hAnsi="Times New Roman" w:cs="Times New Roman"/>
                <w:szCs w:val="24"/>
                <w:highlight w:val="none"/>
                <w:lang w:val="zh-CN"/>
              </w:rPr>
            </w:pPr>
            <w:r>
              <w:rPr>
                <w:rFonts w:hint="eastAsia" w:ascii="Times New Roman" w:hAnsi="Times New Roman" w:cs="Times New Roman"/>
                <w:szCs w:val="24"/>
                <w:highlight w:val="none"/>
                <w:lang w:val="zh-CN"/>
              </w:rPr>
              <w:t>时间：</w:t>
            </w:r>
            <w:r>
              <w:rPr>
                <w:rFonts w:hint="eastAsia"/>
                <w:highlight w:val="none"/>
                <w:lang w:val="zh-CN"/>
              </w:rPr>
              <w:t>2024年</w:t>
            </w:r>
            <w:r>
              <w:rPr>
                <w:rFonts w:hint="eastAsia"/>
                <w:highlight w:val="none"/>
                <w:lang w:val="en-US" w:eastAsia="zh-CN"/>
              </w:rPr>
              <w:t>4</w:t>
            </w:r>
            <w:r>
              <w:rPr>
                <w:rFonts w:hint="eastAsia"/>
                <w:highlight w:val="none"/>
                <w:lang w:val="zh-CN"/>
              </w:rPr>
              <w:t>月</w:t>
            </w:r>
            <w:r>
              <w:rPr>
                <w:rFonts w:hint="eastAsia"/>
                <w:highlight w:val="none"/>
                <w:lang w:val="en-US" w:eastAsia="zh-CN"/>
              </w:rPr>
              <w:t>18</w:t>
            </w:r>
            <w:r>
              <w:rPr>
                <w:rFonts w:hint="eastAsia"/>
                <w:highlight w:val="none"/>
                <w:lang w:val="zh-CN"/>
              </w:rPr>
              <w:t>日</w:t>
            </w:r>
            <w:r>
              <w:rPr>
                <w:rFonts w:hint="eastAsia"/>
                <w:highlight w:val="none"/>
                <w:lang w:val="en-US" w:eastAsia="zh-CN"/>
              </w:rPr>
              <w:t>14</w:t>
            </w:r>
            <w:r>
              <w:rPr>
                <w:rFonts w:hint="eastAsia"/>
                <w:highlight w:val="none"/>
                <w:lang w:val="zh-CN"/>
              </w:rPr>
              <w:t>：</w:t>
            </w:r>
            <w:r>
              <w:rPr>
                <w:rFonts w:hint="eastAsia"/>
                <w:highlight w:val="none"/>
                <w:lang w:val="zh-CN" w:eastAsia="zh-CN"/>
              </w:rPr>
              <w:t>00</w:t>
            </w:r>
            <w:r>
              <w:rPr>
                <w:rFonts w:hint="eastAsia" w:ascii="Times New Roman" w:hAnsi="Times New Roman" w:cs="Times New Roman"/>
                <w:szCs w:val="24"/>
                <w:highlight w:val="none"/>
                <w:lang w:val="zh-CN"/>
              </w:rPr>
              <w:t>时</w:t>
            </w:r>
          </w:p>
          <w:p>
            <w:pPr>
              <w:autoSpaceDE w:val="0"/>
              <w:autoSpaceDN w:val="0"/>
              <w:adjustRightInd w:val="0"/>
              <w:spacing w:line="340" w:lineRule="exact"/>
              <w:jc w:val="left"/>
              <w:rPr>
                <w:rFonts w:hint="eastAsia" w:ascii="Times New Roman" w:hAnsi="Times New Roman" w:cs="Times New Roman"/>
                <w:szCs w:val="24"/>
                <w:highlight w:val="none"/>
                <w:lang w:val="zh-CN"/>
              </w:rPr>
            </w:pPr>
            <w:r>
              <w:rPr>
                <w:rFonts w:hint="eastAsia" w:ascii="Times New Roman" w:hAnsi="Times New Roman" w:cs="Times New Roman"/>
                <w:szCs w:val="24"/>
                <w:highlight w:val="none"/>
                <w:lang w:val="zh-CN"/>
              </w:rPr>
              <w:t>投标人应准时在线参加。</w:t>
            </w:r>
          </w:p>
        </w:tc>
      </w:tr>
      <w:tr>
        <w:tblPrEx>
          <w:tblCellMar>
            <w:top w:w="0" w:type="dxa"/>
            <w:left w:w="108" w:type="dxa"/>
            <w:bottom w:w="0" w:type="dxa"/>
            <w:right w:w="108" w:type="dxa"/>
          </w:tblCellMar>
        </w:tblPrEx>
        <w:trPr>
          <w:trHeight w:val="2630"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14</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left"/>
              <w:rPr>
                <w:rFonts w:ascii="宋体" w:hAnsi="宋体" w:cs="宋体"/>
                <w:szCs w:val="21"/>
                <w:highlight w:val="none"/>
              </w:rPr>
            </w:pPr>
            <w:r>
              <w:rPr>
                <w:rFonts w:hint="eastAsia" w:ascii="宋体" w:hAnsi="宋体" w:cs="宋体"/>
                <w:szCs w:val="21"/>
                <w:highlight w:val="none"/>
              </w:rPr>
              <w:t>电子加密投标文件的解密和异常情况处理：</w:t>
            </w:r>
          </w:p>
          <w:p>
            <w:pPr>
              <w:autoSpaceDE w:val="0"/>
              <w:autoSpaceDN w:val="0"/>
              <w:adjustRightInd w:val="0"/>
              <w:spacing w:line="340" w:lineRule="exact"/>
              <w:jc w:val="left"/>
              <w:rPr>
                <w:rFonts w:ascii="宋体" w:hAnsi="宋体" w:cs="宋体"/>
                <w:szCs w:val="21"/>
                <w:highlight w:val="none"/>
              </w:rPr>
            </w:pPr>
            <w:r>
              <w:rPr>
                <w:rFonts w:hint="eastAsia" w:ascii="宋体" w:hAnsi="宋体" w:cs="宋体"/>
                <w:szCs w:val="21"/>
                <w:highlight w:val="none"/>
              </w:rPr>
              <w:t>（1）开标后，采购组织机构将向各投标人发出“电子加密投标文件”的解密通知，各投标人代表应当在接到解密通知后30分钟内自行完成“电子加密投标文件”的在线解密。</w:t>
            </w:r>
          </w:p>
          <w:p>
            <w:pPr>
              <w:autoSpaceDE w:val="0"/>
              <w:autoSpaceDN w:val="0"/>
              <w:adjustRightInd w:val="0"/>
              <w:spacing w:line="340" w:lineRule="exact"/>
              <w:jc w:val="left"/>
              <w:rPr>
                <w:rFonts w:ascii="宋体" w:hAnsi="宋体" w:cs="宋体"/>
                <w:szCs w:val="21"/>
                <w:highlight w:val="none"/>
              </w:rPr>
            </w:pPr>
            <w:r>
              <w:rPr>
                <w:rFonts w:hint="eastAsia" w:ascii="宋体" w:hAnsi="宋体" w:cs="宋体"/>
                <w:szCs w:val="21"/>
                <w:highlight w:val="none"/>
              </w:rPr>
              <w:t>（2）通过“政采云平台”成功上传递交的“电子加密投标文件”无法按时解密的，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40" w:lineRule="exact"/>
              <w:jc w:val="left"/>
              <w:rPr>
                <w:rFonts w:ascii="宋体" w:hAnsi="宋体" w:cs="宋体"/>
                <w:szCs w:val="21"/>
                <w:highlight w:val="none"/>
              </w:rPr>
            </w:pPr>
            <w:r>
              <w:rPr>
                <w:rFonts w:hint="eastAsia" w:ascii="宋体" w:hAnsi="宋体" w:cs="宋体"/>
                <w:szCs w:val="21"/>
                <w:highlight w:val="none"/>
              </w:rPr>
              <w:t>（3）投标截止时间前，投标人仅递交了“备份投标文件”而未将电子加密投标文件上传至“政府采购云平台”的，投标无效。</w:t>
            </w:r>
          </w:p>
        </w:tc>
      </w:tr>
      <w:tr>
        <w:tblPrEx>
          <w:tblCellMar>
            <w:top w:w="0" w:type="dxa"/>
            <w:left w:w="108" w:type="dxa"/>
            <w:bottom w:w="0" w:type="dxa"/>
            <w:right w:w="108" w:type="dxa"/>
          </w:tblCellMar>
        </w:tblPrEx>
        <w:trPr>
          <w:trHeight w:val="3005"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15</w:t>
            </w:r>
          </w:p>
        </w:tc>
        <w:tc>
          <w:tcPr>
            <w:tcW w:w="8129" w:type="dxa"/>
            <w:tcBorders>
              <w:top w:val="single" w:color="auto" w:sz="6" w:space="0"/>
              <w:left w:val="single" w:color="auto" w:sz="6" w:space="0"/>
              <w:bottom w:val="single" w:color="auto" w:sz="6" w:space="0"/>
              <w:right w:val="single" w:color="auto" w:sz="6" w:space="0"/>
            </w:tcBorders>
            <w:vAlign w:val="center"/>
          </w:tcPr>
          <w:p>
            <w:pPr>
              <w:pStyle w:val="6"/>
              <w:keepNext w:val="0"/>
              <w:keepLines w:val="0"/>
              <w:numPr>
                <w:ilvl w:val="0"/>
                <w:numId w:val="0"/>
              </w:numPr>
              <w:spacing w:before="0" w:after="0" w:line="340" w:lineRule="exact"/>
              <w:rPr>
                <w:rFonts w:ascii="宋体" w:hAnsi="宋体" w:cs="宋体"/>
                <w:b w:val="0"/>
                <w:bCs w:val="0"/>
                <w:sz w:val="21"/>
                <w:szCs w:val="21"/>
                <w:highlight w:val="none"/>
              </w:rPr>
            </w:pPr>
            <w:r>
              <w:rPr>
                <w:rFonts w:hint="eastAsia" w:ascii="宋体" w:hAnsi="宋体" w:cs="宋体"/>
                <w:b w:val="0"/>
                <w:bCs w:val="0"/>
                <w:sz w:val="21"/>
                <w:szCs w:val="21"/>
                <w:highlight w:val="none"/>
              </w:rPr>
              <w:t>可中止电子交易活动的情形</w:t>
            </w:r>
          </w:p>
          <w:p>
            <w:pPr>
              <w:spacing w:line="340" w:lineRule="exact"/>
              <w:ind w:firstLine="369" w:firstLineChars="176"/>
              <w:rPr>
                <w:rFonts w:ascii="宋体" w:hAnsi="宋体" w:cs="宋体"/>
                <w:szCs w:val="21"/>
                <w:highlight w:val="none"/>
              </w:rPr>
            </w:pPr>
            <w:r>
              <w:rPr>
                <w:rFonts w:hint="eastAsia" w:ascii="宋体" w:hAnsi="宋体" w:cs="宋体"/>
                <w:szCs w:val="21"/>
                <w:highlight w:val="none"/>
              </w:rPr>
              <w:t>采购过程中出现以下情形，导致电子交易平台无法正常运行，或者无法保证电子交易的公平、公正和安全时，采购组织机构可中止电子交易活动：</w:t>
            </w:r>
          </w:p>
          <w:p>
            <w:pPr>
              <w:spacing w:line="340" w:lineRule="exact"/>
              <w:rPr>
                <w:rFonts w:ascii="宋体" w:hAnsi="宋体" w:cs="宋体"/>
                <w:szCs w:val="21"/>
                <w:highlight w:val="none"/>
              </w:rPr>
            </w:pPr>
            <w:r>
              <w:rPr>
                <w:rFonts w:hint="eastAsia" w:ascii="宋体" w:hAnsi="宋体" w:cs="宋体"/>
                <w:szCs w:val="21"/>
                <w:highlight w:val="none"/>
              </w:rPr>
              <w:t>（1）电子交易平台发生故障而无法登录访问的；</w:t>
            </w:r>
          </w:p>
          <w:p>
            <w:pPr>
              <w:spacing w:line="340" w:lineRule="exact"/>
              <w:rPr>
                <w:rFonts w:ascii="宋体" w:hAnsi="宋体" w:cs="宋体"/>
                <w:szCs w:val="21"/>
                <w:highlight w:val="none"/>
              </w:rPr>
            </w:pPr>
            <w:r>
              <w:rPr>
                <w:rFonts w:hint="eastAsia" w:ascii="宋体" w:hAnsi="宋体" w:cs="宋体"/>
                <w:szCs w:val="21"/>
                <w:highlight w:val="none"/>
              </w:rPr>
              <w:t>（2）电子交易平台应用或数据库出现错误，不能进行正常操作的；</w:t>
            </w:r>
          </w:p>
          <w:p>
            <w:pPr>
              <w:spacing w:line="340" w:lineRule="exact"/>
              <w:rPr>
                <w:rFonts w:ascii="宋体" w:hAnsi="宋体" w:cs="宋体"/>
                <w:szCs w:val="21"/>
                <w:highlight w:val="none"/>
              </w:rPr>
            </w:pPr>
            <w:r>
              <w:rPr>
                <w:rFonts w:hint="eastAsia" w:ascii="宋体" w:hAnsi="宋体" w:cs="宋体"/>
                <w:szCs w:val="21"/>
                <w:highlight w:val="none"/>
              </w:rPr>
              <w:t>（3）电子交易平台发现严重安全漏洞，有潜在泄密危险的；</w:t>
            </w:r>
          </w:p>
          <w:p>
            <w:pPr>
              <w:spacing w:line="340" w:lineRule="exact"/>
              <w:rPr>
                <w:rFonts w:ascii="宋体" w:hAnsi="宋体" w:cs="宋体"/>
                <w:szCs w:val="21"/>
                <w:highlight w:val="none"/>
              </w:rPr>
            </w:pPr>
            <w:r>
              <w:rPr>
                <w:rFonts w:hint="eastAsia" w:ascii="宋体" w:hAnsi="宋体" w:cs="宋体"/>
                <w:szCs w:val="21"/>
                <w:highlight w:val="none"/>
              </w:rPr>
              <w:t>（4）病毒发作导致不能进行正常操作的；</w:t>
            </w:r>
          </w:p>
          <w:p>
            <w:pPr>
              <w:spacing w:line="340" w:lineRule="exact"/>
              <w:rPr>
                <w:rFonts w:ascii="宋体" w:hAnsi="宋体" w:cs="宋体"/>
                <w:szCs w:val="21"/>
                <w:highlight w:val="none"/>
              </w:rPr>
            </w:pPr>
            <w:r>
              <w:rPr>
                <w:rFonts w:hint="eastAsia" w:ascii="宋体" w:hAnsi="宋体" w:cs="宋体"/>
                <w:szCs w:val="21"/>
                <w:highlight w:val="none"/>
              </w:rPr>
              <w:t>（5）其他无法保证电子交易的公平、公正和安全的情况。</w:t>
            </w:r>
          </w:p>
          <w:p>
            <w:pPr>
              <w:autoSpaceDE w:val="0"/>
              <w:autoSpaceDN w:val="0"/>
              <w:adjustRightInd w:val="0"/>
              <w:spacing w:line="340" w:lineRule="exact"/>
              <w:jc w:val="left"/>
              <w:rPr>
                <w:rFonts w:ascii="宋体" w:hAnsi="宋体" w:cs="宋体"/>
                <w:szCs w:val="21"/>
                <w:highlight w:val="none"/>
              </w:rPr>
            </w:pPr>
            <w:r>
              <w:rPr>
                <w:rFonts w:hint="eastAsia" w:ascii="宋体" w:hAnsi="宋体" w:cs="宋体"/>
                <w:szCs w:val="21"/>
                <w:highlight w:val="none"/>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16</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评标办法及标准：</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综合评分法，按照招标文件第四章评标办法及标准。</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17</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69"/>
              <w:rPr>
                <w:rFonts w:ascii="宋体" w:hAnsi="宋体" w:cs="宋体"/>
                <w:szCs w:val="21"/>
                <w:highlight w:val="none"/>
              </w:rPr>
            </w:pPr>
            <w:r>
              <w:rPr>
                <w:rFonts w:hint="eastAsia" w:ascii="宋体" w:hAnsi="宋体" w:cs="宋体"/>
                <w:szCs w:val="21"/>
                <w:highlight w:val="none"/>
              </w:rPr>
              <w:t>中标候选人:</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经评审排名第一的投标人即为第一中标候选人，排名第二的为第二中标候选人……其他投标人中标候选资格依此类推。</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18</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中标公告及中标通知书：</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采购人依法确定中标人2个工作日内，发出中标通知书。</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同时中标公告发布于浙江政府采购网(http://zfcg.czt.zj.gov.cn/) 、</w:t>
            </w:r>
            <w:r>
              <w:rPr>
                <w:rFonts w:hint="eastAsia" w:ascii="宋体" w:hAnsi="宋体" w:cs="宋体"/>
                <w:szCs w:val="21"/>
                <w:highlight w:val="none"/>
                <w:lang w:eastAsia="zh-CN"/>
              </w:rPr>
              <w:t>安吉县公共资源交易</w:t>
            </w:r>
            <w:r>
              <w:rPr>
                <w:rFonts w:hint="eastAsia" w:ascii="宋体" w:hAnsi="宋体" w:cs="宋体"/>
                <w:szCs w:val="21"/>
                <w:highlight w:val="none"/>
              </w:rPr>
              <w:t>网（</w:t>
            </w:r>
            <w:r>
              <w:rPr>
                <w:rFonts w:hint="eastAsia" w:ascii="宋体" w:hAnsi="宋体" w:cs="宋体"/>
                <w:szCs w:val="21"/>
                <w:highlight w:val="none"/>
                <w:lang w:eastAsia="zh-CN"/>
              </w:rPr>
              <w:t>http://www.anji.gov.cn/col/col1229656840/index.html</w:t>
            </w:r>
            <w:r>
              <w:rPr>
                <w:rFonts w:hint="eastAsia" w:ascii="宋体" w:hAnsi="宋体" w:cs="宋体"/>
                <w:szCs w:val="21"/>
                <w:highlight w:val="none"/>
              </w:rPr>
              <w:t>），中标公告期限为1个工作日。</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19</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textAlignment w:val="bottom"/>
              <w:rPr>
                <w:rFonts w:ascii="宋体" w:hAnsi="宋体" w:cs="宋体"/>
                <w:szCs w:val="21"/>
                <w:highlight w:val="none"/>
                <w:lang w:val="zh-CN"/>
              </w:rPr>
            </w:pPr>
            <w:r>
              <w:rPr>
                <w:rFonts w:hint="eastAsia" w:ascii="宋体" w:hAnsi="宋体" w:cs="宋体"/>
                <w:szCs w:val="21"/>
                <w:highlight w:val="none"/>
                <w:lang w:val="zh-CN"/>
              </w:rPr>
              <w:t>履约保证金：</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lang w:eastAsia="zh-CN"/>
              </w:rPr>
              <w:t>不收取</w:t>
            </w:r>
            <w:r>
              <w:rPr>
                <w:rFonts w:hint="eastAsia" w:ascii="宋体" w:hAnsi="宋体" w:cs="宋体"/>
                <w:szCs w:val="21"/>
                <w:highlight w:val="none"/>
              </w:rPr>
              <w:t>。</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20</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ind w:left="1050" w:hanging="1050" w:hangingChars="500"/>
              <w:textAlignment w:val="bottom"/>
              <w:rPr>
                <w:rFonts w:ascii="宋体" w:hAnsi="宋体" w:cs="宋体"/>
                <w:szCs w:val="21"/>
                <w:highlight w:val="none"/>
              </w:rPr>
            </w:pPr>
            <w:r>
              <w:rPr>
                <w:rFonts w:hint="eastAsia" w:ascii="宋体" w:hAnsi="宋体" w:cs="宋体"/>
                <w:szCs w:val="21"/>
                <w:highlight w:val="none"/>
              </w:rPr>
              <w:t>签订合同：</w:t>
            </w:r>
          </w:p>
          <w:p>
            <w:pPr>
              <w:autoSpaceDE w:val="0"/>
              <w:autoSpaceDN w:val="0"/>
              <w:adjustRightInd w:val="0"/>
              <w:snapToGrid w:val="0"/>
              <w:spacing w:line="360" w:lineRule="exact"/>
              <w:jc w:val="left"/>
              <w:textAlignment w:val="bottom"/>
              <w:rPr>
                <w:rFonts w:ascii="宋体" w:hAnsi="宋体" w:cs="宋体"/>
                <w:szCs w:val="21"/>
                <w:highlight w:val="none"/>
              </w:rPr>
            </w:pPr>
            <w:r>
              <w:rPr>
                <w:rFonts w:hint="eastAsia" w:ascii="宋体" w:hAnsi="宋体" w:cs="宋体"/>
                <w:szCs w:val="21"/>
                <w:highlight w:val="none"/>
              </w:rPr>
              <w:t>根据《中华人民共和国政府采购法》第四十六条规定，采购人与中标（成交）供应商应当在中标（成交）通知书发出后30天内，按照采购文件确定的事项签订政府采购合同。</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21</w:t>
            </w:r>
          </w:p>
        </w:tc>
        <w:tc>
          <w:tcPr>
            <w:tcW w:w="8129" w:type="dxa"/>
            <w:tcBorders>
              <w:top w:val="single" w:color="auto" w:sz="6" w:space="0"/>
              <w:left w:val="single" w:color="auto" w:sz="6" w:space="0"/>
              <w:bottom w:val="single" w:color="auto" w:sz="6" w:space="0"/>
              <w:right w:val="single" w:color="auto" w:sz="6" w:space="0"/>
            </w:tcBorders>
            <w:vAlign w:val="center"/>
          </w:tcPr>
          <w:p>
            <w:pPr>
              <w:pStyle w:val="15"/>
              <w:spacing w:beforeLines="0" w:afterLines="0" w:line="276" w:lineRule="auto"/>
              <w:rPr>
                <w:rFonts w:hAnsi="宋体" w:cs="宋体"/>
                <w:sz w:val="21"/>
                <w:szCs w:val="21"/>
                <w:highlight w:val="none"/>
              </w:rPr>
            </w:pPr>
            <w:r>
              <w:rPr>
                <w:rFonts w:hint="eastAsia" w:hAnsi="宋体" w:cs="宋体"/>
                <w:sz w:val="21"/>
                <w:szCs w:val="21"/>
                <w:highlight w:val="none"/>
              </w:rPr>
              <w:t>信用记录查询：依据财库[2016]125号文件执行</w:t>
            </w:r>
          </w:p>
          <w:p>
            <w:pPr>
              <w:pStyle w:val="15"/>
              <w:spacing w:beforeLines="0" w:afterLines="0" w:line="276" w:lineRule="auto"/>
              <w:rPr>
                <w:rFonts w:hAnsi="宋体" w:cs="宋体"/>
                <w:sz w:val="21"/>
                <w:szCs w:val="21"/>
                <w:highlight w:val="none"/>
              </w:rPr>
            </w:pPr>
            <w:r>
              <w:rPr>
                <w:rFonts w:hint="eastAsia" w:hAnsi="宋体" w:cs="宋体"/>
                <w:sz w:val="21"/>
                <w:szCs w:val="21"/>
                <w:highlight w:val="none"/>
              </w:rPr>
              <w:t>查询渠道：信用中国（www.creditchina.gov.cn）、中国政府采购网（www.ccgp.gov.cn）；</w:t>
            </w:r>
          </w:p>
          <w:p>
            <w:pPr>
              <w:pStyle w:val="15"/>
              <w:spacing w:beforeLines="0" w:afterLines="0" w:line="276" w:lineRule="auto"/>
              <w:rPr>
                <w:rFonts w:hAnsi="宋体" w:cs="宋体"/>
                <w:sz w:val="21"/>
                <w:szCs w:val="21"/>
                <w:highlight w:val="none"/>
              </w:rPr>
            </w:pPr>
            <w:r>
              <w:rPr>
                <w:rFonts w:hint="eastAsia" w:hAnsi="宋体" w:cs="宋体"/>
                <w:sz w:val="21"/>
                <w:szCs w:val="21"/>
                <w:highlight w:val="none"/>
              </w:rPr>
              <w:t>时间：提交首次投标文件截止时间前3年内；</w:t>
            </w:r>
          </w:p>
          <w:p>
            <w:pPr>
              <w:spacing w:line="276" w:lineRule="auto"/>
              <w:rPr>
                <w:rFonts w:ascii="宋体" w:hAnsi="宋体" w:cs="宋体"/>
                <w:szCs w:val="21"/>
                <w:highlight w:val="none"/>
              </w:rPr>
            </w:pPr>
            <w:r>
              <w:rPr>
                <w:rFonts w:hint="eastAsia" w:ascii="宋体" w:hAnsi="宋体" w:cs="宋体"/>
                <w:szCs w:val="21"/>
                <w:highlight w:val="none"/>
              </w:rPr>
              <w:t>查询记录和证据的留存：网站查询，打印留存。</w:t>
            </w:r>
          </w:p>
          <w:p>
            <w:pPr>
              <w:autoSpaceDE w:val="0"/>
              <w:autoSpaceDN w:val="0"/>
              <w:adjustRightInd w:val="0"/>
              <w:spacing w:line="276" w:lineRule="auto"/>
              <w:rPr>
                <w:rFonts w:ascii="宋体" w:hAnsi="宋体" w:cs="宋体"/>
                <w:kern w:val="0"/>
                <w:szCs w:val="21"/>
                <w:highlight w:val="none"/>
                <w:lang w:val="zh-CN"/>
              </w:rPr>
            </w:pPr>
            <w:r>
              <w:rPr>
                <w:rFonts w:hint="eastAsia" w:ascii="宋体" w:hAnsi="宋体" w:cs="宋体"/>
                <w:szCs w:val="21"/>
                <w:highlight w:val="none"/>
              </w:rPr>
              <w:t>使用规则：被列入失信被执行人、重大税收违法案件当事人名单、政府采购严重违法失信行为记录名单及其它不符合《中华人民共和国政府采购法》第二十二条规定条件的，其投标将被拒绝。</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ascii="宋体" w:hAnsi="宋体" w:cs="宋体"/>
                <w:szCs w:val="21"/>
                <w:highlight w:val="none"/>
              </w:rPr>
            </w:pPr>
            <w:r>
              <w:rPr>
                <w:rFonts w:hint="eastAsia" w:ascii="宋体" w:hAnsi="宋体" w:cs="宋体"/>
                <w:szCs w:val="21"/>
                <w:highlight w:val="none"/>
              </w:rPr>
              <w:t>22</w:t>
            </w:r>
          </w:p>
        </w:tc>
        <w:tc>
          <w:tcPr>
            <w:tcW w:w="81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napToGrid w:val="0"/>
              <w:spacing w:line="360" w:lineRule="exact"/>
              <w:rPr>
                <w:rFonts w:hint="eastAsia"/>
                <w:b/>
                <w:bCs/>
                <w:color w:val="auto"/>
                <w:sz w:val="28"/>
                <w:highlight w:val="none"/>
              </w:rPr>
            </w:pPr>
            <w:r>
              <w:rPr>
                <w:rFonts w:hint="eastAsia"/>
                <w:b/>
                <w:bCs/>
                <w:color w:val="auto"/>
                <w:highlight w:val="none"/>
              </w:rPr>
              <w:t>政府采购政策执行：</w:t>
            </w:r>
            <w:r>
              <w:rPr>
                <w:b/>
                <w:bCs/>
                <w:color w:val="auto"/>
                <w:highlight w:val="none"/>
              </w:rPr>
              <w:t>本项目中小企业政策执行以下第</w:t>
            </w:r>
            <w:r>
              <w:rPr>
                <w:rFonts w:hint="eastAsia"/>
                <w:b/>
                <w:bCs/>
                <w:color w:val="auto"/>
                <w:highlight w:val="none"/>
                <w:lang w:val="en-US" w:eastAsia="zh-CN"/>
              </w:rPr>
              <w:t>1</w:t>
            </w:r>
            <w:r>
              <w:rPr>
                <w:b/>
                <w:bCs/>
                <w:color w:val="auto"/>
                <w:highlight w:val="none"/>
              </w:rPr>
              <w:t>）条</w:t>
            </w:r>
          </w:p>
          <w:p>
            <w:pPr>
              <w:keepNext w:val="0"/>
              <w:keepLines w:val="0"/>
              <w:pageBreakBefore w:val="0"/>
              <w:widowControl w:val="0"/>
              <w:kinsoku/>
              <w:wordWrap/>
              <w:overflowPunct/>
              <w:topLinePunct w:val="0"/>
              <w:bidi w:val="0"/>
              <w:snapToGrid w:val="0"/>
              <w:spacing w:line="360" w:lineRule="exact"/>
              <w:rPr>
                <w:rFonts w:hint="eastAsia"/>
                <w:color w:val="auto"/>
                <w:highlight w:val="none"/>
              </w:rPr>
            </w:pPr>
            <w:r>
              <w:rPr>
                <w:rFonts w:hint="eastAsia" w:ascii="Times New Roman" w:hAnsi="Times New Roman" w:eastAsia="宋体" w:cs="Times New Roman"/>
                <w:color w:val="auto"/>
                <w:sz w:val="28"/>
                <w:highlight w:val="none"/>
              </w:rPr>
              <w:sym w:font="Wingdings" w:char="00FE"/>
            </w:r>
            <w:r>
              <w:rPr>
                <w:rFonts w:hint="eastAsia"/>
                <w:color w:val="auto"/>
                <w:highlight w:val="none"/>
              </w:rPr>
              <w:t>1）</w:t>
            </w:r>
            <w:r>
              <w:rPr>
                <w:rFonts w:hint="eastAsia" w:ascii="宋体" w:hAnsi="宋体" w:cs="宋体"/>
                <w:color w:val="auto"/>
                <w:szCs w:val="21"/>
                <w:highlight w:val="none"/>
              </w:rPr>
              <w:t>本项目为专门面向中小企业采购，提供</w:t>
            </w:r>
            <w:r>
              <w:rPr>
                <w:rFonts w:hint="eastAsia" w:ascii="宋体" w:hAnsi="宋体" w:cs="宋体"/>
                <w:color w:val="auto"/>
                <w:szCs w:val="21"/>
                <w:highlight w:val="none"/>
                <w:lang w:eastAsia="zh-CN"/>
              </w:rPr>
              <w:t>货物</w:t>
            </w:r>
            <w:r>
              <w:rPr>
                <w:rFonts w:hint="eastAsia" w:ascii="宋体" w:hAnsi="宋体" w:cs="宋体"/>
                <w:color w:val="auto"/>
                <w:szCs w:val="21"/>
                <w:highlight w:val="none"/>
              </w:rPr>
              <w:t>的供应商非中小企业的，资格审查不通过；符合上述条件的中小</w:t>
            </w:r>
            <w:r>
              <w:rPr>
                <w:rFonts w:hint="eastAsia" w:ascii="宋体" w:hAnsi="宋体" w:cs="宋体"/>
                <w:color w:val="auto"/>
                <w:szCs w:val="21"/>
                <w:highlight w:val="none"/>
                <w:lang w:eastAsia="zh-CN"/>
              </w:rPr>
              <w:t>（小微）</w:t>
            </w:r>
            <w:r>
              <w:rPr>
                <w:rFonts w:hint="eastAsia" w:ascii="宋体" w:hAnsi="宋体" w:cs="宋体"/>
                <w:color w:val="auto"/>
                <w:szCs w:val="21"/>
                <w:highlight w:val="none"/>
              </w:rPr>
              <w:t>型企业应按照</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文件附件的格式要求在资格文件中提供《中小企业声明函》</w:t>
            </w:r>
            <w:r>
              <w:rPr>
                <w:rFonts w:hint="eastAsia"/>
                <w:color w:val="auto"/>
                <w:highlight w:val="none"/>
              </w:rPr>
              <w:t>；</w:t>
            </w:r>
          </w:p>
          <w:p>
            <w:pPr>
              <w:keepNext w:val="0"/>
              <w:keepLines w:val="0"/>
              <w:pageBreakBefore w:val="0"/>
              <w:widowControl w:val="0"/>
              <w:kinsoku/>
              <w:wordWrap/>
              <w:overflowPunct/>
              <w:topLinePunct w:val="0"/>
              <w:bidi w:val="0"/>
              <w:snapToGrid w:val="0"/>
              <w:spacing w:line="360" w:lineRule="exact"/>
              <w:rPr>
                <w:rFonts w:hint="eastAsia"/>
                <w:color w:val="auto"/>
                <w:highlight w:val="none"/>
              </w:rPr>
            </w:pPr>
            <w:r>
              <w:rPr>
                <w:rFonts w:hint="eastAsia" w:ascii="Times New Roman" w:hAnsi="Times New Roman" w:eastAsia="宋体" w:cs="Times New Roman"/>
                <w:color w:val="auto"/>
                <w:sz w:val="28"/>
                <w:highlight w:val="none"/>
              </w:rPr>
              <w:sym w:font="Wingdings" w:char="00FD"/>
            </w:r>
            <w:r>
              <w:rPr>
                <w:rFonts w:hint="eastAsia"/>
                <w:color w:val="auto"/>
                <w:highlight w:val="none"/>
              </w:rPr>
              <w:t>2）符合上述条件的中小微型企业应按照</w:t>
            </w:r>
            <w:r>
              <w:rPr>
                <w:rFonts w:hint="eastAsia" w:ascii="宋体" w:hAnsi="宋体" w:cs="宋体"/>
                <w:color w:val="auto"/>
                <w:szCs w:val="21"/>
                <w:highlight w:val="none"/>
              </w:rPr>
              <w:t>招标</w:t>
            </w:r>
            <w:r>
              <w:rPr>
                <w:rFonts w:hint="eastAsia"/>
                <w:color w:val="auto"/>
                <w:highlight w:val="none"/>
              </w:rPr>
              <w:t>文件附件的格式要求提供《中小企业声明函》。符合《关于促进残疾人就业政府采购政策的通知》（财库〔2018〕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bidi w:val="0"/>
              <w:snapToGrid w:val="0"/>
              <w:spacing w:line="360" w:lineRule="exact"/>
              <w:rPr>
                <w:rFonts w:hint="eastAsia"/>
                <w:color w:val="auto"/>
                <w:highlight w:val="none"/>
              </w:rPr>
            </w:pPr>
            <w:r>
              <w:rPr>
                <w:rFonts w:hint="eastAsia"/>
                <w:color w:val="auto"/>
                <w:highlight w:val="none"/>
              </w:rPr>
              <w:t>根据财政部发布的《政府采购促进中小</w:t>
            </w:r>
            <w:r>
              <w:rPr>
                <w:color w:val="auto"/>
                <w:highlight w:val="none"/>
              </w:rPr>
              <w:t>企业发展管理办法》（财库﹝2020﹞46 号）</w:t>
            </w:r>
            <w:r>
              <w:rPr>
                <w:rFonts w:hint="eastAsia"/>
                <w:color w:val="auto"/>
                <w:highlight w:val="none"/>
              </w:rPr>
              <w:t>规定，对于非专门面向此类企业的项目，对小型和微型企业产品和服务的投标价格给予</w:t>
            </w:r>
            <w:r>
              <w:rPr>
                <w:rFonts w:hint="eastAsia"/>
                <w:color w:val="auto"/>
                <w:highlight w:val="none"/>
                <w:lang w:val="en-US" w:eastAsia="zh-CN"/>
              </w:rPr>
              <w:t>10</w:t>
            </w:r>
            <w:r>
              <w:rPr>
                <w:rFonts w:hint="eastAsia"/>
                <w:color w:val="auto"/>
                <w:highlight w:val="none"/>
              </w:rPr>
              <w:t xml:space="preserve"> %的扣除，用扣除后的价格参与评审。</w:t>
            </w:r>
          </w:p>
          <w:p>
            <w:pPr>
              <w:keepNext w:val="0"/>
              <w:keepLines w:val="0"/>
              <w:pageBreakBefore w:val="0"/>
              <w:widowControl w:val="0"/>
              <w:kinsoku/>
              <w:wordWrap/>
              <w:overflowPunct/>
              <w:topLinePunct w:val="0"/>
              <w:bidi w:val="0"/>
              <w:snapToGrid w:val="0"/>
              <w:spacing w:line="360" w:lineRule="exact"/>
              <w:rPr>
                <w:rFonts w:hint="eastAsia"/>
                <w:color w:val="auto"/>
                <w:highlight w:val="none"/>
              </w:rPr>
            </w:pPr>
            <w:r>
              <w:rPr>
                <w:rFonts w:hint="eastAsia"/>
                <w:color w:val="auto"/>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w:t>
            </w:r>
            <w:r>
              <w:rPr>
                <w:rFonts w:hint="eastAsia"/>
                <w:color w:val="auto"/>
                <w:highlight w:val="none"/>
                <w:lang w:val="en-US" w:eastAsia="zh-CN"/>
              </w:rPr>
              <w:t>4</w:t>
            </w:r>
            <w:r>
              <w:rPr>
                <w:rFonts w:hint="eastAsia"/>
                <w:color w:val="auto"/>
                <w:highlight w:val="none"/>
              </w:rPr>
              <w:t>%的投标价格扣除。</w:t>
            </w:r>
          </w:p>
          <w:p>
            <w:pPr>
              <w:keepNext w:val="0"/>
              <w:keepLines w:val="0"/>
              <w:pageBreakBefore w:val="0"/>
              <w:widowControl w:val="0"/>
              <w:kinsoku/>
              <w:wordWrap/>
              <w:overflowPunct/>
              <w:topLinePunct w:val="0"/>
              <w:bidi w:val="0"/>
              <w:spacing w:line="360" w:lineRule="exact"/>
              <w:rPr>
                <w:rFonts w:hint="eastAsia"/>
                <w:color w:val="auto"/>
                <w:highlight w:val="none"/>
              </w:rPr>
            </w:pPr>
            <w:r>
              <w:rPr>
                <w:rFonts w:hint="eastAsia"/>
                <w:color w:val="auto"/>
                <w:highlight w:val="none"/>
              </w:rPr>
              <w:t>联合体各方均为小型、微型企业的，联合体视同为小型、微型企业。</w:t>
            </w:r>
          </w:p>
          <w:p>
            <w:pPr>
              <w:keepNext w:val="0"/>
              <w:keepLines w:val="0"/>
              <w:pageBreakBefore w:val="0"/>
              <w:widowControl w:val="0"/>
              <w:kinsoku/>
              <w:wordWrap/>
              <w:overflowPunct/>
              <w:topLinePunct w:val="0"/>
              <w:bidi w:val="0"/>
              <w:snapToGrid w:val="0"/>
              <w:spacing w:line="360" w:lineRule="exact"/>
              <w:rPr>
                <w:rFonts w:hint="eastAsia"/>
                <w:color w:val="auto"/>
                <w:highlight w:val="none"/>
                <w:lang w:bidi="ar"/>
              </w:rPr>
            </w:pPr>
            <w:r>
              <w:rPr>
                <w:rFonts w:hint="eastAsia"/>
                <w:color w:val="auto"/>
                <w:highlight w:val="none"/>
                <w:lang w:bidi="ar"/>
              </w:rPr>
              <w:t>投标人</w:t>
            </w:r>
            <w:r>
              <w:rPr>
                <w:color w:val="auto"/>
                <w:highlight w:val="none"/>
                <w:lang w:bidi="ar"/>
              </w:rPr>
              <w:t>按照本办法规定提供声明函内容不实的，属于提供虚假材料谋取中标、成交，依照《中华人民共和国政府采购法》等国家有关规定追究相应责任。采购代理机构在</w:t>
            </w:r>
            <w:r>
              <w:rPr>
                <w:rFonts w:hint="eastAsia"/>
                <w:color w:val="auto"/>
                <w:highlight w:val="none"/>
                <w:lang w:bidi="ar"/>
              </w:rPr>
              <w:t>中标</w:t>
            </w:r>
            <w:r>
              <w:rPr>
                <w:color w:val="auto"/>
                <w:highlight w:val="none"/>
                <w:lang w:bidi="ar"/>
              </w:rPr>
              <w:t>结果公告中公开</w:t>
            </w:r>
            <w:r>
              <w:rPr>
                <w:rFonts w:hint="eastAsia"/>
                <w:color w:val="auto"/>
                <w:highlight w:val="none"/>
                <w:lang w:bidi="ar"/>
              </w:rPr>
              <w:t>中标</w:t>
            </w:r>
            <w:r>
              <w:rPr>
                <w:color w:val="auto"/>
                <w:highlight w:val="none"/>
                <w:lang w:bidi="ar"/>
              </w:rPr>
              <w:t>的《中小企业声明函》。</w:t>
            </w:r>
          </w:p>
          <w:p>
            <w:pPr>
              <w:autoSpaceDE/>
              <w:autoSpaceDN/>
              <w:adjustRightInd/>
              <w:snapToGrid w:val="0"/>
              <w:spacing w:line="360" w:lineRule="exact"/>
              <w:ind w:right="0"/>
              <w:rPr>
                <w:rFonts w:ascii="宋体" w:hAnsi="宋体" w:cs="宋体"/>
                <w:szCs w:val="21"/>
                <w:highlight w:val="none"/>
              </w:rPr>
            </w:pPr>
            <w:r>
              <w:rPr>
                <w:rFonts w:hint="eastAsia"/>
                <w:color w:val="auto"/>
                <w:highlight w:val="none"/>
              </w:rPr>
              <w:t>根据工信部等部委发布的《关于印发中小企业划型标准规定的通知》（工信部联企业〔2011〕300号），根据具体品目确定相应标准。</w:t>
            </w:r>
            <w:r>
              <w:rPr>
                <w:rFonts w:hint="eastAsia" w:ascii="宋体" w:hAnsi="宋体" w:cs="宋体"/>
                <w:color w:val="auto"/>
                <w:kern w:val="0"/>
                <w:szCs w:val="21"/>
                <w:highlight w:val="none"/>
                <w:lang w:bidi="ar"/>
              </w:rPr>
              <w:t>为本项目提供服务的企业按照《关于印发中小企业划型标准规定的通知》（工信部联企业〔2011〕300 号）的所属行业分类为</w:t>
            </w:r>
            <w:r>
              <w:rPr>
                <w:rFonts w:hint="eastAsia" w:ascii="宋体" w:hAnsi="宋体" w:cs="宋体"/>
                <w:b/>
                <w:bCs/>
                <w:color w:val="auto"/>
                <w:kern w:val="0"/>
                <w:sz w:val="24"/>
                <w:szCs w:val="24"/>
                <w:highlight w:val="none"/>
                <w:lang w:val="en-US" w:eastAsia="zh-CN" w:bidi="ar"/>
              </w:rPr>
              <w:t>工业</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23</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ind w:right="69"/>
              <w:rPr>
                <w:rFonts w:hint="eastAsia" w:ascii="宋体" w:hAnsi="宋体" w:cs="宋体"/>
                <w:b w:val="0"/>
                <w:bCs w:val="0"/>
                <w:szCs w:val="21"/>
                <w:highlight w:val="none"/>
              </w:rPr>
            </w:pPr>
            <w:r>
              <w:rPr>
                <w:rFonts w:hint="eastAsia" w:ascii="宋体" w:hAnsi="宋体" w:cs="宋体"/>
                <w:b w:val="0"/>
                <w:bCs w:val="0"/>
                <w:szCs w:val="21"/>
                <w:highlight w:val="none"/>
              </w:rPr>
              <w:t>政府采购政策执行：</w:t>
            </w:r>
          </w:p>
          <w:p>
            <w:pPr>
              <w:autoSpaceDE w:val="0"/>
              <w:autoSpaceDN w:val="0"/>
              <w:adjustRightInd w:val="0"/>
              <w:spacing w:line="340" w:lineRule="exact"/>
              <w:ind w:right="69"/>
              <w:rPr>
                <w:rFonts w:hint="eastAsia" w:ascii="宋体" w:hAnsi="宋体" w:cs="宋体"/>
                <w:b w:val="0"/>
                <w:bCs w:val="0"/>
                <w:szCs w:val="21"/>
                <w:highlight w:val="none"/>
              </w:rPr>
            </w:pPr>
            <w:r>
              <w:rPr>
                <w:rFonts w:hint="eastAsia" w:ascii="宋体" w:hAnsi="宋体" w:cs="宋体"/>
                <w:b w:val="0"/>
                <w:bCs w:val="0"/>
                <w:szCs w:val="21"/>
                <w:highlight w:val="none"/>
              </w:rPr>
              <w:t>（1）采购本国生产的货物、工程和服务（经审批允许进口产品投标的除外）</w:t>
            </w:r>
          </w:p>
          <w:p>
            <w:pPr>
              <w:autoSpaceDE w:val="0"/>
              <w:autoSpaceDN w:val="0"/>
              <w:adjustRightInd w:val="0"/>
              <w:spacing w:line="340" w:lineRule="exact"/>
              <w:ind w:right="69"/>
              <w:rPr>
                <w:rFonts w:hint="eastAsia" w:ascii="宋体" w:hAnsi="宋体" w:cs="宋体"/>
                <w:b w:val="0"/>
                <w:bCs w:val="0"/>
                <w:szCs w:val="21"/>
                <w:highlight w:val="none"/>
              </w:rPr>
            </w:pPr>
            <w:r>
              <w:rPr>
                <w:rFonts w:hint="eastAsia" w:ascii="宋体" w:hAnsi="宋体" w:cs="宋体"/>
                <w:b w:val="0"/>
                <w:bCs w:val="0"/>
                <w:szCs w:val="21"/>
                <w:highlight w:val="none"/>
              </w:rPr>
              <w:t>（2）支持绿色采购</w:t>
            </w:r>
          </w:p>
          <w:p>
            <w:pPr>
              <w:autoSpaceDE w:val="0"/>
              <w:autoSpaceDN w:val="0"/>
              <w:adjustRightInd w:val="0"/>
              <w:spacing w:line="340" w:lineRule="exact"/>
              <w:ind w:right="69"/>
              <w:rPr>
                <w:rFonts w:hint="eastAsia" w:ascii="宋体" w:hAnsi="宋体" w:cs="宋体"/>
                <w:b w:val="0"/>
                <w:bCs w:val="0"/>
                <w:szCs w:val="21"/>
                <w:highlight w:val="none"/>
              </w:rPr>
            </w:pPr>
            <w:r>
              <w:rPr>
                <w:rFonts w:hint="eastAsia" w:ascii="宋体" w:hAnsi="宋体" w:cs="宋体"/>
                <w:b w:val="0"/>
                <w:bCs w:val="0"/>
                <w:szCs w:val="21"/>
                <w:highlight w:val="none"/>
              </w:rPr>
              <w:t>（3）支持科技创新</w:t>
            </w:r>
          </w:p>
          <w:p>
            <w:pPr>
              <w:autoSpaceDE w:val="0"/>
              <w:autoSpaceDN w:val="0"/>
              <w:adjustRightInd w:val="0"/>
              <w:spacing w:line="340" w:lineRule="exact"/>
              <w:ind w:right="69"/>
              <w:rPr>
                <w:rFonts w:hint="eastAsia" w:ascii="宋体" w:hAnsi="宋体" w:cs="宋体"/>
                <w:b w:val="0"/>
                <w:bCs w:val="0"/>
                <w:szCs w:val="21"/>
                <w:highlight w:val="none"/>
              </w:rPr>
            </w:pPr>
            <w:r>
              <w:rPr>
                <w:rFonts w:hint="eastAsia" w:ascii="宋体" w:hAnsi="宋体" w:cs="宋体"/>
                <w:b w:val="0"/>
                <w:bCs w:val="0"/>
                <w:szCs w:val="21"/>
                <w:highlight w:val="none"/>
              </w:rPr>
              <w:t>（4）中小企业信用融资</w:t>
            </w:r>
          </w:p>
          <w:p>
            <w:pPr>
              <w:autoSpaceDE w:val="0"/>
              <w:autoSpaceDN w:val="0"/>
              <w:adjustRightInd w:val="0"/>
              <w:spacing w:line="340" w:lineRule="exact"/>
              <w:ind w:right="69"/>
              <w:rPr>
                <w:rFonts w:hint="eastAsia" w:ascii="宋体" w:hAnsi="宋体" w:cs="宋体"/>
                <w:b/>
                <w:bCs/>
                <w:szCs w:val="21"/>
                <w:highlight w:val="none"/>
              </w:rPr>
            </w:pPr>
            <w:r>
              <w:rPr>
                <w:rFonts w:hint="eastAsia" w:ascii="宋体" w:hAnsi="宋体" w:cs="宋体"/>
                <w:b w:val="0"/>
                <w:bCs w:val="0"/>
                <w:szCs w:val="21"/>
                <w:highlight w:val="none"/>
              </w:rPr>
              <w:t>（5）支持中小企业发展</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4</w:t>
            </w:r>
          </w:p>
        </w:tc>
        <w:tc>
          <w:tcPr>
            <w:tcW w:w="8129"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节能环保要求：</w:t>
            </w:r>
          </w:p>
          <w:p>
            <w:pPr>
              <w:autoSpaceDE w:val="0"/>
              <w:autoSpaceDN w:val="0"/>
              <w:adjustRightInd w:val="0"/>
              <w:spacing w:line="340" w:lineRule="exact"/>
              <w:ind w:right="69"/>
              <w:rPr>
                <w:rFonts w:ascii="宋体" w:hAnsi="宋体" w:cs="宋体"/>
                <w:szCs w:val="21"/>
                <w:highlight w:val="none"/>
                <w:shd w:val="clear" w:color="auto" w:fill="FFFFFF"/>
              </w:rPr>
            </w:pPr>
            <w:r>
              <w:rPr>
                <w:rFonts w:hint="eastAsia" w:ascii="宋体" w:hAnsi="宋体" w:cs="宋体"/>
                <w:szCs w:val="21"/>
                <w:highlight w:val="none"/>
                <w:shd w:val="clear" w:color="auto" w:fill="FFFFFF"/>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pPr>
              <w:autoSpaceDE w:val="0"/>
              <w:autoSpaceDN w:val="0"/>
              <w:adjustRightInd w:val="0"/>
              <w:spacing w:line="340" w:lineRule="exact"/>
              <w:ind w:right="69"/>
              <w:rPr>
                <w:rFonts w:ascii="宋体" w:hAnsi="宋体" w:cs="宋体"/>
                <w:szCs w:val="21"/>
                <w:highlight w:val="none"/>
              </w:rPr>
            </w:pPr>
            <w:r>
              <w:rPr>
                <w:rFonts w:hint="eastAsia" w:ascii="宋体" w:hAnsi="宋体" w:cs="宋体"/>
                <w:szCs w:val="21"/>
                <w:highlight w:val="none"/>
                <w:shd w:val="clear" w:color="auto" w:fill="FFFFFF"/>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及有关部门的证明文件）</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5</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left"/>
              <w:rPr>
                <w:rFonts w:ascii="宋体" w:hAnsi="宋体" w:cs="宋体"/>
                <w:szCs w:val="21"/>
                <w:highlight w:val="none"/>
              </w:rPr>
            </w:pPr>
            <w:r>
              <w:rPr>
                <w:rFonts w:hint="eastAsia" w:ascii="宋体" w:hAnsi="宋体" w:cs="宋体"/>
                <w:szCs w:val="21"/>
                <w:highlight w:val="none"/>
              </w:rPr>
              <w:t>投标注意事项：</w:t>
            </w:r>
          </w:p>
          <w:p>
            <w:pPr>
              <w:autoSpaceDE w:val="0"/>
              <w:autoSpaceDN w:val="0"/>
              <w:adjustRightInd w:val="0"/>
              <w:spacing w:line="340" w:lineRule="exact"/>
              <w:ind w:right="69"/>
              <w:rPr>
                <w:rFonts w:ascii="宋体" w:hAnsi="宋体" w:cs="宋体"/>
                <w:szCs w:val="21"/>
                <w:highlight w:val="none"/>
                <w:shd w:val="clear" w:color="auto" w:fill="FFFFFF"/>
              </w:rPr>
            </w:pPr>
            <w:r>
              <w:rPr>
                <w:rFonts w:hint="eastAsia" w:ascii="宋体" w:hAnsi="宋体" w:cs="宋体"/>
                <w:szCs w:val="21"/>
                <w:highlight w:val="none"/>
                <w:shd w:val="clear" w:color="auto" w:fill="FFFFFF"/>
              </w:rPr>
              <w:t>（1）中标后，投标人拒绝签订合同的，采购人可以依法按照评审报告推荐的中标候选人名单排序，确定下一候选人为中标投标人，也可以重新开展政府采购活动。投标人中标后拒绝签订合同的，应按预算金额的2%对采购人进行赔偿；赔偿金额不足以弥补采购人损失的，投标人应继续承担超过部分的损失。</w:t>
            </w:r>
          </w:p>
          <w:p>
            <w:pPr>
              <w:autoSpaceDE w:val="0"/>
              <w:autoSpaceDN w:val="0"/>
              <w:adjustRightInd w:val="0"/>
              <w:spacing w:line="340" w:lineRule="exact"/>
              <w:ind w:left="71" w:right="69"/>
              <w:rPr>
                <w:rFonts w:ascii="宋体" w:hAnsi="宋体" w:cs="宋体"/>
                <w:szCs w:val="21"/>
                <w:highlight w:val="none"/>
                <w:shd w:val="clear" w:color="auto" w:fill="FFFFFF"/>
              </w:rPr>
            </w:pPr>
            <w:r>
              <w:rPr>
                <w:rFonts w:hint="eastAsia" w:ascii="宋体" w:hAnsi="宋体" w:cs="宋体"/>
                <w:szCs w:val="21"/>
                <w:highlight w:val="none"/>
                <w:shd w:val="clear" w:color="auto" w:fill="FFFFFF"/>
              </w:rPr>
              <w:t>（2）存在下列行为的，采购人将其失信行为上报政府采购主管部门，由主管部门按有关规定对其违法失信行为记录进行公开：</w:t>
            </w:r>
          </w:p>
          <w:p>
            <w:pPr>
              <w:autoSpaceDE w:val="0"/>
              <w:autoSpaceDN w:val="0"/>
              <w:adjustRightInd w:val="0"/>
              <w:spacing w:line="340" w:lineRule="exact"/>
              <w:ind w:left="71" w:right="69"/>
              <w:rPr>
                <w:rFonts w:ascii="宋体" w:hAnsi="宋体" w:cs="宋体"/>
                <w:szCs w:val="21"/>
                <w:highlight w:val="none"/>
                <w:shd w:val="clear" w:color="auto" w:fill="FFFFFF"/>
              </w:rPr>
            </w:pPr>
            <w:r>
              <w:rPr>
                <w:rFonts w:hint="eastAsia" w:ascii="宋体" w:hAnsi="宋体" w:cs="宋体"/>
                <w:szCs w:val="21"/>
                <w:highlight w:val="none"/>
                <w:shd w:val="clear" w:color="auto" w:fill="FFFFFF"/>
              </w:rPr>
              <w:t>中标或者成交后，拒绝签订政府采购合同的；</w:t>
            </w:r>
          </w:p>
          <w:p>
            <w:pPr>
              <w:autoSpaceDE w:val="0"/>
              <w:autoSpaceDN w:val="0"/>
              <w:adjustRightInd w:val="0"/>
              <w:spacing w:line="340" w:lineRule="exact"/>
              <w:ind w:left="71" w:right="69"/>
              <w:rPr>
                <w:rFonts w:ascii="宋体" w:hAnsi="宋体" w:cs="宋体"/>
                <w:kern w:val="0"/>
                <w:szCs w:val="21"/>
                <w:highlight w:val="none"/>
              </w:rPr>
            </w:pPr>
            <w:r>
              <w:rPr>
                <w:rFonts w:hint="eastAsia" w:ascii="宋体" w:hAnsi="宋体" w:cs="宋体"/>
                <w:szCs w:val="21"/>
                <w:highlight w:val="none"/>
                <w:shd w:val="clear" w:color="auto" w:fill="FFFFFF"/>
              </w:rPr>
              <w:t>投标有效期内撤销投标文件的。</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6</w:t>
            </w:r>
          </w:p>
        </w:tc>
        <w:tc>
          <w:tcPr>
            <w:tcW w:w="8129" w:type="dxa"/>
            <w:tcBorders>
              <w:top w:val="single" w:color="auto" w:sz="6" w:space="0"/>
              <w:left w:val="single" w:color="auto" w:sz="6" w:space="0"/>
              <w:bottom w:val="single" w:color="auto" w:sz="6" w:space="0"/>
              <w:right w:val="single" w:color="auto" w:sz="6" w:space="0"/>
            </w:tcBorders>
            <w:vAlign w:val="center"/>
          </w:tcPr>
          <w:p>
            <w:pPr>
              <w:adjustRightInd w:val="0"/>
              <w:spacing w:line="340" w:lineRule="exact"/>
              <w:rPr>
                <w:rFonts w:ascii="宋体" w:hAnsi="宋体" w:cs="宋体"/>
                <w:szCs w:val="21"/>
                <w:highlight w:val="none"/>
              </w:rPr>
            </w:pPr>
            <w:r>
              <w:rPr>
                <w:rStyle w:val="35"/>
                <w:rFonts w:hint="eastAsia" w:ascii="宋体" w:hAnsi="宋体" w:cs="宋体"/>
                <w:b w:val="0"/>
                <w:szCs w:val="21"/>
                <w:highlight w:val="none"/>
                <w:shd w:val="clear" w:color="auto" w:fill="FFFFFF"/>
              </w:rPr>
              <w:t>投标人注册</w:t>
            </w:r>
            <w:r>
              <w:rPr>
                <w:rFonts w:hint="eastAsia" w:ascii="宋体" w:hAnsi="宋体" w:cs="宋体"/>
                <w:szCs w:val="21"/>
                <w:highlight w:val="none"/>
              </w:rPr>
              <w:t>：</w:t>
            </w:r>
          </w:p>
          <w:p>
            <w:pPr>
              <w:autoSpaceDE w:val="0"/>
              <w:autoSpaceDN w:val="0"/>
              <w:adjustRightInd w:val="0"/>
              <w:spacing w:line="340" w:lineRule="exact"/>
              <w:ind w:left="71" w:right="69"/>
              <w:rPr>
                <w:rFonts w:ascii="宋体" w:hAnsi="宋体" w:cs="宋体"/>
                <w:kern w:val="0"/>
                <w:szCs w:val="21"/>
                <w:highlight w:val="none"/>
              </w:rPr>
            </w:pPr>
            <w:r>
              <w:rPr>
                <w:rFonts w:hint="eastAsia" w:ascii="宋体" w:hAnsi="宋体" w:cs="宋体"/>
                <w:szCs w:val="21"/>
                <w:highlight w:val="none"/>
                <w:shd w:val="clear" w:color="auto" w:fill="FFFFFF"/>
              </w:rPr>
              <w:t>未注册加入“浙江省政府采购投标人库”的投标人，应当按照《浙江省政府采购投标人注册及诚信管理暂行办法》的规定进行注册登记（网址：</w:t>
            </w:r>
            <w:r>
              <w:rPr>
                <w:rFonts w:hint="eastAsia" w:ascii="宋体" w:hAnsi="宋体" w:cs="宋体"/>
                <w:szCs w:val="21"/>
                <w:highlight w:val="none"/>
              </w:rPr>
              <w:t>http://zfcg.czt.zj.gov.cn/</w:t>
            </w:r>
            <w:r>
              <w:rPr>
                <w:rFonts w:hint="eastAsia" w:ascii="宋体" w:hAnsi="宋体" w:cs="宋体"/>
                <w:szCs w:val="21"/>
                <w:highlight w:val="none"/>
                <w:shd w:val="clear" w:color="auto" w:fill="FFFFFF"/>
              </w:rPr>
              <w:t>）。一旦被确定为中标候选投标人的，应当在发出中标通知书前按规定进行注册申请，否则，采购人将拒绝向其发出中标通知书。</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7</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ind w:left="71" w:right="69"/>
              <w:rPr>
                <w:rFonts w:ascii="宋体" w:hAnsi="宋体" w:cs="宋体"/>
                <w:szCs w:val="21"/>
                <w:highlight w:val="none"/>
                <w:shd w:val="clear" w:color="auto" w:fill="FFFFFF"/>
              </w:rPr>
            </w:pPr>
            <w:r>
              <w:rPr>
                <w:rFonts w:hint="eastAsia" w:ascii="宋体" w:hAnsi="宋体" w:cs="宋体"/>
                <w:b/>
                <w:bCs/>
                <w:szCs w:val="21"/>
                <w:highlight w:val="none"/>
                <w:shd w:val="clear" w:color="auto" w:fill="FFFFFF"/>
              </w:rPr>
              <w:t>纸质版投标文件的提供：中标人应在中标公告发出后三天内提供与在线投标文件一致的纸质版响应文件及在线询标答复函等，共一式三套。具有电子签章或单位公章，提交给采购代理机构作为各单位资料存档使用。中标人应确保纸质版资料与在线电子版资料的一致性，否则导致后期纠纷的责任由中标人自行承担</w:t>
            </w:r>
            <w:r>
              <w:rPr>
                <w:rFonts w:hint="eastAsia" w:ascii="宋体" w:hAnsi="宋体" w:cs="宋体"/>
                <w:szCs w:val="21"/>
                <w:highlight w:val="none"/>
                <w:shd w:val="clear" w:color="auto" w:fill="FFFFFF"/>
              </w:rPr>
              <w:t>。</w:t>
            </w:r>
          </w:p>
        </w:tc>
      </w:tr>
      <w:tr>
        <w:tblPrEx>
          <w:tblCellMar>
            <w:top w:w="0" w:type="dxa"/>
            <w:left w:w="108" w:type="dxa"/>
            <w:bottom w:w="0" w:type="dxa"/>
            <w:right w:w="108" w:type="dxa"/>
          </w:tblCellMar>
        </w:tblPrEx>
        <w:trPr>
          <w:trHeight w:val="23" w:hRule="atLeast"/>
        </w:trPr>
        <w:tc>
          <w:tcPr>
            <w:tcW w:w="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right="-359" w:firstLine="105"/>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8</w:t>
            </w:r>
          </w:p>
        </w:tc>
        <w:tc>
          <w:tcPr>
            <w:tcW w:w="81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ind w:left="71" w:right="69"/>
              <w:rPr>
                <w:rFonts w:ascii="宋体" w:hAnsi="宋体" w:cs="宋体"/>
                <w:szCs w:val="21"/>
                <w:highlight w:val="none"/>
              </w:rPr>
            </w:pPr>
            <w:r>
              <w:rPr>
                <w:rFonts w:hint="eastAsia" w:ascii="宋体" w:hAnsi="宋体" w:cs="宋体"/>
                <w:szCs w:val="21"/>
                <w:highlight w:val="none"/>
              </w:rPr>
              <w:t>特别说明：</w:t>
            </w:r>
          </w:p>
          <w:p>
            <w:pPr>
              <w:autoSpaceDE w:val="0"/>
              <w:autoSpaceDN w:val="0"/>
              <w:adjustRightInd w:val="0"/>
              <w:spacing w:line="340" w:lineRule="exact"/>
              <w:ind w:left="71" w:right="69"/>
              <w:rPr>
                <w:rFonts w:ascii="宋体" w:hAnsi="宋体" w:cs="宋体"/>
                <w:szCs w:val="21"/>
                <w:highlight w:val="none"/>
              </w:rPr>
            </w:pPr>
            <w:r>
              <w:rPr>
                <w:rFonts w:hint="eastAsia" w:ascii="宋体" w:hAnsi="宋体" w:cs="宋体"/>
                <w:szCs w:val="21"/>
                <w:highlight w:val="none"/>
              </w:rPr>
              <w:t>本表与招标文件其他部分内容不一致的，以本表为准。本招标文件的解释权属于采购人和采购代理机构。</w:t>
            </w:r>
          </w:p>
        </w:tc>
      </w:tr>
    </w:tbl>
    <w:p>
      <w:pPr>
        <w:rPr>
          <w:rFonts w:ascii="宋体" w:hAnsi="宋体" w:cs="宋体"/>
          <w:sz w:val="24"/>
          <w:highlight w:val="none"/>
        </w:rPr>
      </w:pPr>
    </w:p>
    <w:p>
      <w:pPr>
        <w:pStyle w:val="5"/>
        <w:spacing w:line="240" w:lineRule="auto"/>
        <w:rPr>
          <w:rFonts w:ascii="宋体" w:hAnsi="宋体" w:eastAsia="宋体" w:cs="宋体"/>
          <w:sz w:val="24"/>
          <w:szCs w:val="24"/>
          <w:highlight w:val="none"/>
        </w:rPr>
      </w:pPr>
      <w:bookmarkStart w:id="46" w:name="_Toc1232"/>
      <w:bookmarkStart w:id="47" w:name="_Toc222632754"/>
      <w:bookmarkStart w:id="48" w:name="_Toc18381"/>
      <w:bookmarkStart w:id="49" w:name="_Toc1651"/>
      <w:bookmarkStart w:id="50" w:name="_Toc27142"/>
      <w:bookmarkStart w:id="51" w:name="_Toc243747241"/>
      <w:bookmarkStart w:id="52" w:name="_Toc317341938"/>
      <w:r>
        <w:rPr>
          <w:rFonts w:hint="eastAsia" w:ascii="宋体" w:hAnsi="宋体" w:eastAsia="宋体" w:cs="宋体"/>
          <w:sz w:val="24"/>
          <w:szCs w:val="24"/>
          <w:highlight w:val="none"/>
        </w:rPr>
        <w:t>一、总  则</w:t>
      </w:r>
      <w:bookmarkEnd w:id="46"/>
      <w:bookmarkEnd w:id="47"/>
      <w:bookmarkEnd w:id="48"/>
      <w:bookmarkEnd w:id="49"/>
      <w:bookmarkEnd w:id="50"/>
      <w:bookmarkEnd w:id="51"/>
      <w:bookmarkEnd w:id="52"/>
    </w:p>
    <w:p>
      <w:pPr>
        <w:adjustRightInd w:val="0"/>
        <w:snapToGrid w:val="0"/>
        <w:spacing w:line="360" w:lineRule="exact"/>
        <w:jc w:val="left"/>
        <w:rPr>
          <w:rFonts w:ascii="宋体" w:hAnsi="宋体" w:cs="宋体"/>
          <w:b/>
          <w:szCs w:val="21"/>
          <w:highlight w:val="none"/>
        </w:rPr>
      </w:pPr>
      <w:bookmarkStart w:id="53" w:name="_Toc177870537"/>
      <w:bookmarkStart w:id="54" w:name="_Toc177824939"/>
      <w:bookmarkStart w:id="55" w:name="_Toc177825120"/>
      <w:bookmarkStart w:id="56" w:name="_Toc177824872"/>
      <w:r>
        <w:rPr>
          <w:rFonts w:hint="eastAsia" w:ascii="宋体" w:hAnsi="宋体" w:cs="宋体"/>
          <w:b/>
          <w:szCs w:val="21"/>
          <w:highlight w:val="none"/>
        </w:rPr>
        <w:t>（一） 适用范围</w:t>
      </w:r>
      <w:bookmarkEnd w:id="53"/>
      <w:bookmarkEnd w:id="54"/>
      <w:bookmarkEnd w:id="55"/>
      <w:bookmarkEnd w:id="56"/>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本招标文件适用于</w:t>
      </w:r>
      <w:r>
        <w:rPr>
          <w:rFonts w:hint="eastAsia" w:ascii="宋体" w:hAnsi="宋体" w:cs="宋体"/>
          <w:szCs w:val="21"/>
          <w:highlight w:val="none"/>
          <w:u w:val="single"/>
          <w:lang w:eastAsia="zh-CN"/>
        </w:rPr>
        <w:t>安吉县食品药品检验检测中心离子色谱仪设备供货与安装政府采购项目</w:t>
      </w:r>
      <w:r>
        <w:rPr>
          <w:rFonts w:hint="eastAsia" w:ascii="宋体" w:hAnsi="宋体" w:cs="宋体"/>
          <w:szCs w:val="21"/>
          <w:highlight w:val="none"/>
        </w:rPr>
        <w:t>的招标、评标、定标、验收、合同履约、付款等（法律、法规另有规定的，从其规定）。</w:t>
      </w:r>
    </w:p>
    <w:p>
      <w:pPr>
        <w:adjustRightInd w:val="0"/>
        <w:snapToGrid w:val="0"/>
        <w:spacing w:line="360" w:lineRule="exact"/>
        <w:jc w:val="left"/>
        <w:rPr>
          <w:rFonts w:ascii="宋体" w:hAnsi="宋体" w:cs="宋体"/>
          <w:b/>
          <w:szCs w:val="21"/>
          <w:highlight w:val="none"/>
        </w:rPr>
      </w:pPr>
      <w:bookmarkStart w:id="57" w:name="_Toc177824873"/>
      <w:bookmarkStart w:id="58" w:name="_Toc177824940"/>
      <w:bookmarkStart w:id="59" w:name="_Toc177825121"/>
      <w:bookmarkStart w:id="60" w:name="_Toc177870538"/>
      <w:r>
        <w:rPr>
          <w:rFonts w:hint="eastAsia" w:ascii="宋体" w:hAnsi="宋体" w:cs="宋体"/>
          <w:b/>
          <w:szCs w:val="21"/>
          <w:highlight w:val="none"/>
        </w:rPr>
        <w:t>（二）定义</w:t>
      </w:r>
      <w:bookmarkEnd w:id="57"/>
      <w:bookmarkEnd w:id="58"/>
      <w:bookmarkEnd w:id="59"/>
      <w:bookmarkEnd w:id="60"/>
    </w:p>
    <w:p>
      <w:pPr>
        <w:adjustRightInd w:val="0"/>
        <w:snapToGrid w:val="0"/>
        <w:spacing w:line="380" w:lineRule="exact"/>
        <w:ind w:firstLine="411" w:firstLineChars="196"/>
        <w:jc w:val="left"/>
        <w:rPr>
          <w:rFonts w:ascii="宋体" w:hAnsi="宋体" w:cs="宋体"/>
          <w:szCs w:val="21"/>
          <w:highlight w:val="none"/>
        </w:rPr>
      </w:pPr>
      <w:bookmarkStart w:id="61" w:name="_Toc293916356"/>
      <w:bookmarkStart w:id="62" w:name="_Toc293916005"/>
      <w:r>
        <w:rPr>
          <w:rFonts w:hint="eastAsia" w:ascii="宋体" w:hAnsi="宋体" w:cs="宋体"/>
          <w:szCs w:val="21"/>
          <w:highlight w:val="none"/>
        </w:rPr>
        <w:t>1、“采购人”系指</w:t>
      </w:r>
      <w:r>
        <w:rPr>
          <w:rFonts w:hint="eastAsia" w:ascii="宋体" w:hAnsi="宋体" w:cs="宋体"/>
          <w:szCs w:val="21"/>
          <w:highlight w:val="none"/>
          <w:lang w:eastAsia="zh-CN"/>
        </w:rPr>
        <w:t>安吉县食品药品检验检测中心</w:t>
      </w:r>
      <w:r>
        <w:rPr>
          <w:rFonts w:hint="eastAsia" w:ascii="宋体" w:hAnsi="宋体" w:cs="宋体"/>
          <w:szCs w:val="21"/>
          <w:highlight w:val="none"/>
        </w:rPr>
        <w:t>。</w:t>
      </w:r>
    </w:p>
    <w:p>
      <w:pPr>
        <w:adjustRightInd w:val="0"/>
        <w:snapToGrid w:val="0"/>
        <w:spacing w:line="380" w:lineRule="exact"/>
        <w:ind w:firstLine="411" w:firstLineChars="196"/>
        <w:jc w:val="left"/>
        <w:rPr>
          <w:rFonts w:ascii="宋体" w:hAnsi="宋体" w:cs="宋体"/>
          <w:szCs w:val="21"/>
          <w:highlight w:val="none"/>
        </w:rPr>
      </w:pPr>
      <w:r>
        <w:rPr>
          <w:rFonts w:hint="eastAsia" w:ascii="宋体" w:hAnsi="宋体" w:cs="宋体"/>
          <w:szCs w:val="21"/>
          <w:highlight w:val="none"/>
        </w:rPr>
        <w:t>2、“采购代理机构”系指安吉精诚采购代理有限公司。</w:t>
      </w:r>
    </w:p>
    <w:p>
      <w:pPr>
        <w:adjustRightInd w:val="0"/>
        <w:snapToGrid w:val="0"/>
        <w:spacing w:line="360" w:lineRule="exact"/>
        <w:ind w:firstLine="420" w:firstLineChars="200"/>
        <w:jc w:val="left"/>
        <w:rPr>
          <w:rFonts w:ascii="宋体" w:hAnsi="宋体" w:cs="宋体"/>
          <w:b/>
          <w:szCs w:val="21"/>
          <w:highlight w:val="none"/>
        </w:rPr>
      </w:pPr>
      <w:r>
        <w:rPr>
          <w:rFonts w:hint="eastAsia" w:ascii="宋体" w:hAnsi="宋体" w:cs="宋体"/>
          <w:szCs w:val="21"/>
          <w:highlight w:val="none"/>
        </w:rPr>
        <w:t>3、“投标人”系指向采购人和采购代理机构提交投标文件的单位或个人。</w:t>
      </w:r>
      <w:bookmarkEnd w:id="61"/>
      <w:bookmarkEnd w:id="62"/>
    </w:p>
    <w:p>
      <w:pPr>
        <w:adjustRightInd w:val="0"/>
        <w:snapToGrid w:val="0"/>
        <w:spacing w:line="360" w:lineRule="exact"/>
        <w:ind w:firstLine="411" w:firstLineChars="196"/>
        <w:jc w:val="left"/>
        <w:rPr>
          <w:rFonts w:ascii="宋体" w:hAnsi="宋体" w:cs="宋体"/>
          <w:szCs w:val="21"/>
          <w:highlight w:val="none"/>
        </w:rPr>
      </w:pPr>
      <w:r>
        <w:rPr>
          <w:rFonts w:hint="eastAsia" w:ascii="宋体" w:hAnsi="宋体" w:cs="宋体"/>
          <w:szCs w:val="21"/>
          <w:highlight w:val="none"/>
        </w:rPr>
        <w:t>4、“产品”系指供方按招标文件规定，须向采购人提供的一切软件、硬件、材料、保险、税金、备品备件、工具、手册及其它有关技术资料和材料。</w:t>
      </w:r>
    </w:p>
    <w:p>
      <w:pPr>
        <w:adjustRightInd w:val="0"/>
        <w:snapToGrid w:val="0"/>
        <w:spacing w:line="360" w:lineRule="exact"/>
        <w:ind w:firstLine="411" w:firstLineChars="196"/>
        <w:jc w:val="left"/>
        <w:rPr>
          <w:rFonts w:ascii="宋体" w:hAnsi="宋体" w:cs="宋体"/>
          <w:szCs w:val="21"/>
          <w:highlight w:val="none"/>
        </w:rPr>
      </w:pPr>
      <w:r>
        <w:rPr>
          <w:rFonts w:hint="eastAsia" w:ascii="宋体" w:hAnsi="宋体" w:cs="宋体"/>
          <w:szCs w:val="21"/>
          <w:highlight w:val="none"/>
        </w:rPr>
        <w:t>5、“服务”系指招标文件规定投标人须承担的安装、调试、技术服务、校准、培训、售后以及其他类似的义务。</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6、“项目”系指投标人按招标文件规定向采购人提供的产品和服务。</w:t>
      </w:r>
    </w:p>
    <w:p>
      <w:pPr>
        <w:adjustRightInd w:val="0"/>
        <w:snapToGrid w:val="0"/>
        <w:spacing w:line="360" w:lineRule="exact"/>
        <w:ind w:firstLine="411" w:firstLineChars="196"/>
        <w:jc w:val="left"/>
        <w:rPr>
          <w:rFonts w:ascii="宋体" w:hAnsi="宋体" w:cs="宋体"/>
          <w:szCs w:val="21"/>
          <w:highlight w:val="none"/>
        </w:rPr>
      </w:pPr>
      <w:r>
        <w:rPr>
          <w:rFonts w:hint="eastAsia" w:ascii="宋体" w:hAnsi="宋体" w:cs="宋体"/>
          <w:szCs w:val="21"/>
          <w:highlight w:val="none"/>
        </w:rPr>
        <w:t>7、“书面形式”包括信函、传真、电子文档、电子邮件等。</w:t>
      </w:r>
    </w:p>
    <w:p>
      <w:pPr>
        <w:adjustRightInd w:val="0"/>
        <w:snapToGrid w:val="0"/>
        <w:spacing w:line="360" w:lineRule="exact"/>
        <w:ind w:firstLine="411" w:firstLineChars="196"/>
        <w:jc w:val="left"/>
        <w:rPr>
          <w:rFonts w:ascii="宋体" w:hAnsi="宋体" w:cs="宋体"/>
          <w:szCs w:val="21"/>
          <w:highlight w:val="none"/>
        </w:rPr>
      </w:pPr>
      <w:r>
        <w:rPr>
          <w:rFonts w:hint="eastAsia" w:ascii="宋体" w:hAnsi="宋体" w:cs="宋体"/>
          <w:szCs w:val="21"/>
          <w:highlight w:val="none"/>
        </w:rPr>
        <w:t>8、“▲”系指实质性要求条款。</w:t>
      </w:r>
    </w:p>
    <w:p>
      <w:pPr>
        <w:adjustRightInd w:val="0"/>
        <w:snapToGrid w:val="0"/>
        <w:spacing w:line="360" w:lineRule="exact"/>
        <w:jc w:val="left"/>
        <w:rPr>
          <w:rFonts w:ascii="宋体" w:hAnsi="宋体" w:cs="宋体"/>
          <w:b/>
          <w:szCs w:val="21"/>
          <w:highlight w:val="none"/>
        </w:rPr>
      </w:pPr>
      <w:bookmarkStart w:id="63" w:name="_Toc177870539"/>
      <w:r>
        <w:rPr>
          <w:rFonts w:hint="eastAsia" w:ascii="宋体" w:hAnsi="宋体" w:cs="宋体"/>
          <w:b/>
          <w:szCs w:val="21"/>
          <w:highlight w:val="none"/>
        </w:rPr>
        <w:t>（三）招标方式</w:t>
      </w:r>
      <w:bookmarkEnd w:id="63"/>
      <w:r>
        <w:rPr>
          <w:rFonts w:hint="eastAsia" w:ascii="宋体" w:hAnsi="宋体" w:cs="宋体"/>
          <w:b/>
          <w:szCs w:val="21"/>
          <w:highlight w:val="none"/>
        </w:rPr>
        <w:t>：</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1、本次招标采用公开招标方式进行。</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2、本次招标设定上限价，上限价详见前附表。</w:t>
      </w:r>
    </w:p>
    <w:p>
      <w:pPr>
        <w:adjustRightInd w:val="0"/>
        <w:snapToGrid w:val="0"/>
        <w:spacing w:line="360" w:lineRule="exact"/>
        <w:jc w:val="left"/>
        <w:rPr>
          <w:rFonts w:ascii="宋体" w:hAnsi="宋体" w:cs="宋体"/>
          <w:b/>
          <w:szCs w:val="21"/>
          <w:highlight w:val="none"/>
        </w:rPr>
      </w:pPr>
      <w:bookmarkStart w:id="64" w:name="_Toc177870540"/>
      <w:bookmarkStart w:id="65" w:name="_Toc177824941"/>
      <w:bookmarkStart w:id="66" w:name="_Toc177825122"/>
      <w:bookmarkStart w:id="67" w:name="_Toc177824874"/>
      <w:r>
        <w:rPr>
          <w:rFonts w:hint="eastAsia" w:ascii="宋体" w:hAnsi="宋体" w:cs="宋体"/>
          <w:b/>
          <w:szCs w:val="21"/>
          <w:highlight w:val="none"/>
        </w:rPr>
        <w:t>（四）投标委托</w:t>
      </w:r>
      <w:bookmarkEnd w:id="64"/>
      <w:bookmarkEnd w:id="65"/>
      <w:bookmarkEnd w:id="66"/>
      <w:bookmarkEnd w:id="67"/>
    </w:p>
    <w:p>
      <w:pPr>
        <w:pStyle w:val="12"/>
        <w:adjustRightInd w:val="0"/>
        <w:snapToGrid w:val="0"/>
        <w:spacing w:line="360" w:lineRule="exact"/>
        <w:ind w:firstLine="420"/>
        <w:jc w:val="left"/>
        <w:rPr>
          <w:rFonts w:ascii="宋体" w:eastAsia="宋体" w:cs="宋体"/>
          <w:sz w:val="21"/>
          <w:szCs w:val="21"/>
          <w:highlight w:val="none"/>
        </w:rPr>
      </w:pPr>
      <w:r>
        <w:rPr>
          <w:rFonts w:hint="eastAsia" w:ascii="宋体" w:eastAsia="宋体" w:cs="宋体"/>
          <w:sz w:val="21"/>
          <w:szCs w:val="21"/>
          <w:highlight w:val="none"/>
        </w:rPr>
        <w:t>投标人代表须携带居民身份证，如投标人代表不是法定代表人，须有法定代表人出具的授权委托书（格式见第六章）。</w:t>
      </w:r>
    </w:p>
    <w:p>
      <w:pPr>
        <w:adjustRightInd w:val="0"/>
        <w:snapToGrid w:val="0"/>
        <w:spacing w:line="360" w:lineRule="exact"/>
        <w:jc w:val="left"/>
        <w:rPr>
          <w:rFonts w:ascii="宋体" w:hAnsi="宋体" w:cs="宋体"/>
          <w:b/>
          <w:szCs w:val="21"/>
          <w:highlight w:val="none"/>
        </w:rPr>
      </w:pPr>
      <w:bookmarkStart w:id="68" w:name="_Toc177870541"/>
      <w:bookmarkStart w:id="69" w:name="_Toc177825123"/>
      <w:bookmarkStart w:id="70" w:name="_Toc177824942"/>
      <w:bookmarkStart w:id="71" w:name="_Toc177824875"/>
      <w:r>
        <w:rPr>
          <w:rFonts w:hint="eastAsia" w:ascii="宋体" w:hAnsi="宋体" w:cs="宋体"/>
          <w:b/>
          <w:szCs w:val="21"/>
          <w:highlight w:val="none"/>
        </w:rPr>
        <w:t>（五）投标费用</w:t>
      </w:r>
      <w:bookmarkEnd w:id="68"/>
      <w:bookmarkEnd w:id="69"/>
      <w:bookmarkEnd w:id="70"/>
      <w:bookmarkEnd w:id="71"/>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不论投标结果如何，投标人均应自行承担所有与投标有关的全部费用。</w:t>
      </w:r>
    </w:p>
    <w:p>
      <w:pPr>
        <w:adjustRightInd w:val="0"/>
        <w:snapToGrid w:val="0"/>
        <w:spacing w:line="360" w:lineRule="exact"/>
        <w:rPr>
          <w:rFonts w:ascii="宋体" w:hAnsi="宋体" w:cs="宋体"/>
          <w:b/>
          <w:szCs w:val="21"/>
          <w:highlight w:val="none"/>
        </w:rPr>
      </w:pPr>
      <w:r>
        <w:rPr>
          <w:rFonts w:hint="eastAsia" w:ascii="宋体" w:hAnsi="宋体" w:cs="宋体"/>
          <w:b/>
          <w:szCs w:val="21"/>
          <w:highlight w:val="none"/>
        </w:rPr>
        <w:t>（六）合格投标人的资格要求</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符合第一章第五条的规定。</w:t>
      </w:r>
    </w:p>
    <w:p>
      <w:pPr>
        <w:adjustRightInd w:val="0"/>
        <w:snapToGrid w:val="0"/>
        <w:spacing w:line="360" w:lineRule="exact"/>
        <w:jc w:val="left"/>
        <w:rPr>
          <w:rFonts w:ascii="宋体" w:hAnsi="宋体" w:cs="宋体"/>
          <w:b/>
          <w:szCs w:val="21"/>
          <w:highlight w:val="none"/>
        </w:rPr>
      </w:pPr>
      <w:r>
        <w:rPr>
          <w:rFonts w:hint="eastAsia" w:ascii="宋体" w:hAnsi="宋体" w:cs="宋体"/>
          <w:b/>
          <w:szCs w:val="21"/>
          <w:highlight w:val="none"/>
        </w:rPr>
        <w:t>（七）转包与分包</w:t>
      </w:r>
    </w:p>
    <w:p>
      <w:pPr>
        <w:adjustRightInd w:val="0"/>
        <w:snapToGrid w:val="0"/>
        <w:spacing w:line="360" w:lineRule="exact"/>
        <w:ind w:firstLine="420" w:firstLineChars="200"/>
        <w:rPr>
          <w:rFonts w:ascii="宋体" w:hAnsi="宋体" w:cs="宋体"/>
          <w:szCs w:val="21"/>
          <w:highlight w:val="none"/>
        </w:rPr>
      </w:pPr>
      <w:r>
        <w:rPr>
          <w:rFonts w:hint="eastAsia" w:ascii="宋体" w:hAnsi="宋体" w:cs="宋体"/>
          <w:szCs w:val="21"/>
          <w:highlight w:val="none"/>
        </w:rPr>
        <w:t>本项目不接受联合体投标，禁止转包，未经采购人同意不允许分包。</w:t>
      </w:r>
    </w:p>
    <w:p>
      <w:pPr>
        <w:adjustRightInd w:val="0"/>
        <w:snapToGrid w:val="0"/>
        <w:spacing w:line="360" w:lineRule="exact"/>
        <w:rPr>
          <w:rFonts w:ascii="宋体" w:hAnsi="宋体" w:cs="宋体"/>
          <w:b/>
          <w:highlight w:val="none"/>
        </w:rPr>
      </w:pPr>
      <w:r>
        <w:rPr>
          <w:rFonts w:hint="eastAsia" w:ascii="宋体" w:hAnsi="宋体" w:cs="宋体"/>
          <w:b/>
          <w:highlight w:val="none"/>
        </w:rPr>
        <w:t>（</w:t>
      </w:r>
      <w:r>
        <w:rPr>
          <w:rFonts w:hint="eastAsia" w:ascii="宋体" w:hAnsi="宋体" w:cs="宋体"/>
          <w:b/>
          <w:szCs w:val="21"/>
          <w:highlight w:val="none"/>
        </w:rPr>
        <w:t>八</w:t>
      </w:r>
      <w:r>
        <w:rPr>
          <w:rFonts w:hint="eastAsia" w:ascii="宋体" w:hAnsi="宋体" w:cs="宋体"/>
          <w:b/>
          <w:highlight w:val="none"/>
        </w:rPr>
        <w:t>）</w:t>
      </w:r>
      <w:bookmarkStart w:id="72" w:name="_Toc177870542"/>
      <w:r>
        <w:rPr>
          <w:rFonts w:hint="eastAsia" w:ascii="宋体" w:hAnsi="宋体" w:cs="宋体"/>
          <w:b/>
          <w:highlight w:val="none"/>
        </w:rPr>
        <w:t>特别说明：</w:t>
      </w:r>
      <w:bookmarkEnd w:id="72"/>
    </w:p>
    <w:p>
      <w:pPr>
        <w:adjustRightInd w:val="0"/>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多家投标人参加投标，如其中两家或两家以上投标人的法定代表人为同一人或相互之间存在投资关系且达到控股的，同时提供的是同一品牌产品的，应当按一个投标人认定。评审时，取其中通过资格审查后的报价最低的一家为有效投标人；当报价相同时，则以技术标最优一家为有效投标人；均相同时，由评标委员会集体决定。</w:t>
      </w:r>
    </w:p>
    <w:p>
      <w:pPr>
        <w:adjustRightInd w:val="0"/>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多家代理商或经销商参加投标，如其中两家或两家以上投标人存在分级代理或代销关系，且提供的是其所代理品牌产品的，评审时，按上述规定确定其中一家为有效投标人。</w:t>
      </w:r>
    </w:p>
    <w:p>
      <w:pPr>
        <w:adjustRightInd w:val="0"/>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2、除招标文件另有规定外，投标人投标所使用的资格、信誉、荣誉、业绩与企业认证必须为本法人所拥有。投标人投标所使用的采购项目实施人员必须为本法人员工或其控股公司正式员工。</w:t>
      </w:r>
    </w:p>
    <w:p>
      <w:pPr>
        <w:adjustRightInd w:val="0"/>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adjustRightInd w:val="0"/>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4、投标人应仔细阅读招标文件所有内容，对招标文件的要求作出实质性响应，按照招标文件的要求提交投标文件，并对所提供的全部资料的真实性承担法律责任。</w:t>
      </w:r>
    </w:p>
    <w:p>
      <w:pPr>
        <w:adjustRightInd w:val="0"/>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5、投标人一旦递交了投标（响应）文件，即被视为接受了本招标文件的所有内容，如有任何异议，均应在答疑截止时间前提出。</w:t>
      </w:r>
    </w:p>
    <w:p>
      <w:pPr>
        <w:adjustRightInd w:val="0"/>
        <w:snapToGrid w:val="0"/>
        <w:spacing w:line="400" w:lineRule="exact"/>
        <w:ind w:firstLine="420" w:firstLineChars="200"/>
        <w:jc w:val="left"/>
        <w:rPr>
          <w:rFonts w:ascii="宋体" w:hAnsi="宋体" w:cs="宋体"/>
          <w:szCs w:val="21"/>
          <w:highlight w:val="none"/>
        </w:rPr>
      </w:pPr>
      <w:r>
        <w:rPr>
          <w:rFonts w:hint="eastAsia" w:ascii="宋体" w:hAnsi="宋体" w:cs="宋体"/>
          <w:color w:val="auto"/>
          <w:szCs w:val="21"/>
          <w:highlight w:val="none"/>
        </w:rPr>
        <w:t>6、投标文件前后描述不一，评审时将按不利于投标人的一种描述进行评审（评标委员会按招标文件规定允许投标人予以澄清的除外）</w:t>
      </w:r>
      <w:r>
        <w:rPr>
          <w:rFonts w:hint="eastAsia" w:ascii="宋体" w:hAnsi="宋体" w:cs="宋体"/>
          <w:szCs w:val="21"/>
          <w:highlight w:val="none"/>
        </w:rPr>
        <w:t>。</w:t>
      </w:r>
    </w:p>
    <w:p>
      <w:pPr>
        <w:adjustRightInd w:val="0"/>
        <w:snapToGrid w:val="0"/>
        <w:spacing w:line="400" w:lineRule="exact"/>
        <w:rPr>
          <w:rFonts w:ascii="宋体" w:hAnsi="宋体" w:cs="宋体"/>
          <w:b/>
          <w:highlight w:val="none"/>
        </w:rPr>
      </w:pPr>
      <w:bookmarkStart w:id="73" w:name="_Toc177870543"/>
      <w:r>
        <w:rPr>
          <w:rFonts w:hint="eastAsia" w:ascii="宋体" w:hAnsi="宋体" w:cs="宋体"/>
          <w:b/>
          <w:highlight w:val="none"/>
        </w:rPr>
        <w:t>（九）质疑</w:t>
      </w:r>
      <w:bookmarkEnd w:id="73"/>
      <w:r>
        <w:rPr>
          <w:rFonts w:hint="eastAsia" w:ascii="宋体" w:hAnsi="宋体" w:cs="宋体"/>
          <w:b/>
          <w:highlight w:val="none"/>
        </w:rPr>
        <w:t>和投诉</w:t>
      </w:r>
    </w:p>
    <w:p>
      <w:pPr>
        <w:snapToGrid w:val="0"/>
        <w:spacing w:line="400" w:lineRule="exact"/>
        <w:ind w:firstLine="420" w:firstLineChars="200"/>
        <w:rPr>
          <w:rFonts w:ascii="宋体" w:hAnsi="宋体" w:cs="宋体"/>
          <w:snapToGrid w:val="0"/>
          <w:kern w:val="0"/>
          <w:highlight w:val="none"/>
        </w:rPr>
      </w:pPr>
      <w:bookmarkStart w:id="74" w:name="_Toc222632755"/>
      <w:bookmarkStart w:id="75" w:name="_Toc317341939"/>
      <w:r>
        <w:rPr>
          <w:rFonts w:hint="eastAsia" w:ascii="宋体" w:hAnsi="宋体" w:cs="宋体"/>
          <w:snapToGrid w:val="0"/>
          <w:kern w:val="0"/>
          <w:highlight w:val="none"/>
        </w:rPr>
        <w:t xml:space="preserve">根据《中华人民共和国政府采购法》和《政府采购质疑和投诉办法》(财政部令第94号)的规定，投标人对政府采购活动事项有疑问的，可以向采购人和招标代理机构提出询问，采购人和招标代理机构应当及时作出答复，但答复的内容不得涉及商业秘密。  </w:t>
      </w:r>
    </w:p>
    <w:p>
      <w:pPr>
        <w:snapToGrid w:val="0"/>
        <w:spacing w:line="400" w:lineRule="exact"/>
        <w:ind w:firstLine="420" w:firstLineChars="200"/>
        <w:rPr>
          <w:rFonts w:ascii="宋体" w:hAnsi="宋体" w:cs="宋体"/>
          <w:highlight w:val="none"/>
        </w:rPr>
      </w:pPr>
      <w:r>
        <w:rPr>
          <w:rFonts w:hint="eastAsia" w:ascii="宋体" w:hAnsi="宋体" w:cs="宋体"/>
          <w:snapToGrid w:val="0"/>
          <w:kern w:val="0"/>
          <w:highlight w:val="none"/>
        </w:rPr>
        <w:t>1、</w:t>
      </w:r>
      <w:r>
        <w:rPr>
          <w:rFonts w:hint="eastAsia" w:ascii="宋体" w:hAnsi="宋体" w:cs="宋体"/>
          <w:highlight w:val="none"/>
        </w:rPr>
        <w:t>投标人认为</w:t>
      </w:r>
      <w:r>
        <w:rPr>
          <w:rFonts w:hint="eastAsia" w:ascii="宋体" w:hAnsi="宋体" w:cs="宋体"/>
          <w:szCs w:val="21"/>
          <w:highlight w:val="none"/>
        </w:rPr>
        <w:t>招标</w:t>
      </w:r>
      <w:r>
        <w:rPr>
          <w:rFonts w:hint="eastAsia" w:ascii="宋体" w:hAnsi="宋体" w:cs="宋体"/>
          <w:highlight w:val="none"/>
        </w:rPr>
        <w:t>文件、采购过程和中标、中标结果使自己的权益受到损害的，应当在知道或者应知其权益受到损害之日起七个工作日内，以书面形式向采购人、采购代理机构提出质疑。质疑起算日期如下：</w:t>
      </w:r>
    </w:p>
    <w:p>
      <w:pPr>
        <w:snapToGrid w:val="0"/>
        <w:spacing w:line="400" w:lineRule="exact"/>
        <w:ind w:firstLine="315" w:firstLineChars="150"/>
        <w:rPr>
          <w:rFonts w:ascii="宋体" w:hAnsi="宋体" w:cs="宋体"/>
          <w:highlight w:val="none"/>
        </w:rPr>
      </w:pPr>
      <w:r>
        <w:rPr>
          <w:rFonts w:hint="eastAsia" w:ascii="宋体" w:hAnsi="宋体" w:cs="宋体"/>
          <w:highlight w:val="none"/>
        </w:rPr>
        <w:t>（1）对可以质疑的</w:t>
      </w:r>
      <w:r>
        <w:rPr>
          <w:rFonts w:hint="eastAsia" w:ascii="宋体" w:hAnsi="宋体" w:cs="宋体"/>
          <w:szCs w:val="21"/>
          <w:highlight w:val="none"/>
        </w:rPr>
        <w:t>招标</w:t>
      </w:r>
      <w:r>
        <w:rPr>
          <w:rFonts w:hint="eastAsia" w:ascii="宋体" w:hAnsi="宋体" w:cs="宋体"/>
          <w:highlight w:val="none"/>
        </w:rPr>
        <w:t>文件提出质疑的，为收到招标文件之日或者招标文件公告期限届满之日</w:t>
      </w:r>
      <w:r>
        <w:rPr>
          <w:rFonts w:hint="eastAsia" w:ascii="宋体" w:hAnsi="宋体" w:cs="宋体"/>
          <w:szCs w:val="21"/>
          <w:highlight w:val="none"/>
        </w:rPr>
        <w:t>（公告期限届满后获取招标文件的，以公告期限届满之日为准）</w:t>
      </w:r>
      <w:r>
        <w:rPr>
          <w:rFonts w:hint="eastAsia" w:ascii="宋体" w:hAnsi="宋体" w:cs="宋体"/>
          <w:highlight w:val="none"/>
        </w:rPr>
        <w:t>；</w:t>
      </w:r>
    </w:p>
    <w:p>
      <w:pPr>
        <w:snapToGrid w:val="0"/>
        <w:spacing w:line="400" w:lineRule="exact"/>
        <w:ind w:firstLine="315" w:firstLineChars="150"/>
        <w:rPr>
          <w:rFonts w:ascii="宋体" w:hAnsi="宋体" w:cs="宋体"/>
          <w:highlight w:val="none"/>
        </w:rPr>
      </w:pPr>
      <w:r>
        <w:rPr>
          <w:rFonts w:hint="eastAsia" w:ascii="宋体" w:hAnsi="宋体" w:cs="宋体"/>
          <w:highlight w:val="none"/>
        </w:rPr>
        <w:t>（2）对采购过程提出质疑的，为各采购程序环节结束之日；</w:t>
      </w:r>
    </w:p>
    <w:p>
      <w:pPr>
        <w:snapToGrid w:val="0"/>
        <w:spacing w:line="400" w:lineRule="exact"/>
        <w:ind w:firstLine="315" w:firstLineChars="150"/>
        <w:rPr>
          <w:rFonts w:ascii="宋体" w:hAnsi="宋体" w:cs="宋体"/>
          <w:highlight w:val="none"/>
        </w:rPr>
      </w:pPr>
      <w:r>
        <w:rPr>
          <w:rFonts w:hint="eastAsia" w:ascii="宋体" w:hAnsi="宋体" w:cs="宋体"/>
          <w:highlight w:val="none"/>
        </w:rPr>
        <w:t>（3）对中标结果提出质疑的，为中标结果公告期限届满之日。</w:t>
      </w:r>
    </w:p>
    <w:p>
      <w:pPr>
        <w:shd w:val="clear" w:color="auto" w:fill="FFFFFF"/>
        <w:snapToGrid w:val="0"/>
        <w:spacing w:line="400" w:lineRule="exact"/>
        <w:ind w:firstLine="420" w:firstLineChars="200"/>
        <w:rPr>
          <w:rFonts w:ascii="宋体" w:hAnsi="宋体" w:cs="宋体"/>
          <w:highlight w:val="none"/>
        </w:rPr>
      </w:pPr>
      <w:r>
        <w:rPr>
          <w:rFonts w:hint="eastAsia" w:ascii="宋体" w:hAnsi="宋体" w:cs="宋体"/>
          <w:snapToGrid w:val="0"/>
          <w:kern w:val="0"/>
          <w:highlight w:val="none"/>
        </w:rPr>
        <w:t>2、</w:t>
      </w:r>
      <w:r>
        <w:rPr>
          <w:rFonts w:hint="eastAsia" w:ascii="宋体" w:hAnsi="宋体" w:cs="宋体"/>
          <w:highlight w:val="none"/>
        </w:rPr>
        <w:t>质疑投标人对采购人、采购代理机构的答复不满意或者采购人、采购代理机构未在规定时间内作出答复的，可以在答复期满后十五个工作日内向同级政府采购监管部门投诉。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400" w:lineRule="exact"/>
        <w:ind w:firstLine="420" w:firstLineChars="200"/>
        <w:rPr>
          <w:rFonts w:ascii="宋体" w:hAnsi="宋体" w:cs="宋体"/>
          <w:highlight w:val="none"/>
        </w:rPr>
      </w:pPr>
      <w:r>
        <w:rPr>
          <w:rFonts w:hint="eastAsia" w:ascii="宋体" w:hAnsi="宋体" w:cs="宋体"/>
          <w:highlight w:val="none"/>
        </w:rPr>
        <w:t>3、质疑和投诉需按照《政府采购质疑和投诉办法》（财政部令第94号）规定，范本在浙江政府采购网中“下载专区”内下载，质疑时投标人需在法定质疑期内一次性提出针对同一采购环节的质疑。投标人为自然人的，应当由本人签字；投标人为法人或者其他组织的，应当由法定代表人、主要负责人，或者其授权代表签字或者盖章，并加盖公章。</w:t>
      </w:r>
    </w:p>
    <w:p>
      <w:pPr>
        <w:shd w:val="clear" w:color="auto" w:fill="FFFFFF"/>
        <w:snapToGrid w:val="0"/>
        <w:spacing w:line="400" w:lineRule="exact"/>
        <w:ind w:firstLine="420" w:firstLineChars="200"/>
        <w:rPr>
          <w:rFonts w:ascii="宋体" w:hAnsi="宋体" w:cs="宋体"/>
          <w:highlight w:val="none"/>
        </w:rPr>
      </w:pPr>
      <w:r>
        <w:rPr>
          <w:rFonts w:hint="eastAsia" w:ascii="宋体" w:hAnsi="宋体" w:cs="宋体"/>
          <w:highlight w:val="none"/>
        </w:rPr>
        <w:t>质疑书、投诉书均应明确阐述招标文件、招标过程和中标结果中使自己合法权益受到损害的实质性内容，提供相关事实、依据和证据及其来源或线索，便于有关单位调查、答复和处理。</w:t>
      </w:r>
    </w:p>
    <w:p>
      <w:pPr>
        <w:snapToGrid w:val="0"/>
        <w:spacing w:line="400" w:lineRule="exact"/>
        <w:ind w:firstLine="420" w:firstLineChars="200"/>
        <w:rPr>
          <w:rFonts w:ascii="宋体" w:hAnsi="宋体" w:cs="宋体"/>
          <w:snapToGrid w:val="0"/>
          <w:kern w:val="0"/>
          <w:highlight w:val="none"/>
        </w:rPr>
      </w:pPr>
      <w:r>
        <w:rPr>
          <w:rFonts w:hint="eastAsia" w:ascii="宋体" w:hAnsi="宋体" w:cs="宋体"/>
          <w:highlight w:val="none"/>
        </w:rPr>
        <w:t>4</w:t>
      </w:r>
      <w:r>
        <w:rPr>
          <w:rFonts w:hint="eastAsia" w:ascii="宋体" w:hAnsi="宋体" w:cs="宋体"/>
          <w:snapToGrid w:val="0"/>
          <w:kern w:val="0"/>
          <w:highlight w:val="none"/>
        </w:rPr>
        <w:t>、对于询问的处理：采购人或者采购代理机构应当在3个工作日内对投标人依法提出的询问作出答复。</w:t>
      </w:r>
    </w:p>
    <w:p>
      <w:pPr>
        <w:snapToGrid w:val="0"/>
        <w:spacing w:line="400" w:lineRule="exact"/>
        <w:ind w:firstLine="420" w:firstLineChars="200"/>
        <w:rPr>
          <w:rFonts w:ascii="宋体" w:hAnsi="宋体" w:cs="宋体"/>
          <w:snapToGrid w:val="0"/>
          <w:kern w:val="0"/>
          <w:highlight w:val="none"/>
        </w:rPr>
      </w:pPr>
      <w:r>
        <w:rPr>
          <w:rFonts w:hint="eastAsia" w:ascii="宋体" w:hAnsi="宋体" w:cs="宋体"/>
          <w:snapToGrid w:val="0"/>
          <w:kern w:val="0"/>
          <w:highlight w:val="none"/>
        </w:rPr>
        <w:t>投标人提出的询问或者质疑超出采购人对采购代理机构委托授权范围的，采购代理机构应当告知投标人向采购人提出。</w:t>
      </w:r>
    </w:p>
    <w:p>
      <w:pPr>
        <w:pStyle w:val="5"/>
        <w:spacing w:line="240" w:lineRule="auto"/>
        <w:rPr>
          <w:rFonts w:ascii="宋体" w:hAnsi="宋体" w:eastAsia="宋体" w:cs="宋体"/>
          <w:sz w:val="24"/>
          <w:szCs w:val="24"/>
          <w:highlight w:val="none"/>
        </w:rPr>
      </w:pPr>
      <w:bookmarkStart w:id="76" w:name="_Toc19577"/>
      <w:bookmarkStart w:id="77" w:name="_Toc18204"/>
      <w:bookmarkStart w:id="78" w:name="_Toc19734"/>
      <w:bookmarkStart w:id="79" w:name="_Toc689843294"/>
      <w:bookmarkStart w:id="80" w:name="_Toc6470"/>
      <w:r>
        <w:rPr>
          <w:rFonts w:hint="eastAsia" w:ascii="宋体" w:hAnsi="宋体" w:eastAsia="宋体" w:cs="宋体"/>
          <w:sz w:val="24"/>
          <w:szCs w:val="24"/>
          <w:highlight w:val="none"/>
        </w:rPr>
        <w:t>二、招标文件</w:t>
      </w:r>
      <w:bookmarkEnd w:id="74"/>
      <w:bookmarkEnd w:id="75"/>
      <w:bookmarkEnd w:id="76"/>
      <w:bookmarkEnd w:id="77"/>
      <w:bookmarkEnd w:id="78"/>
      <w:bookmarkEnd w:id="79"/>
      <w:bookmarkEnd w:id="80"/>
    </w:p>
    <w:p>
      <w:pPr>
        <w:adjustRightInd w:val="0"/>
        <w:snapToGrid w:val="0"/>
        <w:spacing w:line="360" w:lineRule="exact"/>
        <w:rPr>
          <w:rFonts w:ascii="宋体" w:hAnsi="宋体" w:cs="宋体"/>
          <w:b/>
          <w:highlight w:val="none"/>
        </w:rPr>
      </w:pPr>
      <w:r>
        <w:rPr>
          <w:rFonts w:hint="eastAsia" w:ascii="宋体" w:hAnsi="宋体" w:cs="宋体"/>
          <w:b/>
          <w:highlight w:val="none"/>
        </w:rPr>
        <w:t>（一）招标文件的构成。本招标文件由以下部份组成：</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1、招标公告；</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2、招标需求；</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3、投标人须知；</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4、评标办法及标准；</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5、合同主要条款；</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6、投标文件格式；</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7、本项目招标文件的澄清、答复、修改、补充的内容。</w:t>
      </w:r>
    </w:p>
    <w:p>
      <w:pPr>
        <w:adjustRightInd w:val="0"/>
        <w:snapToGrid w:val="0"/>
        <w:spacing w:line="360" w:lineRule="exact"/>
        <w:rPr>
          <w:rFonts w:ascii="宋体" w:hAnsi="宋体" w:cs="宋体"/>
          <w:b/>
          <w:highlight w:val="none"/>
        </w:rPr>
      </w:pPr>
      <w:r>
        <w:rPr>
          <w:rFonts w:hint="eastAsia" w:ascii="宋体" w:hAnsi="宋体" w:cs="宋体"/>
          <w:b/>
          <w:highlight w:val="none"/>
        </w:rPr>
        <w:t>（二）投标人的风险</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投标人没有按照招标文件要求提供全部资料，或者投标人没有对招标文件在各方面作出实质性响应是投标人的风险，并可能导致其投标被拒绝。</w:t>
      </w:r>
    </w:p>
    <w:p>
      <w:pPr>
        <w:adjustRightInd w:val="0"/>
        <w:snapToGrid w:val="0"/>
        <w:spacing w:line="360" w:lineRule="exact"/>
        <w:rPr>
          <w:rFonts w:ascii="宋体" w:hAnsi="宋体" w:cs="宋体"/>
          <w:b/>
          <w:highlight w:val="none"/>
        </w:rPr>
      </w:pPr>
      <w:r>
        <w:rPr>
          <w:rFonts w:hint="eastAsia" w:ascii="宋体" w:hAnsi="宋体" w:cs="宋体"/>
          <w:b/>
          <w:highlight w:val="none"/>
        </w:rPr>
        <w:t xml:space="preserve">（三）招标文件的澄清与修改 </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1、投标人应认真阅读本招标文件，发现其中有误或有要求不合理的，投标人必须在投标须知前附表规定的招标文件答疑与澄清截止时间前以书面形式要求采购人和采购代理机构澄清。</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2、采购人和采购代理机构必须以书面形式答复投标人要求澄清的问题，并将不包含问题来源的答复书面通知所有购买招标文件的投标人；除书面答复以外的其他澄清方式及澄清内容均无效。</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3、采购人和采购代理机构对已发出的招标文件进行必要澄清、答复、修改或补充的，应在浙江政府采购网（</w:t>
      </w:r>
      <w:r>
        <w:rPr>
          <w:rFonts w:hint="eastAsia" w:ascii="宋体" w:hAnsi="宋体" w:cs="宋体"/>
          <w:szCs w:val="21"/>
          <w:highlight w:val="none"/>
        </w:rPr>
        <w:t>http://zfcg.czt.zj.gov.cn/</w:t>
      </w:r>
      <w:r>
        <w:rPr>
          <w:rFonts w:hint="eastAsia" w:ascii="宋体" w:hAnsi="宋体" w:cs="宋体"/>
          <w:highlight w:val="none"/>
        </w:rPr>
        <w:t>）上发布公告，并以书面形式通知所有招标文件收受人。</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4、为保证投标人有足够的时间按修改、补充后的招标文件的要求编制和修正其投标文件，采购人和采购代理机构可依法酌情推迟投标截止时间和开标时间。</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5、招标文件澄清、答复、修改、补充的内容为招标文件的组成部分。当招标文件与招标文件的答复、澄清、修改、补充通知就同一内容的表述不一致时，以最后发出的书面文件为准。</w:t>
      </w:r>
    </w:p>
    <w:p>
      <w:pPr>
        <w:pStyle w:val="5"/>
        <w:spacing w:line="240" w:lineRule="auto"/>
        <w:rPr>
          <w:rFonts w:ascii="宋体" w:hAnsi="宋体" w:eastAsia="宋体" w:cs="宋体"/>
          <w:sz w:val="24"/>
          <w:szCs w:val="24"/>
          <w:highlight w:val="none"/>
        </w:rPr>
      </w:pPr>
      <w:bookmarkStart w:id="81" w:name="_Toc222632756"/>
      <w:bookmarkStart w:id="82" w:name="_Toc18130"/>
      <w:bookmarkStart w:id="83" w:name="_Toc6078"/>
      <w:bookmarkStart w:id="84" w:name="_Toc317341940"/>
      <w:bookmarkStart w:id="85" w:name="_Toc117765376"/>
      <w:bookmarkStart w:id="86" w:name="_Toc16999"/>
      <w:bookmarkStart w:id="87" w:name="_Toc24261"/>
      <w:r>
        <w:rPr>
          <w:rFonts w:hint="eastAsia" w:ascii="宋体" w:hAnsi="宋体" w:eastAsia="宋体" w:cs="宋体"/>
          <w:sz w:val="24"/>
          <w:szCs w:val="24"/>
          <w:highlight w:val="none"/>
        </w:rPr>
        <w:t>三、投标文件的编制</w:t>
      </w:r>
      <w:bookmarkEnd w:id="81"/>
      <w:bookmarkEnd w:id="82"/>
      <w:bookmarkEnd w:id="83"/>
      <w:bookmarkEnd w:id="84"/>
      <w:r>
        <w:rPr>
          <w:rFonts w:hint="eastAsia" w:ascii="宋体" w:hAnsi="宋体" w:eastAsia="宋体" w:cs="宋体"/>
          <w:sz w:val="24"/>
          <w:szCs w:val="24"/>
          <w:highlight w:val="none"/>
        </w:rPr>
        <w:t>及递交</w:t>
      </w:r>
      <w:bookmarkEnd w:id="85"/>
      <w:bookmarkEnd w:id="86"/>
      <w:bookmarkEnd w:id="87"/>
    </w:p>
    <w:p>
      <w:pPr>
        <w:adjustRightInd w:val="0"/>
        <w:snapToGrid w:val="0"/>
        <w:spacing w:line="360" w:lineRule="exact"/>
        <w:jc w:val="left"/>
        <w:rPr>
          <w:rFonts w:ascii="宋体" w:hAnsi="宋体" w:cs="宋体"/>
          <w:b/>
          <w:szCs w:val="21"/>
          <w:highlight w:val="none"/>
        </w:rPr>
      </w:pPr>
      <w:bookmarkStart w:id="88" w:name="_Toc177825124"/>
      <w:bookmarkStart w:id="89" w:name="_Toc177824876"/>
      <w:bookmarkStart w:id="90" w:name="_Toc177824943"/>
      <w:bookmarkStart w:id="91" w:name="_Toc177870546"/>
      <w:r>
        <w:rPr>
          <w:rFonts w:hint="eastAsia" w:ascii="宋体" w:hAnsi="宋体" w:cs="宋体"/>
          <w:b/>
          <w:szCs w:val="21"/>
          <w:highlight w:val="none"/>
        </w:rPr>
        <w:t>（一）投标文件的组成</w:t>
      </w:r>
      <w:bookmarkEnd w:id="88"/>
      <w:bookmarkEnd w:id="89"/>
      <w:bookmarkEnd w:id="90"/>
      <w:bookmarkEnd w:id="91"/>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投标文件由</w:t>
      </w:r>
      <w:r>
        <w:rPr>
          <w:rFonts w:hint="eastAsia" w:ascii="宋体" w:hAnsi="宋体" w:cs="宋体"/>
          <w:b/>
          <w:szCs w:val="21"/>
          <w:highlight w:val="none"/>
        </w:rPr>
        <w:t>资格证明文件</w:t>
      </w:r>
      <w:r>
        <w:rPr>
          <w:rFonts w:hint="eastAsia" w:ascii="宋体" w:hAnsi="宋体" w:cs="宋体"/>
          <w:szCs w:val="21"/>
          <w:highlight w:val="none"/>
        </w:rPr>
        <w:t>、</w:t>
      </w:r>
      <w:r>
        <w:rPr>
          <w:rFonts w:hint="eastAsia" w:ascii="宋体" w:hAnsi="宋体" w:cs="宋体"/>
          <w:b/>
          <w:szCs w:val="21"/>
          <w:highlight w:val="none"/>
        </w:rPr>
        <w:t>技术资信文件、报价文件</w:t>
      </w:r>
      <w:r>
        <w:rPr>
          <w:rFonts w:hint="eastAsia" w:ascii="宋体" w:hAnsi="宋体" w:cs="宋体"/>
          <w:szCs w:val="21"/>
          <w:highlight w:val="none"/>
        </w:rPr>
        <w:t>组成。</w:t>
      </w:r>
    </w:p>
    <w:p>
      <w:pPr>
        <w:adjustRightInd w:val="0"/>
        <w:snapToGrid w:val="0"/>
        <w:spacing w:line="360" w:lineRule="exact"/>
        <w:ind w:firstLine="422" w:firstLineChars="200"/>
        <w:jc w:val="left"/>
        <w:rPr>
          <w:rFonts w:ascii="宋体" w:hAnsi="宋体" w:cs="宋体"/>
          <w:b/>
          <w:szCs w:val="21"/>
          <w:highlight w:val="none"/>
        </w:rPr>
      </w:pPr>
      <w:r>
        <w:rPr>
          <w:rFonts w:hint="eastAsia" w:ascii="宋体" w:hAnsi="宋体" w:cs="宋体"/>
          <w:b/>
          <w:szCs w:val="21"/>
          <w:highlight w:val="none"/>
        </w:rPr>
        <w:t>1、资格证明文件包括：</w:t>
      </w:r>
    </w:p>
    <w:p>
      <w:pPr>
        <w:numPr>
          <w:ilvl w:val="0"/>
          <w:numId w:val="3"/>
        </w:numPr>
        <w:tabs>
          <w:tab w:val="clear" w:pos="533"/>
        </w:tabs>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投标资格声明书（格式见第六章）；</w:t>
      </w:r>
    </w:p>
    <w:p>
      <w:pPr>
        <w:numPr>
          <w:ilvl w:val="0"/>
          <w:numId w:val="3"/>
        </w:numPr>
        <w:tabs>
          <w:tab w:val="clear" w:pos="533"/>
        </w:tabs>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营业执照副本复印件；</w:t>
      </w:r>
    </w:p>
    <w:p>
      <w:pPr>
        <w:numPr>
          <w:ilvl w:val="0"/>
          <w:numId w:val="3"/>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中小企业声明函；</w:t>
      </w:r>
    </w:p>
    <w:p>
      <w:pPr>
        <w:numPr>
          <w:ilvl w:val="0"/>
          <w:numId w:val="3"/>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残疾人福利性单位声明函（如投标人为残疾人福利性单位）； 提供社保缴纳人员名单、录用的残疾人的《中华人民共和国残疾人证》或者《中华人民共和国残疾军人证(1至8级)》复印件；</w:t>
      </w:r>
    </w:p>
    <w:p>
      <w:pPr>
        <w:numPr>
          <w:ilvl w:val="0"/>
          <w:numId w:val="3"/>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监狱企业相关证明材料（如投标人为监狱企业）；</w:t>
      </w:r>
    </w:p>
    <w:p>
      <w:pPr>
        <w:numPr>
          <w:ilvl w:val="0"/>
          <w:numId w:val="3"/>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投标人最近一个季度依法缴纳税的完税凭证复印件或《不征免征税收证明书》或承诺函；</w:t>
      </w:r>
    </w:p>
    <w:p>
      <w:pPr>
        <w:numPr>
          <w:ilvl w:val="0"/>
          <w:numId w:val="3"/>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投标人最近一个季度依法缴纳社保费的凭证复印件或《不征（免征）社保费证明书》或承诺函；</w:t>
      </w:r>
    </w:p>
    <w:p>
      <w:pPr>
        <w:numPr>
          <w:ilvl w:val="0"/>
          <w:numId w:val="3"/>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法定代表人身份证明书、法定代表人授权委托书。</w:t>
      </w:r>
    </w:p>
    <w:p>
      <w:pPr>
        <w:tabs>
          <w:tab w:val="left" w:pos="533"/>
        </w:tabs>
        <w:adjustRightInd w:val="0"/>
        <w:snapToGrid w:val="0"/>
        <w:spacing w:line="360" w:lineRule="exact"/>
        <w:ind w:firstLine="422" w:firstLineChars="200"/>
        <w:jc w:val="left"/>
        <w:rPr>
          <w:rFonts w:ascii="宋体" w:hAnsi="宋体" w:cs="宋体"/>
          <w:szCs w:val="21"/>
          <w:highlight w:val="none"/>
        </w:rPr>
      </w:pPr>
      <w:r>
        <w:rPr>
          <w:rFonts w:hint="eastAsia" w:ascii="宋体" w:hAnsi="宋体" w:cs="宋体"/>
          <w:b/>
          <w:szCs w:val="21"/>
          <w:highlight w:val="none"/>
        </w:rPr>
        <w:t>2、技术商务资信及其他文件包括：</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投标函；</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投标单位情况表；</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技术响应表；</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所有设备选型、性能及技术指标说明（产品出厂标准、质量检测报告等证明材料）；</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产品出厂标准、原厂中文使用说明书、检测报告；</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eastAsia="宋体" w:cs="宋体"/>
          <w:kern w:val="2"/>
          <w:sz w:val="21"/>
          <w:szCs w:val="21"/>
          <w:highlight w:val="none"/>
          <w:lang w:val="en-US" w:eastAsia="zh-CN" w:bidi="ar-SA"/>
        </w:rPr>
        <w:t>实施方案</w:t>
      </w:r>
      <w:r>
        <w:rPr>
          <w:rFonts w:hint="eastAsia" w:ascii="宋体" w:hAnsi="宋体" w:cs="宋体"/>
          <w:szCs w:val="21"/>
          <w:highlight w:val="none"/>
          <w:lang w:eastAsia="zh-CN"/>
        </w:rPr>
        <w:t>；</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lang w:eastAsia="zh-CN"/>
        </w:rPr>
        <w:t>培训方案；</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eastAsia="宋体" w:cs="宋体"/>
          <w:szCs w:val="21"/>
          <w:highlight w:val="none"/>
        </w:rPr>
        <w:t>产品总体性能水平</w:t>
      </w:r>
      <w:r>
        <w:rPr>
          <w:rFonts w:hint="eastAsia" w:ascii="宋体" w:hAnsi="宋体" w:cs="宋体"/>
          <w:szCs w:val="21"/>
          <w:highlight w:val="none"/>
          <w:lang w:eastAsia="zh-CN"/>
        </w:rPr>
        <w:t>；</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eastAsia="宋体" w:cs="宋体"/>
          <w:szCs w:val="21"/>
          <w:highlight w:val="none"/>
          <w:lang w:eastAsia="zh-CN"/>
        </w:rPr>
        <w:t>供货安装及验收</w:t>
      </w:r>
      <w:r>
        <w:rPr>
          <w:rFonts w:hint="eastAsia" w:ascii="宋体" w:hAnsi="宋体" w:eastAsia="宋体" w:cs="宋体"/>
          <w:szCs w:val="21"/>
          <w:highlight w:val="none"/>
        </w:rPr>
        <w:t>方案</w:t>
      </w:r>
      <w:r>
        <w:rPr>
          <w:rFonts w:hint="eastAsia" w:ascii="宋体" w:hAnsi="宋体" w:cs="宋体"/>
          <w:szCs w:val="21"/>
          <w:highlight w:val="none"/>
          <w:lang w:eastAsia="zh-CN"/>
        </w:rPr>
        <w:t>；</w:t>
      </w:r>
    </w:p>
    <w:p>
      <w:pPr>
        <w:numPr>
          <w:ilvl w:val="0"/>
          <w:numId w:val="4"/>
        </w:numPr>
        <w:adjustRightInd w:val="0"/>
        <w:snapToGrid w:val="0"/>
        <w:spacing w:line="360" w:lineRule="exact"/>
        <w:jc w:val="left"/>
        <w:rPr>
          <w:rFonts w:ascii="宋体" w:hAnsi="宋体" w:cs="宋体"/>
          <w:szCs w:val="21"/>
          <w:highlight w:val="none"/>
        </w:rPr>
      </w:pPr>
      <w:r>
        <w:rPr>
          <w:rFonts w:hint="eastAsia" w:ascii="宋体" w:hAnsi="宋体" w:eastAsia="宋体" w:cs="宋体"/>
          <w:szCs w:val="21"/>
          <w:highlight w:val="none"/>
        </w:rPr>
        <w:t>技术服务支持及售后服务承诺</w:t>
      </w:r>
      <w:r>
        <w:rPr>
          <w:rFonts w:hint="eastAsia" w:ascii="宋体" w:hAnsi="宋体" w:cs="宋体"/>
          <w:szCs w:val="21"/>
          <w:highlight w:val="none"/>
        </w:rPr>
        <w:t>；</w:t>
      </w:r>
    </w:p>
    <w:p>
      <w:pPr>
        <w:numPr>
          <w:ilvl w:val="0"/>
          <w:numId w:val="4"/>
        </w:numPr>
        <w:adjustRightInd w:val="0"/>
        <w:snapToGrid w:val="0"/>
        <w:spacing w:line="360" w:lineRule="exact"/>
        <w:jc w:val="left"/>
        <w:rPr>
          <w:rFonts w:hint="eastAsia" w:ascii="宋体" w:hAnsi="宋体" w:cs="宋体"/>
          <w:szCs w:val="21"/>
          <w:highlight w:val="none"/>
          <w:lang w:eastAsia="zh-CN"/>
        </w:rPr>
      </w:pPr>
      <w:r>
        <w:rPr>
          <w:rFonts w:hint="eastAsia" w:ascii="宋体" w:hAnsi="宋体" w:cs="宋体"/>
          <w:szCs w:val="21"/>
          <w:highlight w:val="none"/>
          <w:lang w:eastAsia="zh-CN"/>
        </w:rPr>
        <w:t>体系认证证书；</w:t>
      </w:r>
    </w:p>
    <w:p>
      <w:pPr>
        <w:numPr>
          <w:ilvl w:val="0"/>
          <w:numId w:val="4"/>
        </w:numPr>
        <w:adjustRightInd w:val="0"/>
        <w:snapToGrid w:val="0"/>
        <w:spacing w:line="360" w:lineRule="exact"/>
        <w:jc w:val="left"/>
        <w:rPr>
          <w:rFonts w:hint="eastAsia" w:ascii="宋体" w:hAnsi="宋体" w:cs="宋体"/>
          <w:szCs w:val="21"/>
          <w:highlight w:val="none"/>
          <w:lang w:eastAsia="zh-CN"/>
        </w:rPr>
      </w:pPr>
      <w:r>
        <w:rPr>
          <w:rFonts w:hint="eastAsia" w:ascii="宋体" w:hAnsi="宋体" w:cs="宋体"/>
          <w:szCs w:val="21"/>
          <w:highlight w:val="none"/>
          <w:lang w:eastAsia="zh-CN"/>
        </w:rPr>
        <w:t>应急响应及处理方案；</w:t>
      </w:r>
    </w:p>
    <w:p>
      <w:pPr>
        <w:numPr>
          <w:ilvl w:val="0"/>
          <w:numId w:val="4"/>
        </w:numPr>
        <w:adjustRightInd w:val="0"/>
        <w:snapToGrid w:val="0"/>
        <w:spacing w:line="360" w:lineRule="exact"/>
        <w:jc w:val="left"/>
        <w:rPr>
          <w:rFonts w:hint="eastAsia" w:ascii="宋体" w:hAnsi="宋体" w:cs="宋体"/>
          <w:szCs w:val="21"/>
          <w:highlight w:val="none"/>
          <w:lang w:eastAsia="zh-CN"/>
        </w:rPr>
      </w:pPr>
      <w:r>
        <w:rPr>
          <w:rFonts w:hint="eastAsia" w:ascii="宋体" w:hAnsi="宋体" w:cs="宋体"/>
          <w:szCs w:val="21"/>
          <w:highlight w:val="none"/>
          <w:lang w:eastAsia="zh-CN"/>
        </w:rPr>
        <w:t>质保期承诺；</w:t>
      </w:r>
    </w:p>
    <w:p>
      <w:pPr>
        <w:numPr>
          <w:ilvl w:val="0"/>
          <w:numId w:val="4"/>
        </w:numPr>
        <w:adjustRightInd w:val="0"/>
        <w:snapToGrid w:val="0"/>
        <w:spacing w:line="360" w:lineRule="exact"/>
        <w:jc w:val="left"/>
        <w:rPr>
          <w:rFonts w:hint="eastAsia" w:ascii="宋体" w:hAnsi="宋体" w:cs="宋体"/>
          <w:szCs w:val="21"/>
          <w:highlight w:val="none"/>
          <w:lang w:eastAsia="zh-CN"/>
        </w:rPr>
      </w:pPr>
      <w:r>
        <w:rPr>
          <w:rFonts w:hint="eastAsia" w:ascii="宋体" w:hAnsi="宋体" w:cs="宋体"/>
          <w:szCs w:val="21"/>
          <w:highlight w:val="none"/>
          <w:lang w:eastAsia="zh-CN"/>
        </w:rPr>
        <w:t>商务响应表；</w:t>
      </w:r>
    </w:p>
    <w:p>
      <w:pPr>
        <w:numPr>
          <w:ilvl w:val="0"/>
          <w:numId w:val="4"/>
        </w:numPr>
        <w:adjustRightInd w:val="0"/>
        <w:snapToGrid w:val="0"/>
        <w:spacing w:line="360" w:lineRule="exact"/>
        <w:jc w:val="left"/>
        <w:rPr>
          <w:rFonts w:hint="eastAsia" w:ascii="宋体" w:hAnsi="宋体" w:cs="宋体"/>
          <w:szCs w:val="21"/>
          <w:highlight w:val="none"/>
          <w:lang w:eastAsia="zh-CN"/>
        </w:rPr>
      </w:pPr>
      <w:r>
        <w:rPr>
          <w:rFonts w:hint="eastAsia" w:ascii="宋体" w:hAnsi="宋体" w:cs="宋体"/>
          <w:szCs w:val="21"/>
          <w:highlight w:val="none"/>
          <w:lang w:eastAsia="zh-CN"/>
        </w:rPr>
        <w:t>同类项目实施情况一览表；</w:t>
      </w:r>
    </w:p>
    <w:p>
      <w:pPr>
        <w:numPr>
          <w:ilvl w:val="0"/>
          <w:numId w:val="4"/>
        </w:numPr>
        <w:adjustRightInd w:val="0"/>
        <w:snapToGrid w:val="0"/>
        <w:spacing w:line="360" w:lineRule="exact"/>
        <w:jc w:val="left"/>
        <w:rPr>
          <w:rFonts w:hint="eastAsia" w:ascii="宋体" w:hAnsi="宋体" w:cs="宋体"/>
          <w:szCs w:val="21"/>
          <w:highlight w:val="none"/>
        </w:rPr>
      </w:pPr>
      <w:r>
        <w:rPr>
          <w:rFonts w:hint="eastAsia" w:ascii="宋体" w:hAnsi="宋体" w:cs="宋体"/>
          <w:szCs w:val="21"/>
          <w:highlight w:val="none"/>
          <w:lang w:eastAsia="zh-CN"/>
        </w:rPr>
        <w:t>根据评分表及项目需求情况，自行添加相关表格及资料。</w:t>
      </w:r>
    </w:p>
    <w:p>
      <w:pPr>
        <w:tabs>
          <w:tab w:val="left" w:pos="533"/>
        </w:tabs>
        <w:adjustRightInd w:val="0"/>
        <w:snapToGrid w:val="0"/>
        <w:spacing w:line="360" w:lineRule="exact"/>
        <w:ind w:firstLine="422" w:firstLineChars="200"/>
        <w:jc w:val="left"/>
        <w:rPr>
          <w:rFonts w:ascii="宋体" w:hAnsi="宋体" w:cs="宋体"/>
          <w:szCs w:val="21"/>
          <w:highlight w:val="none"/>
        </w:rPr>
      </w:pPr>
      <w:r>
        <w:rPr>
          <w:rFonts w:hint="eastAsia" w:ascii="宋体" w:hAnsi="宋体" w:cs="宋体"/>
          <w:b/>
          <w:szCs w:val="21"/>
          <w:highlight w:val="none"/>
        </w:rPr>
        <w:t>3、报价文件包括：</w:t>
      </w:r>
    </w:p>
    <w:p>
      <w:pPr>
        <w:numPr>
          <w:ilvl w:val="0"/>
          <w:numId w:val="5"/>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开标一览表；</w:t>
      </w:r>
    </w:p>
    <w:p>
      <w:pPr>
        <w:numPr>
          <w:ilvl w:val="0"/>
          <w:numId w:val="5"/>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lang w:eastAsia="zh-CN"/>
        </w:rPr>
        <w:t>投标</w:t>
      </w:r>
      <w:r>
        <w:rPr>
          <w:rFonts w:hint="eastAsia" w:ascii="宋体" w:hAnsi="宋体" w:cs="宋体"/>
          <w:szCs w:val="21"/>
          <w:highlight w:val="none"/>
        </w:rPr>
        <w:t>报价明细表；</w:t>
      </w:r>
    </w:p>
    <w:p>
      <w:pPr>
        <w:numPr>
          <w:ilvl w:val="0"/>
          <w:numId w:val="5"/>
        </w:num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投标人针对报价的说明或证明材料。</w:t>
      </w:r>
    </w:p>
    <w:p>
      <w:pPr>
        <w:autoSpaceDE w:val="0"/>
        <w:autoSpaceDN w:val="0"/>
        <w:adjustRightInd w:val="0"/>
        <w:ind w:firstLine="527" w:firstLineChars="250"/>
        <w:jc w:val="left"/>
        <w:rPr>
          <w:rFonts w:ascii="宋体" w:hAnsi="宋体" w:cs="宋体"/>
          <w:b/>
          <w:i/>
          <w:highlight w:val="none"/>
          <w:u w:val="single"/>
        </w:rPr>
      </w:pPr>
      <w:r>
        <w:rPr>
          <w:rFonts w:hint="eastAsia" w:ascii="宋体" w:hAnsi="宋体" w:cs="宋体"/>
          <w:b/>
          <w:i/>
          <w:highlight w:val="none"/>
          <w:u w:val="single"/>
        </w:rPr>
        <w:t>▲注：法定代表人授权委托书、投标资格声明书、投标函必须由法定代表人签署并加盖单位公章，签章不齐的视同未提供；</w:t>
      </w:r>
      <w:r>
        <w:rPr>
          <w:rFonts w:hint="eastAsia" w:ascii="宋体" w:hAnsi="宋体" w:cs="宋体"/>
          <w:b/>
          <w:i/>
          <w:highlight w:val="none"/>
          <w:u w:val="single"/>
          <w:lang w:val="zh-CN"/>
        </w:rPr>
        <w:t>投标人应保证以上资料真实有效，必要时须提供原件进行在线核验，如发现弄虚作假，将取消投标资格，已中标的取消中标资格，并按有关规定处罚。</w:t>
      </w:r>
    </w:p>
    <w:p>
      <w:pPr>
        <w:adjustRightInd w:val="0"/>
        <w:snapToGrid w:val="0"/>
        <w:spacing w:line="360" w:lineRule="exact"/>
        <w:jc w:val="left"/>
        <w:rPr>
          <w:rFonts w:ascii="宋体" w:hAnsi="宋体" w:cs="宋体"/>
          <w:b/>
          <w:szCs w:val="21"/>
          <w:highlight w:val="none"/>
        </w:rPr>
      </w:pPr>
      <w:r>
        <w:rPr>
          <w:rFonts w:hint="eastAsia" w:ascii="宋体" w:hAnsi="宋体" w:cs="宋体"/>
          <w:b/>
          <w:szCs w:val="21"/>
          <w:highlight w:val="none"/>
        </w:rPr>
        <w:t>（二）投标文件的语言及度量衡单位</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▲1、投标文件以及投标人与采购人和采购代理机构就有关投标事宜的所有来往函电，均应以中文书写。</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▲2、投标文件所使用的度量衡单位，均采用我国法定计量单位。</w:t>
      </w:r>
      <w:bookmarkStart w:id="92" w:name="_Toc177824878"/>
      <w:bookmarkStart w:id="93" w:name="_Toc177870548"/>
      <w:bookmarkStart w:id="94" w:name="_Toc177824945"/>
      <w:bookmarkStart w:id="95" w:name="_Toc177825126"/>
    </w:p>
    <w:p>
      <w:pPr>
        <w:spacing w:line="360" w:lineRule="exact"/>
        <w:ind w:firstLine="420" w:firstLineChars="200"/>
        <w:rPr>
          <w:rFonts w:ascii="宋体" w:hAnsi="宋体" w:cs="宋体"/>
          <w:szCs w:val="21"/>
          <w:highlight w:val="none"/>
        </w:rPr>
      </w:pPr>
      <w:r>
        <w:rPr>
          <w:rFonts w:hint="eastAsia" w:ascii="宋体" w:hAnsi="宋体" w:cs="宋体"/>
          <w:szCs w:val="21"/>
          <w:highlight w:val="none"/>
        </w:rPr>
        <w:t>3、对不同文字文本投标文件的解释发生异议的，以中文文本为准。</w:t>
      </w:r>
    </w:p>
    <w:bookmarkEnd w:id="92"/>
    <w:bookmarkEnd w:id="93"/>
    <w:bookmarkEnd w:id="94"/>
    <w:bookmarkEnd w:id="95"/>
    <w:p>
      <w:pPr>
        <w:adjustRightInd w:val="0"/>
        <w:snapToGrid w:val="0"/>
        <w:spacing w:line="360" w:lineRule="exact"/>
        <w:jc w:val="left"/>
        <w:rPr>
          <w:rFonts w:ascii="宋体" w:hAnsi="宋体" w:cs="宋体"/>
          <w:b/>
          <w:szCs w:val="21"/>
          <w:highlight w:val="none"/>
        </w:rPr>
      </w:pPr>
      <w:r>
        <w:rPr>
          <w:rFonts w:hint="eastAsia" w:ascii="宋体" w:hAnsi="宋体" w:cs="宋体"/>
          <w:b/>
          <w:szCs w:val="21"/>
          <w:highlight w:val="none"/>
        </w:rPr>
        <w:t>（三）投标报价</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1、投标报价应按招标文件中相关附表格式填写。</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▲2、招标采购单位不接受备选方案。</w:t>
      </w:r>
    </w:p>
    <w:p>
      <w:pPr>
        <w:adjustRightInd w:val="0"/>
        <w:snapToGrid w:val="0"/>
        <w:spacing w:line="400" w:lineRule="exact"/>
        <w:ind w:firstLine="420" w:firstLineChars="200"/>
        <w:jc w:val="left"/>
        <w:rPr>
          <w:rFonts w:ascii="宋体" w:hAnsi="宋体" w:cs="宋体"/>
          <w:szCs w:val="21"/>
          <w:highlight w:val="none"/>
        </w:rPr>
      </w:pPr>
      <w:r>
        <w:rPr>
          <w:rFonts w:hint="eastAsia" w:ascii="宋体" w:hAnsi="宋体" w:cs="宋体"/>
          <w:szCs w:val="21"/>
          <w:highlight w:val="none"/>
        </w:rPr>
        <w:t>▲3、投标文件只允许有一个报价，有选择的报价将不予接受。</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4、投标人应充分考虑因各种原因可能发生的费用。对没有填报的费用，采购人认为所有费用已包含在报价中，除合同条款另有规定外，不得进行调整。</w:t>
      </w:r>
    </w:p>
    <w:p>
      <w:pPr>
        <w:adjustRightInd w:val="0"/>
        <w:snapToGrid w:val="0"/>
        <w:spacing w:line="360" w:lineRule="exact"/>
        <w:jc w:val="left"/>
        <w:rPr>
          <w:rFonts w:ascii="宋体" w:hAnsi="宋体" w:cs="宋体"/>
          <w:b/>
          <w:szCs w:val="21"/>
          <w:highlight w:val="none"/>
        </w:rPr>
      </w:pPr>
      <w:r>
        <w:rPr>
          <w:rFonts w:hint="eastAsia" w:ascii="宋体" w:hAnsi="宋体" w:cs="宋体"/>
          <w:b/>
          <w:szCs w:val="21"/>
          <w:highlight w:val="none"/>
        </w:rPr>
        <w:t>（四）投标文件的有效期</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▲1、自投标截止日起</w:t>
      </w:r>
      <w:r>
        <w:rPr>
          <w:rFonts w:hint="eastAsia" w:ascii="宋体" w:hAnsi="宋体" w:cs="宋体"/>
          <w:szCs w:val="21"/>
          <w:highlight w:val="none"/>
          <w:u w:val="single"/>
        </w:rPr>
        <w:t>90天</w:t>
      </w:r>
      <w:r>
        <w:rPr>
          <w:rFonts w:hint="eastAsia" w:ascii="宋体" w:hAnsi="宋体" w:cs="宋体"/>
          <w:szCs w:val="21"/>
          <w:highlight w:val="none"/>
        </w:rPr>
        <w:t>投标书应保持有效。有效期短于这个规定期限的投标将被拒绝。</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2、在特殊情况下，采购人可与投标人协商延长投标书的有效期，这种要求和答复均以书面形式进行。</w:t>
      </w:r>
      <w:bookmarkStart w:id="96" w:name="_Toc177824946"/>
      <w:bookmarkStart w:id="97" w:name="_Toc177824879"/>
      <w:bookmarkStart w:id="98" w:name="_Toc177870549"/>
      <w:bookmarkStart w:id="99" w:name="_Toc177825127"/>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3、投标人可拒绝接受延期要求而不会导致投标保证金被不予返还。同意延长有效期的投标人需要相应延长投标保证金的有效期，但不能修改投标文件。</w:t>
      </w:r>
      <w:bookmarkEnd w:id="96"/>
      <w:bookmarkEnd w:id="97"/>
      <w:bookmarkEnd w:id="98"/>
      <w:bookmarkEnd w:id="99"/>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4、中标人的投标文件自开标之日起至合同履行完毕止均应保持有效。</w:t>
      </w:r>
    </w:p>
    <w:p>
      <w:pPr>
        <w:adjustRightInd w:val="0"/>
        <w:snapToGrid w:val="0"/>
        <w:spacing w:line="360" w:lineRule="exact"/>
        <w:jc w:val="left"/>
        <w:rPr>
          <w:rFonts w:ascii="宋体" w:hAnsi="宋体" w:cs="宋体"/>
          <w:b/>
          <w:szCs w:val="21"/>
          <w:highlight w:val="none"/>
        </w:rPr>
      </w:pPr>
      <w:bookmarkStart w:id="100" w:name="_Toc177824880"/>
      <w:bookmarkStart w:id="101" w:name="_Toc177824947"/>
      <w:bookmarkStart w:id="102" w:name="_Toc177870550"/>
      <w:bookmarkStart w:id="103" w:name="_Toc177825128"/>
      <w:r>
        <w:rPr>
          <w:rFonts w:hint="eastAsia" w:ascii="宋体" w:hAnsi="宋体" w:cs="宋体"/>
          <w:b/>
          <w:szCs w:val="21"/>
          <w:highlight w:val="none"/>
        </w:rPr>
        <w:t>（五）投标保证金</w:t>
      </w:r>
      <w:bookmarkEnd w:id="100"/>
      <w:bookmarkEnd w:id="101"/>
      <w:bookmarkEnd w:id="102"/>
      <w:bookmarkEnd w:id="103"/>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无。</w:t>
      </w:r>
    </w:p>
    <w:p>
      <w:pPr>
        <w:rPr>
          <w:rFonts w:ascii="宋体" w:hAnsi="宋体" w:cs="宋体"/>
          <w:b/>
          <w:szCs w:val="20"/>
          <w:highlight w:val="none"/>
        </w:rPr>
      </w:pPr>
      <w:bookmarkStart w:id="104" w:name="_Toc177870551"/>
      <w:bookmarkStart w:id="105" w:name="_Toc177824881"/>
      <w:bookmarkStart w:id="106" w:name="_Toc177824948"/>
      <w:bookmarkStart w:id="107" w:name="_Toc177825129"/>
      <w:r>
        <w:rPr>
          <w:rFonts w:hint="eastAsia" w:ascii="宋体" w:hAnsi="宋体" w:cs="宋体"/>
          <w:b/>
          <w:szCs w:val="21"/>
          <w:highlight w:val="none"/>
        </w:rPr>
        <w:t>（六）</w:t>
      </w:r>
      <w:r>
        <w:rPr>
          <w:rFonts w:hint="eastAsia" w:ascii="宋体" w:hAnsi="宋体" w:cs="宋体"/>
          <w:b/>
          <w:szCs w:val="20"/>
          <w:highlight w:val="none"/>
        </w:rPr>
        <w:t>投标文件编制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1、本项目通过“政采云平台（www.zcygov.cn）”实行在线投标响应（电子投标）。投标人应通过“政采云电子交易客户端”，并按照本招标文件和“政府采购云平台”的要求编制并加密投标文件。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2、投标人应当按照本章节 “投标文件的组成”规定的内容及顺序在“政采云电子交易客户端”编制投标文件。其中《资格证明文件》和《技术资信文件》中不得出现本项目投标报价，如因投标人原因提前泄露投标报价的，是投标人的责任。</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3、本招标文件中有提供格式的，投标人须参照格式进行编制（格式中要求提供相关证明材料的或招标文件要求提供相关证明的，还需后附相关证明材料），未提供格式的，请各投标人自行拟定格式，加盖单位公章并由法定代表人或其授权代表签署（签字或盖章），否则视为未提供。</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4、投标文件内容不完整、编排混乱导致投标文件被误读、漏读或者查找不到相关内容的，是投标人的责任。</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5、投标文件因字迹潦草或表达不清所引起的后果由投标人负责。</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6、投标人没有按照本招标文件内 “投标文件的组成”要求提供全部资料，或者没有仔细阅读招标文件，或者没有对招标文件在各方面的要求作出实质性响应是投标人的风险，由此造成的一切后果由投标人自行承担。</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7、投标文件的签章</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7.1 投标文件的签章见《前附表》；</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7.2 投标文件应由投标人法定代表人或其授权代表签字（或盖章），并时加盖投标人公章。</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7.3 参与在线投标时如遇平台技术问题详询</w:t>
      </w:r>
      <w:r>
        <w:rPr>
          <w:rFonts w:hint="eastAsia" w:ascii="宋体" w:hAnsi="宋体" w:cs="宋体"/>
          <w:b/>
          <w:bCs/>
          <w:szCs w:val="21"/>
          <w:highlight w:val="none"/>
          <w:lang w:val="en-US" w:eastAsia="zh-CN"/>
        </w:rPr>
        <w:t>95763</w:t>
      </w:r>
      <w:r>
        <w:rPr>
          <w:rFonts w:hint="eastAsia" w:ascii="宋体" w:hAnsi="宋体" w:cs="宋体"/>
          <w:szCs w:val="21"/>
          <w:highlight w:val="none"/>
        </w:rPr>
        <w:t>。</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8、投标文件的形式</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8.1 投标文件的形式：见《前附表》；</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8.2 “电子加密投标文件”：“电子加密投标文件”是指通过“政采云电子交易客户端”完成投标文件编制后生成并加密的数据电文形式的投标文件。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8.3 “备份投标文件”：“备份投标文件”是指与“电子加密投标文件”同时生成的数据电文形式的电子文件（备份标书），其他方式编制的“备份投标文件”视为无效的“备份投标文件”。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9、投标文件的份数</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投标文件的份数：见《前附表》。</w:t>
      </w:r>
    </w:p>
    <w:p>
      <w:pPr>
        <w:rPr>
          <w:rFonts w:ascii="宋体" w:hAnsi="宋体" w:cs="宋体"/>
          <w:b/>
          <w:szCs w:val="20"/>
          <w:highlight w:val="none"/>
        </w:rPr>
      </w:pPr>
      <w:r>
        <w:rPr>
          <w:rFonts w:hint="eastAsia" w:ascii="宋体" w:hAnsi="宋体" w:cs="宋体"/>
          <w:b/>
          <w:szCs w:val="20"/>
          <w:highlight w:val="none"/>
        </w:rPr>
        <w:t>（七）投标文件的递交</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1、投标文件的上传、递交</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投标文件”的上传、递交：见《前附表》。</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2、“电子加密投标文件”解密和异常情况处理</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“电子加密投标文件”解密：见《前附表》。</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3、投标文件的补充、修改或撤回</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3.1 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采云平台”将予以拒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3.2 投标截止时间后，投标人不得撤回、修改《投标文件》。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4、投标文件的备选方案</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投标人不得递交任何的投标备选（替代）方案，否则其投标文件将作无效标处理。与“电子加密投标文件”同时生成的“备份投标文件”不是投标备选方案。</w:t>
      </w:r>
    </w:p>
    <w:bookmarkEnd w:id="104"/>
    <w:bookmarkEnd w:id="105"/>
    <w:bookmarkEnd w:id="106"/>
    <w:bookmarkEnd w:id="107"/>
    <w:p>
      <w:pPr>
        <w:adjustRightInd w:val="0"/>
        <w:snapToGrid w:val="0"/>
        <w:spacing w:line="360" w:lineRule="exact"/>
        <w:ind w:firstLine="420" w:firstLineChars="200"/>
        <w:jc w:val="left"/>
        <w:rPr>
          <w:rFonts w:ascii="宋体" w:hAnsi="宋体" w:cs="宋体"/>
          <w:szCs w:val="21"/>
          <w:highlight w:val="none"/>
        </w:rPr>
      </w:pPr>
      <w:bookmarkStart w:id="108" w:name="_Toc177870552"/>
      <w:r>
        <w:rPr>
          <w:rFonts w:hint="eastAsia" w:ascii="宋体" w:hAnsi="宋体" w:cs="宋体"/>
          <w:szCs w:val="21"/>
          <w:highlight w:val="none"/>
        </w:rPr>
        <w:t>5、投标截止期</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5.1投标人应按前附表规定的时间、地点将投标文件递交给采购代理机构，采购代理机构将拒绝接受逾期送达的投标文件。</w:t>
      </w:r>
    </w:p>
    <w:p>
      <w:pPr>
        <w:adjustRightInd w:val="0"/>
        <w:snapToGrid w:val="0"/>
        <w:spacing w:line="360" w:lineRule="exact"/>
        <w:ind w:firstLine="420" w:firstLineChars="200"/>
        <w:jc w:val="left"/>
        <w:rPr>
          <w:rFonts w:ascii="宋体" w:hAnsi="宋体" w:cs="宋体"/>
          <w:szCs w:val="21"/>
          <w:highlight w:val="none"/>
        </w:rPr>
      </w:pPr>
      <w:r>
        <w:rPr>
          <w:rFonts w:hint="eastAsia" w:ascii="宋体" w:hAnsi="宋体" w:cs="宋体"/>
          <w:szCs w:val="21"/>
          <w:highlight w:val="none"/>
        </w:rPr>
        <w:t>5.2 采购人可以按本须知规定以补充通知的方式，酌情延长递交投标文件的截止日期。在上述情况下，采购人与投标人以前在投标截止期方面的全部权利、责任和义务，将适用于延长至新的投标截止期。</w:t>
      </w:r>
      <w:bookmarkEnd w:id="108"/>
      <w:bookmarkStart w:id="109" w:name="_Toc170792769"/>
      <w:bookmarkStart w:id="110" w:name="_Toc107820050"/>
    </w:p>
    <w:bookmarkEnd w:id="109"/>
    <w:bookmarkEnd w:id="110"/>
    <w:p>
      <w:pPr>
        <w:pStyle w:val="5"/>
        <w:spacing w:line="240" w:lineRule="auto"/>
        <w:rPr>
          <w:rFonts w:ascii="宋体" w:hAnsi="宋体" w:eastAsia="宋体" w:cs="宋体"/>
          <w:sz w:val="24"/>
          <w:szCs w:val="24"/>
          <w:highlight w:val="none"/>
        </w:rPr>
      </w:pPr>
      <w:bookmarkStart w:id="111" w:name="_Toc317341941"/>
      <w:bookmarkStart w:id="112" w:name="_Toc15896"/>
      <w:bookmarkStart w:id="113" w:name="_Toc222632758"/>
      <w:bookmarkStart w:id="114" w:name="_Toc20939"/>
      <w:bookmarkStart w:id="115" w:name="_Toc1310139048"/>
      <w:bookmarkStart w:id="116" w:name="_Toc11815"/>
      <w:bookmarkStart w:id="117" w:name="_Toc4085"/>
      <w:r>
        <w:rPr>
          <w:rFonts w:hint="eastAsia" w:ascii="宋体" w:hAnsi="宋体" w:eastAsia="宋体" w:cs="宋体"/>
          <w:sz w:val="24"/>
          <w:szCs w:val="24"/>
          <w:highlight w:val="none"/>
        </w:rPr>
        <w:t>四、开标</w:t>
      </w:r>
      <w:bookmarkEnd w:id="111"/>
      <w:bookmarkEnd w:id="112"/>
      <w:bookmarkEnd w:id="113"/>
      <w:bookmarkEnd w:id="114"/>
      <w:bookmarkEnd w:id="115"/>
      <w:bookmarkEnd w:id="116"/>
      <w:bookmarkEnd w:id="117"/>
    </w:p>
    <w:p>
      <w:pPr>
        <w:pStyle w:val="6"/>
        <w:numPr>
          <w:ilvl w:val="0"/>
          <w:numId w:val="0"/>
        </w:numPr>
        <w:spacing w:before="0" w:after="0" w:line="400" w:lineRule="exact"/>
        <w:ind w:left="720" w:hanging="720"/>
        <w:rPr>
          <w:rFonts w:ascii="宋体" w:hAnsi="宋体" w:cs="宋体"/>
          <w:b w:val="0"/>
          <w:bCs w:val="0"/>
          <w:sz w:val="21"/>
          <w:szCs w:val="21"/>
          <w:highlight w:val="none"/>
        </w:rPr>
      </w:pPr>
      <w:bookmarkStart w:id="118" w:name="_Toc317341942"/>
      <w:bookmarkStart w:id="119" w:name="_Toc222632759"/>
      <w:r>
        <w:rPr>
          <w:rFonts w:hint="eastAsia" w:ascii="宋体" w:hAnsi="宋体" w:cs="宋体"/>
          <w:b w:val="0"/>
          <w:bCs w:val="0"/>
          <w:sz w:val="21"/>
          <w:szCs w:val="21"/>
          <w:highlight w:val="none"/>
        </w:rPr>
        <w:t>（一）开标形式</w:t>
      </w:r>
    </w:p>
    <w:p>
      <w:pPr>
        <w:spacing w:line="400" w:lineRule="exact"/>
        <w:ind w:firstLine="371" w:firstLineChars="177"/>
        <w:rPr>
          <w:rFonts w:ascii="宋体" w:hAnsi="宋体" w:cs="宋体"/>
          <w:szCs w:val="21"/>
          <w:highlight w:val="none"/>
        </w:rPr>
      </w:pPr>
      <w:r>
        <w:rPr>
          <w:rFonts w:hint="eastAsia" w:ascii="宋体" w:hAnsi="宋体" w:cs="宋体"/>
          <w:szCs w:val="21"/>
          <w:highlight w:val="none"/>
        </w:rPr>
        <w:t xml:space="preserve"> 采购组织机构将按照招标文件规定的时间通过“政采云平台”组织开标、开启投标文件，所有投标人均应当准时在线参加。</w:t>
      </w:r>
    </w:p>
    <w:p>
      <w:pPr>
        <w:pStyle w:val="6"/>
        <w:numPr>
          <w:ilvl w:val="0"/>
          <w:numId w:val="0"/>
        </w:numPr>
        <w:spacing w:before="0" w:after="0" w:line="400" w:lineRule="exact"/>
        <w:ind w:left="720" w:hanging="720"/>
        <w:rPr>
          <w:rFonts w:ascii="宋体" w:hAnsi="宋体" w:cs="宋体"/>
          <w:b w:val="0"/>
          <w:bCs w:val="0"/>
          <w:sz w:val="21"/>
          <w:szCs w:val="21"/>
          <w:highlight w:val="none"/>
        </w:rPr>
      </w:pPr>
      <w:r>
        <w:rPr>
          <w:rFonts w:hint="eastAsia" w:ascii="宋体" w:hAnsi="宋体" w:cs="宋体"/>
          <w:b w:val="0"/>
          <w:bCs w:val="0"/>
          <w:sz w:val="21"/>
          <w:szCs w:val="21"/>
          <w:highlight w:val="none"/>
        </w:rPr>
        <w:t>（二） 开标准备</w:t>
      </w:r>
    </w:p>
    <w:p>
      <w:pPr>
        <w:spacing w:line="400" w:lineRule="exact"/>
        <w:ind w:firstLine="369" w:firstLineChars="176"/>
        <w:rPr>
          <w:rFonts w:ascii="宋体" w:hAnsi="宋体" w:cs="宋体"/>
          <w:kern w:val="0"/>
          <w:szCs w:val="21"/>
          <w:highlight w:val="none"/>
        </w:rPr>
      </w:pPr>
      <w:r>
        <w:rPr>
          <w:rFonts w:hint="eastAsia" w:ascii="宋体" w:hAnsi="宋体" w:cs="宋体"/>
          <w:kern w:val="0"/>
          <w:szCs w:val="21"/>
          <w:highlight w:val="none"/>
        </w:rPr>
        <w:t>1、开标的准备工作由采购组织机构负责落实；</w:t>
      </w:r>
    </w:p>
    <w:p>
      <w:pPr>
        <w:spacing w:after="120" w:line="400" w:lineRule="exact"/>
        <w:ind w:firstLine="369" w:firstLineChars="176"/>
        <w:rPr>
          <w:rFonts w:ascii="宋体" w:hAnsi="宋体" w:cs="宋体"/>
          <w:szCs w:val="21"/>
          <w:highlight w:val="none"/>
        </w:rPr>
      </w:pPr>
      <w:r>
        <w:rPr>
          <w:rFonts w:hint="eastAsia" w:ascii="宋体" w:hAnsi="宋体" w:cs="宋体"/>
          <w:kern w:val="0"/>
          <w:szCs w:val="21"/>
          <w:highlight w:val="none"/>
        </w:rPr>
        <w:t>2、</w:t>
      </w:r>
      <w:r>
        <w:rPr>
          <w:rFonts w:hint="eastAsia" w:ascii="宋体" w:hAnsi="宋体" w:cs="宋体"/>
          <w:szCs w:val="21"/>
          <w:highlight w:val="none"/>
        </w:rPr>
        <w:t>采购组织机构将按照招标文件规定的时间通过“政采云平台”组织开标、开启投标文件，所有投标人均应当准时在线参加。</w:t>
      </w:r>
      <w:r>
        <w:rPr>
          <w:rFonts w:hint="eastAsia" w:ascii="宋体" w:hAnsi="宋体" w:cs="宋体"/>
          <w:kern w:val="0"/>
          <w:szCs w:val="21"/>
          <w:highlight w:val="none"/>
        </w:rPr>
        <w:t>投标人如不参加开标大会的，视同认可开标结果，事后不得对采购相关人员、开标过程和开标结果提出异议，同时投标人因未在线参加开标而导致投标文件无法按时解密等一切后果由投标人自行承担。</w:t>
      </w:r>
    </w:p>
    <w:p>
      <w:pPr>
        <w:pStyle w:val="6"/>
        <w:numPr>
          <w:ilvl w:val="0"/>
          <w:numId w:val="0"/>
        </w:numPr>
        <w:spacing w:before="0" w:after="0" w:line="400" w:lineRule="exact"/>
        <w:ind w:left="720" w:hanging="720"/>
        <w:rPr>
          <w:rFonts w:ascii="宋体" w:hAnsi="宋体" w:cs="宋体"/>
          <w:b w:val="0"/>
          <w:bCs w:val="0"/>
          <w:sz w:val="21"/>
          <w:szCs w:val="21"/>
          <w:highlight w:val="none"/>
        </w:rPr>
      </w:pPr>
      <w:r>
        <w:rPr>
          <w:rFonts w:hint="eastAsia" w:ascii="宋体" w:hAnsi="宋体" w:cs="宋体"/>
          <w:b w:val="0"/>
          <w:bCs w:val="0"/>
          <w:sz w:val="21"/>
          <w:szCs w:val="21"/>
          <w:highlight w:val="none"/>
        </w:rPr>
        <w:t>（三）开标流程</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1、开标、开启投标文件时，电子交易平台自动提取所有投标、投标文件，提示采购组织机构和投标人按招标文件规定的方式和时间在线解密。给予投标人在线解密的时间为30分钟。</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2、投标人在规定的时间内无法完成已递交的“电子加密投标文件”解密的：如已按规定递交了备份投标文件的，将由采购组织机构按“政采云平台”操作规范将备份投标文件上传至“政采云平台”，上传成功后，“电子加密投标文件”自动失效；投标人如未按规定递交备份投标文件的，视为投标文件撤回。</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3、投标文件解密后，采购人及采购代理机构将对依法对投标人的资格进行审查，资格审查结束后进入符合性审查和资信技术的评审工作。</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4、符合性审查、资信技术评审结束后，开启报价文件。</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5、评标委员会对报价的合理性、准确性等进行审查核实。</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6、评标委员会完成评审后，通过电子交易平台向采购人及其委托的代理机构提交评审报告。同时打印纸质评审报告签署后由采购代理机构保存。</w:t>
      </w:r>
    </w:p>
    <w:p>
      <w:pPr>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7、评审结束后，代理机构通过电子交易平台或发送邮件形式向各投标人公布中标（成交）候选投标人名单，及采购人最终确定中标或中标人名单的时间和公告方式等。</w:t>
      </w:r>
    </w:p>
    <w:p>
      <w:pPr>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8、开标会议结束。</w:t>
      </w:r>
    </w:p>
    <w:p>
      <w:pPr>
        <w:spacing w:after="120" w:line="400" w:lineRule="exact"/>
        <w:ind w:firstLine="373" w:firstLineChars="177"/>
        <w:jc w:val="left"/>
        <w:rPr>
          <w:rFonts w:ascii="宋体" w:hAnsi="宋体" w:cs="宋体"/>
          <w:b/>
          <w:szCs w:val="21"/>
          <w:highlight w:val="none"/>
        </w:rPr>
      </w:pPr>
      <w:r>
        <w:rPr>
          <w:rFonts w:hint="eastAsia" w:ascii="宋体" w:hAnsi="宋体" w:cs="宋体"/>
          <w:b/>
          <w:kern w:val="0"/>
          <w:szCs w:val="21"/>
          <w:highlight w:val="none"/>
        </w:rPr>
        <w:t>特别说明：如遇“政府采购云平台”电子化开标或评审程序调整的，按调整后程序执行。</w:t>
      </w:r>
    </w:p>
    <w:p>
      <w:pPr>
        <w:pStyle w:val="5"/>
        <w:numPr>
          <w:ilvl w:val="0"/>
          <w:numId w:val="6"/>
        </w:numPr>
        <w:spacing w:line="240" w:lineRule="auto"/>
        <w:rPr>
          <w:rFonts w:ascii="宋体" w:hAnsi="宋体" w:eastAsia="宋体" w:cs="宋体"/>
          <w:sz w:val="24"/>
          <w:szCs w:val="24"/>
          <w:highlight w:val="none"/>
        </w:rPr>
      </w:pPr>
      <w:bookmarkStart w:id="120" w:name="_Toc9953"/>
      <w:bookmarkStart w:id="121" w:name="_Toc13446"/>
      <w:bookmarkStart w:id="122" w:name="_Toc13947"/>
      <w:bookmarkStart w:id="123" w:name="_Toc1860562954"/>
      <w:bookmarkStart w:id="124" w:name="_Toc29731"/>
      <w:r>
        <w:rPr>
          <w:rFonts w:hint="eastAsia" w:ascii="宋体" w:hAnsi="宋体" w:eastAsia="宋体" w:cs="宋体"/>
          <w:sz w:val="24"/>
          <w:szCs w:val="24"/>
          <w:highlight w:val="none"/>
        </w:rPr>
        <w:t>资格审查</w:t>
      </w:r>
      <w:bookmarkEnd w:id="120"/>
      <w:bookmarkEnd w:id="121"/>
      <w:bookmarkEnd w:id="122"/>
      <w:bookmarkEnd w:id="123"/>
    </w:p>
    <w:p>
      <w:pPr>
        <w:pStyle w:val="15"/>
        <w:numPr>
          <w:ilvl w:val="0"/>
          <w:numId w:val="7"/>
        </w:numPr>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资格审查人员</w:t>
      </w:r>
    </w:p>
    <w:p>
      <w:pPr>
        <w:pStyle w:val="15"/>
        <w:adjustRightInd w:val="0"/>
        <w:snapToGrid w:val="0"/>
        <w:spacing w:beforeLines="0" w:afterLines="0"/>
        <w:ind w:firstLine="420" w:firstLineChars="200"/>
        <w:rPr>
          <w:rFonts w:hAnsi="宋体" w:cs="宋体"/>
          <w:bCs/>
          <w:sz w:val="21"/>
          <w:szCs w:val="21"/>
          <w:highlight w:val="none"/>
        </w:rPr>
      </w:pPr>
      <w:r>
        <w:rPr>
          <w:rFonts w:hint="eastAsia" w:hAnsi="宋体" w:cs="宋体"/>
          <w:bCs/>
          <w:sz w:val="21"/>
          <w:szCs w:val="21"/>
          <w:highlight w:val="none"/>
        </w:rPr>
        <w:t>由采购人及采购代理机构负责。</w:t>
      </w:r>
    </w:p>
    <w:p>
      <w:pPr>
        <w:pStyle w:val="15"/>
        <w:numPr>
          <w:ilvl w:val="0"/>
          <w:numId w:val="7"/>
        </w:numPr>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资格审查依据</w:t>
      </w:r>
    </w:p>
    <w:p>
      <w:pPr>
        <w:pStyle w:val="15"/>
        <w:adjustRightInd w:val="0"/>
        <w:snapToGrid w:val="0"/>
        <w:spacing w:beforeLines="0" w:afterLines="0"/>
        <w:ind w:firstLine="420"/>
        <w:rPr>
          <w:rFonts w:hAnsi="宋体" w:cs="宋体"/>
          <w:bCs/>
          <w:sz w:val="21"/>
          <w:szCs w:val="21"/>
          <w:highlight w:val="none"/>
        </w:rPr>
      </w:pPr>
      <w:r>
        <w:rPr>
          <w:rFonts w:hint="eastAsia" w:hAnsi="宋体" w:cs="宋体"/>
          <w:bCs/>
          <w:sz w:val="21"/>
          <w:szCs w:val="21"/>
          <w:highlight w:val="none"/>
        </w:rPr>
        <w:t>招标文件、投标人的资格证明文件、“信用中国”网站www.creditchina.gov.cn及“中国政府采购网”www.ccgp.gov.cn查询结果。</w:t>
      </w:r>
    </w:p>
    <w:p>
      <w:pPr>
        <w:pStyle w:val="15"/>
        <w:numPr>
          <w:ilvl w:val="0"/>
          <w:numId w:val="7"/>
        </w:numPr>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资格审查方法</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1、审查投标人资格证明文件的完整性、符合性。</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2、登录“信用中国”网站www.creditchina.gov.cn、“中国政府采购网”www.ccgp.gov.cn查询截止投标时间前的各投标人信用记录，打印相关网页页面留存。</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3、打印纸质资格审查表并签字确认。</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4、采购人或采购代理机构对投标人所提交的资格证明材料仅负审核的责任。如发现投标人所提交的资格证明材料不合法或与事实不符，采购人可取消其中标资格并追究投标人的法律责任。</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5、投标人提交的资格证明材料无法证明其符合招标文件规定的“投标人资格要求”的，采购人或采购代理机构将对其作资格审查不通过处理（无效投标），并不再将其投标提交评标委员会进行后续评审。</w:t>
      </w:r>
    </w:p>
    <w:p>
      <w:pPr>
        <w:spacing w:line="400" w:lineRule="exact"/>
        <w:ind w:firstLine="371" w:firstLineChars="177"/>
        <w:jc w:val="left"/>
        <w:rPr>
          <w:rFonts w:ascii="宋体" w:hAnsi="宋体" w:cs="宋体"/>
          <w:kern w:val="0"/>
          <w:szCs w:val="21"/>
          <w:highlight w:val="none"/>
        </w:rPr>
      </w:pPr>
      <w:r>
        <w:rPr>
          <w:rFonts w:hint="eastAsia" w:ascii="宋体" w:hAnsi="宋体" w:cs="宋体"/>
          <w:kern w:val="0"/>
          <w:szCs w:val="21"/>
          <w:highlight w:val="none"/>
        </w:rPr>
        <w:t>6、单位负责人为同一人或者存在直接控股、管理关系的不同投标人参加同一合同项下的政府采购活动的，相关投标人均作资格无效处理。</w:t>
      </w:r>
    </w:p>
    <w:p>
      <w:pPr>
        <w:ind w:firstLine="371" w:firstLineChars="177"/>
        <w:jc w:val="left"/>
        <w:rPr>
          <w:rFonts w:ascii="宋体" w:hAnsi="宋体" w:cs="宋体"/>
          <w:kern w:val="0"/>
          <w:szCs w:val="21"/>
          <w:highlight w:val="none"/>
        </w:rPr>
      </w:pPr>
    </w:p>
    <w:p>
      <w:pPr>
        <w:pStyle w:val="5"/>
        <w:numPr>
          <w:ilvl w:val="0"/>
          <w:numId w:val="6"/>
        </w:numPr>
        <w:spacing w:line="240" w:lineRule="auto"/>
        <w:rPr>
          <w:rFonts w:ascii="宋体" w:hAnsi="宋体" w:eastAsia="宋体" w:cs="宋体"/>
          <w:sz w:val="24"/>
          <w:szCs w:val="24"/>
          <w:highlight w:val="none"/>
        </w:rPr>
      </w:pPr>
      <w:bookmarkStart w:id="125" w:name="_Toc27733"/>
      <w:bookmarkStart w:id="126" w:name="_Toc27517"/>
      <w:bookmarkStart w:id="127" w:name="_Toc1540745456"/>
      <w:bookmarkStart w:id="128" w:name="_Toc11885"/>
      <w:r>
        <w:rPr>
          <w:rFonts w:hint="eastAsia" w:ascii="宋体" w:hAnsi="宋体" w:eastAsia="宋体" w:cs="宋体"/>
          <w:sz w:val="24"/>
          <w:szCs w:val="24"/>
          <w:highlight w:val="none"/>
        </w:rPr>
        <w:t>评标</w:t>
      </w:r>
      <w:bookmarkEnd w:id="118"/>
      <w:bookmarkEnd w:id="119"/>
      <w:bookmarkEnd w:id="124"/>
      <w:bookmarkEnd w:id="125"/>
      <w:bookmarkEnd w:id="126"/>
      <w:bookmarkEnd w:id="127"/>
      <w:bookmarkEnd w:id="128"/>
    </w:p>
    <w:p>
      <w:pPr>
        <w:pStyle w:val="15"/>
        <w:tabs>
          <w:tab w:val="left" w:pos="720"/>
        </w:tabs>
        <w:adjustRightInd w:val="0"/>
        <w:snapToGrid w:val="0"/>
        <w:spacing w:beforeLines="0" w:afterLines="0"/>
        <w:rPr>
          <w:rFonts w:hAnsi="宋体" w:cs="宋体"/>
          <w:bCs/>
          <w:sz w:val="21"/>
          <w:szCs w:val="21"/>
          <w:highlight w:val="none"/>
        </w:rPr>
      </w:pPr>
      <w:bookmarkStart w:id="129" w:name="_Toc317341943"/>
      <w:r>
        <w:rPr>
          <w:rFonts w:hint="eastAsia" w:hAnsi="宋体" w:cs="宋体"/>
          <w:bCs/>
          <w:sz w:val="21"/>
          <w:szCs w:val="21"/>
          <w:highlight w:val="none"/>
        </w:rPr>
        <w:t>（一）评审工作的组织</w:t>
      </w:r>
    </w:p>
    <w:p>
      <w:pPr>
        <w:spacing w:line="400" w:lineRule="exact"/>
        <w:ind w:firstLine="369" w:firstLineChars="176"/>
        <w:rPr>
          <w:rFonts w:ascii="宋体" w:hAnsi="宋体" w:cs="宋体"/>
          <w:b/>
          <w:szCs w:val="21"/>
          <w:highlight w:val="none"/>
        </w:rPr>
      </w:pPr>
      <w:r>
        <w:rPr>
          <w:rFonts w:hint="eastAsia" w:ascii="宋体" w:hAnsi="宋体" w:cs="宋体"/>
          <w:kern w:val="0"/>
          <w:szCs w:val="21"/>
          <w:highlight w:val="none"/>
        </w:rPr>
        <w:t>采购人或采购代理机构负责组织本项目的评审工作，并依据政府采购法的相关规定履行职责。</w:t>
      </w:r>
    </w:p>
    <w:p>
      <w:pPr>
        <w:pStyle w:val="15"/>
        <w:adjustRightInd w:val="0"/>
        <w:snapToGrid w:val="0"/>
        <w:spacing w:beforeLines="0" w:afterLines="0"/>
        <w:rPr>
          <w:rFonts w:hAnsi="宋体" w:cs="宋体"/>
          <w:b/>
          <w:sz w:val="21"/>
          <w:szCs w:val="21"/>
          <w:highlight w:val="none"/>
        </w:rPr>
      </w:pPr>
      <w:r>
        <w:rPr>
          <w:rFonts w:hint="eastAsia" w:hAnsi="宋体" w:cs="宋体"/>
          <w:b/>
          <w:sz w:val="21"/>
          <w:szCs w:val="21"/>
          <w:highlight w:val="none"/>
        </w:rPr>
        <w:t>（二）组建评标委员会</w:t>
      </w:r>
    </w:p>
    <w:p>
      <w:pPr>
        <w:pStyle w:val="15"/>
        <w:adjustRightInd w:val="0"/>
        <w:snapToGrid w:val="0"/>
        <w:spacing w:beforeLines="0" w:afterLines="0"/>
        <w:ind w:firstLine="420" w:firstLineChars="200"/>
        <w:rPr>
          <w:rFonts w:hAnsi="宋体" w:cs="宋体"/>
          <w:sz w:val="21"/>
          <w:szCs w:val="21"/>
          <w:highlight w:val="none"/>
        </w:rPr>
      </w:pPr>
      <w:r>
        <w:rPr>
          <w:rFonts w:hint="eastAsia" w:hAnsi="宋体" w:cs="宋体"/>
          <w:sz w:val="21"/>
          <w:szCs w:val="21"/>
          <w:highlight w:val="none"/>
        </w:rPr>
        <w:t>本项目评标委员会由合法组建的5人（含）以上单数组成。评标委员会成员名单在评审结果（采购结果）公告前保密。</w:t>
      </w:r>
    </w:p>
    <w:p>
      <w:pPr>
        <w:pStyle w:val="15"/>
        <w:tabs>
          <w:tab w:val="left" w:pos="720"/>
        </w:tabs>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（三）评标委员会的职责</w:t>
      </w:r>
    </w:p>
    <w:p>
      <w:pPr>
        <w:spacing w:line="400" w:lineRule="exact"/>
        <w:ind w:firstLine="371" w:firstLineChars="176"/>
        <w:rPr>
          <w:rFonts w:ascii="宋体" w:hAnsi="宋体" w:cs="宋体"/>
          <w:b/>
          <w:kern w:val="0"/>
          <w:szCs w:val="21"/>
          <w:highlight w:val="none"/>
        </w:rPr>
      </w:pPr>
      <w:r>
        <w:rPr>
          <w:rFonts w:hint="eastAsia" w:ascii="宋体" w:hAnsi="宋体" w:cs="宋体"/>
          <w:b/>
          <w:kern w:val="0"/>
          <w:szCs w:val="21"/>
          <w:highlight w:val="none"/>
        </w:rPr>
        <w:t>评标委员会负责具体评审事务，并独立履行下列职责：</w:t>
      </w:r>
    </w:p>
    <w:p>
      <w:pPr>
        <w:spacing w:line="400" w:lineRule="exact"/>
        <w:ind w:firstLine="369" w:firstLineChars="176"/>
        <w:rPr>
          <w:rFonts w:ascii="宋体" w:hAnsi="宋体" w:cs="宋体"/>
          <w:kern w:val="0"/>
          <w:szCs w:val="21"/>
          <w:highlight w:val="none"/>
        </w:rPr>
      </w:pPr>
      <w:r>
        <w:rPr>
          <w:rFonts w:hint="eastAsia" w:ascii="宋体" w:hAnsi="宋体" w:cs="宋体"/>
          <w:kern w:val="0"/>
          <w:szCs w:val="21"/>
          <w:highlight w:val="none"/>
        </w:rPr>
        <w:t>1、审查、评价投标文件是否符合招标文件的资信、技术等实质性要求；</w:t>
      </w:r>
    </w:p>
    <w:p>
      <w:pPr>
        <w:spacing w:line="400" w:lineRule="exact"/>
        <w:ind w:firstLine="369" w:firstLineChars="176"/>
        <w:rPr>
          <w:rFonts w:ascii="宋体" w:hAnsi="宋体" w:cs="宋体"/>
          <w:kern w:val="0"/>
          <w:szCs w:val="21"/>
          <w:highlight w:val="none"/>
        </w:rPr>
      </w:pPr>
      <w:r>
        <w:rPr>
          <w:rFonts w:hint="eastAsia" w:ascii="宋体" w:hAnsi="宋体" w:cs="宋体"/>
          <w:kern w:val="0"/>
          <w:szCs w:val="21"/>
          <w:highlight w:val="none"/>
        </w:rPr>
        <w:t>2、要求投标人对投标文件有关事项作出澄清或者说明；</w:t>
      </w:r>
    </w:p>
    <w:p>
      <w:pPr>
        <w:spacing w:line="400" w:lineRule="exact"/>
        <w:ind w:firstLine="369" w:firstLineChars="176"/>
        <w:rPr>
          <w:rFonts w:ascii="宋体" w:hAnsi="宋体" w:cs="宋体"/>
          <w:kern w:val="0"/>
          <w:szCs w:val="21"/>
          <w:highlight w:val="none"/>
        </w:rPr>
      </w:pPr>
      <w:r>
        <w:rPr>
          <w:rFonts w:hint="eastAsia" w:ascii="宋体" w:hAnsi="宋体" w:cs="宋体"/>
          <w:kern w:val="0"/>
          <w:szCs w:val="21"/>
          <w:highlight w:val="none"/>
        </w:rPr>
        <w:t>3、对投标文件进行比较和评价；</w:t>
      </w:r>
    </w:p>
    <w:p>
      <w:pPr>
        <w:spacing w:line="400" w:lineRule="exact"/>
        <w:ind w:firstLine="369" w:firstLineChars="176"/>
        <w:rPr>
          <w:rFonts w:ascii="宋体" w:hAnsi="宋体" w:cs="宋体"/>
          <w:kern w:val="0"/>
          <w:szCs w:val="21"/>
          <w:highlight w:val="none"/>
        </w:rPr>
      </w:pPr>
      <w:r>
        <w:rPr>
          <w:rFonts w:hint="eastAsia" w:ascii="宋体" w:hAnsi="宋体" w:cs="宋体"/>
          <w:kern w:val="0"/>
          <w:szCs w:val="21"/>
          <w:highlight w:val="none"/>
        </w:rPr>
        <w:t>4、确定中标候选人名单，以及根据采购人委托直接确定中标人；</w:t>
      </w:r>
    </w:p>
    <w:p>
      <w:pPr>
        <w:spacing w:line="400" w:lineRule="exact"/>
        <w:ind w:firstLine="369" w:firstLineChars="176"/>
        <w:rPr>
          <w:rFonts w:ascii="宋体" w:hAnsi="宋体" w:cs="宋体"/>
          <w:kern w:val="0"/>
          <w:szCs w:val="21"/>
          <w:highlight w:val="none"/>
        </w:rPr>
      </w:pPr>
      <w:r>
        <w:rPr>
          <w:rFonts w:hint="eastAsia" w:ascii="宋体" w:hAnsi="宋体" w:cs="宋体"/>
          <w:kern w:val="0"/>
          <w:szCs w:val="21"/>
          <w:highlight w:val="none"/>
        </w:rPr>
        <w:t>5、向采购人、采购代理机构或者有关部门报告评审中发现的违法行为。</w:t>
      </w:r>
    </w:p>
    <w:p>
      <w:pPr>
        <w:pStyle w:val="15"/>
        <w:tabs>
          <w:tab w:val="left" w:pos="720"/>
        </w:tabs>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（四）评审原则和评标办法</w:t>
      </w:r>
    </w:p>
    <w:p>
      <w:pPr>
        <w:spacing w:line="400" w:lineRule="exact"/>
        <w:ind w:firstLine="371" w:firstLineChars="177"/>
        <w:rPr>
          <w:rFonts w:ascii="宋体" w:hAnsi="宋体" w:cs="宋体"/>
          <w:szCs w:val="21"/>
          <w:highlight w:val="none"/>
        </w:rPr>
      </w:pPr>
      <w:r>
        <w:rPr>
          <w:rFonts w:hint="eastAsia" w:ascii="宋体" w:hAnsi="宋体" w:cs="宋体"/>
          <w:szCs w:val="21"/>
          <w:highlight w:val="none"/>
        </w:rPr>
        <w:t>1、评审原则：</w:t>
      </w:r>
      <w:r>
        <w:rPr>
          <w:rFonts w:hint="eastAsia" w:ascii="宋体" w:hAnsi="宋体" w:cs="宋体"/>
          <w:kern w:val="0"/>
          <w:szCs w:val="21"/>
          <w:highlight w:val="none"/>
        </w:rPr>
        <w:t>评标委员会</w:t>
      </w:r>
      <w:r>
        <w:rPr>
          <w:rFonts w:hint="eastAsia" w:ascii="宋体" w:hAnsi="宋体" w:cs="宋体"/>
          <w:szCs w:val="21"/>
          <w:highlight w:val="none"/>
        </w:rPr>
        <w:t>按照客观、公正、审慎、择优的原则，根据招标文件规定的评审程序、评审方法和评审标准进行独立评审。</w:t>
      </w:r>
    </w:p>
    <w:p>
      <w:pPr>
        <w:spacing w:line="400" w:lineRule="exact"/>
        <w:ind w:firstLine="371" w:firstLineChars="177"/>
        <w:rPr>
          <w:rFonts w:ascii="宋体" w:hAnsi="宋体" w:cs="宋体"/>
          <w:kern w:val="0"/>
          <w:szCs w:val="21"/>
          <w:highlight w:val="none"/>
        </w:rPr>
      </w:pPr>
      <w:r>
        <w:rPr>
          <w:rFonts w:hint="eastAsia" w:ascii="宋体" w:hAnsi="宋体" w:cs="宋体"/>
          <w:szCs w:val="21"/>
          <w:highlight w:val="none"/>
        </w:rPr>
        <w:t>2、评审工作将依据</w:t>
      </w:r>
      <w:r>
        <w:rPr>
          <w:rFonts w:hint="eastAsia" w:ascii="宋体" w:hAnsi="宋体" w:cs="宋体"/>
          <w:kern w:val="0"/>
          <w:szCs w:val="21"/>
          <w:highlight w:val="none"/>
        </w:rPr>
        <w:t>招标文件、投标文件及招标文件中事先已列明的内容进行。</w:t>
      </w:r>
    </w:p>
    <w:p>
      <w:pPr>
        <w:spacing w:line="400" w:lineRule="exact"/>
        <w:ind w:firstLine="371" w:firstLineChars="177"/>
        <w:rPr>
          <w:rFonts w:ascii="宋体" w:hAnsi="宋体" w:cs="宋体"/>
          <w:kern w:val="0"/>
          <w:szCs w:val="21"/>
          <w:highlight w:val="none"/>
        </w:rPr>
      </w:pPr>
      <w:r>
        <w:rPr>
          <w:rFonts w:hint="eastAsia" w:ascii="宋体" w:hAnsi="宋体" w:cs="宋体"/>
          <w:szCs w:val="21"/>
          <w:highlight w:val="none"/>
        </w:rPr>
        <w:t>3、评标办法。本项目采用综合评分法，详见《第四章：评标办法及标准》。</w:t>
      </w:r>
    </w:p>
    <w:p>
      <w:pPr>
        <w:pStyle w:val="15"/>
        <w:tabs>
          <w:tab w:val="left" w:pos="720"/>
        </w:tabs>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（五）评审意见的争议处理</w:t>
      </w:r>
    </w:p>
    <w:p>
      <w:pPr>
        <w:spacing w:line="400" w:lineRule="exact"/>
        <w:ind w:firstLine="371" w:firstLineChars="177"/>
        <w:rPr>
          <w:rFonts w:ascii="宋体" w:hAnsi="宋体" w:cs="宋体"/>
          <w:bCs/>
          <w:szCs w:val="21"/>
          <w:highlight w:val="none"/>
        </w:rPr>
      </w:pPr>
      <w:r>
        <w:rPr>
          <w:rFonts w:hint="eastAsia" w:ascii="宋体" w:hAnsi="宋体" w:cs="宋体"/>
          <w:bCs/>
          <w:szCs w:val="21"/>
          <w:highlight w:val="none"/>
        </w:rPr>
        <w:t>评标委员会成员对需要共同认定的事项存在争议的，按照少数服从多数的原则作出结论。持不同意见的评标委员会成员应当在评审报告上签署不同意见及理由，否则视为同意评审报告。</w:t>
      </w:r>
    </w:p>
    <w:p>
      <w:pPr>
        <w:pStyle w:val="15"/>
        <w:tabs>
          <w:tab w:val="left" w:pos="720"/>
        </w:tabs>
        <w:adjustRightInd w:val="0"/>
        <w:snapToGrid w:val="0"/>
        <w:spacing w:beforeLines="0" w:afterLines="0"/>
        <w:rPr>
          <w:rFonts w:hAnsi="宋体" w:cs="宋体"/>
          <w:bCs/>
          <w:sz w:val="21"/>
          <w:szCs w:val="21"/>
          <w:highlight w:val="none"/>
        </w:rPr>
      </w:pPr>
      <w:r>
        <w:rPr>
          <w:rFonts w:hint="eastAsia" w:hAnsi="宋体" w:cs="宋体"/>
          <w:bCs/>
          <w:sz w:val="21"/>
          <w:szCs w:val="21"/>
          <w:highlight w:val="none"/>
        </w:rPr>
        <w:t>（六）评审纪律</w:t>
      </w:r>
    </w:p>
    <w:p>
      <w:pPr>
        <w:spacing w:after="120" w:line="400" w:lineRule="exact"/>
        <w:ind w:firstLine="371" w:firstLineChars="177"/>
        <w:rPr>
          <w:rFonts w:ascii="宋体" w:hAnsi="宋体" w:cs="宋体"/>
          <w:b/>
          <w:szCs w:val="21"/>
          <w:highlight w:val="none"/>
        </w:rPr>
      </w:pPr>
      <w:r>
        <w:rPr>
          <w:rFonts w:hint="eastAsia" w:ascii="宋体" w:hAnsi="宋体" w:cs="宋体"/>
          <w:szCs w:val="21"/>
          <w:highlight w:val="none"/>
        </w:rPr>
        <w:t>评标委员会成员必须严格遵守保密规定，不得泄露评审的有关情况</w:t>
      </w:r>
      <w:r>
        <w:rPr>
          <w:rFonts w:hint="eastAsia" w:ascii="宋体" w:hAnsi="宋体" w:cs="宋体"/>
          <w:kern w:val="0"/>
          <w:szCs w:val="21"/>
          <w:highlight w:val="none"/>
        </w:rPr>
        <w:t>，任何单位和个人不得干扰、影响评标的正常进行，评标委员会成员不得私下与投标人接触，不得出现浙江省政府采购活动现场组织管理办法中规定的其他禁止行为。</w:t>
      </w:r>
    </w:p>
    <w:p>
      <w:pPr>
        <w:pStyle w:val="15"/>
        <w:tabs>
          <w:tab w:val="left" w:pos="1110"/>
        </w:tabs>
        <w:adjustRightInd w:val="0"/>
        <w:snapToGrid w:val="0"/>
        <w:spacing w:before="120" w:after="120"/>
        <w:rPr>
          <w:rFonts w:hAnsi="宋体" w:cs="宋体"/>
          <w:bCs/>
          <w:sz w:val="21"/>
          <w:szCs w:val="21"/>
          <w:highlight w:val="none"/>
        </w:rPr>
      </w:pPr>
      <w:bookmarkStart w:id="130" w:name="_Toc24550043"/>
      <w:bookmarkStart w:id="131" w:name="_Toc33194395"/>
      <w:r>
        <w:rPr>
          <w:rFonts w:hint="eastAsia" w:hAnsi="宋体" w:cs="宋体"/>
          <w:bCs/>
          <w:sz w:val="21"/>
          <w:szCs w:val="21"/>
          <w:highlight w:val="none"/>
        </w:rPr>
        <w:t>（七）</w:t>
      </w:r>
      <w:bookmarkEnd w:id="130"/>
      <w:bookmarkStart w:id="132" w:name="_Toc24550044"/>
      <w:r>
        <w:rPr>
          <w:rFonts w:hint="eastAsia" w:hAnsi="宋体" w:cs="宋体"/>
          <w:bCs/>
          <w:sz w:val="21"/>
          <w:szCs w:val="21"/>
          <w:highlight w:val="none"/>
        </w:rPr>
        <w:t>评审流程及内容</w:t>
      </w:r>
      <w:bookmarkEnd w:id="131"/>
      <w:bookmarkEnd w:id="132"/>
    </w:p>
    <w:p>
      <w:pPr>
        <w:spacing w:line="400" w:lineRule="exact"/>
        <w:ind w:firstLine="371" w:firstLineChars="176"/>
        <w:rPr>
          <w:rFonts w:ascii="宋体" w:hAnsi="宋体" w:cs="宋体"/>
          <w:szCs w:val="21"/>
          <w:highlight w:val="none"/>
        </w:rPr>
      </w:pPr>
      <w:r>
        <w:rPr>
          <w:rFonts w:hint="eastAsia" w:ascii="宋体" w:hAnsi="宋体" w:cs="宋体"/>
          <w:b/>
          <w:kern w:val="0"/>
          <w:szCs w:val="21"/>
          <w:highlight w:val="none"/>
        </w:rPr>
        <w:t>本项目具体的评审事务由评标委员会负责，评审流程及内容如下：</w:t>
      </w:r>
    </w:p>
    <w:p>
      <w:pPr>
        <w:pStyle w:val="15"/>
        <w:tabs>
          <w:tab w:val="left" w:pos="720"/>
        </w:tabs>
        <w:adjustRightInd w:val="0"/>
        <w:snapToGrid w:val="0"/>
        <w:spacing w:before="120" w:after="120"/>
        <w:rPr>
          <w:rFonts w:hAnsi="宋体" w:cs="宋体"/>
          <w:bCs/>
          <w:sz w:val="21"/>
          <w:szCs w:val="21"/>
          <w:highlight w:val="none"/>
        </w:rPr>
      </w:pPr>
      <w:r>
        <w:rPr>
          <w:rFonts w:hint="eastAsia" w:hAnsi="宋体" w:cs="宋体"/>
          <w:bCs/>
          <w:sz w:val="21"/>
          <w:szCs w:val="21"/>
          <w:highlight w:val="none"/>
        </w:rPr>
        <w:t>1、 评审前准备</w:t>
      </w:r>
    </w:p>
    <w:p>
      <w:pPr>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1.1由评审专家推选评审小组组长，采购人代表不得担任评审小组组长。</w:t>
      </w:r>
    </w:p>
    <w:p>
      <w:pPr>
        <w:spacing w:line="400" w:lineRule="exact"/>
        <w:ind w:firstLine="371" w:firstLineChars="177"/>
        <w:rPr>
          <w:rFonts w:ascii="宋体" w:hAnsi="宋体" w:cs="宋体"/>
          <w:b/>
          <w:kern w:val="0"/>
          <w:szCs w:val="21"/>
          <w:highlight w:val="none"/>
        </w:rPr>
      </w:pPr>
      <w:r>
        <w:rPr>
          <w:rFonts w:hint="eastAsia" w:ascii="宋体" w:hAnsi="宋体" w:cs="宋体"/>
          <w:kern w:val="0"/>
          <w:szCs w:val="21"/>
          <w:highlight w:val="none"/>
        </w:rPr>
        <w:t>1.2由评审小组组长召集所有评委成员阅读招标文件及相关补充、质疑、答复文件、项目书面说明等材料，熟悉采购项目基本情况、采购需求、合同主要条款、投标文件无效情形、评审办法、评审标准，以及其他与评审有关的内容。</w:t>
      </w:r>
    </w:p>
    <w:p>
      <w:pPr>
        <w:pStyle w:val="15"/>
        <w:tabs>
          <w:tab w:val="left" w:pos="720"/>
        </w:tabs>
        <w:adjustRightInd w:val="0"/>
        <w:snapToGrid w:val="0"/>
        <w:spacing w:before="120" w:after="120"/>
        <w:rPr>
          <w:rFonts w:hAnsi="宋体" w:cs="宋体"/>
          <w:bCs/>
          <w:sz w:val="21"/>
          <w:szCs w:val="21"/>
          <w:highlight w:val="none"/>
        </w:rPr>
      </w:pPr>
      <w:r>
        <w:rPr>
          <w:rFonts w:hint="eastAsia" w:hAnsi="宋体" w:cs="宋体"/>
          <w:bCs/>
          <w:sz w:val="21"/>
          <w:szCs w:val="21"/>
          <w:highlight w:val="none"/>
        </w:rPr>
        <w:t>2、投标文件的初步审查、符合性审查</w:t>
      </w:r>
    </w:p>
    <w:p>
      <w:pPr>
        <w:spacing w:line="400" w:lineRule="exact"/>
        <w:ind w:firstLine="373" w:firstLineChars="177"/>
        <w:rPr>
          <w:rFonts w:ascii="宋体" w:hAnsi="宋体" w:cs="宋体"/>
          <w:b/>
          <w:kern w:val="0"/>
          <w:szCs w:val="21"/>
          <w:highlight w:val="none"/>
        </w:rPr>
      </w:pPr>
      <w:r>
        <w:rPr>
          <w:rFonts w:hint="eastAsia" w:ascii="宋体" w:hAnsi="宋体" w:cs="宋体"/>
          <w:b/>
          <w:kern w:val="0"/>
          <w:szCs w:val="21"/>
          <w:highlight w:val="none"/>
        </w:rPr>
        <w:t>对所有通过资格审查的投标人的投标文件进行初步审查，审查、评价投标文件是否符合招标文件的资信、技术、服务等实质性要求。</w:t>
      </w:r>
    </w:p>
    <w:p>
      <w:pPr>
        <w:spacing w:line="400" w:lineRule="exact"/>
        <w:ind w:firstLine="371" w:firstLineChars="177"/>
        <w:rPr>
          <w:rFonts w:ascii="宋体" w:hAnsi="宋体" w:cs="宋体"/>
          <w:szCs w:val="21"/>
          <w:highlight w:val="none"/>
        </w:rPr>
      </w:pPr>
      <w:r>
        <w:rPr>
          <w:rFonts w:hint="eastAsia" w:ascii="宋体" w:hAnsi="宋体" w:cs="宋体"/>
          <w:szCs w:val="21"/>
          <w:highlight w:val="none"/>
        </w:rPr>
        <w:t>2.1评标委员会首先对所有通过资格审查的投标人的投标文件进行符合性审查，审查每份投标文件是否实质上响应了招标文件的要求（实质性响应的投标文件是指投标文件符合招标文件规定的实质性内容、条件和规定）。</w:t>
      </w:r>
    </w:p>
    <w:p>
      <w:pPr>
        <w:pStyle w:val="6"/>
        <w:numPr>
          <w:ilvl w:val="0"/>
          <w:numId w:val="0"/>
        </w:numPr>
        <w:spacing w:before="0" w:after="0" w:line="400" w:lineRule="exact"/>
        <w:rPr>
          <w:rFonts w:ascii="宋体" w:hAnsi="宋体" w:cs="宋体"/>
          <w:sz w:val="21"/>
          <w:szCs w:val="21"/>
          <w:highlight w:val="none"/>
        </w:rPr>
      </w:pPr>
      <w:r>
        <w:rPr>
          <w:rFonts w:hint="eastAsia" w:ascii="宋体" w:hAnsi="宋体" w:cs="宋体"/>
          <w:sz w:val="21"/>
          <w:szCs w:val="21"/>
          <w:highlight w:val="none"/>
        </w:rPr>
        <w:t>3、投标文件的澄清、说明或补正</w:t>
      </w:r>
    </w:p>
    <w:p>
      <w:pPr>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3.1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时间为30分钟。</w:t>
      </w:r>
    </w:p>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3.2评标过程中评标委员会对投标人提出质询或要求投标人书面确认的（或通过“政采云平台”在线答复），采用书面形式提交并加盖公章，或者由法定代表人或其授权的代表签字，30分钟内予以书面回复或确认，否则视为不予回复或确认，评标委员会有权拒绝该投标文件，澄清、说明或者补正不得超出投标文件的范围或者改变投标文件的实质性内容。</w:t>
      </w:r>
    </w:p>
    <w:p>
      <w:pPr>
        <w:pStyle w:val="6"/>
        <w:numPr>
          <w:ilvl w:val="0"/>
          <w:numId w:val="0"/>
        </w:numPr>
        <w:spacing w:before="0" w:after="0" w:line="400" w:lineRule="exact"/>
        <w:rPr>
          <w:rFonts w:ascii="宋体" w:hAnsi="宋体" w:cs="宋体"/>
          <w:sz w:val="21"/>
          <w:szCs w:val="21"/>
          <w:highlight w:val="none"/>
        </w:rPr>
      </w:pPr>
      <w:r>
        <w:rPr>
          <w:rFonts w:hint="eastAsia" w:ascii="宋体" w:hAnsi="宋体" w:cs="宋体"/>
          <w:sz w:val="21"/>
          <w:szCs w:val="21"/>
          <w:highlight w:val="none"/>
        </w:rPr>
        <w:t>4、投标文件的错误修正</w:t>
      </w:r>
    </w:p>
    <w:p>
      <w:pPr>
        <w:spacing w:line="400" w:lineRule="exact"/>
        <w:ind w:firstLine="369" w:firstLineChars="175"/>
        <w:rPr>
          <w:rFonts w:ascii="宋体" w:hAnsi="宋体" w:cs="宋体"/>
          <w:b/>
          <w:kern w:val="0"/>
          <w:szCs w:val="21"/>
          <w:highlight w:val="none"/>
        </w:rPr>
      </w:pPr>
      <w:r>
        <w:rPr>
          <w:rFonts w:hint="eastAsia" w:ascii="宋体" w:hAnsi="宋体" w:cs="宋体"/>
          <w:b/>
          <w:kern w:val="0"/>
          <w:szCs w:val="21"/>
          <w:highlight w:val="none"/>
        </w:rPr>
        <w:t>4.1投标文件如果出现计算或表达上的错误，修正错误的原则如下：</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（1）投标文件中开标一览表（报价表）内容与投标文件中相应内容不一致的，以开标一览表（报价表）为准。</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（2）投标文件的大写金额和小写金额不一致的，以大写金额为准；</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（3）单价金额小数点或者百分比有明显错位的，应以开标一览表（报价表）的总价为准，并修改单价；</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（4）总价金额与按单价汇总金额不一致的，以单价金额计算结果为准。</w:t>
      </w:r>
    </w:p>
    <w:p>
      <w:pPr>
        <w:adjustRightInd w:val="0"/>
        <w:spacing w:line="400" w:lineRule="exact"/>
        <w:ind w:firstLine="480"/>
        <w:rPr>
          <w:rFonts w:ascii="宋体" w:hAnsi="宋体" w:cs="宋体"/>
          <w:szCs w:val="21"/>
          <w:highlight w:val="none"/>
        </w:rPr>
      </w:pPr>
      <w:r>
        <w:rPr>
          <w:rFonts w:hint="eastAsia" w:ascii="宋体" w:hAnsi="宋体" w:cs="宋体"/>
          <w:szCs w:val="21"/>
          <w:highlight w:val="none"/>
        </w:rPr>
        <w:t>同时出现两种以上不一致的，按照上述规定的顺序修正。投标人按照澄清投标文件的形式同意并确认后，调整后的投标报价对投标人具有约束作用。如果投标人不接受修正后的报价，则其投标无效。</w:t>
      </w:r>
    </w:p>
    <w:p>
      <w:pPr>
        <w:spacing w:after="120"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4.2对不同文字文本投标文件的解释发生异议的，以中文文本为准。</w:t>
      </w:r>
    </w:p>
    <w:p>
      <w:pPr>
        <w:spacing w:line="400" w:lineRule="exact"/>
        <w:ind w:firstLine="369" w:firstLineChars="175"/>
        <w:rPr>
          <w:rFonts w:ascii="宋体" w:hAnsi="宋体" w:cs="宋体"/>
          <w:b/>
          <w:bCs/>
          <w:kern w:val="0"/>
          <w:szCs w:val="21"/>
          <w:highlight w:val="none"/>
        </w:rPr>
      </w:pPr>
      <w:r>
        <w:rPr>
          <w:rFonts w:hint="eastAsia" w:ascii="宋体" w:hAnsi="宋体" w:cs="宋体"/>
          <w:b/>
          <w:bCs/>
          <w:kern w:val="0"/>
          <w:szCs w:val="21"/>
          <w:highlight w:val="none"/>
        </w:rPr>
        <w:t>（八）投标文件有下列情况之一者将视为无效：</w:t>
      </w:r>
    </w:p>
    <w:p>
      <w:pPr>
        <w:spacing w:line="400" w:lineRule="exact"/>
        <w:ind w:firstLine="367" w:firstLineChars="175"/>
        <w:rPr>
          <w:rFonts w:ascii="宋体" w:hAnsi="宋体" w:cs="宋体"/>
          <w:kern w:val="0"/>
          <w:szCs w:val="21"/>
          <w:highlight w:val="none"/>
        </w:rPr>
      </w:pPr>
      <w:bookmarkStart w:id="133" w:name="_Hlk33211013"/>
      <w:r>
        <w:rPr>
          <w:rFonts w:hint="eastAsia" w:ascii="宋体" w:hAnsi="宋体" w:cs="宋体"/>
          <w:kern w:val="0"/>
          <w:szCs w:val="21"/>
          <w:highlight w:val="none"/>
        </w:rPr>
        <w:t>1、资信、技术文件符合性审查中，存在下列情形之一的，经评标委员会认定后作无效标处理：</w:t>
      </w:r>
    </w:p>
    <w:p>
      <w:pPr>
        <w:tabs>
          <w:tab w:val="left" w:pos="1110"/>
        </w:tabs>
        <w:spacing w:line="400" w:lineRule="exact"/>
        <w:ind w:firstLine="367" w:firstLineChars="175"/>
        <w:rPr>
          <w:rFonts w:ascii="宋体" w:hAnsi="宋体" w:cs="宋体"/>
          <w:kern w:val="0"/>
          <w:szCs w:val="21"/>
          <w:highlight w:val="none"/>
        </w:rPr>
      </w:pPr>
      <w:bookmarkStart w:id="134" w:name="_Toc33194396"/>
      <w:r>
        <w:rPr>
          <w:rFonts w:hint="eastAsia" w:ascii="宋体" w:hAnsi="宋体" w:cs="宋体"/>
          <w:kern w:val="0"/>
          <w:szCs w:val="21"/>
          <w:highlight w:val="none"/>
        </w:rPr>
        <w:t>（1）投标文件未有效授权，法定代表人授权委托书等填写不完整或有涂改的；</w:t>
      </w:r>
      <w:bookmarkEnd w:id="134"/>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（2）投标文件没有对本招标文件作出实质性响应的，或不满足（不响应）本招标文件中标注“▲”的实质性要求条款的，或存在招标文件中明确规定的其他无效标情形的；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（3）投标文件存在一个或一个以上备选（替代）投标方案的；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（4）仅提交“备份投标文件”的；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（5）文件组成内容不齐全，本招标文件规定必须提供而未提供的（属于资格审查范围的除外）；</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（6）投标文件标注的响应或偏离情况与事实不符，或提供了虚假材料的；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（7）不响应或擅自改变本招标文件要求或投标文件有采购人不能接受的附加条件的；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（8）违反国家或政府部门相关法律、法规、文件规定的。</w:t>
      </w:r>
      <w:bookmarkEnd w:id="133"/>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2、报价文件符合性审查中，存在下列情形之一的，经评标委员会认定后作无效标处理：</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（1）未按照招标文件标明的币种报价的，或者投标报价涵盖的内容不符合招标文件要求的；</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（2）投标报价出现前后不一致且不同意按照招标文件规定的方法进行修正的；</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（3）投标报价具有选择性，且未注明哪个有效的；</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（4）投标报价超过采购预算（或最高限价）的；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5）评审委员会认为投标人报价明显低于其他合格投标人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（6）违反国家或政府部门相关法律、法规、文件规定的。</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3、投标人串通投标的，投标无效。</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投标人有以下情形之一的，视为投标人串通投标：</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（1）不同投标人的投标文件由同一单位或者个人编制；</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（2）不同投标人委托同一单位或者个人办理投标事宜；</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（3）不同投标人的投标文件载明的项目管理成员或者联系人员为同一人；</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（4）不同投标人的投标文件异常一致或者投标报价呈规律性差异；</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（5）不同投标人的投标文件相互混装；</w:t>
      </w:r>
    </w:p>
    <w:p>
      <w:pPr>
        <w:spacing w:line="40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4、法律、法规和招标文件规定的其他无效标情形。</w:t>
      </w:r>
    </w:p>
    <w:p>
      <w:pPr>
        <w:adjustRightInd w:val="0"/>
        <w:snapToGrid w:val="0"/>
        <w:spacing w:line="360" w:lineRule="exact"/>
        <w:ind w:firstLine="422" w:firstLineChars="200"/>
        <w:jc w:val="left"/>
        <w:rPr>
          <w:rFonts w:ascii="宋体" w:hAnsi="宋体" w:cs="宋体"/>
          <w:kern w:val="0"/>
          <w:szCs w:val="21"/>
          <w:highlight w:val="none"/>
        </w:rPr>
      </w:pPr>
      <w:r>
        <w:rPr>
          <w:rFonts w:hint="eastAsia" w:ascii="宋体" w:hAnsi="宋体" w:cs="宋体"/>
          <w:b/>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30分钟内进行修改或者补正（可以是复印件、传真件等）。修改或者补正投标文件必须以书面形式进行，限期内不补正或经补正后仍不符合招标文件要求的，应认定其投标无效。投标人修改、补正投标文件后，不影响评标委员会对其投标文件所作的评价和评分结果。</w:t>
      </w:r>
    </w:p>
    <w:p>
      <w:pPr>
        <w:tabs>
          <w:tab w:val="left" w:pos="720"/>
        </w:tabs>
        <w:spacing w:line="400" w:lineRule="exact"/>
        <w:ind w:firstLine="369" w:firstLineChars="175"/>
        <w:rPr>
          <w:rFonts w:ascii="宋体" w:hAnsi="宋体" w:cs="宋体"/>
          <w:b/>
          <w:bCs/>
          <w:kern w:val="0"/>
          <w:szCs w:val="21"/>
          <w:highlight w:val="none"/>
        </w:rPr>
      </w:pPr>
      <w:r>
        <w:rPr>
          <w:rFonts w:hint="eastAsia" w:ascii="宋体" w:hAnsi="宋体" w:cs="宋体"/>
          <w:b/>
          <w:bCs/>
          <w:kern w:val="0"/>
          <w:szCs w:val="21"/>
          <w:highlight w:val="none"/>
        </w:rPr>
        <w:t>（九）投标文件的评估、比较、评分</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2、对采购组织机构工作人员汇总的评审结果进行确认。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pPr>
        <w:tabs>
          <w:tab w:val="left" w:pos="720"/>
        </w:tabs>
        <w:spacing w:line="400" w:lineRule="exact"/>
        <w:ind w:firstLine="369" w:firstLineChars="175"/>
        <w:rPr>
          <w:rFonts w:ascii="宋体" w:hAnsi="宋体" w:cs="宋体"/>
          <w:b/>
          <w:bCs/>
          <w:kern w:val="0"/>
          <w:szCs w:val="21"/>
          <w:highlight w:val="none"/>
        </w:rPr>
      </w:pPr>
      <w:r>
        <w:rPr>
          <w:rFonts w:hint="eastAsia" w:ascii="宋体" w:hAnsi="宋体" w:cs="宋体"/>
          <w:b/>
          <w:bCs/>
          <w:kern w:val="0"/>
          <w:szCs w:val="21"/>
          <w:highlight w:val="none"/>
        </w:rPr>
        <w:t>（十）修改评审结果</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1、评标结果汇总完成后，除下列情形外，任何人不得修改评标结果：</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1.1 分值汇总计算错误的；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1.2 分项评分超出评分标准范围的；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1.3 评标委员会成员对客观评审因素评分不一致的；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1.4 经评标委员会认定评分畸高、畸低的。</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2、评标报告签署前，经复核发现存在以上情形之一的，评标委员会将当场修改评标结果，并在评标报告中记载。</w:t>
      </w:r>
    </w:p>
    <w:p>
      <w:pPr>
        <w:tabs>
          <w:tab w:val="left" w:pos="720"/>
        </w:tabs>
        <w:spacing w:line="400" w:lineRule="exact"/>
        <w:ind w:firstLine="369" w:firstLineChars="175"/>
        <w:rPr>
          <w:rFonts w:ascii="宋体" w:hAnsi="宋体" w:cs="宋体"/>
          <w:b/>
          <w:bCs/>
          <w:kern w:val="0"/>
          <w:szCs w:val="21"/>
          <w:highlight w:val="none"/>
        </w:rPr>
      </w:pPr>
      <w:r>
        <w:rPr>
          <w:rFonts w:hint="eastAsia" w:ascii="宋体" w:hAnsi="宋体" w:cs="宋体"/>
          <w:b/>
          <w:bCs/>
          <w:kern w:val="0"/>
          <w:szCs w:val="21"/>
          <w:highlight w:val="none"/>
        </w:rPr>
        <w:t>（十一）投标人排序及推荐中标（成交）候选投标人</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评标委员会根据以下规定确定投标人排名并推荐中标（成交）候选投标人。评标委员会根据各投标人的综合得分（技术资信分与报价得分之和）从高到低依次进行排名排序。特殊情形按以下原则处理：</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1、综合得分相同的，按投标报价低的优先原则确定排名；</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2、综合得分和投标报价均相同的，按技术资信得分从高到低确定排名；</w:t>
      </w:r>
    </w:p>
    <w:p>
      <w:pPr>
        <w:spacing w:line="400" w:lineRule="exact"/>
        <w:ind w:firstLine="367" w:firstLineChars="175"/>
        <w:rPr>
          <w:rFonts w:ascii="宋体" w:hAnsi="宋体" w:cs="宋体"/>
          <w:kern w:val="0"/>
          <w:szCs w:val="21"/>
          <w:highlight w:val="none"/>
        </w:rPr>
      </w:pPr>
      <w:r>
        <w:rPr>
          <w:rFonts w:hint="eastAsia" w:ascii="宋体" w:hAnsi="宋体" w:cs="宋体"/>
          <w:kern w:val="0"/>
          <w:szCs w:val="21"/>
          <w:highlight w:val="none"/>
        </w:rPr>
        <w:t>3、综合得分、投标报价和技术资信得分均相同的由评标委员会全体成员记名投票按少数服从多数的原则确定排名。</w:t>
      </w:r>
    </w:p>
    <w:p>
      <w:pPr>
        <w:spacing w:line="380" w:lineRule="exact"/>
        <w:ind w:firstLine="373" w:firstLineChars="177"/>
        <w:rPr>
          <w:rFonts w:ascii="宋体" w:hAnsi="宋体" w:cs="宋体"/>
          <w:b/>
          <w:highlight w:val="none"/>
        </w:rPr>
      </w:pPr>
      <w:r>
        <w:rPr>
          <w:rFonts w:hint="eastAsia" w:ascii="宋体" w:hAnsi="宋体" w:cs="宋体"/>
          <w:b/>
          <w:highlight w:val="none"/>
        </w:rPr>
        <w:t>4、根据最终得分排序，通过书面评审报告的形式，向采购人推荐</w:t>
      </w:r>
      <w:r>
        <w:rPr>
          <w:rFonts w:hint="eastAsia" w:ascii="宋体" w:hAnsi="宋体" w:cs="宋体"/>
          <w:b/>
          <w:kern w:val="0"/>
          <w:highlight w:val="none"/>
        </w:rPr>
        <w:t>排名第一的投标人为第一中标（成交）候选人，排名第二的为第二中标（成交）候选人</w:t>
      </w:r>
      <w:r>
        <w:rPr>
          <w:rFonts w:hint="eastAsia" w:ascii="宋体" w:hAnsi="宋体" w:cs="宋体"/>
          <w:b/>
          <w:highlight w:val="none"/>
        </w:rPr>
        <w:t>。</w:t>
      </w:r>
    </w:p>
    <w:p>
      <w:pPr>
        <w:tabs>
          <w:tab w:val="left" w:pos="720"/>
        </w:tabs>
        <w:spacing w:line="360" w:lineRule="exact"/>
        <w:ind w:firstLine="369" w:firstLineChars="175"/>
        <w:rPr>
          <w:rFonts w:ascii="宋体" w:hAnsi="宋体" w:cs="宋体"/>
          <w:b/>
          <w:bCs/>
          <w:kern w:val="0"/>
          <w:szCs w:val="21"/>
          <w:highlight w:val="none"/>
        </w:rPr>
      </w:pPr>
      <w:r>
        <w:rPr>
          <w:rFonts w:hint="eastAsia" w:ascii="宋体" w:hAnsi="宋体" w:cs="宋体"/>
          <w:b/>
          <w:bCs/>
          <w:kern w:val="0"/>
          <w:szCs w:val="21"/>
          <w:highlight w:val="none"/>
        </w:rPr>
        <w:t>（十二）起草、签署评审报告</w:t>
      </w:r>
    </w:p>
    <w:p>
      <w:pPr>
        <w:spacing w:line="360" w:lineRule="exact"/>
        <w:ind w:firstLine="367" w:firstLineChars="175"/>
        <w:rPr>
          <w:rFonts w:ascii="宋体" w:hAnsi="宋体" w:cs="宋体"/>
          <w:kern w:val="0"/>
          <w:szCs w:val="21"/>
          <w:highlight w:val="none"/>
        </w:rPr>
      </w:pPr>
      <w:r>
        <w:rPr>
          <w:rFonts w:hint="eastAsia" w:ascii="宋体" w:hAnsi="宋体" w:cs="宋体"/>
          <w:kern w:val="0"/>
          <w:szCs w:val="21"/>
          <w:highlight w:val="none"/>
        </w:rPr>
        <w:t>评审结束后，评标委员会将通过“政采云平台”起草评审报告，并书面打印签字，对自己的评审意见承担法律责任。对评审报告有异议的，应当在评审报告上签署不同意见，并说明理由，否则视为同意评审报告。</w:t>
      </w:r>
    </w:p>
    <w:p>
      <w:pPr>
        <w:tabs>
          <w:tab w:val="left" w:pos="630"/>
        </w:tabs>
        <w:spacing w:after="120" w:line="360" w:lineRule="exact"/>
        <w:ind w:firstLine="369" w:firstLineChars="175"/>
        <w:rPr>
          <w:rFonts w:ascii="宋体" w:hAnsi="宋体" w:cs="宋体"/>
          <w:b/>
          <w:bCs/>
          <w:kern w:val="0"/>
          <w:szCs w:val="21"/>
          <w:highlight w:val="none"/>
        </w:rPr>
      </w:pPr>
      <w:r>
        <w:rPr>
          <w:rFonts w:hint="eastAsia" w:ascii="宋体" w:hAnsi="宋体" w:cs="宋体"/>
          <w:b/>
          <w:bCs/>
          <w:kern w:val="0"/>
          <w:szCs w:val="21"/>
          <w:highlight w:val="none"/>
        </w:rPr>
        <w:t>（十三）评标过程的保密</w:t>
      </w:r>
    </w:p>
    <w:p>
      <w:pPr>
        <w:spacing w:line="360" w:lineRule="exact"/>
        <w:ind w:firstLine="367" w:firstLineChars="175"/>
        <w:rPr>
          <w:rFonts w:ascii="宋体" w:hAnsi="宋体" w:cs="宋体"/>
          <w:kern w:val="0"/>
          <w:szCs w:val="21"/>
          <w:highlight w:val="none"/>
        </w:rPr>
      </w:pPr>
      <w:r>
        <w:rPr>
          <w:rFonts w:hint="eastAsia" w:ascii="宋体" w:hAnsi="宋体" w:cs="宋体"/>
          <w:kern w:val="0"/>
          <w:szCs w:val="21"/>
          <w:highlight w:val="none"/>
        </w:rPr>
        <w:t>凡是属于审查、澄清、评审和比较的有关资料以及授标建议，任何人均不得向投标人或其他无关的人员透露。</w:t>
      </w:r>
    </w:p>
    <w:p>
      <w:pPr>
        <w:spacing w:line="360" w:lineRule="exact"/>
        <w:ind w:firstLine="367" w:firstLineChars="175"/>
        <w:rPr>
          <w:rFonts w:ascii="宋体" w:hAnsi="宋体" w:cs="宋体"/>
          <w:kern w:val="0"/>
          <w:szCs w:val="21"/>
          <w:highlight w:val="none"/>
        </w:rPr>
      </w:pPr>
      <w:r>
        <w:rPr>
          <w:rFonts w:hint="eastAsia" w:ascii="宋体" w:hAnsi="宋体" w:cs="宋体"/>
          <w:kern w:val="0"/>
          <w:szCs w:val="21"/>
          <w:highlight w:val="none"/>
        </w:rPr>
        <w:t>本项目评标过程实行全程录音、录像监控，投标人在评标过程中所进行的力图影响评标结果的不公正活动，可能导致其投标被拒绝。</w:t>
      </w:r>
    </w:p>
    <w:p>
      <w:pPr>
        <w:spacing w:line="360" w:lineRule="exact"/>
        <w:ind w:firstLine="369" w:firstLineChars="175"/>
        <w:jc w:val="left"/>
        <w:rPr>
          <w:rFonts w:ascii="宋体" w:hAnsi="宋体" w:cs="宋体"/>
          <w:b/>
          <w:bCs/>
          <w:kern w:val="0"/>
          <w:szCs w:val="21"/>
          <w:highlight w:val="none"/>
        </w:rPr>
      </w:pPr>
      <w:r>
        <w:rPr>
          <w:rFonts w:hint="eastAsia" w:ascii="宋体" w:hAnsi="宋体" w:cs="宋体"/>
          <w:b/>
          <w:bCs/>
          <w:kern w:val="0"/>
          <w:szCs w:val="21"/>
          <w:highlight w:val="none"/>
        </w:rPr>
        <w:t>（十四）废标的情形</w:t>
      </w:r>
    </w:p>
    <w:p>
      <w:pPr>
        <w:spacing w:line="36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在招标采购中，出现下列情形之一的，应予废标：</w:t>
      </w:r>
    </w:p>
    <w:p>
      <w:pPr>
        <w:spacing w:line="36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1、符合专业条件的投标人或者对招标文件作实质性响应的投标人不足三家的；</w:t>
      </w:r>
    </w:p>
    <w:p>
      <w:pPr>
        <w:spacing w:line="36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2、出现影响采购公正的违法、违规行为的；</w:t>
      </w:r>
    </w:p>
    <w:p>
      <w:pPr>
        <w:spacing w:line="36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3、投标人的报价均超过了采购预算，采购人不能支付的；</w:t>
      </w:r>
    </w:p>
    <w:p>
      <w:pPr>
        <w:spacing w:line="360" w:lineRule="exact"/>
        <w:ind w:firstLine="367" w:firstLineChars="175"/>
        <w:jc w:val="left"/>
        <w:rPr>
          <w:rFonts w:ascii="宋体" w:hAnsi="宋体" w:cs="宋体"/>
          <w:kern w:val="0"/>
          <w:szCs w:val="21"/>
          <w:highlight w:val="none"/>
        </w:rPr>
      </w:pPr>
      <w:r>
        <w:rPr>
          <w:rFonts w:hint="eastAsia" w:ascii="宋体" w:hAnsi="宋体" w:cs="宋体"/>
          <w:kern w:val="0"/>
          <w:szCs w:val="21"/>
          <w:highlight w:val="none"/>
        </w:rPr>
        <w:t>4、因重大变故，采购任务取消的。</w:t>
      </w:r>
    </w:p>
    <w:p>
      <w:pPr>
        <w:tabs>
          <w:tab w:val="left" w:pos="720"/>
        </w:tabs>
        <w:spacing w:line="360" w:lineRule="exact"/>
        <w:ind w:firstLine="369" w:firstLineChars="175"/>
        <w:jc w:val="left"/>
        <w:rPr>
          <w:rFonts w:ascii="宋体" w:hAnsi="宋体" w:cs="宋体"/>
          <w:b/>
          <w:bCs/>
          <w:kern w:val="0"/>
          <w:szCs w:val="21"/>
          <w:highlight w:val="none"/>
        </w:rPr>
      </w:pPr>
      <w:r>
        <w:rPr>
          <w:rFonts w:hint="eastAsia" w:ascii="宋体" w:hAnsi="宋体" w:cs="宋体"/>
          <w:b/>
          <w:bCs/>
          <w:kern w:val="0"/>
          <w:szCs w:val="21"/>
          <w:highlight w:val="none"/>
        </w:rPr>
        <w:t>（十五）可中止电子交易活动的情形</w:t>
      </w:r>
    </w:p>
    <w:p>
      <w:pPr>
        <w:spacing w:line="360" w:lineRule="exact"/>
        <w:ind w:firstLine="371" w:firstLineChars="176"/>
        <w:rPr>
          <w:rFonts w:ascii="宋体" w:hAnsi="宋体" w:cs="宋体"/>
          <w:highlight w:val="none"/>
        </w:rPr>
      </w:pPr>
      <w:r>
        <w:rPr>
          <w:rFonts w:hint="eastAsia" w:ascii="宋体" w:hAnsi="宋体" w:cs="宋体"/>
          <w:b/>
          <w:highlight w:val="none"/>
        </w:rPr>
        <w:t>采购过程中出现以下情形，导致电子交易平台无法正常运行，或者无法保证电子交易的公平、公正和安全时，采购组织机构可中止电子交易活动：</w:t>
      </w:r>
    </w:p>
    <w:p>
      <w:pPr>
        <w:spacing w:line="360" w:lineRule="exact"/>
        <w:ind w:firstLine="369" w:firstLineChars="176"/>
        <w:rPr>
          <w:rFonts w:ascii="宋体" w:hAnsi="宋体" w:cs="宋体"/>
          <w:highlight w:val="none"/>
        </w:rPr>
      </w:pPr>
      <w:r>
        <w:rPr>
          <w:rFonts w:hint="eastAsia" w:ascii="宋体" w:hAnsi="宋体" w:cs="宋体"/>
          <w:highlight w:val="none"/>
        </w:rPr>
        <w:t>1、电子交易平台发生故障而无法登录访问的；</w:t>
      </w:r>
    </w:p>
    <w:p>
      <w:pPr>
        <w:spacing w:line="360" w:lineRule="exact"/>
        <w:ind w:firstLine="369" w:firstLineChars="176"/>
        <w:rPr>
          <w:rFonts w:ascii="宋体" w:hAnsi="宋体" w:cs="宋体"/>
          <w:highlight w:val="none"/>
        </w:rPr>
      </w:pPr>
      <w:r>
        <w:rPr>
          <w:rFonts w:hint="eastAsia" w:ascii="宋体" w:hAnsi="宋体" w:cs="宋体"/>
          <w:highlight w:val="none"/>
        </w:rPr>
        <w:t>2、电子交易平台应用或数据库出现错误，不能进行正常操作的；</w:t>
      </w:r>
    </w:p>
    <w:p>
      <w:pPr>
        <w:spacing w:line="360" w:lineRule="exact"/>
        <w:ind w:firstLine="369" w:firstLineChars="176"/>
        <w:rPr>
          <w:rFonts w:ascii="宋体" w:hAnsi="宋体" w:cs="宋体"/>
          <w:highlight w:val="none"/>
        </w:rPr>
      </w:pPr>
      <w:r>
        <w:rPr>
          <w:rFonts w:hint="eastAsia" w:ascii="宋体" w:hAnsi="宋体" w:cs="宋体"/>
          <w:highlight w:val="none"/>
        </w:rPr>
        <w:t>3、电子交易平台发现严重安全漏洞，有潜在泄密危险的；</w:t>
      </w:r>
    </w:p>
    <w:p>
      <w:pPr>
        <w:spacing w:line="360" w:lineRule="exact"/>
        <w:ind w:firstLine="369" w:firstLineChars="176"/>
        <w:rPr>
          <w:rFonts w:ascii="宋体" w:hAnsi="宋体" w:cs="宋体"/>
          <w:highlight w:val="none"/>
        </w:rPr>
      </w:pPr>
      <w:r>
        <w:rPr>
          <w:rFonts w:hint="eastAsia" w:ascii="宋体" w:hAnsi="宋体" w:cs="宋体"/>
          <w:highlight w:val="none"/>
        </w:rPr>
        <w:t>4、病毒发作导致不能进行正常操作的；</w:t>
      </w:r>
    </w:p>
    <w:p>
      <w:pPr>
        <w:spacing w:line="360" w:lineRule="exact"/>
        <w:ind w:firstLine="369" w:firstLineChars="176"/>
        <w:rPr>
          <w:rFonts w:ascii="宋体" w:hAnsi="宋体" w:cs="宋体"/>
          <w:highlight w:val="none"/>
        </w:rPr>
      </w:pPr>
      <w:r>
        <w:rPr>
          <w:rFonts w:hint="eastAsia" w:ascii="宋体" w:hAnsi="宋体" w:cs="宋体"/>
          <w:highlight w:val="none"/>
        </w:rPr>
        <w:t>5、其他无法保证电子交易的公平、公正和安全的情况。</w:t>
      </w:r>
    </w:p>
    <w:p>
      <w:pPr>
        <w:spacing w:line="360" w:lineRule="exact"/>
        <w:ind w:firstLine="422" w:firstLineChars="200"/>
        <w:rPr>
          <w:rFonts w:ascii="宋体" w:hAnsi="宋体" w:cs="宋体"/>
          <w:b/>
          <w:highlight w:val="none"/>
        </w:rPr>
      </w:pPr>
      <w:r>
        <w:rPr>
          <w:rFonts w:hint="eastAsia" w:ascii="宋体" w:hAnsi="宋体" w:cs="宋体"/>
          <w:b/>
          <w:highlight w:val="none"/>
        </w:rPr>
        <w:t>出现上述情形，不影响采购公平、公正性的，采购组织机构可以待上述情形消除后继续组织电子交易活动；影响或可能影响采购公平、公正性的，应当重新采购。</w:t>
      </w:r>
    </w:p>
    <w:p>
      <w:pPr>
        <w:spacing w:line="360" w:lineRule="exact"/>
        <w:ind w:firstLine="422" w:firstLineChars="200"/>
        <w:rPr>
          <w:rFonts w:ascii="宋体" w:hAnsi="宋体" w:cs="宋体"/>
          <w:b/>
          <w:highlight w:val="none"/>
        </w:rPr>
      </w:pPr>
    </w:p>
    <w:p>
      <w:pPr>
        <w:pStyle w:val="5"/>
        <w:numPr>
          <w:ilvl w:val="0"/>
          <w:numId w:val="6"/>
        </w:numPr>
        <w:spacing w:line="240" w:lineRule="auto"/>
        <w:rPr>
          <w:rFonts w:ascii="宋体" w:hAnsi="宋体" w:eastAsia="宋体" w:cs="宋体"/>
          <w:sz w:val="24"/>
          <w:szCs w:val="24"/>
          <w:highlight w:val="none"/>
        </w:rPr>
      </w:pPr>
      <w:bookmarkStart w:id="135" w:name="_Toc30968"/>
      <w:bookmarkStart w:id="136" w:name="_Toc9981"/>
      <w:bookmarkStart w:id="137" w:name="_Toc512128067"/>
      <w:bookmarkStart w:id="138" w:name="_Toc11475"/>
      <w:bookmarkStart w:id="139" w:name="_Toc10758"/>
      <w:r>
        <w:rPr>
          <w:rFonts w:hint="eastAsia" w:ascii="宋体" w:hAnsi="宋体" w:eastAsia="宋体" w:cs="宋体"/>
          <w:sz w:val="24"/>
          <w:szCs w:val="24"/>
          <w:highlight w:val="none"/>
        </w:rPr>
        <w:t>定标</w:t>
      </w:r>
      <w:bookmarkEnd w:id="129"/>
      <w:bookmarkEnd w:id="135"/>
      <w:bookmarkEnd w:id="136"/>
      <w:bookmarkEnd w:id="137"/>
      <w:bookmarkEnd w:id="138"/>
      <w:bookmarkEnd w:id="139"/>
    </w:p>
    <w:p>
      <w:pPr>
        <w:adjustRightInd w:val="0"/>
        <w:snapToGrid w:val="0"/>
        <w:spacing w:line="360" w:lineRule="exact"/>
        <w:jc w:val="left"/>
        <w:rPr>
          <w:rFonts w:ascii="宋体" w:hAnsi="宋体" w:cs="宋体"/>
          <w:szCs w:val="21"/>
          <w:highlight w:val="none"/>
        </w:rPr>
      </w:pPr>
      <w:bookmarkStart w:id="140" w:name="_Toc222632760"/>
      <w:bookmarkStart w:id="141" w:name="_Toc317341944"/>
      <w:r>
        <w:rPr>
          <w:rFonts w:hint="eastAsia" w:ascii="宋体" w:hAnsi="宋体" w:cs="宋体"/>
          <w:szCs w:val="21"/>
          <w:highlight w:val="none"/>
        </w:rPr>
        <w:t>（一）确定中标人。本项目由采购单位确定中标人。</w:t>
      </w:r>
    </w:p>
    <w:p>
      <w:p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（二）采购代理机构在评标结束后2个工作日内将评标报告交采购单位。</w:t>
      </w:r>
    </w:p>
    <w:p>
      <w:p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（三）采购人在收到评标报告后5个工作日内按照评标报告推荐的顺序确定中标人。中标候选人顺序并列的，由采购人采购小组成员集体讨论确定。</w:t>
      </w:r>
    </w:p>
    <w:p>
      <w:p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（四）采购人依法确定中标人后2个工作日内，采购人和采购代理机构以书面形式发出《中标通知书》，并同时在相关网站发布中标公告。中标公告期限为1个工作日。</w:t>
      </w:r>
    </w:p>
    <w:p>
      <w:pPr>
        <w:adjustRightInd w:val="0"/>
        <w:snapToGrid w:val="0"/>
        <w:spacing w:line="360" w:lineRule="exact"/>
        <w:jc w:val="left"/>
        <w:rPr>
          <w:rFonts w:ascii="宋体" w:hAnsi="宋体" w:cs="宋体"/>
          <w:szCs w:val="21"/>
          <w:highlight w:val="none"/>
        </w:rPr>
      </w:pPr>
      <w:r>
        <w:rPr>
          <w:rFonts w:hint="eastAsia" w:ascii="宋体" w:hAnsi="宋体" w:cs="宋体"/>
          <w:szCs w:val="21"/>
          <w:highlight w:val="none"/>
        </w:rPr>
        <w:t xml:space="preserve">     采购代理机构对未通过资格审查的投标人，告知其未通过的原因。对未中标人，告知其本人的评审得分和排序。</w:t>
      </w:r>
    </w:p>
    <w:p>
      <w:pPr>
        <w:jc w:val="left"/>
        <w:rPr>
          <w:highlight w:val="none"/>
        </w:rPr>
      </w:pPr>
    </w:p>
    <w:p>
      <w:pPr>
        <w:pStyle w:val="5"/>
        <w:numPr>
          <w:ilvl w:val="0"/>
          <w:numId w:val="6"/>
        </w:numPr>
        <w:spacing w:line="340" w:lineRule="exact"/>
        <w:rPr>
          <w:rFonts w:ascii="宋体" w:hAnsi="宋体" w:eastAsia="宋体" w:cs="宋体"/>
          <w:sz w:val="24"/>
          <w:szCs w:val="24"/>
          <w:highlight w:val="none"/>
        </w:rPr>
      </w:pPr>
      <w:bookmarkStart w:id="142" w:name="_Toc23493"/>
      <w:bookmarkStart w:id="143" w:name="_Toc669863499"/>
      <w:bookmarkStart w:id="144" w:name="_Toc15751"/>
      <w:bookmarkStart w:id="145" w:name="_Toc22390"/>
      <w:bookmarkStart w:id="146" w:name="_Toc16672"/>
      <w:r>
        <w:rPr>
          <w:rFonts w:hint="eastAsia" w:ascii="宋体" w:hAnsi="宋体" w:eastAsia="宋体" w:cs="宋体"/>
          <w:sz w:val="24"/>
          <w:szCs w:val="24"/>
          <w:highlight w:val="none"/>
        </w:rPr>
        <w:t>合同的授予</w:t>
      </w:r>
      <w:bookmarkEnd w:id="140"/>
      <w:bookmarkEnd w:id="141"/>
      <w:bookmarkEnd w:id="142"/>
      <w:bookmarkEnd w:id="143"/>
      <w:bookmarkEnd w:id="144"/>
      <w:bookmarkEnd w:id="145"/>
      <w:bookmarkEnd w:id="146"/>
    </w:p>
    <w:p>
      <w:pPr>
        <w:adjustRightInd w:val="0"/>
        <w:snapToGrid w:val="0"/>
        <w:spacing w:line="340" w:lineRule="exact"/>
        <w:rPr>
          <w:rFonts w:ascii="宋体" w:hAnsi="宋体" w:cs="宋体"/>
          <w:b/>
          <w:szCs w:val="21"/>
          <w:highlight w:val="none"/>
        </w:rPr>
      </w:pPr>
      <w:r>
        <w:rPr>
          <w:rFonts w:hint="eastAsia" w:ascii="宋体" w:hAnsi="宋体" w:cs="宋体"/>
          <w:b/>
          <w:szCs w:val="21"/>
          <w:highlight w:val="none"/>
        </w:rPr>
        <w:t>（一）授予合同的依据</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1、采购人和采购代理机构签发的中标通知书；</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2、招标文件、招标文件的修改及补充文件；</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3、投标文件和询标时投标人做出的澄清、说明、纠正、承诺；</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4、《中华人民共和国民法典》的规定。</w:t>
      </w:r>
    </w:p>
    <w:p>
      <w:pPr>
        <w:adjustRightInd w:val="0"/>
        <w:snapToGrid w:val="0"/>
        <w:spacing w:line="340" w:lineRule="exact"/>
        <w:rPr>
          <w:rFonts w:ascii="宋体" w:hAnsi="宋体" w:cs="宋体"/>
          <w:b/>
          <w:szCs w:val="21"/>
          <w:highlight w:val="none"/>
        </w:rPr>
      </w:pPr>
      <w:r>
        <w:rPr>
          <w:rFonts w:hint="eastAsia" w:ascii="宋体" w:hAnsi="宋体" w:cs="宋体"/>
          <w:b/>
          <w:szCs w:val="21"/>
          <w:highlight w:val="none"/>
        </w:rPr>
        <w:t>（二）签署合同的要求</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1、采购人与中标人按照中标通知书的规定时间、地点签订书面合同；</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2、签订合同的时间（以前附表为准）；</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3、所签订的采购合同内容不得对招标文件和中标人的投标文件作实质性修改；</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4、采购人不得向中标人提出任何不合理的要求，作为签订合同的条件，不得与中标人私下订立背离合同实质性内容的协议；</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5、自合同签订之日起二个工作日内，采购人应将合同进行网上公告。</w:t>
      </w:r>
    </w:p>
    <w:p>
      <w:pPr>
        <w:adjustRightInd w:val="0"/>
        <w:snapToGrid w:val="0"/>
        <w:spacing w:line="340" w:lineRule="exact"/>
        <w:rPr>
          <w:rFonts w:ascii="宋体" w:hAnsi="宋体" w:cs="宋体"/>
          <w:b/>
          <w:szCs w:val="21"/>
          <w:highlight w:val="none"/>
        </w:rPr>
      </w:pPr>
      <w:r>
        <w:rPr>
          <w:rFonts w:hint="eastAsia" w:ascii="宋体" w:hAnsi="宋体" w:cs="宋体"/>
          <w:b/>
          <w:szCs w:val="21"/>
          <w:highlight w:val="none"/>
        </w:rPr>
        <w:t>（三）中标通知书</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1、确定中标人后，采购人和采购代理机构将以书面形式发出中标通知书；</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2、中标通知书为双方签订采购合同的依据；</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3、中标人应根据中标通知书中规定的时间内，由法定代表人或其授权代理人与采购人签订合同。</w:t>
      </w:r>
    </w:p>
    <w:p>
      <w:pPr>
        <w:adjustRightInd w:val="0"/>
        <w:snapToGrid w:val="0"/>
        <w:spacing w:line="340" w:lineRule="exact"/>
        <w:ind w:firstLine="420" w:firstLineChars="200"/>
        <w:jc w:val="left"/>
        <w:rPr>
          <w:rFonts w:ascii="宋体" w:hAnsi="宋体" w:cs="宋体"/>
          <w:szCs w:val="21"/>
          <w:highlight w:val="none"/>
        </w:rPr>
      </w:pPr>
      <w:r>
        <w:rPr>
          <w:rFonts w:hint="eastAsia" w:ascii="宋体" w:hAnsi="宋体" w:cs="宋体"/>
          <w:szCs w:val="21"/>
          <w:highlight w:val="none"/>
        </w:rPr>
        <w:t>4、中标通知书发出后，采购人改变中标结果，或者中标人放弃中标，应当承担相应的法律责任。</w:t>
      </w:r>
    </w:p>
    <w:p>
      <w:pPr>
        <w:adjustRightInd w:val="0"/>
        <w:snapToGrid w:val="0"/>
        <w:spacing w:line="340" w:lineRule="exact"/>
        <w:rPr>
          <w:rFonts w:ascii="宋体" w:hAnsi="宋体" w:cs="宋体"/>
          <w:b/>
          <w:szCs w:val="21"/>
          <w:highlight w:val="none"/>
        </w:rPr>
      </w:pPr>
      <w:r>
        <w:rPr>
          <w:rFonts w:hint="eastAsia" w:ascii="宋体" w:hAnsi="宋体" w:cs="宋体"/>
          <w:b/>
          <w:szCs w:val="21"/>
          <w:highlight w:val="none"/>
        </w:rPr>
        <w:t>（四）履约保证金</w:t>
      </w:r>
    </w:p>
    <w:p>
      <w:pPr>
        <w:adjustRightInd w:val="0"/>
        <w:snapToGrid w:val="0"/>
        <w:spacing w:line="340" w:lineRule="exact"/>
        <w:ind w:firstLine="630" w:firstLineChars="300"/>
        <w:rPr>
          <w:rFonts w:ascii="宋体" w:hAnsi="宋体" w:cs="宋体"/>
          <w:szCs w:val="21"/>
          <w:highlight w:val="none"/>
        </w:rPr>
      </w:pPr>
      <w:r>
        <w:rPr>
          <w:rFonts w:hint="eastAsia" w:ascii="宋体" w:hAnsi="宋体" w:cs="宋体"/>
          <w:szCs w:val="21"/>
          <w:highlight w:val="none"/>
          <w:lang w:eastAsia="zh-CN"/>
        </w:rPr>
        <w:t>不收取</w:t>
      </w:r>
      <w:r>
        <w:rPr>
          <w:rFonts w:hint="eastAsia" w:ascii="宋体" w:hAnsi="宋体" w:cs="宋体"/>
          <w:szCs w:val="21"/>
          <w:highlight w:val="none"/>
        </w:rPr>
        <w:t>。</w:t>
      </w:r>
    </w:p>
    <w:p>
      <w:pPr>
        <w:adjustRightInd w:val="0"/>
        <w:snapToGrid w:val="0"/>
        <w:spacing w:line="340" w:lineRule="exact"/>
        <w:rPr>
          <w:rFonts w:ascii="宋体" w:hAnsi="宋体" w:cs="宋体"/>
          <w:b/>
          <w:szCs w:val="21"/>
          <w:highlight w:val="none"/>
        </w:rPr>
      </w:pPr>
      <w:r>
        <w:rPr>
          <w:rFonts w:hint="eastAsia" w:ascii="宋体" w:hAnsi="宋体" w:cs="宋体"/>
          <w:b/>
          <w:szCs w:val="21"/>
          <w:highlight w:val="none"/>
        </w:rPr>
        <w:t>（五）合同签订</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1、采购人与中标人依据招标文件和中标人的投标文件签订书面合同；</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2、 采购人如不与中标人订立协议的，或者采购人、中标人订立背离实质性内容的协议，由政府有关部门责令改正，同时依法承担相应法律责任；</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3、中标人如不按规定与采购人订立协议的，则采购人将取消其中标资格，并向其要求以预算金额2%额度的赔偿；</w:t>
      </w:r>
    </w:p>
    <w:p>
      <w:pPr>
        <w:adjustRightInd w:val="0"/>
        <w:snapToGrid w:val="0"/>
        <w:spacing w:line="340" w:lineRule="exact"/>
        <w:ind w:firstLine="420" w:firstLineChars="200"/>
        <w:rPr>
          <w:rFonts w:ascii="宋体" w:hAnsi="宋体" w:cs="宋体"/>
          <w:szCs w:val="21"/>
          <w:highlight w:val="none"/>
        </w:rPr>
      </w:pPr>
      <w:r>
        <w:rPr>
          <w:rFonts w:hint="eastAsia" w:ascii="宋体" w:hAnsi="宋体" w:cs="宋体"/>
          <w:szCs w:val="21"/>
          <w:highlight w:val="none"/>
        </w:rPr>
        <w:t>4、 中标人应当按照协议约定履行义务，完成项目各项工作，不得将中标项目违法转让（转包）给他人。</w:t>
      </w:r>
    </w:p>
    <w:p>
      <w:pPr>
        <w:rPr>
          <w:highlight w:val="none"/>
        </w:rPr>
      </w:pPr>
      <w:bookmarkStart w:id="147" w:name="_Toc3637"/>
      <w:bookmarkStart w:id="148" w:name="_Toc317341945"/>
      <w:bookmarkStart w:id="149" w:name="_Toc24661"/>
      <w:bookmarkStart w:id="150" w:name="_Toc17693"/>
      <w:bookmarkStart w:id="151" w:name="_Toc29826"/>
      <w:bookmarkStart w:id="152" w:name="_Toc222632762"/>
    </w:p>
    <w:p>
      <w:pPr>
        <w:pStyle w:val="3"/>
        <w:rPr>
          <w:highlight w:val="none"/>
        </w:rPr>
      </w:pPr>
    </w:p>
    <w:p>
      <w:pPr>
        <w:rPr>
          <w:highlight w:val="none"/>
        </w:rPr>
      </w:pPr>
    </w:p>
    <w:p>
      <w:pPr>
        <w:pStyle w:val="2"/>
        <w:ind w:firstLine="210"/>
        <w:rPr>
          <w:highlight w:val="none"/>
        </w:rPr>
      </w:pPr>
    </w:p>
    <w:p>
      <w:pPr>
        <w:pStyle w:val="2"/>
        <w:ind w:firstLine="210"/>
        <w:rPr>
          <w:highlight w:val="none"/>
        </w:rPr>
      </w:pPr>
    </w:p>
    <w:p>
      <w:pPr>
        <w:rPr>
          <w:highlight w:val="none"/>
        </w:rPr>
      </w:pPr>
    </w:p>
    <w:p>
      <w:pPr>
        <w:pStyle w:val="2"/>
        <w:rPr>
          <w:highlight w:val="none"/>
        </w:rPr>
      </w:pPr>
    </w:p>
    <w:p>
      <w:pPr>
        <w:rPr>
          <w:highlight w:val="none"/>
        </w:rPr>
      </w:pPr>
    </w:p>
    <w:p>
      <w:pPr>
        <w:pStyle w:val="2"/>
        <w:rPr>
          <w:highlight w:val="none"/>
        </w:rPr>
      </w:pPr>
    </w:p>
    <w:p>
      <w:pPr>
        <w:pStyle w:val="2"/>
        <w:ind w:firstLine="210"/>
        <w:rPr>
          <w:highlight w:val="none"/>
        </w:rPr>
      </w:pPr>
    </w:p>
    <w:p>
      <w:pPr>
        <w:pStyle w:val="4"/>
        <w:spacing w:line="240" w:lineRule="auto"/>
        <w:jc w:val="center"/>
        <w:rPr>
          <w:rFonts w:ascii="宋体" w:hAnsi="宋体" w:cs="宋体"/>
          <w:snapToGrid w:val="0"/>
          <w:sz w:val="36"/>
          <w:szCs w:val="36"/>
          <w:highlight w:val="none"/>
        </w:rPr>
      </w:pPr>
      <w:bookmarkStart w:id="153" w:name="_Toc839120560"/>
      <w:r>
        <w:rPr>
          <w:rFonts w:hint="eastAsia" w:ascii="宋体" w:hAnsi="宋体" w:cs="宋体"/>
          <w:snapToGrid w:val="0"/>
          <w:sz w:val="36"/>
          <w:szCs w:val="36"/>
          <w:highlight w:val="none"/>
        </w:rPr>
        <w:t xml:space="preserve">第四章 </w:t>
      </w:r>
      <w:bookmarkEnd w:id="147"/>
      <w:bookmarkEnd w:id="148"/>
      <w:r>
        <w:rPr>
          <w:rFonts w:hint="eastAsia" w:ascii="宋体" w:hAnsi="宋体" w:cs="宋体"/>
          <w:snapToGrid w:val="0"/>
          <w:sz w:val="36"/>
          <w:szCs w:val="36"/>
          <w:highlight w:val="none"/>
        </w:rPr>
        <w:t>评标办法及标准</w:t>
      </w:r>
      <w:bookmarkEnd w:id="149"/>
      <w:bookmarkEnd w:id="150"/>
      <w:bookmarkEnd w:id="151"/>
      <w:bookmarkEnd w:id="153"/>
    </w:p>
    <w:p>
      <w:pPr>
        <w:adjustRightInd w:val="0"/>
        <w:snapToGrid w:val="0"/>
        <w:spacing w:line="360" w:lineRule="exact"/>
        <w:ind w:firstLine="420" w:firstLineChars="200"/>
        <w:rPr>
          <w:rFonts w:ascii="宋体" w:hAnsi="宋体" w:cs="宋体"/>
          <w:szCs w:val="21"/>
          <w:highlight w:val="none"/>
        </w:rPr>
      </w:pPr>
    </w:p>
    <w:p>
      <w:pPr>
        <w:adjustRightInd w:val="0"/>
        <w:snapToGrid w:val="0"/>
        <w:spacing w:line="360" w:lineRule="exact"/>
        <w:ind w:firstLine="420" w:firstLineChars="200"/>
        <w:rPr>
          <w:rFonts w:ascii="宋体" w:hAnsi="宋体" w:cs="宋体"/>
          <w:szCs w:val="21"/>
          <w:highlight w:val="none"/>
        </w:rPr>
      </w:pPr>
      <w:r>
        <w:rPr>
          <w:rFonts w:hint="eastAsia" w:ascii="宋体" w:hAnsi="宋体" w:cs="宋体"/>
          <w:szCs w:val="21"/>
          <w:highlight w:val="none"/>
        </w:rPr>
        <w:t>为公正、公平、科学地选择中标人，根据《中华人民共和国政府采购法》《政府采购货物货物服务招标投标管理办法》等有关法律法规的规定，并结合本项目的实际，制定本办法。</w:t>
      </w:r>
    </w:p>
    <w:p>
      <w:pPr>
        <w:adjustRightInd w:val="0"/>
        <w:snapToGrid w:val="0"/>
        <w:spacing w:line="360" w:lineRule="exact"/>
        <w:ind w:firstLine="420" w:firstLineChars="200"/>
        <w:rPr>
          <w:rFonts w:ascii="宋体" w:hAnsi="宋体" w:cs="宋体"/>
          <w:szCs w:val="21"/>
          <w:highlight w:val="none"/>
        </w:rPr>
      </w:pPr>
      <w:r>
        <w:rPr>
          <w:rFonts w:hint="eastAsia" w:ascii="宋体" w:hAnsi="宋体" w:cs="宋体"/>
          <w:szCs w:val="21"/>
          <w:highlight w:val="none"/>
        </w:rPr>
        <w:t>本办法适用于</w:t>
      </w:r>
      <w:r>
        <w:rPr>
          <w:rFonts w:hint="eastAsia" w:ascii="宋体" w:hAnsi="宋体" w:cs="宋体"/>
          <w:b/>
          <w:bCs/>
          <w:szCs w:val="21"/>
          <w:highlight w:val="none"/>
          <w:u w:val="single"/>
          <w:lang w:eastAsia="zh-CN"/>
        </w:rPr>
        <w:t>安吉县食品药品检验检测中心离子色谱仪设备供货与安装政府采购项目</w:t>
      </w:r>
      <w:r>
        <w:rPr>
          <w:rFonts w:hint="eastAsia" w:ascii="宋体" w:hAnsi="宋体" w:cs="宋体"/>
          <w:szCs w:val="21"/>
          <w:highlight w:val="none"/>
        </w:rPr>
        <w:t>的评标。</w:t>
      </w:r>
    </w:p>
    <w:p>
      <w:pPr>
        <w:adjustRightInd w:val="0"/>
        <w:snapToGrid w:val="0"/>
        <w:spacing w:line="360" w:lineRule="exact"/>
        <w:ind w:firstLine="420" w:firstLineChars="200"/>
        <w:rPr>
          <w:rFonts w:ascii="宋体" w:hAnsi="宋体" w:cs="宋体"/>
          <w:szCs w:val="21"/>
          <w:highlight w:val="none"/>
        </w:rPr>
      </w:pPr>
    </w:p>
    <w:p>
      <w:pPr>
        <w:pStyle w:val="5"/>
        <w:spacing w:line="240" w:lineRule="auto"/>
        <w:rPr>
          <w:rFonts w:ascii="宋体" w:hAnsi="宋体" w:eastAsia="宋体" w:cs="宋体"/>
          <w:sz w:val="24"/>
          <w:szCs w:val="24"/>
          <w:highlight w:val="none"/>
        </w:rPr>
      </w:pPr>
      <w:bookmarkStart w:id="154" w:name="_Toc27973"/>
      <w:bookmarkStart w:id="155" w:name="_Toc4155"/>
      <w:bookmarkStart w:id="156" w:name="_Toc66878468"/>
      <w:bookmarkStart w:id="157" w:name="_Toc27962"/>
      <w:bookmarkStart w:id="158" w:name="_Toc300812053"/>
      <w:bookmarkStart w:id="159" w:name="_Toc294470144"/>
      <w:bookmarkStart w:id="160" w:name="_Toc317341947"/>
      <w:r>
        <w:rPr>
          <w:rFonts w:hint="eastAsia" w:ascii="宋体" w:hAnsi="宋体" w:eastAsia="宋体" w:cs="宋体"/>
          <w:sz w:val="24"/>
          <w:szCs w:val="24"/>
          <w:highlight w:val="none"/>
        </w:rPr>
        <w:t>一、评标程序与方法</w:t>
      </w:r>
      <w:bookmarkEnd w:id="154"/>
      <w:bookmarkEnd w:id="155"/>
      <w:bookmarkEnd w:id="156"/>
      <w:bookmarkEnd w:id="157"/>
    </w:p>
    <w:p>
      <w:pPr>
        <w:spacing w:line="360" w:lineRule="exact"/>
        <w:ind w:firstLine="420" w:firstLineChars="200"/>
        <w:rPr>
          <w:rFonts w:ascii="宋体" w:hAnsi="宋体" w:cs="宋体"/>
          <w:szCs w:val="21"/>
          <w:highlight w:val="none"/>
        </w:rPr>
      </w:pPr>
      <w:r>
        <w:rPr>
          <w:rFonts w:hint="eastAsia" w:ascii="宋体" w:hAnsi="宋体" w:cs="宋体"/>
          <w:szCs w:val="21"/>
          <w:highlight w:val="none"/>
        </w:rPr>
        <w:t>1、评标委员会对通过资格性检查的投标人进行符合性检查。依据招标文件的规定，从投标文件的有效性、完整性和对招标文件的响应程度进行审查，以确定是否对招标文件的实质性要求做出响应。</w:t>
      </w:r>
    </w:p>
    <w:p>
      <w:pPr>
        <w:spacing w:line="360" w:lineRule="exact"/>
        <w:ind w:firstLine="420" w:firstLineChars="200"/>
        <w:rPr>
          <w:rFonts w:ascii="宋体" w:hAnsi="宋体" w:cs="宋体"/>
          <w:szCs w:val="21"/>
          <w:highlight w:val="none"/>
        </w:rPr>
      </w:pPr>
      <w:r>
        <w:rPr>
          <w:rFonts w:hint="eastAsia" w:ascii="宋体" w:hAnsi="宋体" w:cs="宋体"/>
          <w:szCs w:val="21"/>
          <w:highlight w:val="none"/>
        </w:rPr>
        <w:t>2、澄清有关问题。对投标文件中含义不明确、同类问题表述不一致或者有明显文字和计算错误的内容，评标委员会可书面形式要求投标人做出必要的澄清、说明。投标人的说明或者澄清应当采用书面形式，由其授权的代表签字，并不得超出投标文件的范围或者改变投标文件的实质性内容。</w:t>
      </w:r>
    </w:p>
    <w:p>
      <w:pPr>
        <w:spacing w:line="360" w:lineRule="exact"/>
        <w:ind w:firstLine="420" w:firstLineChars="200"/>
        <w:rPr>
          <w:rFonts w:ascii="宋体" w:hAnsi="宋体" w:cs="宋体"/>
          <w:szCs w:val="21"/>
          <w:highlight w:val="none"/>
        </w:rPr>
      </w:pPr>
      <w:r>
        <w:rPr>
          <w:rFonts w:hint="eastAsia" w:ascii="宋体" w:hAnsi="宋体" w:cs="宋体"/>
          <w:szCs w:val="21"/>
          <w:highlight w:val="none"/>
        </w:rPr>
        <w:t>3、比较与评价。评标委员会按上述规定的评标内容和标准，对符合性检查合格的投标文件进行综合比较与独立评分。</w:t>
      </w:r>
    </w:p>
    <w:p>
      <w:pPr>
        <w:spacing w:line="320" w:lineRule="exact"/>
        <w:ind w:firstLine="420" w:firstLineChars="200"/>
        <w:rPr>
          <w:rFonts w:ascii="宋体" w:hAnsi="宋体" w:cs="宋体"/>
          <w:szCs w:val="21"/>
          <w:highlight w:val="none"/>
        </w:rPr>
      </w:pPr>
    </w:p>
    <w:p>
      <w:pPr>
        <w:pStyle w:val="5"/>
        <w:spacing w:line="240" w:lineRule="auto"/>
        <w:rPr>
          <w:rFonts w:ascii="宋体" w:hAnsi="宋体" w:eastAsia="宋体" w:cs="宋体"/>
          <w:sz w:val="24"/>
          <w:szCs w:val="24"/>
          <w:highlight w:val="none"/>
        </w:rPr>
      </w:pPr>
      <w:bookmarkStart w:id="161" w:name="_Toc7267"/>
      <w:bookmarkStart w:id="162" w:name="_Toc11384"/>
      <w:bookmarkStart w:id="163" w:name="_Toc26404"/>
      <w:bookmarkStart w:id="164" w:name="_Toc269639224"/>
      <w:r>
        <w:rPr>
          <w:rFonts w:hint="eastAsia" w:ascii="宋体" w:hAnsi="宋体" w:eastAsia="宋体" w:cs="宋体"/>
          <w:sz w:val="24"/>
          <w:szCs w:val="24"/>
          <w:highlight w:val="none"/>
        </w:rPr>
        <w:t>二、综合评分法</w:t>
      </w:r>
      <w:bookmarkEnd w:id="161"/>
      <w:bookmarkEnd w:id="162"/>
      <w:bookmarkEnd w:id="163"/>
      <w:bookmarkEnd w:id="164"/>
    </w:p>
    <w:p>
      <w:pPr>
        <w:adjustRightInd w:val="0"/>
        <w:snapToGrid w:val="0"/>
        <w:spacing w:line="360" w:lineRule="exact"/>
        <w:ind w:firstLine="420" w:firstLineChars="200"/>
        <w:rPr>
          <w:rFonts w:ascii="宋体" w:hAnsi="宋体" w:cs="宋体"/>
          <w:szCs w:val="21"/>
          <w:highlight w:val="none"/>
        </w:rPr>
      </w:pPr>
      <w:r>
        <w:rPr>
          <w:rFonts w:hint="eastAsia" w:ascii="宋体" w:hAnsi="宋体" w:cs="宋体"/>
          <w:szCs w:val="21"/>
          <w:highlight w:val="none"/>
        </w:rPr>
        <w:t>本次评标采用综合评分法，总分为100分，其中价格分</w:t>
      </w:r>
      <w:r>
        <w:rPr>
          <w:rFonts w:hint="eastAsia" w:ascii="宋体" w:hAnsi="宋体" w:cs="宋体"/>
          <w:szCs w:val="21"/>
          <w:highlight w:val="none"/>
          <w:lang w:val="en-US" w:eastAsia="zh-CN"/>
        </w:rPr>
        <w:t>30</w:t>
      </w:r>
      <w:r>
        <w:rPr>
          <w:rFonts w:hint="eastAsia" w:ascii="宋体" w:hAnsi="宋体" w:cs="宋体"/>
          <w:szCs w:val="21"/>
          <w:highlight w:val="none"/>
        </w:rPr>
        <w:t>分、技术商务资信分</w:t>
      </w:r>
      <w:r>
        <w:rPr>
          <w:rFonts w:hint="eastAsia" w:ascii="宋体" w:hAnsi="宋体" w:cs="宋体"/>
          <w:szCs w:val="21"/>
          <w:highlight w:val="none"/>
          <w:lang w:val="en-US" w:eastAsia="zh-CN"/>
        </w:rPr>
        <w:t>70</w:t>
      </w:r>
      <w:r>
        <w:rPr>
          <w:rFonts w:hint="eastAsia" w:ascii="宋体" w:hAnsi="宋体" w:cs="宋体"/>
          <w:szCs w:val="21"/>
          <w:highlight w:val="none"/>
        </w:rPr>
        <w:t>分。合格投标人的评标得分为各项目汇总得分，中标候选资格按评标综合得分由高到低顺序排列，推荐中标候选人；</w:t>
      </w:r>
      <w:r>
        <w:rPr>
          <w:rFonts w:hint="eastAsia" w:ascii="宋体" w:hAnsi="宋体" w:eastAsia="宋体" w:cs="宋体"/>
          <w:i w:val="0"/>
          <w:iCs w:val="0"/>
          <w:caps w:val="0"/>
          <w:color w:val="auto"/>
          <w:spacing w:val="0"/>
          <w:sz w:val="21"/>
          <w:szCs w:val="21"/>
          <w:highlight w:val="none"/>
          <w:shd w:val="clear" w:color="auto" w:fill="auto"/>
        </w:rPr>
        <w:t>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s="宋体"/>
          <w:szCs w:val="21"/>
          <w:highlight w:val="none"/>
        </w:rPr>
        <w:t>。</w:t>
      </w:r>
    </w:p>
    <w:p>
      <w:pPr>
        <w:adjustRightInd/>
        <w:snapToGrid/>
        <w:spacing w:line="240" w:lineRule="auto"/>
        <w:ind w:firstLine="0" w:firstLineChars="0"/>
        <w:rPr>
          <w:highlight w:val="none"/>
        </w:rPr>
      </w:pPr>
    </w:p>
    <w:p>
      <w:pPr>
        <w:pStyle w:val="5"/>
        <w:numPr>
          <w:ilvl w:val="0"/>
          <w:numId w:val="8"/>
        </w:numPr>
        <w:spacing w:line="240" w:lineRule="auto"/>
        <w:rPr>
          <w:rFonts w:ascii="宋体" w:hAnsi="宋体" w:eastAsia="宋体" w:cs="宋体"/>
          <w:sz w:val="24"/>
          <w:szCs w:val="24"/>
          <w:highlight w:val="none"/>
        </w:rPr>
      </w:pPr>
      <w:bookmarkStart w:id="165" w:name="_Toc14114"/>
      <w:bookmarkStart w:id="166" w:name="_Toc23186"/>
      <w:bookmarkStart w:id="167" w:name="_Toc26315"/>
      <w:bookmarkStart w:id="168" w:name="_Toc1147566997"/>
      <w:bookmarkStart w:id="169" w:name="_Toc26255"/>
      <w:r>
        <w:rPr>
          <w:rFonts w:hint="eastAsia" w:ascii="宋体" w:hAnsi="宋体" w:eastAsia="宋体" w:cs="宋体"/>
          <w:sz w:val="24"/>
          <w:szCs w:val="24"/>
          <w:highlight w:val="none"/>
        </w:rPr>
        <w:t>评标内容及标准</w:t>
      </w:r>
      <w:bookmarkEnd w:id="158"/>
      <w:bookmarkEnd w:id="159"/>
      <w:bookmarkEnd w:id="160"/>
      <w:bookmarkEnd w:id="165"/>
      <w:bookmarkEnd w:id="166"/>
      <w:bookmarkEnd w:id="167"/>
      <w:bookmarkEnd w:id="168"/>
      <w:bookmarkEnd w:id="169"/>
    </w:p>
    <w:p>
      <w:pPr>
        <w:spacing w:line="360" w:lineRule="exact"/>
        <w:ind w:firstLine="105" w:firstLineChars="50"/>
        <w:rPr>
          <w:rFonts w:ascii="宋体" w:hAnsi="宋体" w:cs="宋体"/>
          <w:b/>
          <w:szCs w:val="21"/>
          <w:highlight w:val="none"/>
        </w:rPr>
      </w:pPr>
      <w:r>
        <w:rPr>
          <w:rFonts w:hint="eastAsia" w:ascii="宋体" w:hAnsi="宋体" w:cs="宋体"/>
          <w:b/>
          <w:szCs w:val="21"/>
          <w:highlight w:val="none"/>
        </w:rPr>
        <w:t>（一）价格分（</w:t>
      </w:r>
      <w:r>
        <w:rPr>
          <w:rFonts w:hint="eastAsia" w:ascii="宋体" w:hAnsi="宋体" w:cs="宋体"/>
          <w:b/>
          <w:szCs w:val="21"/>
          <w:highlight w:val="none"/>
          <w:lang w:val="en-US" w:eastAsia="zh-CN"/>
        </w:rPr>
        <w:t>30</w:t>
      </w:r>
      <w:r>
        <w:rPr>
          <w:rFonts w:hint="eastAsia" w:ascii="宋体" w:hAnsi="宋体" w:cs="宋体"/>
          <w:b/>
          <w:szCs w:val="21"/>
          <w:highlight w:val="none"/>
        </w:rPr>
        <w:t>分）</w:t>
      </w:r>
    </w:p>
    <w:p>
      <w:pPr>
        <w:pStyle w:val="51"/>
        <w:adjustRightInd w:val="0"/>
        <w:snapToGrid w:val="0"/>
        <w:spacing w:line="360" w:lineRule="exact"/>
        <w:rPr>
          <w:rFonts w:ascii="宋体" w:hAnsi="宋体" w:cs="宋体"/>
          <w:szCs w:val="21"/>
          <w:highlight w:val="none"/>
        </w:rPr>
      </w:pPr>
      <w:r>
        <w:rPr>
          <w:rFonts w:hint="eastAsia" w:ascii="宋体" w:hAnsi="宋体" w:cs="宋体"/>
          <w:szCs w:val="21"/>
          <w:highlight w:val="none"/>
        </w:rPr>
        <w:t>1、价格分采用低价优先法计算，即满足招标文件要求且投标报价最低的价格为评标基准价，其他投标人的价格分按照下列公式计算：</w:t>
      </w:r>
    </w:p>
    <w:p>
      <w:pPr>
        <w:spacing w:line="400" w:lineRule="exact"/>
        <w:ind w:firstLine="420" w:firstLineChars="200"/>
        <w:jc w:val="left"/>
        <w:rPr>
          <w:rFonts w:ascii="宋体" w:hAnsi="宋体" w:cs="宋体"/>
          <w:szCs w:val="21"/>
          <w:highlight w:val="none"/>
        </w:rPr>
      </w:pPr>
      <w:r>
        <w:rPr>
          <w:rFonts w:hint="eastAsia" w:ascii="宋体" w:hAnsi="宋体" w:cs="宋体"/>
          <w:szCs w:val="21"/>
          <w:highlight w:val="none"/>
        </w:rPr>
        <w:t>其他投标人的价格分=评标基准/投标报价×</w:t>
      </w:r>
      <w:r>
        <w:rPr>
          <w:rFonts w:hint="eastAsia" w:ascii="宋体" w:hAnsi="宋体" w:cs="宋体"/>
          <w:szCs w:val="21"/>
          <w:highlight w:val="none"/>
          <w:lang w:val="en-US" w:eastAsia="zh-CN"/>
        </w:rPr>
        <w:t>30</w:t>
      </w:r>
      <w:r>
        <w:rPr>
          <w:rFonts w:hint="eastAsia" w:ascii="宋体" w:hAnsi="宋体" w:cs="宋体"/>
          <w:szCs w:val="21"/>
          <w:highlight w:val="none"/>
        </w:rPr>
        <w:t>%×100</w:t>
      </w:r>
    </w:p>
    <w:p>
      <w:pPr>
        <w:adjustRightInd w:val="0"/>
        <w:snapToGrid w:val="0"/>
        <w:spacing w:line="360" w:lineRule="exact"/>
        <w:ind w:left="420"/>
        <w:rPr>
          <w:rFonts w:ascii="宋体" w:hAnsi="宋体" w:cs="宋体"/>
          <w:szCs w:val="21"/>
          <w:highlight w:val="none"/>
        </w:rPr>
      </w:pPr>
      <w:r>
        <w:rPr>
          <w:rFonts w:hint="eastAsia" w:ascii="宋体" w:hAnsi="宋体" w:cs="宋体"/>
          <w:szCs w:val="21"/>
          <w:highlight w:val="none"/>
        </w:rPr>
        <w:t>2、中小企业政策执行：</w:t>
      </w:r>
    </w:p>
    <w:p>
      <w:pPr>
        <w:adjustRightInd w:val="0"/>
        <w:snapToGrid w:val="0"/>
        <w:spacing w:line="360" w:lineRule="exact"/>
        <w:ind w:firstLine="320" w:firstLineChars="100"/>
        <w:rPr>
          <w:rFonts w:ascii="宋体" w:hAnsi="宋体" w:cs="宋体"/>
          <w:szCs w:val="21"/>
          <w:highlight w:val="none"/>
        </w:rPr>
      </w:pPr>
      <w:r>
        <w:rPr>
          <w:rFonts w:hint="eastAsia" w:ascii="宋体" w:hAnsi="宋体" w:cs="宋体"/>
          <w:bCs/>
          <w:sz w:val="32"/>
          <w:szCs w:val="21"/>
          <w:highlight w:val="none"/>
        </w:rPr>
        <w:sym w:font="Wingdings" w:char="00FE"/>
      </w:r>
      <w:r>
        <w:rPr>
          <w:rFonts w:hint="eastAsia" w:ascii="宋体" w:hAnsi="宋体" w:cs="宋体"/>
          <w:szCs w:val="21"/>
          <w:highlight w:val="none"/>
        </w:rPr>
        <w:t>2.1</w:t>
      </w:r>
      <w:r>
        <w:rPr>
          <w:rFonts w:hint="eastAsia" w:ascii="宋体" w:hAnsi="宋体" w:cs="宋体"/>
          <w:b/>
          <w:bCs/>
          <w:szCs w:val="21"/>
          <w:highlight w:val="none"/>
        </w:rPr>
        <w:t>本项目为专门面向中小企业采购</w:t>
      </w:r>
      <w:r>
        <w:rPr>
          <w:rFonts w:hint="eastAsia" w:ascii="宋体" w:hAnsi="宋体" w:cs="宋体"/>
          <w:szCs w:val="21"/>
          <w:highlight w:val="none"/>
        </w:rPr>
        <w:t>，</w:t>
      </w:r>
      <w:r>
        <w:rPr>
          <w:rFonts w:hint="eastAsia" w:ascii="宋体" w:hAnsi="宋体" w:cs="宋体"/>
          <w:szCs w:val="21"/>
          <w:highlight w:val="none"/>
          <w:lang w:eastAsia="zh-CN"/>
        </w:rPr>
        <w:t>货物</w:t>
      </w:r>
      <w:r>
        <w:rPr>
          <w:rFonts w:hint="eastAsia" w:ascii="宋体" w:hAnsi="宋体" w:cs="宋体"/>
          <w:szCs w:val="21"/>
          <w:highlight w:val="none"/>
        </w:rPr>
        <w:t>非中小企业</w:t>
      </w:r>
      <w:r>
        <w:rPr>
          <w:rFonts w:hint="eastAsia" w:ascii="宋体" w:hAnsi="宋体" w:cs="宋体"/>
          <w:szCs w:val="21"/>
          <w:highlight w:val="none"/>
          <w:lang w:eastAsia="zh-CN"/>
        </w:rPr>
        <w:t>制造</w:t>
      </w:r>
      <w:r>
        <w:rPr>
          <w:rFonts w:hint="eastAsia" w:ascii="宋体" w:hAnsi="宋体" w:cs="宋体"/>
          <w:szCs w:val="21"/>
          <w:highlight w:val="none"/>
        </w:rPr>
        <w:t>的，</w:t>
      </w:r>
      <w:r>
        <w:rPr>
          <w:rFonts w:hint="eastAsia" w:ascii="宋体" w:hAnsi="宋体" w:cs="宋体"/>
          <w:szCs w:val="21"/>
          <w:highlight w:val="none"/>
          <w:lang w:eastAsia="zh-CN"/>
        </w:rPr>
        <w:t>投标人</w:t>
      </w:r>
      <w:r>
        <w:rPr>
          <w:rFonts w:hint="eastAsia" w:ascii="宋体" w:hAnsi="宋体" w:cs="宋体"/>
          <w:szCs w:val="21"/>
          <w:highlight w:val="none"/>
        </w:rPr>
        <w:t>资格审查不通过；符合上述条件的中小</w:t>
      </w:r>
      <w:r>
        <w:rPr>
          <w:rFonts w:hint="eastAsia" w:ascii="宋体" w:hAnsi="宋体" w:cs="宋体"/>
          <w:szCs w:val="21"/>
          <w:highlight w:val="none"/>
          <w:lang w:eastAsia="zh-CN"/>
        </w:rPr>
        <w:t>（小微）</w:t>
      </w:r>
      <w:r>
        <w:rPr>
          <w:rFonts w:hint="eastAsia" w:ascii="宋体" w:hAnsi="宋体" w:cs="宋体"/>
          <w:szCs w:val="21"/>
          <w:highlight w:val="none"/>
        </w:rPr>
        <w:t>型企业应按照采购文件附件的格式要求在资格证明文件中提供《中小企业声明函》；</w:t>
      </w:r>
    </w:p>
    <w:p>
      <w:pPr>
        <w:adjustRightInd w:val="0"/>
        <w:snapToGrid w:val="0"/>
        <w:spacing w:line="360" w:lineRule="exact"/>
        <w:ind w:firstLine="320" w:firstLineChars="100"/>
        <w:rPr>
          <w:rFonts w:ascii="宋体" w:hAnsi="宋体" w:cs="宋体"/>
          <w:bCs/>
          <w:szCs w:val="21"/>
          <w:highlight w:val="none"/>
        </w:rPr>
      </w:pPr>
      <w:r>
        <w:rPr>
          <w:rFonts w:hint="eastAsia" w:ascii="宋体" w:hAnsi="宋体" w:cs="宋体"/>
          <w:sz w:val="32"/>
          <w:szCs w:val="21"/>
          <w:highlight w:val="none"/>
        </w:rPr>
        <w:sym w:font="Wingdings" w:char="00FD"/>
      </w:r>
      <w:r>
        <w:rPr>
          <w:rFonts w:hint="eastAsia" w:ascii="宋体" w:hAnsi="宋体" w:cs="宋体"/>
          <w:bCs/>
          <w:szCs w:val="21"/>
          <w:highlight w:val="none"/>
        </w:rPr>
        <w:t>2.2根据</w:t>
      </w:r>
      <w:r>
        <w:rPr>
          <w:rFonts w:hint="eastAsia" w:ascii="宋体" w:hAnsi="宋体"/>
          <w:highlight w:val="none"/>
        </w:rPr>
        <w:t>《政府采购促进中小</w:t>
      </w:r>
      <w:r>
        <w:rPr>
          <w:rFonts w:ascii="宋体" w:hAnsi="宋体"/>
          <w:highlight w:val="none"/>
        </w:rPr>
        <w:t>企业发展管理办法》（财库﹝2020﹞46 号）</w:t>
      </w:r>
      <w:r>
        <w:rPr>
          <w:rFonts w:hint="eastAsia" w:ascii="宋体" w:hAnsi="宋体" w:cs="宋体"/>
          <w:bCs/>
          <w:szCs w:val="21"/>
          <w:highlight w:val="none"/>
        </w:rPr>
        <w:t>，对小型或微型企业参加投标且投标产品（或服务）为小型或微型企业生产（提供服务）的，价格给予10%的扣除，用扣除后的价格参与价格评分。小型、微型企业以联合体参加投标的，联合体协议中约定，小型、微型企业产品的协议合同金额占到联合体协议合同总金额 30%以上的，投标报价给予</w:t>
      </w:r>
      <w:r>
        <w:rPr>
          <w:rFonts w:hint="eastAsia" w:ascii="宋体" w:hAnsi="宋体" w:cs="宋体"/>
          <w:bCs/>
          <w:szCs w:val="21"/>
          <w:highlight w:val="none"/>
          <w:lang w:val="en-US" w:eastAsia="zh-CN"/>
        </w:rPr>
        <w:t>4</w:t>
      </w:r>
      <w:r>
        <w:rPr>
          <w:rFonts w:hint="eastAsia" w:ascii="宋体" w:hAnsi="宋体" w:cs="宋体"/>
          <w:bCs/>
          <w:szCs w:val="21"/>
          <w:highlight w:val="none"/>
        </w:rPr>
        <w:t>% 的扣除，并用扣除后的价格计算价格评分。组成联合体的大中型企业和其他自然人、法人或者其他组织，与小型、微型企业之间不得存在投资关系，否则不予价格扣除。</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 xml:space="preserve">   投标产品生产企业（提供服务的企业）按照《关于印发中小企业划型标准规定的通知》（工信部联企业〔2011〕300 号）的所属行业规定为小型、微型企业。投标文件中必须提供《中小企业声明函》；</w:t>
      </w:r>
    </w:p>
    <w:p>
      <w:pPr>
        <w:widowControl/>
        <w:adjustRightInd w:val="0"/>
        <w:snapToGrid w:val="0"/>
        <w:spacing w:line="360" w:lineRule="exact"/>
        <w:ind w:firstLine="420" w:firstLineChars="200"/>
        <w:jc w:val="left"/>
        <w:rPr>
          <w:rFonts w:ascii="宋体" w:hAnsi="宋体" w:cs="宋体"/>
          <w:bCs/>
          <w:szCs w:val="21"/>
          <w:highlight w:val="none"/>
        </w:rPr>
      </w:pPr>
      <w:r>
        <w:rPr>
          <w:rFonts w:hint="eastAsia" w:ascii="宋体" w:hAnsi="宋体" w:cs="宋体"/>
          <w:bCs/>
          <w:szCs w:val="21"/>
          <w:highlight w:val="none"/>
        </w:rPr>
        <w:t>符合中小企业划分标准的个体工商户，视同中小企业。</w:t>
      </w:r>
    </w:p>
    <w:p>
      <w:pPr>
        <w:adjustRightInd w:val="0"/>
        <w:snapToGrid w:val="0"/>
        <w:spacing w:line="360" w:lineRule="exact"/>
        <w:ind w:firstLine="210" w:firstLineChars="100"/>
        <w:rPr>
          <w:rFonts w:ascii="宋体" w:hAnsi="宋体" w:cs="宋体"/>
          <w:bCs/>
          <w:szCs w:val="21"/>
          <w:highlight w:val="none"/>
        </w:rPr>
      </w:pPr>
      <w:r>
        <w:rPr>
          <w:rFonts w:hint="eastAsia" w:ascii="宋体" w:hAnsi="宋体" w:cs="宋体"/>
          <w:bCs/>
          <w:szCs w:val="21"/>
          <w:highlight w:val="none"/>
        </w:rPr>
        <w:t>3、残疾人福利性单位视同小微企业，其产品参加本项目投标的，享受小微企业同等的价格扣除。</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3.1残疾人福利性单位应当同时满足以下条件：</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① 安置的残疾人占本单位在职职工人数的比例不低于 25%（含 25%），并且安置的残疾人人数不少于 10 人（含 10 人）；</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②依法与安置的每位残疾人签订了一年以上（含一年）的劳动合同或服务协议；</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③为安置的每位残疾人按月足额缴纳了基本养老保险、基本医疗保险、失业保险、工伤保险和生育保险等社会保险费；</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④通过银行等金融机构向安置的每位残疾人，按月支付了不低于单位所在区县适用的经省级人民政府批准的月最低工资标准的工资；</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⑤提供本单位制造的货物、承担的工程或者服务（以下简称产品），或者提供其他残疾人福利性单位制造的货物（不包括使用非残疾人福利性单位注册商标的货物）。</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3.2 同时提供以下所有证明材料的投标人被认定为残疾人福利性单位：</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① 提供《残疾人福利性单位声明函》；</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② 提供社保缴纳人员名单、录用的残疾人的《中华人民共和国残疾人证》或者《中华人民共和国残疾军人证(1至8级)》复印件。</w:t>
      </w:r>
    </w:p>
    <w:p>
      <w:pPr>
        <w:adjustRightInd w:val="0"/>
        <w:snapToGrid w:val="0"/>
        <w:spacing w:line="360" w:lineRule="exact"/>
        <w:rPr>
          <w:rFonts w:ascii="宋体" w:hAnsi="宋体" w:cs="宋体"/>
          <w:bCs/>
          <w:szCs w:val="21"/>
          <w:highlight w:val="none"/>
        </w:rPr>
      </w:pPr>
      <w:r>
        <w:rPr>
          <w:rFonts w:hint="eastAsia" w:ascii="宋体" w:hAnsi="宋体" w:cs="宋体"/>
          <w:bCs/>
          <w:szCs w:val="21"/>
          <w:highlight w:val="none"/>
        </w:rPr>
        <w:t>4、监狱企业视同小微企业，其产品参加本项目投标的，享受小微企业同等的价格扣除。</w:t>
      </w:r>
    </w:p>
    <w:p>
      <w:pPr>
        <w:adjustRightInd w:val="0"/>
        <w:snapToGrid w:val="0"/>
        <w:spacing w:line="360" w:lineRule="exact"/>
        <w:rPr>
          <w:rFonts w:ascii="宋体" w:hAnsi="宋体" w:cs="宋体"/>
          <w:highlight w:val="none"/>
        </w:rPr>
      </w:pPr>
      <w:r>
        <w:rPr>
          <w:rFonts w:hint="eastAsia" w:ascii="宋体" w:hAnsi="宋体" w:cs="宋体"/>
          <w:bCs/>
          <w:szCs w:val="21"/>
          <w:highlight w:val="none"/>
        </w:rPr>
        <w:t>提供以下证明材料的投标人被认定为监狱企业：省级以上监狱管理局、戒毒管理局（含新疆生产建设兵团）出具的属于监狱企业的证明文件复印件</w:t>
      </w:r>
      <w:r>
        <w:rPr>
          <w:rFonts w:hint="eastAsia" w:ascii="宋体" w:hAnsi="宋体" w:cs="宋体"/>
          <w:bCs/>
          <w:color w:val="000000"/>
          <w:szCs w:val="21"/>
          <w:highlight w:val="none"/>
        </w:rPr>
        <w:t>。</w:t>
      </w:r>
    </w:p>
    <w:p>
      <w:pPr>
        <w:numPr>
          <w:ilvl w:val="0"/>
          <w:numId w:val="9"/>
        </w:numPr>
        <w:spacing w:line="440" w:lineRule="exact"/>
        <w:rPr>
          <w:rFonts w:ascii="宋体" w:hAnsi="宋体" w:cs="宋体"/>
          <w:b/>
          <w:szCs w:val="21"/>
          <w:highlight w:val="none"/>
        </w:rPr>
      </w:pPr>
      <w:r>
        <w:rPr>
          <w:rFonts w:hint="eastAsia" w:ascii="宋体" w:hAnsi="宋体" w:cs="宋体"/>
          <w:b/>
          <w:szCs w:val="21"/>
          <w:highlight w:val="none"/>
        </w:rPr>
        <w:t>技术、商务资信分（</w:t>
      </w:r>
      <w:r>
        <w:rPr>
          <w:rFonts w:hint="eastAsia" w:ascii="宋体" w:hAnsi="宋体" w:cs="宋体"/>
          <w:b/>
          <w:szCs w:val="21"/>
          <w:highlight w:val="none"/>
          <w:lang w:val="en-US" w:eastAsia="zh-CN"/>
        </w:rPr>
        <w:t>70</w:t>
      </w:r>
      <w:r>
        <w:rPr>
          <w:rFonts w:hint="eastAsia" w:ascii="宋体" w:hAnsi="宋体" w:cs="宋体"/>
          <w:b/>
          <w:szCs w:val="21"/>
          <w:highlight w:val="none"/>
        </w:rPr>
        <w:t>分）</w:t>
      </w:r>
    </w:p>
    <w:tbl>
      <w:tblPr>
        <w:tblStyle w:val="32"/>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524"/>
        <w:gridCol w:w="1530"/>
        <w:gridCol w:w="51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205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项目</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评分标准</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1</w:t>
            </w:r>
          </w:p>
        </w:tc>
        <w:tc>
          <w:tcPr>
            <w:tcW w:w="524"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技术商务资信分</w:t>
            </w:r>
          </w:p>
          <w:p>
            <w:pPr>
              <w:pStyle w:val="3"/>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70分 </w:t>
            </w:r>
          </w:p>
        </w:tc>
        <w:tc>
          <w:tcPr>
            <w:tcW w:w="153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产品的技术指标、参数及整体性能</w:t>
            </w:r>
            <w:r>
              <w:rPr>
                <w:rFonts w:hint="eastAsia" w:ascii="宋体" w:hAnsi="宋体" w:eastAsia="宋体" w:cs="宋体"/>
                <w:szCs w:val="21"/>
                <w:highlight w:val="none"/>
                <w:lang w:val="en-US" w:eastAsia="zh-CN"/>
              </w:rPr>
              <w:t>32</w:t>
            </w:r>
            <w:r>
              <w:rPr>
                <w:rFonts w:hint="eastAsia" w:ascii="宋体" w:hAnsi="宋体" w:eastAsia="宋体" w:cs="宋体"/>
                <w:szCs w:val="21"/>
                <w:highlight w:val="none"/>
              </w:rPr>
              <w:t>分</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满足</w:t>
            </w:r>
            <w:r>
              <w:rPr>
                <w:rFonts w:hint="eastAsia" w:ascii="宋体" w:hAnsi="宋体" w:cs="宋体"/>
                <w:szCs w:val="21"/>
                <w:highlight w:val="none"/>
                <w:lang w:eastAsia="zh-CN"/>
              </w:rPr>
              <w:t>招标</w:t>
            </w:r>
            <w:r>
              <w:rPr>
                <w:rFonts w:hint="eastAsia" w:ascii="宋体" w:hAnsi="宋体" w:eastAsia="宋体" w:cs="宋体"/>
                <w:szCs w:val="21"/>
                <w:highlight w:val="none"/>
              </w:rPr>
              <w:t>货物的所有性能及技术指标要求得</w:t>
            </w:r>
            <w:r>
              <w:rPr>
                <w:rFonts w:hint="eastAsia" w:ascii="宋体" w:hAnsi="宋体" w:cs="宋体"/>
                <w:szCs w:val="21"/>
                <w:highlight w:val="none"/>
                <w:lang w:val="en-US" w:eastAsia="zh-CN"/>
              </w:rPr>
              <w:t>32</w:t>
            </w:r>
            <w:r>
              <w:rPr>
                <w:rFonts w:hint="eastAsia" w:ascii="宋体" w:hAnsi="宋体" w:eastAsia="宋体" w:cs="宋体"/>
                <w:szCs w:val="21"/>
                <w:highlight w:val="none"/>
              </w:rPr>
              <w:t>分，经由专家组评议后，认定允许偏离的指标低于采购需求中：加“★”的重要技术参数低于采购需求（负偏离）的，每项扣</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分，其他允许偏离的参数低于采购需求（负偏离）的，每项扣</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分，扣完为止。“采购需求”中标注“▲”的条款为实质性指标且不可偏离，实质性指标负偏离的，</w:t>
            </w:r>
            <w:r>
              <w:rPr>
                <w:rFonts w:hint="eastAsia" w:ascii="宋体" w:hAnsi="宋体" w:eastAsia="宋体" w:cs="宋体"/>
                <w:szCs w:val="21"/>
                <w:highlight w:val="none"/>
                <w:lang w:eastAsia="zh-CN"/>
              </w:rPr>
              <w:t>投标</w:t>
            </w:r>
            <w:r>
              <w:rPr>
                <w:rFonts w:hint="eastAsia" w:ascii="宋体" w:hAnsi="宋体" w:eastAsia="宋体" w:cs="宋体"/>
                <w:szCs w:val="21"/>
                <w:highlight w:val="none"/>
              </w:rPr>
              <w:t>文件无效。</w:t>
            </w:r>
          </w:p>
        </w:tc>
        <w:tc>
          <w:tcPr>
            <w:tcW w:w="1890" w:type="dxa"/>
            <w:noWrap w:val="0"/>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b/>
                <w:bCs/>
                <w:szCs w:val="21"/>
                <w:highlight w:val="none"/>
              </w:rPr>
              <w:t>加“★”的重要技术参数</w:t>
            </w:r>
            <w:r>
              <w:rPr>
                <w:rFonts w:hint="eastAsia" w:ascii="宋体" w:hAnsi="宋体" w:cs="宋体"/>
                <w:b/>
                <w:bCs/>
                <w:szCs w:val="21"/>
                <w:highlight w:val="none"/>
                <w:lang w:eastAsia="zh-CN"/>
              </w:rPr>
              <w:t>及采购需求中要求提供证明材料的</w:t>
            </w:r>
            <w:r>
              <w:rPr>
                <w:rFonts w:hint="eastAsia" w:ascii="宋体" w:hAnsi="宋体" w:cs="宋体"/>
                <w:b/>
                <w:bCs/>
                <w:szCs w:val="21"/>
                <w:highlight w:val="none"/>
                <w:lang w:val="en-US" w:eastAsia="zh-CN"/>
              </w:rPr>
              <w:t>须提供相关证明材料清晰复印件或扫描件。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2</w:t>
            </w:r>
          </w:p>
        </w:tc>
        <w:tc>
          <w:tcPr>
            <w:tcW w:w="52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实施方案5分</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根据针对本项目的完整技术解决方案和实施方案、实现思路及关键技术、详细阐述。根据对项目理解程度、方案优劣等综合打分。对项目理解程度深、实施方案贴合实际、关键技术阐述详细并提出解决方案得5分， 方案有欠缺或不足的每处扣1分，扣完为止。</w:t>
            </w:r>
          </w:p>
        </w:tc>
        <w:tc>
          <w:tcPr>
            <w:tcW w:w="1890" w:type="dxa"/>
            <w:noWrap w:val="0"/>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3</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widowControl/>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eastAsia="zh-CN"/>
              </w:rPr>
              <w:t>培训方案</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lang w:val="en-US" w:eastAsia="zh-CN"/>
              </w:rPr>
              <w:t>6</w:t>
            </w:r>
            <w:r>
              <w:rPr>
                <w:rFonts w:hint="eastAsia" w:ascii="宋体" w:hAnsi="宋体" w:cs="宋体"/>
                <w:szCs w:val="21"/>
                <w:highlight w:val="none"/>
                <w:lang w:val="en-US" w:eastAsia="zh-CN"/>
              </w:rPr>
              <w:t>分</w:t>
            </w:r>
          </w:p>
        </w:tc>
        <w:tc>
          <w:tcPr>
            <w:tcW w:w="5115" w:type="dxa"/>
            <w:noWrap w:val="0"/>
            <w:vAlign w:val="center"/>
          </w:tcPr>
          <w:p>
            <w:pPr>
              <w:widowControl/>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培训方案包括：</w:t>
            </w:r>
          </w:p>
          <w:p>
            <w:pPr>
              <w:widowControl/>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①总体培训计划和目标（0-</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 ②培训人员配置（0-</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 ③培训次数、时间、方式和地点（0-</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分）根据培训方案进行综合打分。</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产品总体性能水平，安全性、可靠性、稳定性</w:t>
            </w:r>
            <w:r>
              <w:rPr>
                <w:rFonts w:hint="eastAsia" w:ascii="宋体" w:hAnsi="宋体" w:cs="宋体"/>
                <w:szCs w:val="21"/>
                <w:highlight w:val="none"/>
                <w:lang w:val="en-US" w:eastAsia="zh-CN"/>
              </w:rPr>
              <w:t>4</w:t>
            </w:r>
            <w:r>
              <w:rPr>
                <w:rFonts w:hint="eastAsia" w:ascii="宋体" w:hAnsi="宋体" w:eastAsia="宋体" w:cs="宋体"/>
                <w:szCs w:val="21"/>
                <w:highlight w:val="none"/>
              </w:rPr>
              <w:t>分</w:t>
            </w:r>
          </w:p>
        </w:tc>
        <w:tc>
          <w:tcPr>
            <w:tcW w:w="51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根据所投产品的</w:t>
            </w:r>
            <w:r>
              <w:rPr>
                <w:rFonts w:hint="eastAsia" w:ascii="宋体" w:hAnsi="宋体" w:eastAsia="宋体" w:cs="宋体"/>
                <w:szCs w:val="21"/>
                <w:highlight w:val="none"/>
                <w:lang w:eastAsia="zh-CN"/>
              </w:rPr>
              <w:t>总体</w:t>
            </w:r>
            <w:r>
              <w:rPr>
                <w:rFonts w:hint="eastAsia" w:ascii="宋体" w:hAnsi="宋体" w:eastAsia="宋体" w:cs="宋体"/>
                <w:szCs w:val="21"/>
                <w:highlight w:val="none"/>
              </w:rPr>
              <w:t>情况进行综合评议：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产品的总体性能水平情况，得0~</w:t>
            </w:r>
            <w:r>
              <w:rPr>
                <w:rFonts w:hint="eastAsia" w:ascii="宋体" w:hAnsi="宋体" w:cs="宋体"/>
                <w:szCs w:val="21"/>
                <w:highlight w:val="none"/>
                <w:lang w:val="en-US" w:eastAsia="zh-CN"/>
              </w:rPr>
              <w:t>1</w:t>
            </w:r>
            <w:r>
              <w:rPr>
                <w:rFonts w:hint="eastAsia" w:ascii="宋体" w:hAnsi="宋体" w:eastAsia="宋体" w:cs="宋体"/>
                <w:szCs w:val="21"/>
                <w:highlight w:val="none"/>
              </w:rPr>
              <w:t>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产品的安全性情况，得0~</w:t>
            </w:r>
            <w:r>
              <w:rPr>
                <w:rFonts w:hint="eastAsia" w:ascii="宋体" w:hAnsi="宋体" w:cs="宋体"/>
                <w:szCs w:val="21"/>
                <w:highlight w:val="none"/>
                <w:lang w:val="en-US" w:eastAsia="zh-CN"/>
              </w:rPr>
              <w:t>1</w:t>
            </w:r>
            <w:r>
              <w:rPr>
                <w:rFonts w:hint="eastAsia" w:ascii="宋体" w:hAnsi="宋体" w:eastAsia="宋体" w:cs="宋体"/>
                <w:szCs w:val="21"/>
                <w:highlight w:val="none"/>
              </w:rPr>
              <w:t>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产品的稳定性情况，得0~</w:t>
            </w:r>
            <w:r>
              <w:rPr>
                <w:rFonts w:hint="eastAsia" w:ascii="宋体" w:hAnsi="宋体" w:cs="宋体"/>
                <w:szCs w:val="21"/>
                <w:highlight w:val="none"/>
                <w:lang w:val="en-US" w:eastAsia="zh-CN"/>
              </w:rPr>
              <w:t>1</w:t>
            </w:r>
            <w:r>
              <w:rPr>
                <w:rFonts w:hint="eastAsia" w:ascii="宋体" w:hAnsi="宋体" w:eastAsia="宋体" w:cs="宋体"/>
                <w:szCs w:val="21"/>
                <w:highlight w:val="none"/>
              </w:rPr>
              <w:t>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1"/>
                <w:highlight w:val="none"/>
              </w:rPr>
              <w:t>产品的可靠性情况，得0~</w:t>
            </w:r>
            <w:r>
              <w:rPr>
                <w:rFonts w:hint="eastAsia" w:ascii="宋体" w:hAnsi="宋体" w:cs="宋体"/>
                <w:szCs w:val="21"/>
                <w:highlight w:val="none"/>
                <w:lang w:val="en-US" w:eastAsia="zh-CN"/>
              </w:rPr>
              <w:t>1</w:t>
            </w:r>
            <w:r>
              <w:rPr>
                <w:rFonts w:hint="eastAsia" w:ascii="宋体" w:hAnsi="宋体" w:eastAsia="宋体" w:cs="宋体"/>
                <w:szCs w:val="21"/>
                <w:highlight w:val="none"/>
              </w:rPr>
              <w:t xml:space="preserve">分； </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eastAsia="zh-CN"/>
              </w:rPr>
            </w:pPr>
            <w:r>
              <w:rPr>
                <w:rFonts w:hint="eastAsia" w:ascii="宋体" w:hAnsi="宋体" w:cs="宋体"/>
                <w:szCs w:val="21"/>
                <w:highlight w:val="none"/>
                <w:lang w:val="en-US" w:eastAsia="zh-CN"/>
              </w:rPr>
              <w:t>5</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widowControl/>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eastAsia="zh-CN"/>
              </w:rPr>
              <w:t>供货安装及验收</w:t>
            </w:r>
            <w:r>
              <w:rPr>
                <w:rFonts w:hint="eastAsia" w:ascii="宋体" w:hAnsi="宋体" w:eastAsia="宋体" w:cs="宋体"/>
                <w:szCs w:val="21"/>
                <w:highlight w:val="none"/>
              </w:rPr>
              <w:t>方案</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tc>
        <w:tc>
          <w:tcPr>
            <w:tcW w:w="5115" w:type="dxa"/>
            <w:noWrap w:val="0"/>
            <w:vAlign w:val="center"/>
          </w:tcPr>
          <w:p>
            <w:pPr>
              <w:widowControl/>
              <w:spacing w:line="240" w:lineRule="auto"/>
              <w:jc w:val="left"/>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lang w:eastAsia="zh-CN"/>
              </w:rPr>
              <w:t>、</w:t>
            </w:r>
            <w:r>
              <w:rPr>
                <w:rFonts w:hint="eastAsia" w:ascii="宋体" w:hAnsi="宋体" w:cs="宋体"/>
                <w:highlight w:val="none"/>
              </w:rPr>
              <w:t>制定的</w:t>
            </w:r>
            <w:r>
              <w:rPr>
                <w:rFonts w:hint="eastAsia" w:ascii="宋体" w:hAnsi="宋体" w:cs="宋体"/>
                <w:highlight w:val="none"/>
                <w:lang w:eastAsia="zh-CN"/>
              </w:rPr>
              <w:t>供货、</w:t>
            </w:r>
            <w:r>
              <w:rPr>
                <w:rFonts w:hint="eastAsia" w:ascii="宋体" w:hAnsi="宋体" w:cs="宋体"/>
                <w:highlight w:val="none"/>
              </w:rPr>
              <w:t>安装方案和措施，包括拟定的工作时间进度表、拟投入设备、人员安排情况，</w:t>
            </w:r>
            <w:r>
              <w:rPr>
                <w:rFonts w:hint="eastAsia" w:ascii="宋体" w:hAnsi="宋体" w:cs="宋体"/>
                <w:highlight w:val="none"/>
                <w:lang w:eastAsia="zh-CN"/>
              </w:rPr>
              <w:t>综合</w:t>
            </w:r>
            <w:r>
              <w:rPr>
                <w:rFonts w:hint="eastAsia" w:ascii="宋体" w:hAnsi="宋体" w:cs="宋体"/>
                <w:highlight w:val="none"/>
              </w:rPr>
              <w:t>评分，给予0-</w:t>
            </w:r>
            <w:r>
              <w:rPr>
                <w:rFonts w:hint="eastAsia" w:ascii="宋体" w:hAnsi="宋体" w:eastAsia="宋体" w:cs="宋体"/>
                <w:highlight w:val="none"/>
                <w:lang w:val="en-US" w:eastAsia="zh-CN"/>
              </w:rPr>
              <w:t>3</w:t>
            </w:r>
            <w:r>
              <w:rPr>
                <w:rFonts w:hint="eastAsia" w:ascii="宋体" w:hAnsi="宋体" w:cs="宋体"/>
                <w:highlight w:val="none"/>
              </w:rPr>
              <w:t>分。</w:t>
            </w:r>
          </w:p>
          <w:p>
            <w:pPr>
              <w:widowControl/>
              <w:spacing w:line="240" w:lineRule="auto"/>
              <w:jc w:val="left"/>
              <w:rPr>
                <w:rFonts w:hint="eastAsia" w:ascii="宋体" w:hAnsi="宋体" w:eastAsia="宋体" w:cs="宋体"/>
                <w:kern w:val="2"/>
                <w:sz w:val="21"/>
                <w:szCs w:val="24"/>
                <w:highlight w:val="none"/>
                <w:lang w:val="en-US" w:eastAsia="zh-CN" w:bidi="ar-SA"/>
              </w:rPr>
            </w:pPr>
            <w:r>
              <w:rPr>
                <w:rFonts w:hint="eastAsia" w:ascii="宋体" w:hAnsi="宋体" w:cs="宋体"/>
                <w:highlight w:val="none"/>
                <w:lang w:val="en-US" w:eastAsia="zh-CN"/>
              </w:rPr>
              <w:t>2、</w:t>
            </w:r>
            <w:r>
              <w:rPr>
                <w:rFonts w:hint="eastAsia" w:ascii="宋体" w:hAnsi="宋体" w:cs="宋体"/>
                <w:highlight w:val="none"/>
              </w:rPr>
              <w:t>项目验收方案，包括具体的验收计划、内容，</w:t>
            </w:r>
            <w:r>
              <w:rPr>
                <w:rFonts w:hint="eastAsia" w:ascii="宋体" w:hAnsi="宋体" w:cs="宋体"/>
                <w:highlight w:val="none"/>
                <w:lang w:eastAsia="zh-CN"/>
              </w:rPr>
              <w:t>综合</w:t>
            </w:r>
            <w:r>
              <w:rPr>
                <w:rFonts w:hint="eastAsia" w:ascii="宋体" w:hAnsi="宋体" w:cs="宋体"/>
                <w:highlight w:val="none"/>
              </w:rPr>
              <w:t>评分，给予0-</w:t>
            </w:r>
            <w:r>
              <w:rPr>
                <w:rFonts w:hint="eastAsia" w:ascii="宋体" w:hAnsi="宋体" w:eastAsia="宋体" w:cs="宋体"/>
                <w:highlight w:val="none"/>
                <w:lang w:val="en-US" w:eastAsia="zh-CN"/>
              </w:rPr>
              <w:t>3</w:t>
            </w:r>
            <w:r>
              <w:rPr>
                <w:rFonts w:hint="eastAsia" w:ascii="宋体" w:hAnsi="宋体" w:cs="宋体"/>
                <w:highlight w:val="none"/>
              </w:rPr>
              <w:t>分。</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eastAsia="zh-CN"/>
              </w:rPr>
            </w:pPr>
            <w:r>
              <w:rPr>
                <w:rFonts w:hint="eastAsia" w:ascii="宋体" w:hAnsi="宋体" w:cs="宋体"/>
                <w:szCs w:val="21"/>
                <w:highlight w:val="none"/>
                <w:lang w:val="en-US" w:eastAsia="zh-CN"/>
              </w:rPr>
              <w:t>6</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 xml:space="preserve">技术服务支持及售后服务承诺 </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tc>
        <w:tc>
          <w:tcPr>
            <w:tcW w:w="51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eastAsia="宋体" w:cs="宋体"/>
                <w:szCs w:val="21"/>
                <w:highlight w:val="none"/>
              </w:rPr>
              <w:t>根据提供的服务机构情况、服务人员、响应时间、售后服务内容承诺及保障措施等得0</w:t>
            </w:r>
            <w:r>
              <w:rPr>
                <w:rFonts w:hint="eastAsia" w:ascii="宋体" w:hAnsi="宋体" w:cs="宋体"/>
                <w:szCs w:val="21"/>
                <w:highlight w:val="none"/>
                <w:lang w:val="en-US" w:eastAsia="zh-CN"/>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eastAsia="宋体" w:cs="宋体"/>
                <w:szCs w:val="21"/>
                <w:highlight w:val="none"/>
              </w:rPr>
              <w:t>根据提供的服务情况、技术支持机构、专业技术队伍等，得0</w:t>
            </w:r>
            <w:r>
              <w:rPr>
                <w:rFonts w:hint="eastAsia" w:ascii="宋体" w:hAnsi="宋体" w:cs="宋体"/>
                <w:szCs w:val="21"/>
                <w:highlight w:val="none"/>
                <w:lang w:val="en-US" w:eastAsia="zh-CN"/>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7</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rPr>
              <w:t>类似项目业绩</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投标人</w:t>
            </w:r>
            <w:r>
              <w:rPr>
                <w:rFonts w:hint="eastAsia" w:ascii="宋体" w:hAnsi="宋体" w:eastAsia="宋体" w:cs="宋体"/>
                <w:szCs w:val="21"/>
                <w:highlight w:val="none"/>
                <w:lang w:eastAsia="zh-CN"/>
              </w:rPr>
              <w:t>提供自</w:t>
            </w: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21</w:t>
            </w:r>
            <w:r>
              <w:rPr>
                <w:rFonts w:hint="eastAsia" w:ascii="宋体" w:hAnsi="宋体" w:eastAsia="宋体" w:cs="宋体"/>
                <w:szCs w:val="21"/>
                <w:highlight w:val="none"/>
              </w:rPr>
              <w:t>年1月1日至今（合同签订日为准），投标人具有同类</w:t>
            </w:r>
            <w:r>
              <w:rPr>
                <w:rFonts w:hint="eastAsia" w:ascii="宋体" w:hAnsi="宋体" w:eastAsia="宋体" w:cs="宋体"/>
                <w:szCs w:val="21"/>
                <w:highlight w:val="none"/>
                <w:lang w:eastAsia="zh-CN"/>
              </w:rPr>
              <w:t>项目</w:t>
            </w:r>
            <w:r>
              <w:rPr>
                <w:rFonts w:hint="eastAsia" w:ascii="宋体" w:hAnsi="宋体" w:eastAsia="宋体" w:cs="宋体"/>
                <w:szCs w:val="21"/>
                <w:highlight w:val="none"/>
              </w:rPr>
              <w:t>业绩，每提供一份合同得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分，最多得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r>
              <w:rPr>
                <w:rFonts w:hint="eastAsia" w:ascii="宋体" w:hAnsi="宋体" w:eastAsia="宋体" w:cs="宋体"/>
                <w:szCs w:val="21"/>
                <w:highlight w:val="none"/>
                <w:lang w:eastAsia="zh-CN"/>
              </w:rPr>
              <w:t>。</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val="0"/>
                <w:szCs w:val="21"/>
                <w:highlight w:val="none"/>
                <w:lang w:eastAsia="zh-CN"/>
              </w:rPr>
            </w:pPr>
            <w:r>
              <w:rPr>
                <w:rFonts w:hint="eastAsia" w:ascii="宋体" w:hAnsi="宋体" w:eastAsia="宋体" w:cs="宋体"/>
                <w:b/>
                <w:bCs/>
                <w:szCs w:val="21"/>
                <w:highlight w:val="none"/>
              </w:rPr>
              <w:t>需提供合同复印件</w:t>
            </w:r>
            <w:r>
              <w:rPr>
                <w:rFonts w:hint="eastAsia" w:ascii="宋体" w:hAnsi="宋体" w:cs="宋体"/>
                <w:b/>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8</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体系</w:t>
            </w:r>
            <w:r>
              <w:rPr>
                <w:rFonts w:hint="eastAsia" w:ascii="宋体" w:hAnsi="宋体" w:eastAsia="宋体" w:cs="宋体"/>
                <w:szCs w:val="21"/>
                <w:highlight w:val="none"/>
              </w:rPr>
              <w:t>认证</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highlight w:val="none"/>
                <w:shd w:val="clear" w:fill="FFFFFF"/>
                <w:lang w:val="en-US" w:eastAsia="zh-CN"/>
              </w:rPr>
            </w:pPr>
            <w:r>
              <w:rPr>
                <w:rFonts w:hint="eastAsia" w:ascii="宋体" w:hAnsi="宋体" w:eastAsia="宋体" w:cs="宋体"/>
                <w:szCs w:val="21"/>
                <w:highlight w:val="none"/>
              </w:rPr>
              <w:t>投标人提供有效期内的质量管理体系、环境认证体系、职业健康安全管理认证体系证书的，凭相关证书复印件每项得1分，最高得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分，未提供不得分。</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val="0"/>
                <w:szCs w:val="21"/>
                <w:highlight w:val="none"/>
              </w:rPr>
            </w:pPr>
            <w:r>
              <w:rPr>
                <w:rFonts w:hint="eastAsia" w:ascii="宋体" w:hAnsi="宋体" w:eastAsia="宋体" w:cs="宋体"/>
                <w:b/>
                <w:bCs/>
                <w:szCs w:val="21"/>
                <w:highlight w:val="none"/>
              </w:rPr>
              <w:t>同时提供证书复印件及国家认监委官网查询页面截图，缺一不得分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highlight w:val="none"/>
                <w:lang w:eastAsia="zh-CN"/>
              </w:rPr>
            </w:pPr>
            <w:r>
              <w:rPr>
                <w:rFonts w:hint="eastAsia" w:ascii="宋体" w:hAnsi="宋体" w:cs="宋体"/>
                <w:szCs w:val="21"/>
                <w:highlight w:val="none"/>
                <w:lang w:val="en-US" w:eastAsia="zh-CN"/>
              </w:rPr>
              <w:t>9</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应急响应及处理方案</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投标人结合产品特点及使用地点、范围、环境，提供完整的应急响应及处理方案（如可能发生的应急事故情况分析、紧急安全保障措施、临时处理措施、故障或事故解决处理措施等）</w:t>
            </w:r>
            <w:r>
              <w:rPr>
                <w:rFonts w:hint="eastAsia" w:ascii="宋体" w:hAnsi="宋体" w:eastAsia="宋体" w:cs="宋体"/>
                <w:szCs w:val="21"/>
                <w:highlight w:val="none"/>
                <w:lang w:eastAsia="zh-CN"/>
              </w:rPr>
              <w:t>，给予</w:t>
            </w:r>
            <w:r>
              <w:rPr>
                <w:rFonts w:hint="eastAsia" w:ascii="宋体" w:hAnsi="宋体" w:eastAsia="宋体" w:cs="宋体"/>
                <w:szCs w:val="21"/>
                <w:highlight w:val="none"/>
                <w:lang w:val="en-US" w:eastAsia="zh-CN"/>
              </w:rPr>
              <w:t>0-3分</w:t>
            </w:r>
            <w:r>
              <w:rPr>
                <w:rFonts w:hint="eastAsia" w:ascii="宋体" w:hAnsi="宋体" w:eastAsia="宋体" w:cs="宋体"/>
                <w:szCs w:val="21"/>
                <w:highlight w:val="none"/>
              </w:rPr>
              <w:t>。</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10</w:t>
            </w:r>
          </w:p>
        </w:tc>
        <w:tc>
          <w:tcPr>
            <w:tcW w:w="52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p>
        </w:tc>
        <w:tc>
          <w:tcPr>
            <w:tcW w:w="1530" w:type="dxa"/>
            <w:noWrap w:val="0"/>
            <w:vAlign w:val="center"/>
          </w:tcPr>
          <w:p>
            <w:pPr>
              <w:spacing w:line="360" w:lineRule="exact"/>
              <w:rPr>
                <w:rFonts w:hint="eastAsia" w:ascii="宋体" w:hAnsi="宋体" w:eastAsia="宋体" w:cs="宋体"/>
                <w:kern w:val="2"/>
                <w:sz w:val="18"/>
                <w:szCs w:val="18"/>
                <w:highlight w:val="none"/>
                <w:lang w:val="en-US" w:eastAsia="zh-CN" w:bidi="ar-SA"/>
              </w:rPr>
            </w:pPr>
            <w:r>
              <w:rPr>
                <w:rFonts w:hint="eastAsia" w:ascii="宋体" w:hAnsi="宋体" w:eastAsia="宋体" w:cs="宋体"/>
                <w:szCs w:val="21"/>
                <w:highlight w:val="none"/>
              </w:rPr>
              <w:t>质保期</w:t>
            </w:r>
            <w:r>
              <w:rPr>
                <w:rFonts w:hint="eastAsia" w:ascii="宋体" w:hAnsi="宋体" w:cs="宋体"/>
                <w:szCs w:val="21"/>
                <w:highlight w:val="none"/>
                <w:lang w:val="en-US" w:eastAsia="zh-CN"/>
              </w:rPr>
              <w:t>2</w:t>
            </w:r>
            <w:r>
              <w:rPr>
                <w:rFonts w:hint="eastAsia" w:ascii="宋体" w:hAnsi="宋体" w:eastAsia="宋体" w:cs="宋体"/>
                <w:szCs w:val="21"/>
                <w:highlight w:val="none"/>
              </w:rPr>
              <w:t>分</w:t>
            </w:r>
          </w:p>
        </w:tc>
        <w:tc>
          <w:tcPr>
            <w:tcW w:w="511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Cs w:val="21"/>
                <w:highlight w:val="none"/>
              </w:rPr>
              <w:t>质保期</w:t>
            </w:r>
            <w:r>
              <w:rPr>
                <w:rFonts w:hint="eastAsia" w:ascii="宋体" w:hAnsi="宋体" w:eastAsia="宋体" w:cs="宋体"/>
                <w:szCs w:val="21"/>
                <w:highlight w:val="none"/>
                <w:lang w:eastAsia="zh-CN"/>
              </w:rPr>
              <w:t>承诺</w:t>
            </w:r>
            <w:r>
              <w:rPr>
                <w:rFonts w:hint="eastAsia" w:ascii="宋体" w:hAnsi="宋体" w:eastAsia="宋体" w:cs="宋体"/>
                <w:szCs w:val="21"/>
                <w:highlight w:val="none"/>
              </w:rPr>
              <w:t>超过</w:t>
            </w:r>
            <w:r>
              <w:rPr>
                <w:rFonts w:hint="eastAsia" w:ascii="宋体" w:hAnsi="宋体" w:cs="宋体"/>
                <w:szCs w:val="21"/>
                <w:highlight w:val="none"/>
                <w:lang w:val="en-US" w:eastAsia="zh-CN"/>
              </w:rPr>
              <w:t>2</w:t>
            </w:r>
            <w:r>
              <w:rPr>
                <w:rFonts w:hint="eastAsia" w:ascii="宋体" w:hAnsi="宋体" w:eastAsia="宋体" w:cs="宋体"/>
                <w:szCs w:val="21"/>
                <w:highlight w:val="none"/>
                <w:lang w:val="en-US" w:eastAsia="zh-CN"/>
              </w:rPr>
              <w:t>年</w:t>
            </w:r>
            <w:r>
              <w:rPr>
                <w:rFonts w:hint="eastAsia" w:ascii="宋体" w:hAnsi="宋体" w:eastAsia="宋体" w:cs="宋体"/>
                <w:szCs w:val="21"/>
                <w:highlight w:val="none"/>
              </w:rPr>
              <w:t>的，每增加</w:t>
            </w:r>
            <w:r>
              <w:rPr>
                <w:rFonts w:hint="eastAsia" w:ascii="宋体" w:hAnsi="宋体" w:eastAsia="宋体" w:cs="宋体"/>
                <w:szCs w:val="21"/>
                <w:highlight w:val="none"/>
                <w:lang w:eastAsia="zh-CN"/>
              </w:rPr>
              <w:t>半</w:t>
            </w:r>
            <w:r>
              <w:rPr>
                <w:rFonts w:hint="eastAsia" w:ascii="宋体" w:hAnsi="宋体" w:eastAsia="宋体" w:cs="宋体"/>
                <w:szCs w:val="21"/>
                <w:highlight w:val="none"/>
              </w:rPr>
              <w:t>年得</w:t>
            </w:r>
            <w:r>
              <w:rPr>
                <w:rFonts w:hint="eastAsia" w:ascii="宋体" w:hAnsi="宋体" w:eastAsia="宋体" w:cs="宋体"/>
                <w:szCs w:val="21"/>
                <w:highlight w:val="none"/>
                <w:lang w:eastAsia="zh-CN"/>
              </w:rPr>
              <w:t>1</w:t>
            </w:r>
            <w:r>
              <w:rPr>
                <w:rFonts w:hint="eastAsia" w:ascii="宋体" w:hAnsi="宋体" w:eastAsia="宋体" w:cs="宋体"/>
                <w:szCs w:val="21"/>
                <w:highlight w:val="none"/>
              </w:rPr>
              <w:t>分,最多得</w:t>
            </w:r>
            <w:r>
              <w:rPr>
                <w:rFonts w:hint="eastAsia" w:ascii="宋体" w:hAnsi="宋体" w:cs="宋体"/>
                <w:szCs w:val="21"/>
                <w:highlight w:val="none"/>
                <w:lang w:val="en-US" w:eastAsia="zh-CN"/>
              </w:rPr>
              <w:t>2</w:t>
            </w:r>
            <w:r>
              <w:rPr>
                <w:rFonts w:hint="eastAsia" w:ascii="宋体" w:hAnsi="宋体" w:eastAsia="宋体" w:cs="宋体"/>
                <w:szCs w:val="21"/>
                <w:highlight w:val="none"/>
              </w:rPr>
              <w:t>分，不增加不得分，不满足</w:t>
            </w:r>
            <w:r>
              <w:rPr>
                <w:rFonts w:hint="eastAsia" w:ascii="宋体" w:hAnsi="宋体" w:cs="宋体"/>
                <w:szCs w:val="21"/>
                <w:highlight w:val="none"/>
                <w:lang w:eastAsia="zh-CN"/>
              </w:rPr>
              <w:t>招标</w:t>
            </w:r>
            <w:r>
              <w:rPr>
                <w:rFonts w:hint="eastAsia" w:ascii="宋体" w:hAnsi="宋体" w:eastAsia="宋体" w:cs="宋体"/>
                <w:szCs w:val="21"/>
                <w:highlight w:val="none"/>
              </w:rPr>
              <w:t>要求的投标无效。</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b/>
                <w:szCs w:val="21"/>
                <w:highlight w:val="none"/>
                <w:lang w:eastAsia="zh-CN"/>
              </w:rPr>
            </w:pPr>
            <w:r>
              <w:rPr>
                <w:rFonts w:hint="eastAsia" w:ascii="宋体" w:hAnsi="宋体" w:eastAsia="宋体" w:cs="宋体"/>
                <w:b/>
                <w:szCs w:val="21"/>
                <w:highlight w:val="none"/>
                <w:lang w:eastAsia="zh-CN"/>
              </w:rPr>
              <w:t>提供承诺函</w:t>
            </w:r>
          </w:p>
        </w:tc>
      </w:tr>
    </w:tbl>
    <w:p>
      <w:pPr>
        <w:adjustRightInd/>
        <w:snapToGrid/>
        <w:spacing w:line="240" w:lineRule="auto"/>
        <w:ind w:firstLine="0" w:firstLineChars="0"/>
        <w:rPr>
          <w:rFonts w:hint="eastAsia"/>
          <w:highlight w:val="none"/>
        </w:rPr>
      </w:pPr>
    </w:p>
    <w:p>
      <w:pPr>
        <w:tabs>
          <w:tab w:val="center" w:pos="4706"/>
        </w:tabs>
        <w:adjustRightInd w:val="0"/>
        <w:snapToGrid w:val="0"/>
        <w:spacing w:line="360" w:lineRule="exact"/>
        <w:ind w:firstLine="422" w:firstLineChars="200"/>
        <w:rPr>
          <w:rFonts w:ascii="宋体" w:hAnsi="宋体" w:cs="宋体"/>
          <w:b/>
          <w:bCs/>
          <w:szCs w:val="21"/>
          <w:highlight w:val="none"/>
        </w:rPr>
      </w:pPr>
      <w:r>
        <w:rPr>
          <w:rFonts w:hint="eastAsia" w:ascii="宋体" w:hAnsi="宋体" w:cs="宋体"/>
          <w:b/>
          <w:bCs/>
          <w:szCs w:val="21"/>
          <w:highlight w:val="none"/>
        </w:rPr>
        <w:t>（三）分值计算</w:t>
      </w:r>
    </w:p>
    <w:p>
      <w:pPr>
        <w:numPr>
          <w:ilvl w:val="0"/>
          <w:numId w:val="10"/>
        </w:numPr>
        <w:tabs>
          <w:tab w:val="center" w:pos="4706"/>
        </w:tabs>
        <w:spacing w:line="300" w:lineRule="exact"/>
        <w:rPr>
          <w:rFonts w:ascii="宋体" w:hAnsi="宋体" w:cs="宋体"/>
          <w:bCs/>
          <w:szCs w:val="21"/>
          <w:highlight w:val="none"/>
        </w:rPr>
      </w:pPr>
      <w:r>
        <w:rPr>
          <w:rFonts w:hint="eastAsia" w:ascii="宋体" w:hAnsi="宋体" w:cs="宋体"/>
          <w:bCs/>
          <w:szCs w:val="21"/>
          <w:highlight w:val="none"/>
        </w:rPr>
        <w:t>价格分</w:t>
      </w:r>
    </w:p>
    <w:p>
      <w:pPr>
        <w:tabs>
          <w:tab w:val="center" w:pos="4706"/>
        </w:tabs>
        <w:spacing w:line="300" w:lineRule="exact"/>
        <w:ind w:firstLine="210" w:firstLineChars="100"/>
        <w:rPr>
          <w:rFonts w:ascii="宋体" w:hAnsi="宋体" w:cs="宋体"/>
          <w:bCs/>
          <w:szCs w:val="21"/>
          <w:highlight w:val="none"/>
        </w:rPr>
      </w:pPr>
      <w:r>
        <w:rPr>
          <w:rFonts w:hint="eastAsia" w:ascii="宋体" w:hAnsi="宋体" w:cs="宋体"/>
          <w:bCs/>
          <w:szCs w:val="21"/>
          <w:highlight w:val="none"/>
        </w:rPr>
        <w:t>调整错误、并执行支付采购政策后按评分细则中的公式计算。</w:t>
      </w:r>
    </w:p>
    <w:p>
      <w:pPr>
        <w:tabs>
          <w:tab w:val="center" w:pos="4706"/>
        </w:tabs>
        <w:spacing w:line="300" w:lineRule="exact"/>
        <w:rPr>
          <w:rFonts w:ascii="宋体" w:hAnsi="宋体" w:cs="宋体"/>
          <w:bCs/>
          <w:szCs w:val="21"/>
          <w:highlight w:val="none"/>
        </w:rPr>
      </w:pPr>
      <w:r>
        <w:rPr>
          <w:rFonts w:hint="eastAsia" w:ascii="宋体" w:hAnsi="宋体" w:cs="宋体"/>
          <w:bCs/>
          <w:szCs w:val="21"/>
          <w:highlight w:val="none"/>
        </w:rPr>
        <w:t>2、技术、商务资信及其他分</w:t>
      </w:r>
      <w:r>
        <w:rPr>
          <w:rFonts w:hint="eastAsia" w:ascii="宋体" w:hAnsi="宋体" w:cs="宋体"/>
          <w:bCs/>
          <w:szCs w:val="21"/>
          <w:highlight w:val="none"/>
        </w:rPr>
        <w:tab/>
      </w:r>
    </w:p>
    <w:p>
      <w:pPr>
        <w:spacing w:line="300" w:lineRule="exact"/>
        <w:ind w:firstLine="420" w:firstLineChars="200"/>
        <w:rPr>
          <w:rFonts w:ascii="宋体" w:hAnsi="宋体" w:cs="宋体"/>
          <w:bCs/>
          <w:szCs w:val="21"/>
          <w:highlight w:val="none"/>
        </w:rPr>
      </w:pPr>
      <w:r>
        <w:rPr>
          <w:rFonts w:hint="eastAsia" w:ascii="宋体" w:hAnsi="宋体" w:cs="宋体"/>
          <w:bCs/>
          <w:szCs w:val="21"/>
          <w:highlight w:val="none"/>
        </w:rPr>
        <w:t>技术、商务资信及其他分按照评标委员会成员的独立评分结果汇总数算术平均分计算，计算公式为：</w:t>
      </w:r>
    </w:p>
    <w:p>
      <w:pPr>
        <w:spacing w:line="300" w:lineRule="exact"/>
        <w:ind w:firstLine="420" w:firstLineChars="200"/>
        <w:rPr>
          <w:rFonts w:ascii="宋体" w:hAnsi="宋体" w:cs="宋体"/>
          <w:bCs/>
          <w:szCs w:val="21"/>
          <w:highlight w:val="none"/>
        </w:rPr>
      </w:pPr>
      <w:r>
        <w:rPr>
          <w:rFonts w:hint="eastAsia" w:ascii="宋体" w:hAnsi="宋体" w:cs="宋体"/>
          <w:bCs/>
          <w:szCs w:val="21"/>
          <w:highlight w:val="none"/>
        </w:rPr>
        <w:t>技术、商务资信及其他分=（评标委员会所有成员评分合计数）/（评标委员会组成人员数）</w:t>
      </w:r>
      <w:bookmarkStart w:id="170" w:name="_Toc317341948"/>
    </w:p>
    <w:p>
      <w:pPr>
        <w:spacing w:line="300" w:lineRule="exact"/>
        <w:rPr>
          <w:rFonts w:ascii="宋体" w:hAnsi="宋体" w:cs="宋体"/>
          <w:bCs/>
          <w:szCs w:val="21"/>
          <w:highlight w:val="none"/>
        </w:rPr>
      </w:pPr>
      <w:r>
        <w:rPr>
          <w:rFonts w:hint="eastAsia" w:ascii="宋体" w:hAnsi="宋体" w:cs="宋体"/>
          <w:bCs/>
          <w:szCs w:val="21"/>
          <w:highlight w:val="none"/>
        </w:rPr>
        <w:t>3、综合得分</w:t>
      </w:r>
    </w:p>
    <w:p>
      <w:pPr>
        <w:adjustRightInd w:val="0"/>
        <w:snapToGrid w:val="0"/>
        <w:spacing w:line="300" w:lineRule="exact"/>
        <w:ind w:firstLine="420" w:firstLineChars="200"/>
        <w:rPr>
          <w:rFonts w:ascii="宋体" w:hAnsi="宋体" w:cs="宋体"/>
          <w:bCs/>
          <w:szCs w:val="21"/>
          <w:highlight w:val="none"/>
        </w:rPr>
      </w:pPr>
      <w:r>
        <w:rPr>
          <w:rFonts w:hint="eastAsia" w:ascii="宋体" w:hAnsi="宋体" w:cs="宋体"/>
          <w:bCs/>
          <w:szCs w:val="21"/>
          <w:highlight w:val="none"/>
        </w:rPr>
        <w:t>投标人评标综合得分=技术、商务资信及其他分+价格得分</w:t>
      </w:r>
    </w:p>
    <w:p>
      <w:pPr>
        <w:adjustRightInd w:val="0"/>
        <w:snapToGrid w:val="0"/>
        <w:spacing w:line="300" w:lineRule="exact"/>
        <w:ind w:firstLine="420" w:firstLineChars="200"/>
        <w:rPr>
          <w:rFonts w:ascii="宋体" w:hAnsi="宋体" w:cs="宋体"/>
          <w:bCs/>
          <w:szCs w:val="21"/>
          <w:highlight w:val="none"/>
        </w:rPr>
      </w:pPr>
      <w:r>
        <w:rPr>
          <w:rFonts w:hint="eastAsia" w:ascii="宋体" w:hAnsi="宋体" w:cs="宋体"/>
          <w:bCs/>
          <w:szCs w:val="21"/>
          <w:highlight w:val="none"/>
        </w:rPr>
        <w:t>评分过程中采用四舍五入法，并保留小数2位。</w:t>
      </w:r>
    </w:p>
    <w:bookmarkEnd w:id="170"/>
    <w:p>
      <w:pPr>
        <w:pStyle w:val="5"/>
        <w:spacing w:line="240" w:lineRule="auto"/>
        <w:rPr>
          <w:rFonts w:ascii="宋体" w:hAnsi="宋体" w:eastAsia="宋体" w:cs="宋体"/>
          <w:sz w:val="24"/>
          <w:szCs w:val="24"/>
          <w:highlight w:val="none"/>
        </w:rPr>
      </w:pPr>
      <w:bookmarkStart w:id="171" w:name="_Toc317341949"/>
      <w:bookmarkStart w:id="172" w:name="_Toc4673"/>
      <w:bookmarkStart w:id="173" w:name="_Toc2756"/>
      <w:bookmarkStart w:id="174" w:name="_Toc22162"/>
      <w:bookmarkStart w:id="175" w:name="_Toc4136"/>
    </w:p>
    <w:p>
      <w:pPr>
        <w:pStyle w:val="5"/>
        <w:spacing w:line="240" w:lineRule="auto"/>
        <w:rPr>
          <w:rFonts w:ascii="宋体" w:hAnsi="宋体" w:eastAsia="宋体" w:cs="宋体"/>
          <w:sz w:val="24"/>
          <w:szCs w:val="24"/>
          <w:highlight w:val="none"/>
        </w:rPr>
      </w:pPr>
      <w:bookmarkStart w:id="176" w:name="_Toc1587786581"/>
      <w:r>
        <w:rPr>
          <w:rFonts w:hint="eastAsia" w:ascii="宋体" w:hAnsi="宋体" w:eastAsia="宋体" w:cs="宋体"/>
          <w:sz w:val="24"/>
          <w:szCs w:val="24"/>
          <w:highlight w:val="none"/>
        </w:rPr>
        <w:t>四、监督管理</w:t>
      </w:r>
      <w:bookmarkEnd w:id="171"/>
      <w:bookmarkEnd w:id="172"/>
      <w:bookmarkEnd w:id="173"/>
      <w:bookmarkEnd w:id="174"/>
      <w:bookmarkEnd w:id="175"/>
      <w:bookmarkEnd w:id="176"/>
    </w:p>
    <w:p>
      <w:pPr>
        <w:spacing w:line="480" w:lineRule="exact"/>
        <w:rPr>
          <w:rFonts w:ascii="宋体" w:hAnsi="宋体" w:cs="宋体"/>
          <w:szCs w:val="21"/>
          <w:highlight w:val="none"/>
          <w:u w:val="single"/>
        </w:rPr>
      </w:pPr>
      <w:r>
        <w:rPr>
          <w:rFonts w:hint="eastAsia" w:ascii="宋体" w:hAnsi="宋体" w:cs="宋体"/>
          <w:szCs w:val="21"/>
          <w:highlight w:val="none"/>
        </w:rPr>
        <w:t>本项目评审全程录音录像，监督管理部门为安吉县财政局</w:t>
      </w:r>
      <w:r>
        <w:rPr>
          <w:rFonts w:hint="eastAsia" w:ascii="宋体" w:hAnsi="宋体" w:cs="宋体"/>
          <w:szCs w:val="21"/>
          <w:highlight w:val="none"/>
          <w:u w:val="none"/>
        </w:rPr>
        <w:t>。</w:t>
      </w:r>
    </w:p>
    <w:p>
      <w:pPr>
        <w:pStyle w:val="3"/>
        <w:rPr>
          <w:rFonts w:ascii="宋体" w:hAnsi="宋体" w:cs="宋体"/>
          <w:szCs w:val="21"/>
          <w:highlight w:val="none"/>
          <w:u w:val="single"/>
        </w:rPr>
      </w:pPr>
    </w:p>
    <w:p>
      <w:pPr>
        <w:rPr>
          <w:rFonts w:ascii="宋体" w:hAnsi="宋体" w:cs="宋体"/>
          <w:szCs w:val="21"/>
          <w:highlight w:val="none"/>
          <w:u w:val="single"/>
        </w:rPr>
      </w:pPr>
    </w:p>
    <w:p>
      <w:pPr>
        <w:pStyle w:val="29"/>
        <w:rPr>
          <w:rFonts w:ascii="宋体" w:hAnsi="宋体" w:cs="宋体"/>
          <w:szCs w:val="21"/>
          <w:highlight w:val="none"/>
          <w:u w:val="single"/>
        </w:rPr>
      </w:pPr>
    </w:p>
    <w:p>
      <w:pPr>
        <w:pStyle w:val="2"/>
        <w:rPr>
          <w:highlight w:val="none"/>
        </w:rPr>
      </w:pPr>
    </w:p>
    <w:p>
      <w:pPr>
        <w:pStyle w:val="4"/>
        <w:spacing w:line="240" w:lineRule="auto"/>
        <w:jc w:val="center"/>
        <w:rPr>
          <w:rFonts w:ascii="宋体" w:hAnsi="宋体" w:cs="宋体"/>
          <w:snapToGrid w:val="0"/>
          <w:sz w:val="36"/>
          <w:szCs w:val="36"/>
          <w:highlight w:val="none"/>
        </w:rPr>
      </w:pPr>
      <w:bookmarkStart w:id="177" w:name="_Toc31232"/>
      <w:bookmarkStart w:id="178" w:name="_Toc792512825"/>
      <w:bookmarkStart w:id="179" w:name="_Toc25477"/>
      <w:bookmarkStart w:id="180" w:name="_Toc21450"/>
      <w:bookmarkStart w:id="181" w:name="_Toc2987"/>
      <w:bookmarkStart w:id="182" w:name="_Toc317341950"/>
      <w:r>
        <w:rPr>
          <w:rFonts w:hint="eastAsia" w:ascii="宋体" w:hAnsi="宋体" w:cs="宋体"/>
          <w:snapToGrid w:val="0"/>
          <w:sz w:val="36"/>
          <w:szCs w:val="36"/>
          <w:highlight w:val="none"/>
        </w:rPr>
        <w:t>第五章 合同主要条款</w:t>
      </w:r>
      <w:bookmarkEnd w:id="152"/>
      <w:bookmarkEnd w:id="177"/>
      <w:bookmarkEnd w:id="178"/>
      <w:bookmarkEnd w:id="179"/>
      <w:bookmarkEnd w:id="180"/>
      <w:bookmarkEnd w:id="181"/>
      <w:bookmarkEnd w:id="182"/>
    </w:p>
    <w:p>
      <w:pPr>
        <w:spacing w:line="360" w:lineRule="exact"/>
        <w:ind w:firstLine="420" w:firstLineChars="200"/>
        <w:rPr>
          <w:rFonts w:ascii="宋体" w:hAnsi="宋体" w:cs="宋体"/>
          <w:bCs/>
          <w:szCs w:val="21"/>
          <w:highlight w:val="none"/>
        </w:rPr>
      </w:pPr>
      <w:bookmarkStart w:id="183" w:name="_Toc222632763"/>
    </w:p>
    <w:p>
      <w:pPr>
        <w:spacing w:line="440" w:lineRule="exact"/>
        <w:jc w:val="left"/>
        <w:outlineLvl w:val="0"/>
        <w:rPr>
          <w:rFonts w:hint="eastAsia" w:ascii="宋体" w:hAnsi="宋体" w:eastAsia="宋体" w:cs="宋体"/>
          <w:szCs w:val="21"/>
          <w:highlight w:val="none"/>
        </w:rPr>
      </w:pPr>
      <w:bookmarkStart w:id="184" w:name="_Toc17399"/>
      <w:r>
        <w:rPr>
          <w:rFonts w:hint="eastAsia" w:ascii="宋体" w:hAnsi="宋体" w:eastAsia="宋体" w:cs="宋体"/>
          <w:szCs w:val="21"/>
          <w:highlight w:val="none"/>
        </w:rPr>
        <w:t>项目名称：</w:t>
      </w:r>
      <w:bookmarkEnd w:id="184"/>
      <w:r>
        <w:rPr>
          <w:rFonts w:hint="eastAsia" w:ascii="宋体" w:hAnsi="宋体" w:eastAsia="宋体" w:cs="宋体"/>
          <w:szCs w:val="21"/>
          <w:highlight w:val="none"/>
        </w:rPr>
        <w:t xml:space="preserve"> </w:t>
      </w:r>
    </w:p>
    <w:p>
      <w:pPr>
        <w:spacing w:line="440" w:lineRule="exact"/>
        <w:jc w:val="left"/>
        <w:outlineLvl w:val="0"/>
        <w:rPr>
          <w:rFonts w:hint="eastAsia" w:ascii="宋体" w:hAnsi="宋体" w:eastAsia="宋体" w:cs="宋体"/>
          <w:szCs w:val="21"/>
          <w:highlight w:val="none"/>
        </w:rPr>
      </w:pPr>
      <w:bookmarkStart w:id="185" w:name="_Toc13238"/>
      <w:r>
        <w:rPr>
          <w:rFonts w:hint="eastAsia" w:ascii="宋体" w:hAnsi="宋体" w:eastAsia="宋体" w:cs="宋体"/>
          <w:szCs w:val="21"/>
          <w:highlight w:val="none"/>
        </w:rPr>
        <w:t>项目编号：</w:t>
      </w:r>
      <w:bookmarkEnd w:id="185"/>
    </w:p>
    <w:p>
      <w:pPr>
        <w:spacing w:line="440" w:lineRule="exact"/>
        <w:jc w:val="left"/>
        <w:outlineLvl w:val="0"/>
        <w:rPr>
          <w:rFonts w:hint="eastAsia" w:ascii="宋体" w:hAnsi="宋体" w:eastAsia="宋体" w:cs="宋体"/>
          <w:szCs w:val="21"/>
          <w:highlight w:val="none"/>
        </w:rPr>
      </w:pPr>
      <w:bookmarkStart w:id="186" w:name="_Toc17800"/>
      <w:r>
        <w:rPr>
          <w:rFonts w:hint="eastAsia" w:ascii="宋体" w:hAnsi="宋体" w:eastAsia="宋体" w:cs="宋体"/>
          <w:szCs w:val="21"/>
          <w:highlight w:val="none"/>
        </w:rPr>
        <w:t>甲方：</w:t>
      </w:r>
      <w:bookmarkEnd w:id="186"/>
      <w:r>
        <w:rPr>
          <w:rFonts w:hint="eastAsia" w:ascii="宋体" w:hAnsi="宋体" w:eastAsia="宋体" w:cs="宋体"/>
          <w:szCs w:val="21"/>
          <w:highlight w:val="none"/>
        </w:rPr>
        <w:t xml:space="preserve"> </w:t>
      </w:r>
    </w:p>
    <w:p>
      <w:pPr>
        <w:spacing w:line="440" w:lineRule="exact"/>
        <w:jc w:val="left"/>
        <w:outlineLvl w:val="0"/>
        <w:rPr>
          <w:rFonts w:hint="eastAsia" w:ascii="宋体" w:hAnsi="宋体" w:eastAsia="宋体" w:cs="宋体"/>
          <w:szCs w:val="21"/>
          <w:highlight w:val="none"/>
        </w:rPr>
      </w:pPr>
      <w:bookmarkStart w:id="187" w:name="_Toc5458"/>
      <w:r>
        <w:rPr>
          <w:rFonts w:hint="eastAsia" w:ascii="宋体" w:hAnsi="宋体" w:eastAsia="宋体" w:cs="宋体"/>
          <w:szCs w:val="21"/>
          <w:highlight w:val="none"/>
        </w:rPr>
        <w:t>乙方：</w:t>
      </w:r>
      <w:bookmarkEnd w:id="187"/>
    </w:p>
    <w:p>
      <w:pPr>
        <w:spacing w:line="440" w:lineRule="exact"/>
        <w:jc w:val="left"/>
        <w:outlineLvl w:val="0"/>
        <w:rPr>
          <w:rFonts w:hint="eastAsia" w:ascii="宋体" w:hAnsi="宋体" w:eastAsia="宋体" w:cs="宋体"/>
          <w:szCs w:val="21"/>
          <w:highlight w:val="none"/>
        </w:rPr>
      </w:pPr>
      <w:bookmarkStart w:id="188" w:name="_Toc23775"/>
      <w:r>
        <w:rPr>
          <w:rFonts w:hint="eastAsia" w:ascii="宋体" w:hAnsi="宋体" w:eastAsia="宋体" w:cs="宋体"/>
          <w:szCs w:val="21"/>
          <w:highlight w:val="none"/>
        </w:rPr>
        <w:t>甲、乙双方根据</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项目</w:t>
      </w:r>
      <w:r>
        <w:rPr>
          <w:rFonts w:hint="eastAsia" w:ascii="宋体" w:hAnsi="宋体" w:cs="宋体"/>
          <w:szCs w:val="21"/>
          <w:highlight w:val="none"/>
          <w:lang w:eastAsia="zh-CN"/>
        </w:rPr>
        <w:t>公开招标</w:t>
      </w:r>
      <w:r>
        <w:rPr>
          <w:rFonts w:hint="eastAsia" w:ascii="宋体" w:hAnsi="宋体" w:eastAsia="宋体" w:cs="宋体"/>
          <w:szCs w:val="21"/>
          <w:highlight w:val="none"/>
        </w:rPr>
        <w:t>的结果，签署本合同。</w:t>
      </w:r>
      <w:bookmarkEnd w:id="188"/>
    </w:p>
    <w:p>
      <w:pPr>
        <w:spacing w:line="440" w:lineRule="exact"/>
        <w:jc w:val="left"/>
        <w:outlineLvl w:val="0"/>
        <w:rPr>
          <w:rFonts w:hint="eastAsia" w:ascii="宋体" w:hAnsi="宋体" w:eastAsia="宋体" w:cs="宋体"/>
          <w:szCs w:val="21"/>
          <w:highlight w:val="none"/>
        </w:rPr>
      </w:pPr>
      <w:bookmarkStart w:id="189" w:name="_Toc19818"/>
      <w:r>
        <w:rPr>
          <w:rFonts w:hint="eastAsia" w:ascii="宋体" w:hAnsi="宋体" w:eastAsia="宋体" w:cs="宋体"/>
          <w:szCs w:val="21"/>
          <w:highlight w:val="none"/>
        </w:rPr>
        <w:t>一、货物内容</w:t>
      </w:r>
      <w:bookmarkEnd w:id="189"/>
    </w:p>
    <w:p>
      <w:pPr>
        <w:spacing w:line="440" w:lineRule="exact"/>
        <w:jc w:val="left"/>
        <w:outlineLvl w:val="0"/>
        <w:rPr>
          <w:rFonts w:hint="eastAsia" w:ascii="宋体" w:hAnsi="宋体" w:eastAsia="宋体" w:cs="宋体"/>
          <w:szCs w:val="21"/>
          <w:highlight w:val="none"/>
        </w:rPr>
      </w:pPr>
      <w:bookmarkStart w:id="190" w:name="_Toc8804"/>
      <w:r>
        <w:rPr>
          <w:rFonts w:hint="eastAsia" w:ascii="宋体" w:hAnsi="宋体" w:eastAsia="宋体" w:cs="宋体"/>
          <w:szCs w:val="21"/>
          <w:highlight w:val="none"/>
        </w:rPr>
        <w:t>1.1 货物名称：详见采购文件和</w:t>
      </w:r>
      <w:r>
        <w:rPr>
          <w:rFonts w:hint="eastAsia" w:ascii="宋体" w:hAnsi="宋体" w:cs="宋体"/>
          <w:szCs w:val="21"/>
          <w:highlight w:val="none"/>
          <w:lang w:eastAsia="zh-CN"/>
        </w:rPr>
        <w:t>投标</w:t>
      </w:r>
      <w:r>
        <w:rPr>
          <w:rFonts w:hint="eastAsia" w:ascii="宋体" w:hAnsi="宋体" w:eastAsia="宋体" w:cs="宋体"/>
          <w:szCs w:val="21"/>
          <w:highlight w:val="none"/>
        </w:rPr>
        <w:t>文件</w:t>
      </w:r>
      <w:bookmarkEnd w:id="190"/>
    </w:p>
    <w:p>
      <w:pPr>
        <w:spacing w:line="440" w:lineRule="exact"/>
        <w:jc w:val="left"/>
        <w:outlineLvl w:val="0"/>
        <w:rPr>
          <w:rFonts w:hint="eastAsia" w:ascii="宋体" w:hAnsi="宋体" w:eastAsia="宋体" w:cs="宋体"/>
          <w:szCs w:val="21"/>
          <w:highlight w:val="none"/>
        </w:rPr>
      </w:pPr>
      <w:bookmarkStart w:id="191" w:name="_Toc31506"/>
      <w:r>
        <w:rPr>
          <w:rFonts w:hint="eastAsia" w:ascii="宋体" w:hAnsi="宋体" w:eastAsia="宋体" w:cs="宋体"/>
          <w:szCs w:val="21"/>
          <w:highlight w:val="none"/>
        </w:rPr>
        <w:t>1.2 型号规格：详见采购文件和</w:t>
      </w:r>
      <w:r>
        <w:rPr>
          <w:rFonts w:hint="eastAsia" w:ascii="宋体" w:hAnsi="宋体" w:cs="宋体"/>
          <w:szCs w:val="21"/>
          <w:highlight w:val="none"/>
          <w:lang w:eastAsia="zh-CN"/>
        </w:rPr>
        <w:t>投标</w:t>
      </w:r>
      <w:r>
        <w:rPr>
          <w:rFonts w:hint="eastAsia" w:ascii="宋体" w:hAnsi="宋体" w:eastAsia="宋体" w:cs="宋体"/>
          <w:szCs w:val="21"/>
          <w:highlight w:val="none"/>
        </w:rPr>
        <w:t>文件</w:t>
      </w:r>
      <w:bookmarkEnd w:id="191"/>
    </w:p>
    <w:p>
      <w:pPr>
        <w:spacing w:line="440" w:lineRule="exact"/>
        <w:jc w:val="left"/>
        <w:outlineLvl w:val="0"/>
        <w:rPr>
          <w:rFonts w:hint="eastAsia" w:ascii="宋体" w:hAnsi="宋体" w:eastAsia="宋体" w:cs="宋体"/>
          <w:szCs w:val="21"/>
          <w:highlight w:val="none"/>
        </w:rPr>
      </w:pPr>
      <w:bookmarkStart w:id="192" w:name="_Toc18406"/>
      <w:r>
        <w:rPr>
          <w:rFonts w:hint="eastAsia" w:ascii="宋体" w:hAnsi="宋体" w:eastAsia="宋体" w:cs="宋体"/>
          <w:szCs w:val="21"/>
          <w:highlight w:val="none"/>
        </w:rPr>
        <w:t>1.3 技术参数：详见采购文件和</w:t>
      </w:r>
      <w:r>
        <w:rPr>
          <w:rFonts w:hint="eastAsia" w:ascii="宋体" w:hAnsi="宋体" w:cs="宋体"/>
          <w:szCs w:val="21"/>
          <w:highlight w:val="none"/>
          <w:lang w:eastAsia="zh-CN"/>
        </w:rPr>
        <w:t>投标</w:t>
      </w:r>
      <w:r>
        <w:rPr>
          <w:rFonts w:hint="eastAsia" w:ascii="宋体" w:hAnsi="宋体" w:eastAsia="宋体" w:cs="宋体"/>
          <w:szCs w:val="21"/>
          <w:highlight w:val="none"/>
        </w:rPr>
        <w:t>文件</w:t>
      </w:r>
      <w:bookmarkEnd w:id="192"/>
    </w:p>
    <w:p>
      <w:pPr>
        <w:spacing w:line="440" w:lineRule="exact"/>
        <w:jc w:val="left"/>
        <w:outlineLvl w:val="0"/>
        <w:rPr>
          <w:rFonts w:hint="eastAsia" w:ascii="宋体" w:hAnsi="宋体" w:eastAsia="宋体" w:cs="宋体"/>
          <w:szCs w:val="21"/>
          <w:highlight w:val="none"/>
        </w:rPr>
      </w:pPr>
      <w:bookmarkStart w:id="193" w:name="_Toc963"/>
      <w:r>
        <w:rPr>
          <w:rFonts w:hint="eastAsia" w:ascii="宋体" w:hAnsi="宋体" w:eastAsia="宋体" w:cs="宋体"/>
          <w:szCs w:val="21"/>
          <w:highlight w:val="none"/>
        </w:rPr>
        <w:t>1.4 数    量：详见采购文件和</w:t>
      </w:r>
      <w:r>
        <w:rPr>
          <w:rFonts w:hint="eastAsia" w:ascii="宋体" w:hAnsi="宋体" w:cs="宋体"/>
          <w:szCs w:val="21"/>
          <w:highlight w:val="none"/>
          <w:lang w:eastAsia="zh-CN"/>
        </w:rPr>
        <w:t>投标</w:t>
      </w:r>
      <w:r>
        <w:rPr>
          <w:rFonts w:hint="eastAsia" w:ascii="宋体" w:hAnsi="宋体" w:eastAsia="宋体" w:cs="宋体"/>
          <w:szCs w:val="21"/>
          <w:highlight w:val="none"/>
        </w:rPr>
        <w:t>文件</w:t>
      </w:r>
      <w:bookmarkEnd w:id="193"/>
    </w:p>
    <w:p>
      <w:pPr>
        <w:spacing w:line="440" w:lineRule="exact"/>
        <w:jc w:val="left"/>
        <w:outlineLvl w:val="0"/>
        <w:rPr>
          <w:rFonts w:hint="eastAsia" w:ascii="宋体" w:hAnsi="宋体" w:eastAsia="宋体" w:cs="宋体"/>
          <w:szCs w:val="21"/>
          <w:highlight w:val="none"/>
        </w:rPr>
      </w:pPr>
      <w:bookmarkStart w:id="194" w:name="_Toc13391"/>
      <w:r>
        <w:rPr>
          <w:rFonts w:hint="eastAsia" w:ascii="宋体" w:hAnsi="宋体" w:eastAsia="宋体" w:cs="宋体"/>
          <w:szCs w:val="21"/>
          <w:highlight w:val="none"/>
        </w:rPr>
        <w:t>二、合同金额</w:t>
      </w:r>
      <w:bookmarkEnd w:id="194"/>
    </w:p>
    <w:p>
      <w:pPr>
        <w:spacing w:line="440" w:lineRule="exact"/>
        <w:jc w:val="left"/>
        <w:outlineLvl w:val="0"/>
        <w:rPr>
          <w:rFonts w:hint="eastAsia" w:ascii="宋体" w:hAnsi="宋体" w:eastAsia="宋体" w:cs="宋体"/>
          <w:szCs w:val="21"/>
          <w:highlight w:val="none"/>
        </w:rPr>
      </w:pPr>
      <w:bookmarkStart w:id="195" w:name="_Toc21677"/>
      <w:r>
        <w:rPr>
          <w:rFonts w:hint="eastAsia" w:ascii="宋体" w:hAnsi="宋体" w:eastAsia="宋体" w:cs="宋体"/>
          <w:szCs w:val="21"/>
          <w:highlight w:val="none"/>
        </w:rPr>
        <w:t>2.1本合同金额为人民币（大写）：_________</w:t>
      </w:r>
      <w:r>
        <w:rPr>
          <w:rFonts w:hint="eastAsia" w:ascii="宋体" w:hAnsi="宋体" w:cs="宋体"/>
          <w:szCs w:val="21"/>
          <w:highlight w:val="none"/>
          <w:lang w:eastAsia="zh-CN"/>
        </w:rPr>
        <w:t>圆</w:t>
      </w:r>
      <w:r>
        <w:rPr>
          <w:rFonts w:hint="eastAsia" w:ascii="宋体" w:hAnsi="宋体" w:eastAsia="宋体" w:cs="宋体"/>
          <w:szCs w:val="21"/>
          <w:highlight w:val="none"/>
        </w:rPr>
        <w:t>（¥__________元）。</w:t>
      </w:r>
      <w:bookmarkEnd w:id="195"/>
    </w:p>
    <w:p>
      <w:pPr>
        <w:spacing w:line="440" w:lineRule="exact"/>
        <w:jc w:val="left"/>
        <w:outlineLvl w:val="0"/>
        <w:rPr>
          <w:rFonts w:hint="eastAsia" w:ascii="宋体" w:hAnsi="宋体" w:eastAsia="宋体" w:cs="宋体"/>
          <w:szCs w:val="21"/>
          <w:highlight w:val="none"/>
        </w:rPr>
      </w:pPr>
      <w:bookmarkStart w:id="196" w:name="_Toc575"/>
      <w:r>
        <w:rPr>
          <w:rFonts w:hint="eastAsia" w:ascii="宋体" w:hAnsi="宋体" w:eastAsia="宋体" w:cs="宋体"/>
          <w:szCs w:val="21"/>
          <w:highlight w:val="none"/>
        </w:rPr>
        <w:t>三、技术资料</w:t>
      </w:r>
      <w:bookmarkEnd w:id="196"/>
    </w:p>
    <w:p>
      <w:pPr>
        <w:spacing w:line="440" w:lineRule="exact"/>
        <w:jc w:val="left"/>
        <w:outlineLvl w:val="0"/>
        <w:rPr>
          <w:rFonts w:hint="eastAsia" w:ascii="宋体" w:hAnsi="宋体" w:eastAsia="宋体" w:cs="宋体"/>
          <w:szCs w:val="21"/>
          <w:highlight w:val="none"/>
        </w:rPr>
      </w:pPr>
      <w:bookmarkStart w:id="197" w:name="_Toc8054"/>
      <w:r>
        <w:rPr>
          <w:rFonts w:hint="eastAsia" w:ascii="宋体" w:hAnsi="宋体" w:eastAsia="宋体" w:cs="宋体"/>
          <w:szCs w:val="21"/>
          <w:highlight w:val="none"/>
        </w:rPr>
        <w:t>3.1乙方应按采购文件规定的时间向甲方提供使用货物的有关技术资料。</w:t>
      </w:r>
      <w:bookmarkEnd w:id="197"/>
    </w:p>
    <w:p>
      <w:pPr>
        <w:spacing w:line="440" w:lineRule="exact"/>
        <w:jc w:val="left"/>
        <w:outlineLvl w:val="0"/>
        <w:rPr>
          <w:rFonts w:hint="eastAsia" w:ascii="宋体" w:hAnsi="宋体" w:eastAsia="宋体" w:cs="宋体"/>
          <w:szCs w:val="21"/>
          <w:highlight w:val="none"/>
        </w:rPr>
      </w:pPr>
      <w:bookmarkStart w:id="198" w:name="_Toc8252"/>
      <w:r>
        <w:rPr>
          <w:rFonts w:hint="eastAsia" w:ascii="宋体" w:hAnsi="宋体" w:eastAsia="宋体" w:cs="宋体"/>
          <w:szCs w:val="21"/>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bookmarkEnd w:id="198"/>
    </w:p>
    <w:p>
      <w:pPr>
        <w:spacing w:line="440" w:lineRule="exact"/>
        <w:jc w:val="left"/>
        <w:outlineLvl w:val="0"/>
        <w:rPr>
          <w:rFonts w:hint="eastAsia" w:ascii="宋体" w:hAnsi="宋体" w:eastAsia="宋体" w:cs="宋体"/>
          <w:szCs w:val="21"/>
          <w:highlight w:val="none"/>
        </w:rPr>
      </w:pPr>
      <w:bookmarkStart w:id="199" w:name="_Toc30236"/>
      <w:r>
        <w:rPr>
          <w:rFonts w:hint="eastAsia" w:ascii="宋体" w:hAnsi="宋体" w:eastAsia="宋体" w:cs="宋体"/>
          <w:szCs w:val="21"/>
          <w:highlight w:val="none"/>
        </w:rPr>
        <w:t>四、知识产权</w:t>
      </w:r>
      <w:bookmarkEnd w:id="199"/>
    </w:p>
    <w:p>
      <w:pPr>
        <w:spacing w:line="440" w:lineRule="exact"/>
        <w:jc w:val="left"/>
        <w:outlineLvl w:val="0"/>
        <w:rPr>
          <w:rFonts w:hint="eastAsia" w:ascii="宋体" w:hAnsi="宋体" w:eastAsia="宋体" w:cs="宋体"/>
          <w:szCs w:val="21"/>
          <w:highlight w:val="none"/>
        </w:rPr>
      </w:pPr>
      <w:bookmarkStart w:id="200" w:name="_Toc1937"/>
      <w:r>
        <w:rPr>
          <w:rFonts w:hint="eastAsia" w:ascii="宋体" w:hAnsi="宋体" w:eastAsia="宋体" w:cs="宋体"/>
          <w:szCs w:val="21"/>
          <w:highlight w:val="none"/>
        </w:rPr>
        <w:t>4.1 乙方应保证所提供的货物或其任何一部分均不会侵犯任何第三方的知识产权。</w:t>
      </w:r>
      <w:bookmarkEnd w:id="200"/>
    </w:p>
    <w:p>
      <w:pPr>
        <w:spacing w:line="440" w:lineRule="exact"/>
        <w:jc w:val="left"/>
        <w:outlineLvl w:val="0"/>
        <w:rPr>
          <w:rFonts w:hint="eastAsia" w:ascii="宋体" w:hAnsi="宋体" w:eastAsia="宋体" w:cs="宋体"/>
          <w:szCs w:val="21"/>
          <w:highlight w:val="none"/>
        </w:rPr>
      </w:pPr>
      <w:bookmarkStart w:id="201" w:name="_Toc1759"/>
      <w:r>
        <w:rPr>
          <w:rFonts w:hint="eastAsia" w:ascii="宋体" w:hAnsi="宋体" w:eastAsia="宋体" w:cs="宋体"/>
          <w:szCs w:val="21"/>
          <w:highlight w:val="none"/>
        </w:rPr>
        <w:t>五、产权担保</w:t>
      </w:r>
      <w:bookmarkEnd w:id="201"/>
    </w:p>
    <w:p>
      <w:pPr>
        <w:spacing w:line="440" w:lineRule="exact"/>
        <w:jc w:val="left"/>
        <w:outlineLvl w:val="0"/>
        <w:rPr>
          <w:rFonts w:hint="eastAsia" w:ascii="宋体" w:hAnsi="宋体" w:eastAsia="宋体" w:cs="宋体"/>
          <w:szCs w:val="21"/>
          <w:highlight w:val="none"/>
        </w:rPr>
      </w:pPr>
      <w:bookmarkStart w:id="202" w:name="_Toc26401"/>
      <w:r>
        <w:rPr>
          <w:rFonts w:hint="eastAsia" w:ascii="宋体" w:hAnsi="宋体" w:eastAsia="宋体" w:cs="宋体"/>
          <w:szCs w:val="21"/>
          <w:highlight w:val="none"/>
        </w:rPr>
        <w:t>5.1 乙方保证所交付的货物的所有权完全属于乙方且无任何抵押、查封等产权瑕疵。</w:t>
      </w:r>
      <w:bookmarkEnd w:id="202"/>
    </w:p>
    <w:p>
      <w:pPr>
        <w:spacing w:line="440" w:lineRule="exact"/>
        <w:jc w:val="left"/>
        <w:outlineLvl w:val="0"/>
        <w:rPr>
          <w:rFonts w:hint="eastAsia" w:ascii="宋体" w:hAnsi="宋体" w:eastAsia="宋体" w:cs="宋体"/>
          <w:szCs w:val="21"/>
          <w:highlight w:val="none"/>
        </w:rPr>
      </w:pPr>
      <w:bookmarkStart w:id="203" w:name="_Toc76"/>
      <w:r>
        <w:rPr>
          <w:rFonts w:hint="eastAsia" w:ascii="宋体" w:hAnsi="宋体" w:eastAsia="宋体" w:cs="宋体"/>
          <w:szCs w:val="21"/>
          <w:highlight w:val="none"/>
        </w:rPr>
        <w:t>六、履约保证金</w:t>
      </w:r>
      <w:bookmarkEnd w:id="203"/>
    </w:p>
    <w:p>
      <w:pPr>
        <w:spacing w:line="440" w:lineRule="exact"/>
        <w:jc w:val="left"/>
        <w:outlineLvl w:val="0"/>
        <w:rPr>
          <w:rFonts w:hint="eastAsia" w:ascii="宋体" w:hAnsi="宋体" w:cs="宋体"/>
          <w:szCs w:val="21"/>
          <w:highlight w:val="none"/>
          <w:lang w:eastAsia="zh-CN"/>
        </w:rPr>
      </w:pPr>
      <w:bookmarkStart w:id="204" w:name="_Toc18857"/>
      <w:r>
        <w:rPr>
          <w:rFonts w:hint="eastAsia" w:ascii="宋体" w:hAnsi="宋体" w:eastAsia="宋体" w:cs="宋体"/>
          <w:szCs w:val="21"/>
          <w:highlight w:val="none"/>
        </w:rPr>
        <w:t xml:space="preserve">6.1 </w:t>
      </w:r>
      <w:bookmarkEnd w:id="204"/>
      <w:bookmarkStart w:id="205" w:name="_Toc9962"/>
      <w:r>
        <w:rPr>
          <w:rFonts w:hint="eastAsia" w:ascii="宋体" w:hAnsi="宋体" w:cs="宋体"/>
          <w:szCs w:val="21"/>
          <w:highlight w:val="none"/>
          <w:lang w:eastAsia="zh-CN"/>
        </w:rPr>
        <w:t xml:space="preserve"> </w:t>
      </w:r>
    </w:p>
    <w:p>
      <w:pPr>
        <w:spacing w:line="440" w:lineRule="exact"/>
        <w:jc w:val="left"/>
        <w:outlineLvl w:val="0"/>
        <w:rPr>
          <w:rFonts w:hint="eastAsia" w:ascii="宋体" w:hAnsi="宋体" w:eastAsia="宋体" w:cs="宋体"/>
          <w:szCs w:val="21"/>
          <w:highlight w:val="none"/>
        </w:rPr>
      </w:pPr>
      <w:r>
        <w:rPr>
          <w:rFonts w:hint="eastAsia" w:ascii="宋体" w:hAnsi="宋体" w:eastAsia="宋体" w:cs="宋体"/>
          <w:szCs w:val="21"/>
          <w:highlight w:val="none"/>
        </w:rPr>
        <w:t>七、转包或分包</w:t>
      </w:r>
      <w:bookmarkEnd w:id="205"/>
    </w:p>
    <w:p>
      <w:pPr>
        <w:spacing w:line="440" w:lineRule="exact"/>
        <w:jc w:val="left"/>
        <w:outlineLvl w:val="0"/>
        <w:rPr>
          <w:rFonts w:hint="eastAsia" w:ascii="宋体" w:hAnsi="宋体" w:eastAsia="宋体" w:cs="宋体"/>
          <w:szCs w:val="21"/>
          <w:highlight w:val="none"/>
        </w:rPr>
      </w:pPr>
      <w:bookmarkStart w:id="206" w:name="_Toc15181"/>
      <w:r>
        <w:rPr>
          <w:rFonts w:hint="eastAsia" w:ascii="宋体" w:hAnsi="宋体" w:eastAsia="宋体" w:cs="宋体"/>
          <w:szCs w:val="21"/>
          <w:highlight w:val="none"/>
        </w:rPr>
        <w:t>7.1本合同范围的货物，应由乙方直接供应，不得转让他人供应；</w:t>
      </w:r>
      <w:bookmarkEnd w:id="206"/>
    </w:p>
    <w:p>
      <w:pPr>
        <w:spacing w:line="440" w:lineRule="exact"/>
        <w:jc w:val="left"/>
        <w:outlineLvl w:val="0"/>
        <w:rPr>
          <w:rFonts w:hint="eastAsia" w:ascii="宋体" w:hAnsi="宋体" w:eastAsia="宋体" w:cs="宋体"/>
          <w:szCs w:val="21"/>
          <w:highlight w:val="none"/>
        </w:rPr>
      </w:pPr>
      <w:bookmarkStart w:id="207" w:name="_Toc12574"/>
      <w:r>
        <w:rPr>
          <w:rFonts w:hint="eastAsia" w:ascii="宋体" w:hAnsi="宋体" w:eastAsia="宋体" w:cs="宋体"/>
          <w:szCs w:val="21"/>
          <w:highlight w:val="none"/>
        </w:rPr>
        <w:t>7.2 除非得到甲方的书面同意，乙方不得部分分包给他人供应。甲方有绝对权力阻止分包。</w:t>
      </w:r>
      <w:bookmarkEnd w:id="207"/>
    </w:p>
    <w:p>
      <w:pPr>
        <w:spacing w:line="440" w:lineRule="exact"/>
        <w:jc w:val="left"/>
        <w:outlineLvl w:val="0"/>
        <w:rPr>
          <w:rFonts w:hint="eastAsia" w:ascii="宋体" w:hAnsi="宋体" w:eastAsia="宋体" w:cs="宋体"/>
          <w:szCs w:val="21"/>
          <w:highlight w:val="none"/>
        </w:rPr>
      </w:pPr>
      <w:bookmarkStart w:id="208" w:name="_Toc20588"/>
      <w:r>
        <w:rPr>
          <w:rFonts w:hint="eastAsia" w:ascii="宋体" w:hAnsi="宋体" w:eastAsia="宋体" w:cs="宋体"/>
          <w:szCs w:val="21"/>
          <w:highlight w:val="none"/>
        </w:rPr>
        <w:t>7.3如有转让和未经甲方同意的分包行为，甲方有权给予终止合同。</w:t>
      </w:r>
      <w:bookmarkEnd w:id="208"/>
    </w:p>
    <w:p>
      <w:pPr>
        <w:spacing w:line="440" w:lineRule="exact"/>
        <w:jc w:val="left"/>
        <w:outlineLvl w:val="0"/>
        <w:rPr>
          <w:rFonts w:hint="eastAsia" w:ascii="宋体" w:hAnsi="宋体" w:eastAsia="宋体" w:cs="宋体"/>
          <w:szCs w:val="21"/>
          <w:highlight w:val="none"/>
        </w:rPr>
      </w:pPr>
      <w:bookmarkStart w:id="209" w:name="_Toc25395"/>
      <w:r>
        <w:rPr>
          <w:rFonts w:hint="eastAsia" w:ascii="宋体" w:hAnsi="宋体" w:eastAsia="宋体" w:cs="宋体"/>
          <w:szCs w:val="21"/>
          <w:highlight w:val="none"/>
        </w:rPr>
        <w:t>八、质量保修期</w:t>
      </w:r>
      <w:bookmarkEnd w:id="209"/>
    </w:p>
    <w:p>
      <w:pPr>
        <w:spacing w:line="440" w:lineRule="exact"/>
        <w:jc w:val="left"/>
        <w:outlineLvl w:val="0"/>
        <w:rPr>
          <w:rFonts w:hint="eastAsia" w:ascii="宋体" w:hAnsi="宋体" w:eastAsia="宋体" w:cs="宋体"/>
          <w:szCs w:val="21"/>
          <w:highlight w:val="none"/>
        </w:rPr>
      </w:pPr>
      <w:bookmarkStart w:id="210" w:name="_Toc16380"/>
      <w:r>
        <w:rPr>
          <w:rFonts w:hint="eastAsia" w:ascii="宋体" w:hAnsi="宋体" w:eastAsia="宋体" w:cs="宋体"/>
          <w:szCs w:val="21"/>
          <w:highlight w:val="none"/>
        </w:rPr>
        <w:t>8.1 质量保修期       年。（自交货验收合格之日起计）</w:t>
      </w:r>
      <w:bookmarkEnd w:id="210"/>
    </w:p>
    <w:p>
      <w:pPr>
        <w:spacing w:line="440" w:lineRule="exact"/>
        <w:jc w:val="left"/>
        <w:outlineLvl w:val="0"/>
        <w:rPr>
          <w:rFonts w:hint="eastAsia" w:ascii="宋体" w:hAnsi="宋体" w:eastAsia="宋体" w:cs="宋体"/>
          <w:szCs w:val="21"/>
          <w:highlight w:val="none"/>
        </w:rPr>
      </w:pPr>
      <w:bookmarkStart w:id="211" w:name="_Toc5647"/>
      <w:r>
        <w:rPr>
          <w:rFonts w:hint="eastAsia" w:ascii="宋体" w:hAnsi="宋体" w:eastAsia="宋体" w:cs="宋体"/>
          <w:szCs w:val="21"/>
          <w:highlight w:val="none"/>
        </w:rPr>
        <w:t>九、交货期、交货方式及交货地点</w:t>
      </w:r>
      <w:bookmarkEnd w:id="211"/>
    </w:p>
    <w:p>
      <w:pPr>
        <w:spacing w:line="440" w:lineRule="exact"/>
        <w:jc w:val="left"/>
        <w:outlineLvl w:val="0"/>
        <w:rPr>
          <w:rFonts w:hint="eastAsia" w:ascii="宋体" w:hAnsi="宋体" w:eastAsia="宋体" w:cs="宋体"/>
          <w:szCs w:val="21"/>
          <w:highlight w:val="none"/>
        </w:rPr>
      </w:pPr>
      <w:bookmarkStart w:id="212" w:name="_Toc20844"/>
      <w:r>
        <w:rPr>
          <w:rFonts w:hint="eastAsia" w:ascii="宋体" w:hAnsi="宋体" w:eastAsia="宋体" w:cs="宋体"/>
          <w:szCs w:val="21"/>
          <w:highlight w:val="none"/>
        </w:rPr>
        <w:t>9.1 交货期：</w:t>
      </w:r>
      <w:bookmarkEnd w:id="212"/>
    </w:p>
    <w:p>
      <w:pPr>
        <w:spacing w:line="440" w:lineRule="exact"/>
        <w:jc w:val="left"/>
        <w:outlineLvl w:val="0"/>
        <w:rPr>
          <w:rFonts w:hint="eastAsia" w:ascii="宋体" w:hAnsi="宋体" w:eastAsia="宋体" w:cs="宋体"/>
          <w:szCs w:val="21"/>
          <w:highlight w:val="none"/>
        </w:rPr>
      </w:pPr>
      <w:bookmarkStart w:id="213" w:name="_Toc327749146"/>
      <w:bookmarkStart w:id="214" w:name="_Toc26409"/>
      <w:r>
        <w:rPr>
          <w:rFonts w:hint="eastAsia" w:ascii="宋体" w:hAnsi="宋体" w:eastAsia="宋体" w:cs="宋体"/>
          <w:szCs w:val="21"/>
          <w:highlight w:val="none"/>
        </w:rPr>
        <w:t>9.2 交货方式：</w:t>
      </w:r>
      <w:bookmarkEnd w:id="213"/>
      <w:bookmarkEnd w:id="214"/>
    </w:p>
    <w:p>
      <w:pPr>
        <w:spacing w:line="440" w:lineRule="exact"/>
        <w:jc w:val="left"/>
        <w:outlineLvl w:val="0"/>
        <w:rPr>
          <w:rFonts w:hint="eastAsia" w:ascii="宋体" w:hAnsi="宋体" w:eastAsia="宋体" w:cs="宋体"/>
          <w:szCs w:val="21"/>
          <w:highlight w:val="none"/>
        </w:rPr>
      </w:pPr>
      <w:bookmarkStart w:id="215" w:name="_Toc7141"/>
      <w:r>
        <w:rPr>
          <w:rFonts w:hint="eastAsia" w:ascii="宋体" w:hAnsi="宋体" w:eastAsia="宋体" w:cs="宋体"/>
          <w:szCs w:val="21"/>
          <w:highlight w:val="none"/>
        </w:rPr>
        <w:t>9.3 交货地点：甲方指定地点。</w:t>
      </w:r>
      <w:bookmarkEnd w:id="215"/>
    </w:p>
    <w:p>
      <w:pPr>
        <w:spacing w:line="440" w:lineRule="exact"/>
        <w:jc w:val="left"/>
        <w:outlineLvl w:val="0"/>
        <w:rPr>
          <w:rFonts w:hint="eastAsia" w:ascii="宋体" w:hAnsi="宋体" w:eastAsia="宋体" w:cs="宋体"/>
          <w:szCs w:val="21"/>
          <w:highlight w:val="none"/>
        </w:rPr>
      </w:pPr>
      <w:bookmarkStart w:id="216" w:name="_Toc29578"/>
      <w:r>
        <w:rPr>
          <w:rFonts w:hint="eastAsia" w:ascii="宋体" w:hAnsi="宋体" w:eastAsia="宋体" w:cs="宋体"/>
          <w:szCs w:val="21"/>
          <w:highlight w:val="none"/>
        </w:rPr>
        <w:t>十、货款支付</w:t>
      </w:r>
      <w:bookmarkEnd w:id="216"/>
    </w:p>
    <w:p>
      <w:pPr>
        <w:spacing w:line="440" w:lineRule="exact"/>
        <w:jc w:val="left"/>
        <w:outlineLvl w:val="0"/>
        <w:rPr>
          <w:rFonts w:hint="eastAsia" w:ascii="宋体" w:hAnsi="宋体" w:eastAsia="宋体" w:cs="宋体"/>
          <w:szCs w:val="21"/>
          <w:highlight w:val="none"/>
        </w:rPr>
      </w:pPr>
      <w:bookmarkStart w:id="217" w:name="_Toc17408"/>
      <w:r>
        <w:rPr>
          <w:rFonts w:hint="eastAsia" w:ascii="宋体" w:hAnsi="宋体" w:eastAsia="宋体" w:cs="宋体"/>
          <w:szCs w:val="21"/>
          <w:highlight w:val="none"/>
        </w:rPr>
        <w:t>10.1 付款方式：</w:t>
      </w:r>
      <w:bookmarkEnd w:id="217"/>
    </w:p>
    <w:p>
      <w:pPr>
        <w:spacing w:line="440" w:lineRule="exact"/>
        <w:jc w:val="left"/>
        <w:outlineLvl w:val="0"/>
        <w:rPr>
          <w:rFonts w:hint="eastAsia" w:ascii="宋体" w:hAnsi="宋体" w:eastAsia="宋体" w:cs="宋体"/>
          <w:szCs w:val="21"/>
          <w:highlight w:val="none"/>
        </w:rPr>
      </w:pPr>
      <w:bookmarkStart w:id="218" w:name="_Toc24995"/>
      <w:r>
        <w:rPr>
          <w:rFonts w:hint="eastAsia" w:ascii="宋体" w:hAnsi="宋体" w:eastAsia="宋体" w:cs="宋体"/>
          <w:szCs w:val="21"/>
          <w:highlight w:val="none"/>
        </w:rPr>
        <w:t>10.2 本合同为固定总价合同。</w:t>
      </w:r>
    </w:p>
    <w:bookmarkEnd w:id="218"/>
    <w:p>
      <w:pPr>
        <w:spacing w:line="440" w:lineRule="exact"/>
        <w:jc w:val="left"/>
        <w:outlineLvl w:val="0"/>
        <w:rPr>
          <w:rFonts w:hint="eastAsia" w:ascii="宋体" w:hAnsi="宋体" w:eastAsia="宋体" w:cs="宋体"/>
          <w:szCs w:val="21"/>
          <w:highlight w:val="none"/>
        </w:rPr>
      </w:pPr>
      <w:bookmarkStart w:id="219" w:name="_Toc23576"/>
      <w:r>
        <w:rPr>
          <w:rFonts w:hint="eastAsia" w:ascii="宋体" w:hAnsi="宋体" w:eastAsia="宋体" w:cs="宋体"/>
          <w:szCs w:val="21"/>
          <w:highlight w:val="none"/>
        </w:rPr>
        <w:t>十一、税费</w:t>
      </w:r>
      <w:bookmarkEnd w:id="219"/>
    </w:p>
    <w:p>
      <w:pPr>
        <w:spacing w:line="440" w:lineRule="exact"/>
        <w:jc w:val="left"/>
        <w:outlineLvl w:val="0"/>
        <w:rPr>
          <w:rFonts w:hint="eastAsia" w:ascii="宋体" w:hAnsi="宋体" w:eastAsia="宋体" w:cs="宋体"/>
          <w:szCs w:val="21"/>
          <w:highlight w:val="none"/>
        </w:rPr>
      </w:pPr>
      <w:bookmarkStart w:id="220" w:name="_Toc12617"/>
      <w:r>
        <w:rPr>
          <w:rFonts w:hint="eastAsia" w:ascii="宋体" w:hAnsi="宋体" w:eastAsia="宋体" w:cs="宋体"/>
          <w:szCs w:val="21"/>
          <w:highlight w:val="none"/>
        </w:rPr>
        <w:t>11.1本合同执行中相关的一切税费均由乙方负担。</w:t>
      </w:r>
      <w:bookmarkEnd w:id="220"/>
    </w:p>
    <w:p>
      <w:pPr>
        <w:spacing w:line="440" w:lineRule="exact"/>
        <w:jc w:val="left"/>
        <w:outlineLvl w:val="0"/>
        <w:rPr>
          <w:rFonts w:hint="eastAsia" w:ascii="宋体" w:hAnsi="宋体" w:eastAsia="宋体" w:cs="宋体"/>
          <w:szCs w:val="21"/>
          <w:highlight w:val="none"/>
        </w:rPr>
      </w:pPr>
      <w:bookmarkStart w:id="221" w:name="_Toc26613"/>
      <w:r>
        <w:rPr>
          <w:rFonts w:hint="eastAsia" w:ascii="宋体" w:hAnsi="宋体" w:eastAsia="宋体" w:cs="宋体"/>
          <w:szCs w:val="21"/>
          <w:highlight w:val="none"/>
        </w:rPr>
        <w:t>十二、质量保证及售后服务</w:t>
      </w:r>
      <w:bookmarkEnd w:id="221"/>
    </w:p>
    <w:p>
      <w:pPr>
        <w:spacing w:line="440" w:lineRule="exact"/>
        <w:jc w:val="left"/>
        <w:outlineLvl w:val="0"/>
        <w:rPr>
          <w:rFonts w:hint="eastAsia" w:ascii="宋体" w:hAnsi="宋体" w:eastAsia="宋体" w:cs="宋体"/>
          <w:szCs w:val="21"/>
          <w:highlight w:val="none"/>
        </w:rPr>
      </w:pPr>
      <w:bookmarkStart w:id="222" w:name="_Toc21859"/>
      <w:r>
        <w:rPr>
          <w:rFonts w:hint="eastAsia" w:ascii="宋体" w:hAnsi="宋体" w:eastAsia="宋体" w:cs="宋体"/>
          <w:szCs w:val="21"/>
          <w:highlight w:val="none"/>
        </w:rPr>
        <w:t>12.1 乙方应按采购文件规定的货物性能、技术要求、质量标准向甲方提供未经使用的全新产品。如发生所供货物与合同规定不符，甲方有权拒收或退货，由此产生的一切责任和后果由乙方承担。</w:t>
      </w:r>
      <w:bookmarkEnd w:id="222"/>
    </w:p>
    <w:p>
      <w:pPr>
        <w:spacing w:line="440" w:lineRule="exact"/>
        <w:jc w:val="left"/>
        <w:outlineLvl w:val="0"/>
        <w:rPr>
          <w:rFonts w:hint="eastAsia" w:ascii="宋体" w:hAnsi="宋体" w:eastAsia="宋体" w:cs="宋体"/>
          <w:szCs w:val="21"/>
          <w:highlight w:val="none"/>
        </w:rPr>
      </w:pPr>
      <w:bookmarkStart w:id="223" w:name="_Toc31796"/>
      <w:r>
        <w:rPr>
          <w:rFonts w:hint="eastAsia" w:ascii="宋体" w:hAnsi="宋体" w:eastAsia="宋体" w:cs="宋体"/>
          <w:szCs w:val="21"/>
          <w:highlight w:val="none"/>
        </w:rPr>
        <w:t>12.2乙方提供的所有货物质量必须保证达到国家有关产品执行标准和规范的要求。甲方对乙方提供的货物随时进行抽检，送交国家认可的专业检测机构检测，出具质量检测报告。若货物质量检测不合格的，由乙方承担检测费用，没收履约保证金，并有权终止合同。</w:t>
      </w:r>
      <w:bookmarkEnd w:id="223"/>
    </w:p>
    <w:p>
      <w:pPr>
        <w:spacing w:line="440" w:lineRule="exact"/>
        <w:jc w:val="left"/>
        <w:outlineLvl w:val="0"/>
        <w:rPr>
          <w:rFonts w:hint="eastAsia" w:ascii="宋体" w:hAnsi="宋体" w:eastAsia="宋体" w:cs="宋体"/>
          <w:szCs w:val="21"/>
          <w:highlight w:val="none"/>
        </w:rPr>
      </w:pPr>
      <w:bookmarkStart w:id="224" w:name="_Toc4133"/>
      <w:r>
        <w:rPr>
          <w:rFonts w:hint="eastAsia" w:ascii="宋体" w:hAnsi="宋体" w:eastAsia="宋体" w:cs="宋体"/>
          <w:szCs w:val="21"/>
          <w:highlight w:val="none"/>
        </w:rPr>
        <w:t>12.3 乙方提供的货物在质量期内因货物本身的质量问题发生故障，乙方应负责免费更换。对达不到技术要求者，根据实际情况，经双方协商，可按以下办法处理：</w:t>
      </w:r>
      <w:bookmarkEnd w:id="224"/>
    </w:p>
    <w:p>
      <w:pPr>
        <w:spacing w:line="440" w:lineRule="exact"/>
        <w:jc w:val="left"/>
        <w:outlineLvl w:val="0"/>
        <w:rPr>
          <w:rFonts w:hint="eastAsia" w:ascii="宋体" w:hAnsi="宋体" w:eastAsia="宋体" w:cs="宋体"/>
          <w:szCs w:val="21"/>
          <w:highlight w:val="none"/>
        </w:rPr>
      </w:pPr>
      <w:bookmarkStart w:id="225" w:name="_Toc31255"/>
      <w:r>
        <w:rPr>
          <w:rFonts w:hint="eastAsia" w:ascii="宋体" w:hAnsi="宋体" w:eastAsia="宋体" w:cs="宋体"/>
          <w:szCs w:val="21"/>
          <w:highlight w:val="none"/>
        </w:rPr>
        <w:t>（1）更换：由乙方承担所发生的全部费用。</w:t>
      </w:r>
      <w:bookmarkEnd w:id="225"/>
    </w:p>
    <w:p>
      <w:pPr>
        <w:spacing w:line="440" w:lineRule="exact"/>
        <w:jc w:val="left"/>
        <w:outlineLvl w:val="0"/>
        <w:rPr>
          <w:rFonts w:hint="eastAsia" w:ascii="宋体" w:hAnsi="宋体" w:eastAsia="宋体" w:cs="宋体"/>
          <w:szCs w:val="21"/>
          <w:highlight w:val="none"/>
        </w:rPr>
      </w:pPr>
      <w:bookmarkStart w:id="226" w:name="_Toc19997"/>
      <w:r>
        <w:rPr>
          <w:rFonts w:hint="eastAsia" w:ascii="宋体" w:hAnsi="宋体" w:eastAsia="宋体" w:cs="宋体"/>
          <w:szCs w:val="21"/>
          <w:highlight w:val="none"/>
        </w:rPr>
        <w:t>（2）贬值处理：由甲、乙双方合议定价。</w:t>
      </w:r>
      <w:bookmarkEnd w:id="226"/>
    </w:p>
    <w:p>
      <w:pPr>
        <w:spacing w:line="440" w:lineRule="exact"/>
        <w:jc w:val="left"/>
        <w:outlineLvl w:val="0"/>
        <w:rPr>
          <w:rFonts w:hint="eastAsia" w:ascii="宋体" w:hAnsi="宋体" w:eastAsia="宋体" w:cs="宋体"/>
          <w:szCs w:val="21"/>
          <w:highlight w:val="none"/>
        </w:rPr>
      </w:pPr>
      <w:bookmarkStart w:id="227" w:name="_Toc21226"/>
      <w:r>
        <w:rPr>
          <w:rFonts w:hint="eastAsia" w:ascii="宋体" w:hAnsi="宋体" w:eastAsia="宋体" w:cs="宋体"/>
          <w:szCs w:val="21"/>
          <w:highlight w:val="none"/>
        </w:rPr>
        <w:t>（3）退货处理：乙方应退还甲方支付的合同款，同时应承担该货物的直接费用。</w:t>
      </w:r>
      <w:bookmarkEnd w:id="227"/>
    </w:p>
    <w:p>
      <w:pPr>
        <w:spacing w:line="440" w:lineRule="exact"/>
        <w:jc w:val="left"/>
        <w:outlineLvl w:val="0"/>
        <w:rPr>
          <w:rFonts w:hint="eastAsia" w:ascii="宋体" w:hAnsi="宋体" w:eastAsia="宋体" w:cs="宋体"/>
          <w:szCs w:val="21"/>
          <w:highlight w:val="none"/>
        </w:rPr>
      </w:pPr>
      <w:bookmarkStart w:id="228" w:name="_Toc24212"/>
      <w:r>
        <w:rPr>
          <w:rFonts w:hint="eastAsia" w:ascii="宋体" w:hAnsi="宋体" w:eastAsia="宋体" w:cs="宋体"/>
          <w:szCs w:val="21"/>
          <w:highlight w:val="none"/>
        </w:rPr>
        <w:t>12.4 如在使用过程中发生质量问题，乙方在接到甲方通知后，保证在    小时内到达服务现场，及时维修完成。</w:t>
      </w:r>
      <w:bookmarkEnd w:id="228"/>
    </w:p>
    <w:p>
      <w:pPr>
        <w:spacing w:line="440" w:lineRule="exact"/>
        <w:jc w:val="left"/>
        <w:outlineLvl w:val="0"/>
        <w:rPr>
          <w:rFonts w:hint="eastAsia" w:ascii="宋体" w:hAnsi="宋体" w:eastAsia="宋体" w:cs="宋体"/>
          <w:szCs w:val="21"/>
          <w:highlight w:val="none"/>
        </w:rPr>
      </w:pPr>
      <w:bookmarkStart w:id="229" w:name="_Toc22355"/>
      <w:r>
        <w:rPr>
          <w:rFonts w:hint="eastAsia" w:ascii="宋体" w:hAnsi="宋体" w:eastAsia="宋体" w:cs="宋体"/>
          <w:szCs w:val="21"/>
          <w:highlight w:val="none"/>
        </w:rPr>
        <w:t>12.5 在质量保修期内，乙方应对货物出现的质量问题负责处理解决并承担一切费用。</w:t>
      </w:r>
      <w:bookmarkEnd w:id="229"/>
    </w:p>
    <w:p>
      <w:pPr>
        <w:spacing w:line="440" w:lineRule="exact"/>
        <w:jc w:val="left"/>
        <w:outlineLvl w:val="0"/>
        <w:rPr>
          <w:rFonts w:hint="eastAsia" w:ascii="宋体" w:hAnsi="宋体" w:eastAsia="宋体" w:cs="宋体"/>
          <w:szCs w:val="21"/>
          <w:highlight w:val="none"/>
        </w:rPr>
      </w:pPr>
      <w:bookmarkStart w:id="230" w:name="_Toc7189"/>
      <w:r>
        <w:rPr>
          <w:rFonts w:hint="eastAsia" w:ascii="宋体" w:hAnsi="宋体" w:eastAsia="宋体" w:cs="宋体"/>
          <w:szCs w:val="21"/>
          <w:highlight w:val="none"/>
        </w:rPr>
        <w:t>12.6上述的货物免费售后服务期为     年，因人为因素出现的故障不在免费保修范围内。超过保修期的，维修时只收部件成本费。</w:t>
      </w:r>
      <w:bookmarkEnd w:id="230"/>
    </w:p>
    <w:p>
      <w:pPr>
        <w:spacing w:line="440" w:lineRule="exact"/>
        <w:jc w:val="left"/>
        <w:outlineLvl w:val="0"/>
        <w:rPr>
          <w:rFonts w:hint="eastAsia" w:ascii="宋体" w:hAnsi="宋体" w:eastAsia="宋体" w:cs="宋体"/>
          <w:szCs w:val="21"/>
          <w:highlight w:val="none"/>
        </w:rPr>
      </w:pPr>
      <w:bookmarkStart w:id="231" w:name="_Toc31296"/>
      <w:r>
        <w:rPr>
          <w:rFonts w:hint="eastAsia" w:ascii="宋体" w:hAnsi="宋体" w:eastAsia="宋体" w:cs="宋体"/>
          <w:szCs w:val="21"/>
          <w:highlight w:val="none"/>
        </w:rPr>
        <w:t>十三、调试和验收</w:t>
      </w:r>
      <w:bookmarkEnd w:id="231"/>
    </w:p>
    <w:p>
      <w:pPr>
        <w:spacing w:line="440" w:lineRule="exact"/>
        <w:jc w:val="left"/>
        <w:outlineLvl w:val="0"/>
        <w:rPr>
          <w:rFonts w:hint="eastAsia" w:ascii="宋体" w:hAnsi="宋体" w:eastAsia="宋体" w:cs="宋体"/>
          <w:szCs w:val="21"/>
          <w:highlight w:val="none"/>
        </w:rPr>
      </w:pPr>
      <w:bookmarkStart w:id="232" w:name="_Toc28188"/>
      <w:r>
        <w:rPr>
          <w:rFonts w:hint="eastAsia" w:ascii="宋体" w:hAnsi="宋体" w:eastAsia="宋体" w:cs="宋体"/>
          <w:szCs w:val="21"/>
          <w:highlight w:val="none"/>
        </w:rPr>
        <w:t>13.1 甲方对乙方提交的货物依据采购文件上的技术规格要求和国家有关质量标准进行现场初步验收，外观、说明书符合采购文件技术要求的，给予签收，初步验收不合格的不予签收。</w:t>
      </w:r>
      <w:bookmarkEnd w:id="232"/>
    </w:p>
    <w:p>
      <w:pPr>
        <w:spacing w:line="440" w:lineRule="exact"/>
        <w:jc w:val="left"/>
        <w:outlineLvl w:val="0"/>
        <w:rPr>
          <w:rFonts w:hint="eastAsia" w:ascii="宋体" w:hAnsi="宋体" w:eastAsia="宋体" w:cs="宋体"/>
          <w:szCs w:val="21"/>
          <w:highlight w:val="none"/>
        </w:rPr>
      </w:pPr>
      <w:bookmarkStart w:id="233" w:name="_Toc27745"/>
      <w:r>
        <w:rPr>
          <w:rFonts w:hint="eastAsia" w:ascii="宋体" w:hAnsi="宋体" w:eastAsia="宋体" w:cs="宋体"/>
          <w:szCs w:val="21"/>
          <w:highlight w:val="none"/>
        </w:rPr>
        <w:t>13.2 乙方交货前应对产品作出全面检查和对验收文件进行整理，并列出清单，作为甲方收货验收和使用的技术条件依据，检验的结果应随货物交甲方。</w:t>
      </w:r>
      <w:bookmarkEnd w:id="233"/>
    </w:p>
    <w:p>
      <w:pPr>
        <w:spacing w:line="440" w:lineRule="exact"/>
        <w:jc w:val="left"/>
        <w:outlineLvl w:val="0"/>
        <w:rPr>
          <w:rFonts w:hint="eastAsia" w:ascii="宋体" w:hAnsi="宋体" w:eastAsia="宋体" w:cs="宋体"/>
          <w:szCs w:val="21"/>
          <w:highlight w:val="none"/>
        </w:rPr>
      </w:pPr>
      <w:bookmarkStart w:id="234" w:name="_Toc5428"/>
      <w:r>
        <w:rPr>
          <w:rFonts w:hint="eastAsia" w:ascii="宋体" w:hAnsi="宋体" w:eastAsia="宋体" w:cs="宋体"/>
          <w:szCs w:val="21"/>
          <w:highlight w:val="none"/>
        </w:rPr>
        <w:t>13.3 甲方对乙方提供的货物在使用前进行调试时，乙方需协助甲方一起调试，直到符合技术要求，甲方才做最终验收。</w:t>
      </w:r>
      <w:bookmarkEnd w:id="234"/>
    </w:p>
    <w:p>
      <w:pPr>
        <w:spacing w:line="440" w:lineRule="exact"/>
        <w:jc w:val="left"/>
        <w:outlineLvl w:val="0"/>
        <w:rPr>
          <w:rFonts w:hint="eastAsia" w:ascii="宋体" w:hAnsi="宋体" w:eastAsia="宋体" w:cs="宋体"/>
          <w:szCs w:val="21"/>
          <w:highlight w:val="none"/>
        </w:rPr>
      </w:pPr>
      <w:bookmarkStart w:id="235" w:name="_Toc23625"/>
      <w:r>
        <w:rPr>
          <w:rFonts w:hint="eastAsia" w:ascii="宋体" w:hAnsi="宋体" w:eastAsia="宋体" w:cs="宋体"/>
          <w:szCs w:val="21"/>
          <w:highlight w:val="none"/>
        </w:rPr>
        <w:t>13.4 对技术复杂的货物，甲方应请国家认可的专业检测机构参与初步验收及最终验收，并由其出具质量检测报告。</w:t>
      </w:r>
      <w:bookmarkEnd w:id="235"/>
    </w:p>
    <w:p>
      <w:pPr>
        <w:spacing w:line="440" w:lineRule="exact"/>
        <w:jc w:val="left"/>
        <w:outlineLvl w:val="0"/>
        <w:rPr>
          <w:rFonts w:hint="eastAsia" w:ascii="宋体" w:hAnsi="宋体" w:eastAsia="宋体" w:cs="宋体"/>
          <w:szCs w:val="21"/>
          <w:highlight w:val="none"/>
        </w:rPr>
      </w:pPr>
      <w:bookmarkStart w:id="236" w:name="_Toc32014"/>
      <w:r>
        <w:rPr>
          <w:rFonts w:hint="eastAsia" w:ascii="宋体" w:hAnsi="宋体" w:eastAsia="宋体" w:cs="宋体"/>
          <w:szCs w:val="21"/>
          <w:highlight w:val="none"/>
        </w:rPr>
        <w:t>13.5 验收时乙方必须在现场，验收完毕后作出验收结果报告，验收费用由乙方负责。</w:t>
      </w:r>
      <w:bookmarkEnd w:id="236"/>
    </w:p>
    <w:p>
      <w:pPr>
        <w:spacing w:line="440" w:lineRule="exact"/>
        <w:jc w:val="left"/>
        <w:outlineLvl w:val="0"/>
        <w:rPr>
          <w:rFonts w:hint="eastAsia" w:ascii="宋体" w:hAnsi="宋体" w:eastAsia="宋体" w:cs="宋体"/>
          <w:szCs w:val="21"/>
          <w:highlight w:val="none"/>
        </w:rPr>
      </w:pPr>
      <w:bookmarkStart w:id="237" w:name="_Toc18598"/>
      <w:r>
        <w:rPr>
          <w:rFonts w:hint="eastAsia" w:ascii="宋体" w:hAnsi="宋体" w:eastAsia="宋体" w:cs="宋体"/>
          <w:szCs w:val="21"/>
          <w:highlight w:val="none"/>
        </w:rPr>
        <w:t>十四、货物包装、发运及运输</w:t>
      </w:r>
      <w:bookmarkEnd w:id="237"/>
    </w:p>
    <w:p>
      <w:pPr>
        <w:spacing w:line="440" w:lineRule="exact"/>
        <w:jc w:val="left"/>
        <w:outlineLvl w:val="0"/>
        <w:rPr>
          <w:rFonts w:hint="eastAsia" w:ascii="宋体" w:hAnsi="宋体" w:eastAsia="宋体" w:cs="宋体"/>
          <w:szCs w:val="21"/>
          <w:highlight w:val="none"/>
        </w:rPr>
      </w:pPr>
      <w:bookmarkStart w:id="238" w:name="_Toc27739"/>
      <w:r>
        <w:rPr>
          <w:rFonts w:hint="eastAsia" w:ascii="宋体" w:hAnsi="宋体" w:eastAsia="宋体" w:cs="宋体"/>
          <w:szCs w:val="21"/>
          <w:highlight w:val="none"/>
        </w:rPr>
        <w:t>14.1 乙方应在货物发运前对其进行满足运输距离、防潮、防震、防锈和防破损装卸等要求包装，以保证货物安全运达甲方指定地点。</w:t>
      </w:r>
      <w:bookmarkEnd w:id="238"/>
    </w:p>
    <w:p>
      <w:pPr>
        <w:spacing w:line="440" w:lineRule="exact"/>
        <w:jc w:val="left"/>
        <w:outlineLvl w:val="0"/>
        <w:rPr>
          <w:rFonts w:hint="eastAsia" w:ascii="宋体" w:hAnsi="宋体" w:eastAsia="宋体" w:cs="宋体"/>
          <w:szCs w:val="21"/>
          <w:highlight w:val="none"/>
        </w:rPr>
      </w:pPr>
      <w:bookmarkStart w:id="239" w:name="_Toc32051"/>
      <w:r>
        <w:rPr>
          <w:rFonts w:hint="eastAsia" w:ascii="宋体" w:hAnsi="宋体" w:eastAsia="宋体" w:cs="宋体"/>
          <w:szCs w:val="21"/>
          <w:highlight w:val="none"/>
        </w:rPr>
        <w:t>14.2 产品合格证、使用说明书、质量检验证明书、随配附件和工具以及清单一并附于货物内。</w:t>
      </w:r>
      <w:bookmarkEnd w:id="239"/>
    </w:p>
    <w:p>
      <w:pPr>
        <w:spacing w:line="440" w:lineRule="exact"/>
        <w:jc w:val="left"/>
        <w:outlineLvl w:val="0"/>
        <w:rPr>
          <w:rFonts w:hint="eastAsia" w:ascii="宋体" w:hAnsi="宋体" w:eastAsia="宋体" w:cs="宋体"/>
          <w:szCs w:val="21"/>
          <w:highlight w:val="none"/>
        </w:rPr>
      </w:pPr>
      <w:bookmarkStart w:id="240" w:name="_Toc26736"/>
      <w:r>
        <w:rPr>
          <w:rFonts w:hint="eastAsia" w:ascii="宋体" w:hAnsi="宋体" w:eastAsia="宋体" w:cs="宋体"/>
          <w:szCs w:val="21"/>
          <w:highlight w:val="none"/>
        </w:rPr>
        <w:t>14.3货物在规定的交付期限内由乙方送达甲方指定的地点并安装完成视为交付。</w:t>
      </w:r>
      <w:bookmarkEnd w:id="240"/>
    </w:p>
    <w:p>
      <w:pPr>
        <w:spacing w:line="440" w:lineRule="exact"/>
        <w:jc w:val="left"/>
        <w:outlineLvl w:val="0"/>
        <w:rPr>
          <w:rFonts w:hint="eastAsia" w:ascii="宋体" w:hAnsi="宋体" w:eastAsia="宋体" w:cs="宋体"/>
          <w:szCs w:val="21"/>
          <w:highlight w:val="none"/>
        </w:rPr>
      </w:pPr>
      <w:bookmarkStart w:id="241" w:name="_Toc22616"/>
      <w:r>
        <w:rPr>
          <w:rFonts w:hint="eastAsia" w:ascii="宋体" w:hAnsi="宋体" w:eastAsia="宋体" w:cs="宋体"/>
          <w:szCs w:val="21"/>
          <w:highlight w:val="none"/>
        </w:rPr>
        <w:t>14.4货物在交付甲方前发生的风险均由乙方负责。</w:t>
      </w:r>
      <w:bookmarkEnd w:id="241"/>
    </w:p>
    <w:p>
      <w:pPr>
        <w:spacing w:line="440" w:lineRule="exact"/>
        <w:jc w:val="left"/>
        <w:outlineLvl w:val="0"/>
        <w:rPr>
          <w:rFonts w:hint="eastAsia" w:ascii="宋体" w:hAnsi="宋体" w:eastAsia="宋体" w:cs="宋体"/>
          <w:szCs w:val="21"/>
          <w:highlight w:val="none"/>
        </w:rPr>
      </w:pPr>
      <w:bookmarkStart w:id="242" w:name="_Toc4855"/>
      <w:r>
        <w:rPr>
          <w:rFonts w:hint="eastAsia" w:ascii="宋体" w:hAnsi="宋体" w:eastAsia="宋体" w:cs="宋体"/>
          <w:szCs w:val="21"/>
          <w:highlight w:val="none"/>
        </w:rPr>
        <w:t>十五、违约责任</w:t>
      </w:r>
      <w:bookmarkEnd w:id="242"/>
    </w:p>
    <w:p>
      <w:pPr>
        <w:spacing w:line="440" w:lineRule="exact"/>
        <w:jc w:val="left"/>
        <w:outlineLvl w:val="0"/>
        <w:rPr>
          <w:rFonts w:hint="eastAsia" w:ascii="宋体" w:hAnsi="宋体" w:eastAsia="宋体" w:cs="宋体"/>
          <w:szCs w:val="21"/>
          <w:highlight w:val="none"/>
        </w:rPr>
      </w:pPr>
      <w:bookmarkStart w:id="243" w:name="_Toc9864"/>
      <w:r>
        <w:rPr>
          <w:rFonts w:hint="eastAsia" w:ascii="宋体" w:hAnsi="宋体" w:eastAsia="宋体" w:cs="宋体"/>
          <w:szCs w:val="21"/>
          <w:highlight w:val="none"/>
        </w:rPr>
        <w:t>15.1 甲方无正当理由拒收货物的，甲方向乙方偿付拒收货款总值的百分之五违约金。</w:t>
      </w:r>
      <w:bookmarkEnd w:id="243"/>
    </w:p>
    <w:p>
      <w:pPr>
        <w:spacing w:line="440" w:lineRule="exact"/>
        <w:jc w:val="left"/>
        <w:outlineLvl w:val="0"/>
        <w:rPr>
          <w:rFonts w:hint="eastAsia" w:ascii="宋体" w:hAnsi="宋体" w:eastAsia="宋体" w:cs="宋体"/>
          <w:szCs w:val="21"/>
          <w:highlight w:val="none"/>
        </w:rPr>
      </w:pPr>
      <w:bookmarkStart w:id="244" w:name="_Toc14907"/>
      <w:r>
        <w:rPr>
          <w:rFonts w:hint="eastAsia" w:ascii="宋体" w:hAnsi="宋体" w:eastAsia="宋体" w:cs="宋体"/>
          <w:szCs w:val="21"/>
          <w:highlight w:val="none"/>
        </w:rPr>
        <w:t>15.2 甲方无故逾期验收和办理货款支付手续的，甲方应按逾期付款总额每日万分之五向乙方支付违约金。</w:t>
      </w:r>
      <w:bookmarkEnd w:id="244"/>
    </w:p>
    <w:p>
      <w:pPr>
        <w:spacing w:line="440" w:lineRule="exact"/>
        <w:jc w:val="left"/>
        <w:outlineLvl w:val="0"/>
        <w:rPr>
          <w:rFonts w:hint="eastAsia" w:ascii="宋体" w:hAnsi="宋体" w:eastAsia="宋体" w:cs="宋体"/>
          <w:szCs w:val="21"/>
          <w:highlight w:val="none"/>
        </w:rPr>
      </w:pPr>
      <w:bookmarkStart w:id="245" w:name="_Toc2531"/>
      <w:r>
        <w:rPr>
          <w:rFonts w:hint="eastAsia" w:ascii="宋体" w:hAnsi="宋体" w:eastAsia="宋体" w:cs="宋体"/>
          <w:szCs w:val="21"/>
          <w:highlight w:val="none"/>
        </w:rPr>
        <w:t>15.3 乙方逾期交付货物的，乙方应按逾期交货总额每日千分之五向甲方支付违约金。逾期超过约定日期10个工作日不能交货的，甲方可解除本合同。乙方因逾期交货或因其他违约行为导致甲方解除合同的，乙方应向甲方支付合同总值百分之五的违约金，如造成甲方损失超过违约金的，超出部分由乙方继续承担赔偿责任。</w:t>
      </w:r>
      <w:bookmarkEnd w:id="245"/>
      <w:r>
        <w:rPr>
          <w:rFonts w:hint="eastAsia" w:ascii="宋体" w:hAnsi="宋体" w:eastAsia="宋体" w:cs="宋体"/>
          <w:szCs w:val="21"/>
          <w:highlight w:val="none"/>
        </w:rPr>
        <w:t xml:space="preserve"> </w:t>
      </w:r>
    </w:p>
    <w:p>
      <w:pPr>
        <w:spacing w:line="440" w:lineRule="exact"/>
        <w:jc w:val="left"/>
        <w:outlineLvl w:val="0"/>
        <w:rPr>
          <w:rFonts w:hint="eastAsia" w:ascii="宋体" w:hAnsi="宋体" w:eastAsia="宋体" w:cs="宋体"/>
          <w:szCs w:val="21"/>
          <w:highlight w:val="none"/>
        </w:rPr>
      </w:pPr>
      <w:bookmarkStart w:id="246" w:name="_Toc22742"/>
      <w:r>
        <w:rPr>
          <w:rFonts w:hint="eastAsia" w:ascii="宋体" w:hAnsi="宋体" w:eastAsia="宋体" w:cs="宋体"/>
          <w:szCs w:val="21"/>
          <w:highlight w:val="none"/>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bookmarkEnd w:id="246"/>
    </w:p>
    <w:p>
      <w:pPr>
        <w:spacing w:line="440" w:lineRule="exact"/>
        <w:jc w:val="left"/>
        <w:outlineLvl w:val="0"/>
        <w:rPr>
          <w:rFonts w:hint="eastAsia" w:ascii="宋体" w:hAnsi="宋体" w:eastAsia="宋体" w:cs="宋体"/>
          <w:szCs w:val="21"/>
          <w:highlight w:val="none"/>
        </w:rPr>
      </w:pPr>
      <w:bookmarkStart w:id="247" w:name="_Toc22445"/>
      <w:r>
        <w:rPr>
          <w:rFonts w:hint="eastAsia" w:ascii="宋体" w:hAnsi="宋体" w:eastAsia="宋体" w:cs="宋体"/>
          <w:szCs w:val="21"/>
          <w:highlight w:val="none"/>
        </w:rPr>
        <w:t>十六、不可抗力事件处理</w:t>
      </w:r>
      <w:bookmarkEnd w:id="247"/>
    </w:p>
    <w:p>
      <w:pPr>
        <w:spacing w:line="440" w:lineRule="exact"/>
        <w:jc w:val="left"/>
        <w:outlineLvl w:val="0"/>
        <w:rPr>
          <w:rFonts w:hint="eastAsia" w:ascii="宋体" w:hAnsi="宋体" w:eastAsia="宋体" w:cs="宋体"/>
          <w:szCs w:val="21"/>
          <w:highlight w:val="none"/>
        </w:rPr>
      </w:pPr>
      <w:bookmarkStart w:id="248" w:name="_Toc26567"/>
      <w:r>
        <w:rPr>
          <w:rFonts w:hint="eastAsia" w:ascii="宋体" w:hAnsi="宋体" w:eastAsia="宋体" w:cs="宋体"/>
          <w:szCs w:val="21"/>
          <w:highlight w:val="none"/>
        </w:rPr>
        <w:t>16.1 在合同有效期内，任何一方因不可抗力事件导致不能履行合同，则合同履行期可延长，其延长期与不可抗力影响期相同。</w:t>
      </w:r>
      <w:bookmarkEnd w:id="248"/>
    </w:p>
    <w:p>
      <w:pPr>
        <w:spacing w:line="440" w:lineRule="exact"/>
        <w:jc w:val="left"/>
        <w:outlineLvl w:val="0"/>
        <w:rPr>
          <w:rFonts w:hint="eastAsia" w:ascii="宋体" w:hAnsi="宋体" w:eastAsia="宋体" w:cs="宋体"/>
          <w:szCs w:val="21"/>
          <w:highlight w:val="none"/>
        </w:rPr>
      </w:pPr>
      <w:bookmarkStart w:id="249" w:name="_Toc25227"/>
      <w:r>
        <w:rPr>
          <w:rFonts w:hint="eastAsia" w:ascii="宋体" w:hAnsi="宋体" w:eastAsia="宋体" w:cs="宋体"/>
          <w:szCs w:val="21"/>
          <w:highlight w:val="none"/>
        </w:rPr>
        <w:t>16.2 不可抗力事件发生后，应立即通知对方，并寄送有关权威机构出具的证明。</w:t>
      </w:r>
      <w:bookmarkEnd w:id="249"/>
    </w:p>
    <w:p>
      <w:pPr>
        <w:spacing w:line="440" w:lineRule="exact"/>
        <w:jc w:val="left"/>
        <w:outlineLvl w:val="0"/>
        <w:rPr>
          <w:rFonts w:hint="eastAsia" w:ascii="宋体" w:hAnsi="宋体" w:eastAsia="宋体" w:cs="宋体"/>
          <w:szCs w:val="21"/>
          <w:highlight w:val="none"/>
        </w:rPr>
      </w:pPr>
      <w:bookmarkStart w:id="250" w:name="_Toc15929"/>
      <w:r>
        <w:rPr>
          <w:rFonts w:hint="eastAsia" w:ascii="宋体" w:hAnsi="宋体" w:eastAsia="宋体" w:cs="宋体"/>
          <w:szCs w:val="21"/>
          <w:highlight w:val="none"/>
        </w:rPr>
        <w:t>16.3 不可抗力事件延续120天以上，双方应通过友好协商，确定是否继续履行合同。</w:t>
      </w:r>
      <w:bookmarkEnd w:id="250"/>
    </w:p>
    <w:p>
      <w:pPr>
        <w:spacing w:line="440" w:lineRule="exact"/>
        <w:jc w:val="left"/>
        <w:outlineLvl w:val="0"/>
        <w:rPr>
          <w:rFonts w:hint="eastAsia" w:ascii="宋体" w:hAnsi="宋体" w:eastAsia="宋体" w:cs="宋体"/>
          <w:szCs w:val="21"/>
          <w:highlight w:val="none"/>
        </w:rPr>
      </w:pPr>
      <w:bookmarkStart w:id="251" w:name="_Toc8111"/>
      <w:r>
        <w:rPr>
          <w:rFonts w:hint="eastAsia" w:ascii="宋体" w:hAnsi="宋体" w:eastAsia="宋体" w:cs="宋体"/>
          <w:szCs w:val="21"/>
          <w:highlight w:val="none"/>
        </w:rPr>
        <w:t>十七、诉讼</w:t>
      </w:r>
      <w:bookmarkEnd w:id="251"/>
    </w:p>
    <w:p>
      <w:pPr>
        <w:spacing w:line="440" w:lineRule="exact"/>
        <w:jc w:val="left"/>
        <w:outlineLvl w:val="0"/>
        <w:rPr>
          <w:rFonts w:hint="eastAsia" w:ascii="宋体" w:hAnsi="宋体" w:eastAsia="宋体" w:cs="宋体"/>
          <w:szCs w:val="21"/>
          <w:highlight w:val="none"/>
        </w:rPr>
      </w:pPr>
      <w:bookmarkStart w:id="252" w:name="_Toc21635"/>
      <w:r>
        <w:rPr>
          <w:rFonts w:hint="eastAsia" w:ascii="宋体" w:hAnsi="宋体" w:eastAsia="宋体" w:cs="宋体"/>
          <w:szCs w:val="21"/>
          <w:highlight w:val="none"/>
        </w:rPr>
        <w:t>17.1双方在执行合同中所发生的一切争议，应通过协商解决。如协商不成，可向安吉县人民法院起诉。</w:t>
      </w:r>
      <w:bookmarkEnd w:id="252"/>
    </w:p>
    <w:p>
      <w:pPr>
        <w:spacing w:line="440" w:lineRule="exact"/>
        <w:jc w:val="left"/>
        <w:outlineLvl w:val="0"/>
        <w:rPr>
          <w:rFonts w:hint="eastAsia" w:ascii="宋体" w:hAnsi="宋体" w:eastAsia="宋体" w:cs="宋体"/>
          <w:szCs w:val="21"/>
          <w:highlight w:val="none"/>
        </w:rPr>
      </w:pPr>
      <w:bookmarkStart w:id="253" w:name="_Toc18003"/>
      <w:r>
        <w:rPr>
          <w:rFonts w:hint="eastAsia" w:ascii="宋体" w:hAnsi="宋体" w:eastAsia="宋体" w:cs="宋体"/>
          <w:szCs w:val="21"/>
          <w:highlight w:val="none"/>
        </w:rPr>
        <w:t>十八、合同生效及其它</w:t>
      </w:r>
      <w:bookmarkEnd w:id="253"/>
    </w:p>
    <w:p>
      <w:pPr>
        <w:spacing w:line="440" w:lineRule="exact"/>
        <w:jc w:val="left"/>
        <w:outlineLvl w:val="0"/>
        <w:rPr>
          <w:rFonts w:hint="eastAsia" w:ascii="宋体" w:hAnsi="宋体" w:eastAsia="宋体" w:cs="宋体"/>
          <w:szCs w:val="21"/>
          <w:highlight w:val="none"/>
        </w:rPr>
      </w:pPr>
      <w:bookmarkStart w:id="254" w:name="_Toc11306"/>
      <w:r>
        <w:rPr>
          <w:rFonts w:hint="eastAsia" w:ascii="宋体" w:hAnsi="宋体" w:eastAsia="宋体" w:cs="宋体"/>
          <w:szCs w:val="21"/>
          <w:highlight w:val="none"/>
        </w:rPr>
        <w:t>18.1 合同经双方法定代表人或授权委托代理人签字并加盖单位公章后生效。</w:t>
      </w:r>
      <w:bookmarkEnd w:id="254"/>
    </w:p>
    <w:p>
      <w:pPr>
        <w:spacing w:line="440" w:lineRule="exact"/>
        <w:jc w:val="left"/>
        <w:outlineLvl w:val="0"/>
        <w:rPr>
          <w:rFonts w:hint="eastAsia" w:ascii="宋体" w:hAnsi="宋体" w:eastAsia="宋体" w:cs="宋体"/>
          <w:szCs w:val="21"/>
          <w:highlight w:val="none"/>
        </w:rPr>
      </w:pPr>
      <w:bookmarkStart w:id="255" w:name="_Toc17470"/>
      <w:r>
        <w:rPr>
          <w:rFonts w:hint="eastAsia" w:ascii="宋体" w:hAnsi="宋体" w:eastAsia="宋体" w:cs="宋体"/>
          <w:szCs w:val="21"/>
          <w:highlight w:val="none"/>
        </w:rPr>
        <w:t>18.2如需修改或补充合同内容，经协商，双方应签署书面修改或补充协议，该协议将作为本合同的一个组成部分。</w:t>
      </w:r>
      <w:bookmarkEnd w:id="255"/>
    </w:p>
    <w:p>
      <w:pPr>
        <w:spacing w:line="440" w:lineRule="exact"/>
        <w:jc w:val="left"/>
        <w:outlineLvl w:val="0"/>
        <w:rPr>
          <w:rFonts w:hint="eastAsia" w:ascii="宋体" w:hAnsi="宋体" w:eastAsia="宋体" w:cs="宋体"/>
          <w:szCs w:val="21"/>
          <w:highlight w:val="none"/>
        </w:rPr>
      </w:pPr>
      <w:bookmarkStart w:id="256" w:name="_Toc27881"/>
      <w:r>
        <w:rPr>
          <w:rFonts w:hint="eastAsia" w:ascii="宋体" w:hAnsi="宋体" w:eastAsia="宋体" w:cs="宋体"/>
          <w:szCs w:val="21"/>
          <w:highlight w:val="none"/>
        </w:rPr>
        <w:t>18.3本合同未尽事宜，遵照《</w:t>
      </w:r>
      <w:r>
        <w:rPr>
          <w:rFonts w:hint="eastAsia" w:ascii="宋体" w:hAnsi="宋体" w:cs="宋体"/>
          <w:szCs w:val="21"/>
          <w:highlight w:val="none"/>
          <w:lang w:eastAsia="zh-CN"/>
        </w:rPr>
        <w:t>中华人民共和国民法典</w:t>
      </w:r>
      <w:r>
        <w:rPr>
          <w:rFonts w:hint="eastAsia" w:ascii="宋体" w:hAnsi="宋体" w:eastAsia="宋体" w:cs="宋体"/>
          <w:szCs w:val="21"/>
          <w:highlight w:val="none"/>
        </w:rPr>
        <w:t>》有关条文执行。</w:t>
      </w:r>
      <w:bookmarkEnd w:id="256"/>
    </w:p>
    <w:p>
      <w:pPr>
        <w:spacing w:line="440" w:lineRule="exact"/>
        <w:jc w:val="left"/>
        <w:outlineLvl w:val="0"/>
        <w:rPr>
          <w:rFonts w:hint="eastAsia" w:ascii="宋体" w:hAnsi="宋体" w:eastAsia="宋体" w:cs="宋体"/>
          <w:szCs w:val="21"/>
          <w:highlight w:val="none"/>
        </w:rPr>
      </w:pPr>
      <w:bookmarkStart w:id="257" w:name="_Toc30494"/>
      <w:r>
        <w:rPr>
          <w:rFonts w:hint="eastAsia" w:ascii="宋体" w:hAnsi="宋体" w:eastAsia="宋体" w:cs="宋体"/>
          <w:szCs w:val="21"/>
          <w:highlight w:val="none"/>
        </w:rPr>
        <w:t>18.4本合同正本一式两份，具有同等法律效力，甲乙双方各执一份；副本两份，送交有关部门备案。</w:t>
      </w:r>
      <w:bookmarkEnd w:id="257"/>
    </w:p>
    <w:p>
      <w:pPr>
        <w:spacing w:line="440" w:lineRule="exact"/>
        <w:jc w:val="left"/>
        <w:outlineLvl w:val="0"/>
        <w:rPr>
          <w:rFonts w:hint="eastAsia" w:ascii="宋体" w:hAnsi="宋体" w:eastAsia="宋体" w:cs="宋体"/>
          <w:szCs w:val="21"/>
          <w:highlight w:val="none"/>
        </w:rPr>
      </w:pPr>
    </w:p>
    <w:p>
      <w:pPr>
        <w:spacing w:line="440" w:lineRule="exact"/>
        <w:jc w:val="left"/>
        <w:outlineLvl w:val="0"/>
        <w:rPr>
          <w:rFonts w:hint="eastAsia" w:ascii="宋体" w:hAnsi="宋体" w:eastAsia="宋体" w:cs="宋体"/>
          <w:szCs w:val="21"/>
          <w:highlight w:val="none"/>
        </w:rPr>
      </w:pPr>
      <w:bookmarkStart w:id="258" w:name="_Toc1807"/>
      <w:r>
        <w:rPr>
          <w:rFonts w:hint="eastAsia" w:ascii="宋体" w:hAnsi="宋体" w:eastAsia="宋体" w:cs="宋体"/>
          <w:szCs w:val="21"/>
          <w:highlight w:val="none"/>
        </w:rPr>
        <w:t>甲方：                                   乙方：</w:t>
      </w:r>
      <w:bookmarkEnd w:id="258"/>
      <w:r>
        <w:rPr>
          <w:rFonts w:hint="eastAsia" w:ascii="宋体" w:hAnsi="宋体" w:eastAsia="宋体" w:cs="宋体"/>
          <w:szCs w:val="21"/>
          <w:highlight w:val="none"/>
        </w:rPr>
        <w:t xml:space="preserve"> </w:t>
      </w:r>
    </w:p>
    <w:p>
      <w:pPr>
        <w:spacing w:line="440" w:lineRule="exact"/>
        <w:jc w:val="left"/>
        <w:outlineLvl w:val="0"/>
        <w:rPr>
          <w:rFonts w:hint="eastAsia" w:ascii="宋体" w:hAnsi="宋体" w:eastAsia="宋体" w:cs="宋体"/>
          <w:szCs w:val="21"/>
          <w:highlight w:val="none"/>
        </w:rPr>
      </w:pPr>
    </w:p>
    <w:p>
      <w:pPr>
        <w:spacing w:line="440" w:lineRule="exact"/>
        <w:jc w:val="left"/>
        <w:outlineLvl w:val="0"/>
        <w:rPr>
          <w:rFonts w:hint="eastAsia" w:ascii="宋体" w:hAnsi="宋体" w:eastAsia="宋体" w:cs="宋体"/>
          <w:szCs w:val="21"/>
          <w:highlight w:val="none"/>
        </w:rPr>
      </w:pPr>
      <w:bookmarkStart w:id="259" w:name="_Toc23034"/>
      <w:r>
        <w:rPr>
          <w:rFonts w:hint="eastAsia" w:ascii="宋体" w:hAnsi="宋体" w:eastAsia="宋体" w:cs="宋体"/>
          <w:szCs w:val="21"/>
          <w:highlight w:val="none"/>
        </w:rPr>
        <w:t>地址：                                   地址：</w:t>
      </w:r>
      <w:bookmarkEnd w:id="259"/>
      <w:r>
        <w:rPr>
          <w:rFonts w:hint="eastAsia" w:ascii="宋体" w:hAnsi="宋体" w:eastAsia="宋体" w:cs="宋体"/>
          <w:szCs w:val="21"/>
          <w:highlight w:val="none"/>
        </w:rPr>
        <w:t xml:space="preserve"> </w:t>
      </w:r>
    </w:p>
    <w:p>
      <w:pPr>
        <w:spacing w:line="440" w:lineRule="exact"/>
        <w:jc w:val="left"/>
        <w:outlineLvl w:val="0"/>
        <w:rPr>
          <w:rFonts w:hint="eastAsia" w:ascii="宋体" w:hAnsi="宋体" w:eastAsia="宋体" w:cs="宋体"/>
          <w:szCs w:val="21"/>
          <w:highlight w:val="none"/>
        </w:rPr>
      </w:pPr>
    </w:p>
    <w:p>
      <w:pPr>
        <w:spacing w:line="440" w:lineRule="exact"/>
        <w:jc w:val="left"/>
        <w:outlineLvl w:val="0"/>
        <w:rPr>
          <w:rFonts w:hint="eastAsia" w:ascii="宋体" w:hAnsi="宋体" w:eastAsia="宋体" w:cs="宋体"/>
          <w:szCs w:val="21"/>
          <w:highlight w:val="none"/>
        </w:rPr>
      </w:pPr>
      <w:bookmarkStart w:id="260" w:name="_Toc28081"/>
      <w:r>
        <w:rPr>
          <w:rFonts w:hint="eastAsia" w:ascii="宋体" w:hAnsi="宋体" w:eastAsia="宋体" w:cs="宋体"/>
          <w:szCs w:val="21"/>
          <w:highlight w:val="none"/>
        </w:rPr>
        <w:t>法定代表人：                             法定代表人：</w:t>
      </w:r>
      <w:bookmarkEnd w:id="260"/>
    </w:p>
    <w:p>
      <w:pPr>
        <w:spacing w:line="440" w:lineRule="exact"/>
        <w:jc w:val="left"/>
        <w:outlineLvl w:val="0"/>
        <w:rPr>
          <w:rFonts w:hint="eastAsia" w:ascii="宋体" w:hAnsi="宋体" w:eastAsia="宋体" w:cs="宋体"/>
          <w:szCs w:val="21"/>
          <w:highlight w:val="none"/>
        </w:rPr>
      </w:pPr>
    </w:p>
    <w:p>
      <w:pPr>
        <w:spacing w:line="440" w:lineRule="exact"/>
        <w:jc w:val="left"/>
        <w:outlineLvl w:val="0"/>
        <w:rPr>
          <w:rFonts w:hint="eastAsia" w:ascii="宋体" w:hAnsi="宋体" w:eastAsia="宋体" w:cs="宋体"/>
          <w:szCs w:val="21"/>
          <w:highlight w:val="none"/>
        </w:rPr>
      </w:pPr>
      <w:bookmarkStart w:id="261" w:name="_Toc3861"/>
      <w:r>
        <w:rPr>
          <w:rFonts w:hint="eastAsia" w:ascii="宋体" w:hAnsi="宋体" w:eastAsia="宋体" w:cs="宋体"/>
          <w:szCs w:val="21"/>
          <w:highlight w:val="none"/>
        </w:rPr>
        <w:t>签订地点：                               签订日期：      年  月  日</w:t>
      </w:r>
      <w:bookmarkEnd w:id="261"/>
    </w:p>
    <w:p>
      <w:pPr>
        <w:tabs>
          <w:tab w:val="left" w:pos="0"/>
          <w:tab w:val="left" w:pos="840"/>
        </w:tabs>
        <w:snapToGrid w:val="0"/>
        <w:spacing w:line="440" w:lineRule="exact"/>
        <w:ind w:firstLine="420" w:firstLineChars="200"/>
        <w:rPr>
          <w:rFonts w:ascii="宋体" w:hAnsi="宋体" w:cs="宋体"/>
          <w:szCs w:val="21"/>
          <w:highlight w:val="none"/>
        </w:rPr>
      </w:pPr>
    </w:p>
    <w:p>
      <w:pPr>
        <w:tabs>
          <w:tab w:val="left" w:pos="0"/>
          <w:tab w:val="left" w:pos="840"/>
        </w:tabs>
        <w:snapToGrid w:val="0"/>
        <w:spacing w:line="440" w:lineRule="exact"/>
        <w:ind w:firstLine="420" w:firstLineChars="200"/>
        <w:rPr>
          <w:rFonts w:ascii="宋体" w:hAnsi="宋体" w:cs="宋体"/>
          <w:szCs w:val="21"/>
          <w:highlight w:val="none"/>
        </w:rPr>
      </w:pPr>
    </w:p>
    <w:p>
      <w:pPr>
        <w:pStyle w:val="40"/>
        <w:rPr>
          <w:rFonts w:ascii="宋体" w:hAnsi="宋体" w:cs="宋体"/>
          <w:szCs w:val="21"/>
          <w:highlight w:val="none"/>
        </w:rPr>
      </w:pPr>
    </w:p>
    <w:p>
      <w:pPr>
        <w:pStyle w:val="3"/>
        <w:rPr>
          <w:rFonts w:ascii="宋体" w:hAnsi="宋体" w:cs="宋体"/>
          <w:szCs w:val="21"/>
          <w:highlight w:val="none"/>
        </w:rPr>
      </w:pPr>
    </w:p>
    <w:p>
      <w:pPr>
        <w:pStyle w:val="2"/>
        <w:rPr>
          <w:rFonts w:ascii="宋体" w:hAnsi="宋体" w:cs="宋体"/>
          <w:szCs w:val="21"/>
          <w:highlight w:val="none"/>
        </w:rPr>
      </w:pPr>
    </w:p>
    <w:p>
      <w:pPr>
        <w:pStyle w:val="23"/>
        <w:rPr>
          <w:rFonts w:ascii="宋体" w:hAnsi="宋体" w:cs="宋体"/>
          <w:szCs w:val="21"/>
          <w:highlight w:val="none"/>
        </w:rPr>
      </w:pPr>
    </w:p>
    <w:p>
      <w:pPr>
        <w:rPr>
          <w:rFonts w:ascii="宋体" w:hAnsi="宋体" w:cs="宋体"/>
          <w:szCs w:val="21"/>
          <w:highlight w:val="none"/>
        </w:rPr>
      </w:pPr>
    </w:p>
    <w:p>
      <w:pPr>
        <w:pStyle w:val="40"/>
        <w:rPr>
          <w:rFonts w:ascii="宋体" w:hAnsi="宋体" w:cs="宋体"/>
          <w:szCs w:val="21"/>
          <w:highlight w:val="none"/>
        </w:rPr>
      </w:pPr>
    </w:p>
    <w:p>
      <w:pPr>
        <w:pStyle w:val="3"/>
        <w:rPr>
          <w:rFonts w:ascii="宋体" w:hAnsi="宋体" w:cs="宋体"/>
          <w:szCs w:val="21"/>
          <w:highlight w:val="none"/>
        </w:rPr>
      </w:pPr>
    </w:p>
    <w:p>
      <w:pPr>
        <w:pStyle w:val="2"/>
        <w:rPr>
          <w:rFonts w:ascii="宋体" w:hAnsi="宋体" w:cs="宋体"/>
          <w:szCs w:val="21"/>
          <w:highlight w:val="none"/>
        </w:rPr>
      </w:pPr>
    </w:p>
    <w:p>
      <w:pPr>
        <w:pStyle w:val="23"/>
        <w:rPr>
          <w:rFonts w:ascii="宋体" w:hAnsi="宋体" w:cs="宋体"/>
          <w:szCs w:val="21"/>
          <w:highlight w:val="none"/>
        </w:rPr>
      </w:pPr>
    </w:p>
    <w:p>
      <w:pPr>
        <w:rPr>
          <w:rFonts w:ascii="宋体" w:hAnsi="宋体" w:cs="宋体"/>
          <w:szCs w:val="21"/>
          <w:highlight w:val="none"/>
        </w:rPr>
      </w:pPr>
    </w:p>
    <w:p>
      <w:pPr>
        <w:pStyle w:val="40"/>
        <w:rPr>
          <w:rFonts w:ascii="宋体" w:hAnsi="宋体" w:cs="宋体"/>
          <w:szCs w:val="21"/>
          <w:highlight w:val="none"/>
        </w:rPr>
      </w:pPr>
    </w:p>
    <w:p>
      <w:pPr>
        <w:pStyle w:val="3"/>
        <w:rPr>
          <w:rFonts w:ascii="宋体" w:hAnsi="宋体" w:cs="宋体"/>
          <w:szCs w:val="21"/>
          <w:highlight w:val="none"/>
        </w:rPr>
      </w:pPr>
    </w:p>
    <w:p>
      <w:pPr>
        <w:pStyle w:val="2"/>
        <w:rPr>
          <w:rFonts w:ascii="宋体" w:hAnsi="宋体" w:cs="宋体"/>
          <w:szCs w:val="21"/>
          <w:highlight w:val="none"/>
        </w:rPr>
      </w:pPr>
    </w:p>
    <w:p>
      <w:pPr>
        <w:pStyle w:val="23"/>
        <w:rPr>
          <w:rFonts w:ascii="宋体" w:hAnsi="宋体" w:cs="宋体"/>
          <w:szCs w:val="21"/>
          <w:highlight w:val="none"/>
        </w:rPr>
      </w:pPr>
    </w:p>
    <w:p>
      <w:pPr>
        <w:rPr>
          <w:rFonts w:ascii="宋体" w:hAnsi="宋体" w:cs="宋体"/>
          <w:szCs w:val="21"/>
          <w:highlight w:val="none"/>
        </w:rPr>
      </w:pPr>
    </w:p>
    <w:p>
      <w:pPr>
        <w:pStyle w:val="40"/>
        <w:rPr>
          <w:rFonts w:ascii="宋体" w:hAnsi="宋体" w:cs="宋体"/>
          <w:szCs w:val="21"/>
          <w:highlight w:val="none"/>
        </w:rPr>
      </w:pPr>
    </w:p>
    <w:p>
      <w:pPr>
        <w:pStyle w:val="3"/>
        <w:rPr>
          <w:rFonts w:ascii="宋体" w:hAnsi="宋体" w:cs="宋体"/>
          <w:szCs w:val="21"/>
          <w:highlight w:val="none"/>
        </w:rPr>
      </w:pPr>
    </w:p>
    <w:p>
      <w:pPr>
        <w:rPr>
          <w:rFonts w:ascii="宋体" w:hAnsi="宋体" w:cs="宋体"/>
          <w:szCs w:val="21"/>
          <w:highlight w:val="none"/>
        </w:rPr>
      </w:pPr>
    </w:p>
    <w:p>
      <w:pPr>
        <w:pStyle w:val="2"/>
        <w:rPr>
          <w:rFonts w:ascii="宋体" w:hAnsi="宋体" w:cs="宋体"/>
          <w:szCs w:val="21"/>
          <w:highlight w:val="none"/>
        </w:rPr>
      </w:pPr>
    </w:p>
    <w:p>
      <w:pPr>
        <w:rPr>
          <w:rFonts w:ascii="宋体" w:hAnsi="宋体" w:cs="宋体"/>
          <w:szCs w:val="21"/>
          <w:highlight w:val="none"/>
        </w:rPr>
      </w:pPr>
    </w:p>
    <w:p>
      <w:pPr>
        <w:pStyle w:val="2"/>
        <w:rPr>
          <w:rFonts w:ascii="宋体" w:hAnsi="宋体" w:cs="宋体"/>
          <w:szCs w:val="21"/>
          <w:highlight w:val="none"/>
        </w:rPr>
      </w:pPr>
    </w:p>
    <w:p>
      <w:pPr>
        <w:rPr>
          <w:rFonts w:ascii="宋体" w:hAnsi="宋体" w:cs="宋体"/>
          <w:szCs w:val="21"/>
          <w:highlight w:val="none"/>
        </w:rPr>
      </w:pPr>
    </w:p>
    <w:p>
      <w:pPr>
        <w:pStyle w:val="2"/>
        <w:rPr>
          <w:rFonts w:ascii="宋体" w:hAnsi="宋体" w:cs="宋体"/>
          <w:szCs w:val="21"/>
          <w:highlight w:val="none"/>
        </w:rPr>
      </w:pPr>
    </w:p>
    <w:p>
      <w:pPr>
        <w:rPr>
          <w:rFonts w:ascii="宋体" w:hAnsi="宋体" w:cs="宋体"/>
          <w:szCs w:val="21"/>
          <w:highlight w:val="none"/>
        </w:rPr>
      </w:pPr>
    </w:p>
    <w:p>
      <w:pPr>
        <w:pStyle w:val="2"/>
        <w:rPr>
          <w:highlight w:val="none"/>
        </w:rPr>
      </w:pPr>
    </w:p>
    <w:p>
      <w:pPr>
        <w:pStyle w:val="2"/>
        <w:rPr>
          <w:highlight w:val="none"/>
        </w:rPr>
      </w:pPr>
    </w:p>
    <w:p>
      <w:pPr>
        <w:pStyle w:val="4"/>
        <w:spacing w:line="240" w:lineRule="auto"/>
        <w:jc w:val="center"/>
        <w:rPr>
          <w:rFonts w:ascii="宋体" w:hAnsi="宋体" w:cs="宋体"/>
          <w:snapToGrid w:val="0"/>
          <w:sz w:val="36"/>
          <w:szCs w:val="36"/>
          <w:highlight w:val="none"/>
        </w:rPr>
      </w:pPr>
      <w:bookmarkStart w:id="262" w:name="_Toc27994"/>
      <w:bookmarkStart w:id="263" w:name="_Toc22542"/>
      <w:bookmarkStart w:id="264" w:name="_Toc19174"/>
      <w:bookmarkStart w:id="265" w:name="_Toc317341951"/>
      <w:bookmarkStart w:id="266" w:name="_Toc1483724604"/>
      <w:bookmarkStart w:id="267" w:name="_Toc25035"/>
      <w:r>
        <w:rPr>
          <w:rFonts w:hint="eastAsia" w:ascii="宋体" w:hAnsi="宋体" w:cs="宋体"/>
          <w:snapToGrid w:val="0"/>
          <w:sz w:val="36"/>
          <w:szCs w:val="36"/>
          <w:highlight w:val="none"/>
        </w:rPr>
        <w:t>第六章  投标文件的格式</w:t>
      </w:r>
      <w:bookmarkEnd w:id="183"/>
      <w:bookmarkEnd w:id="262"/>
      <w:bookmarkEnd w:id="263"/>
      <w:bookmarkEnd w:id="264"/>
      <w:bookmarkEnd w:id="265"/>
      <w:bookmarkEnd w:id="266"/>
      <w:bookmarkEnd w:id="267"/>
    </w:p>
    <w:p>
      <w:pPr>
        <w:spacing w:line="320" w:lineRule="exact"/>
        <w:jc w:val="right"/>
        <w:rPr>
          <w:rFonts w:ascii="宋体" w:hAnsi="宋体" w:cs="宋体"/>
          <w:szCs w:val="21"/>
          <w:highlight w:val="none"/>
        </w:rPr>
      </w:pPr>
      <w:bookmarkStart w:id="268" w:name="_Toc286416745"/>
      <w:bookmarkStart w:id="269" w:name="_Toc251601950"/>
      <w:bookmarkStart w:id="270" w:name="_Toc251602205"/>
    </w:p>
    <w:p>
      <w:pPr>
        <w:spacing w:line="320" w:lineRule="exact"/>
        <w:rPr>
          <w:rFonts w:ascii="宋体" w:hAnsi="宋体" w:cs="宋体"/>
          <w:szCs w:val="21"/>
          <w:highlight w:val="none"/>
        </w:rPr>
      </w:pPr>
    </w:p>
    <w:p>
      <w:pPr>
        <w:pStyle w:val="5"/>
        <w:jc w:val="center"/>
        <w:rPr>
          <w:rFonts w:ascii="宋体" w:hAnsi="宋体" w:eastAsia="宋体" w:cs="宋体"/>
          <w:sz w:val="24"/>
          <w:highlight w:val="none"/>
        </w:rPr>
      </w:pPr>
      <w:bookmarkStart w:id="271" w:name="_Toc26573"/>
      <w:bookmarkStart w:id="272" w:name="_Toc32085"/>
      <w:bookmarkStart w:id="273" w:name="_Toc318084367"/>
      <w:bookmarkStart w:id="274" w:name="_Toc599354101"/>
      <w:bookmarkStart w:id="275" w:name="_Toc2236"/>
      <w:bookmarkStart w:id="276" w:name="_Toc22205"/>
      <w:bookmarkStart w:id="277" w:name="_Toc17135"/>
      <w:r>
        <w:rPr>
          <w:rFonts w:hint="eastAsia" w:ascii="宋体" w:hAnsi="宋体" w:eastAsia="宋体" w:cs="宋体"/>
          <w:sz w:val="28"/>
          <w:szCs w:val="28"/>
          <w:highlight w:val="none"/>
        </w:rPr>
        <w:t>一、资格证明文件格式</w:t>
      </w:r>
      <w:bookmarkEnd w:id="268"/>
      <w:bookmarkEnd w:id="271"/>
      <w:bookmarkEnd w:id="272"/>
      <w:bookmarkEnd w:id="273"/>
      <w:bookmarkEnd w:id="274"/>
      <w:bookmarkEnd w:id="275"/>
      <w:bookmarkEnd w:id="276"/>
      <w:bookmarkEnd w:id="277"/>
    </w:p>
    <w:p>
      <w:pPr>
        <w:adjustRightInd w:val="0"/>
        <w:snapToGrid w:val="0"/>
        <w:rPr>
          <w:rFonts w:ascii="宋体" w:hAnsi="宋体" w:cs="宋体"/>
          <w:sz w:val="24"/>
          <w:highlight w:val="none"/>
        </w:rPr>
      </w:pPr>
      <w:r>
        <w:rPr>
          <w:rFonts w:hint="eastAsia" w:ascii="宋体" w:hAnsi="宋体" w:cs="宋体"/>
          <w:sz w:val="24"/>
          <w:highlight w:val="none"/>
        </w:rPr>
        <w:t xml:space="preserve">1、资格证明文件封面格式： </w:t>
      </w: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b/>
          <w:bCs/>
          <w:sz w:val="24"/>
          <w:highlight w:val="none"/>
        </w:rPr>
      </w:pPr>
    </w:p>
    <w:p>
      <w:pPr>
        <w:adjustRightInd w:val="0"/>
        <w:snapToGrid w:val="0"/>
        <w:jc w:val="center"/>
        <w:rPr>
          <w:rFonts w:ascii="宋体" w:hAnsi="宋体" w:cs="宋体"/>
          <w:bCs/>
          <w:sz w:val="30"/>
          <w:szCs w:val="30"/>
          <w:highlight w:val="none"/>
        </w:rPr>
      </w:pPr>
      <w:r>
        <w:rPr>
          <w:rFonts w:hint="eastAsia" w:ascii="宋体" w:hAnsi="宋体" w:cs="宋体"/>
          <w:bCs/>
          <w:sz w:val="30"/>
          <w:szCs w:val="30"/>
          <w:highlight w:val="none"/>
        </w:rPr>
        <w:t>×××（投标人名称）</w:t>
      </w:r>
    </w:p>
    <w:p>
      <w:pPr>
        <w:adjustRightInd w:val="0"/>
        <w:snapToGrid w:val="0"/>
        <w:jc w:val="center"/>
        <w:rPr>
          <w:rFonts w:ascii="宋体" w:hAnsi="宋体" w:cs="宋体"/>
          <w:bCs/>
          <w:sz w:val="30"/>
          <w:szCs w:val="30"/>
          <w:highlight w:val="none"/>
        </w:rPr>
      </w:pPr>
    </w:p>
    <w:p>
      <w:pPr>
        <w:adjustRightInd w:val="0"/>
        <w:snapToGrid w:val="0"/>
        <w:jc w:val="center"/>
        <w:rPr>
          <w:rFonts w:ascii="宋体" w:hAnsi="宋体" w:cs="宋体"/>
          <w:b/>
          <w:bCs/>
          <w:sz w:val="48"/>
          <w:szCs w:val="48"/>
          <w:highlight w:val="none"/>
        </w:rPr>
      </w:pPr>
      <w:r>
        <w:rPr>
          <w:rFonts w:hint="eastAsia" w:ascii="宋体" w:hAnsi="宋体" w:cs="宋体"/>
          <w:b/>
          <w:bCs/>
          <w:sz w:val="48"/>
          <w:szCs w:val="48"/>
          <w:highlight w:val="none"/>
        </w:rPr>
        <w:t>资格证明文件</w:t>
      </w:r>
    </w:p>
    <w:p>
      <w:pPr>
        <w:adjustRightInd w:val="0"/>
        <w:snapToGrid w:val="0"/>
        <w:jc w:val="center"/>
        <w:rPr>
          <w:rFonts w:ascii="宋体" w:hAnsi="宋体" w:cs="宋体"/>
          <w:b/>
          <w:bCs/>
          <w:sz w:val="44"/>
          <w:szCs w:val="44"/>
          <w:highlight w:val="none"/>
        </w:rPr>
      </w:pPr>
    </w:p>
    <w:p>
      <w:pPr>
        <w:adjustRightInd w:val="0"/>
        <w:snapToGrid w:val="0"/>
        <w:jc w:val="center"/>
        <w:rPr>
          <w:rFonts w:ascii="宋体" w:hAnsi="宋体" w:cs="宋体"/>
          <w:b/>
          <w:bCs/>
          <w:sz w:val="44"/>
          <w:szCs w:val="44"/>
          <w:highlight w:val="none"/>
        </w:rPr>
      </w:pPr>
    </w:p>
    <w:p>
      <w:pPr>
        <w:adjustRightInd w:val="0"/>
        <w:snapToGrid w:val="0"/>
        <w:ind w:left="2250" w:leftChars="500" w:hanging="1200" w:hangingChars="500"/>
        <w:rPr>
          <w:rFonts w:ascii="宋体" w:hAnsi="宋体" w:cs="宋体"/>
          <w:bCs/>
          <w:sz w:val="24"/>
          <w:highlight w:val="none"/>
        </w:rPr>
      </w:pPr>
      <w:r>
        <w:rPr>
          <w:rFonts w:hint="eastAsia" w:ascii="宋体" w:hAnsi="宋体" w:cs="宋体"/>
          <w:bCs/>
          <w:sz w:val="24"/>
          <w:highlight w:val="none"/>
        </w:rPr>
        <w:t xml:space="preserve">项目名称： </w:t>
      </w:r>
    </w:p>
    <w:p>
      <w:pPr>
        <w:adjustRightInd w:val="0"/>
        <w:snapToGrid w:val="0"/>
        <w:ind w:firstLine="480" w:firstLineChars="200"/>
        <w:rPr>
          <w:rFonts w:ascii="宋体" w:hAnsi="宋体" w:cs="宋体"/>
          <w:bCs/>
          <w:sz w:val="24"/>
          <w:highlight w:val="none"/>
        </w:rPr>
      </w:pPr>
      <w:r>
        <w:rPr>
          <w:rFonts w:hint="eastAsia" w:ascii="宋体" w:hAnsi="宋体" w:cs="宋体"/>
          <w:bCs/>
          <w:sz w:val="24"/>
          <w:highlight w:val="none"/>
        </w:rPr>
        <w:t xml:space="preserve">     项目编号：</w:t>
      </w:r>
    </w:p>
    <w:p>
      <w:pPr>
        <w:adjustRightInd w:val="0"/>
        <w:snapToGrid w:val="0"/>
        <w:ind w:firstLine="480" w:firstLineChars="200"/>
        <w:rPr>
          <w:rFonts w:ascii="宋体" w:hAnsi="宋体" w:cs="宋体"/>
          <w:sz w:val="24"/>
          <w:highlight w:val="none"/>
        </w:rPr>
      </w:pPr>
      <w:r>
        <w:rPr>
          <w:rFonts w:hint="eastAsia" w:ascii="宋体" w:hAnsi="宋体" w:cs="宋体"/>
          <w:sz w:val="24"/>
          <w:highlight w:val="none"/>
        </w:rPr>
        <w:t xml:space="preserve">     投标人名称（盖章）：</w:t>
      </w:r>
    </w:p>
    <w:p>
      <w:pPr>
        <w:adjustRightInd w:val="0"/>
        <w:snapToGrid w:val="0"/>
        <w:ind w:firstLine="1080" w:firstLineChars="450"/>
        <w:rPr>
          <w:rFonts w:ascii="宋体" w:hAnsi="宋体" w:cs="宋体"/>
          <w:sz w:val="24"/>
          <w:highlight w:val="none"/>
        </w:rPr>
      </w:pPr>
      <w:r>
        <w:rPr>
          <w:rFonts w:hint="eastAsia" w:ascii="宋体" w:hAnsi="宋体" w:cs="宋体"/>
          <w:sz w:val="24"/>
          <w:highlight w:val="none"/>
        </w:rPr>
        <w:t>投标人地址：</w:t>
      </w:r>
    </w:p>
    <w:p>
      <w:pPr>
        <w:adjustRightInd w:val="0"/>
        <w:snapToGrid w:val="0"/>
        <w:ind w:firstLine="4080" w:firstLineChars="1700"/>
        <w:rPr>
          <w:rFonts w:ascii="宋体" w:hAnsi="宋体" w:cs="宋体"/>
          <w:sz w:val="24"/>
          <w:highlight w:val="none"/>
        </w:rPr>
      </w:pPr>
      <w:r>
        <w:rPr>
          <w:rFonts w:hint="eastAsia" w:ascii="宋体" w:hAnsi="宋体" w:cs="宋体"/>
          <w:sz w:val="24"/>
          <w:highlight w:val="none"/>
        </w:rPr>
        <w:t>授权代表签名或盖章：</w:t>
      </w:r>
    </w:p>
    <w:p>
      <w:pPr>
        <w:adjustRightInd w:val="0"/>
        <w:snapToGrid w:val="0"/>
        <w:ind w:firstLine="645"/>
        <w:jc w:val="right"/>
        <w:rPr>
          <w:rFonts w:ascii="宋体" w:hAnsi="宋体" w:cs="宋体"/>
          <w:sz w:val="24"/>
          <w:highlight w:val="none"/>
        </w:rPr>
      </w:pPr>
      <w:r>
        <w:rPr>
          <w:rFonts w:hint="eastAsia" w:ascii="宋体" w:hAnsi="宋体" w:cs="宋体"/>
          <w:sz w:val="24"/>
          <w:highlight w:val="none"/>
        </w:rPr>
        <w:t xml:space="preserve">                        年  月  日</w:t>
      </w:r>
    </w:p>
    <w:p>
      <w:pPr>
        <w:adjustRightInd w:val="0"/>
        <w:snapToGrid w:val="0"/>
        <w:ind w:firstLine="645"/>
        <w:jc w:val="right"/>
        <w:rPr>
          <w:rFonts w:ascii="宋体" w:hAnsi="宋体" w:cs="宋体"/>
          <w:sz w:val="24"/>
          <w:highlight w:val="none"/>
        </w:rPr>
      </w:pPr>
    </w:p>
    <w:p>
      <w:pPr>
        <w:adjustRightInd w:val="0"/>
        <w:snapToGrid w:val="0"/>
        <w:ind w:firstLine="645"/>
        <w:jc w:val="right"/>
        <w:rPr>
          <w:rFonts w:ascii="宋体" w:hAnsi="宋体" w:cs="宋体"/>
          <w:sz w:val="24"/>
          <w:highlight w:val="none"/>
        </w:rPr>
      </w:pPr>
    </w:p>
    <w:p>
      <w:pPr>
        <w:adjustRightInd w:val="0"/>
        <w:snapToGrid w:val="0"/>
        <w:ind w:firstLine="645"/>
        <w:jc w:val="right"/>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ind w:firstLine="645"/>
        <w:jc w:val="right"/>
        <w:rPr>
          <w:rFonts w:ascii="宋体" w:hAnsi="宋体" w:cs="宋体"/>
          <w:sz w:val="24"/>
          <w:highlight w:val="none"/>
        </w:rPr>
      </w:pPr>
    </w:p>
    <w:p>
      <w:pPr>
        <w:adjustRightInd w:val="0"/>
        <w:snapToGrid w:val="0"/>
        <w:ind w:firstLine="645"/>
        <w:jc w:val="right"/>
        <w:rPr>
          <w:rFonts w:ascii="宋体" w:hAnsi="宋体" w:cs="宋体"/>
          <w:sz w:val="24"/>
          <w:highlight w:val="none"/>
        </w:rPr>
      </w:pPr>
    </w:p>
    <w:p>
      <w:pPr>
        <w:spacing w:line="340" w:lineRule="exact"/>
        <w:ind w:left="473"/>
        <w:rPr>
          <w:rFonts w:ascii="宋体" w:hAnsi="宋体" w:cs="宋体"/>
          <w:szCs w:val="21"/>
          <w:highlight w:val="none"/>
        </w:rPr>
      </w:pPr>
    </w:p>
    <w:p>
      <w:pPr>
        <w:pStyle w:val="7"/>
        <w:rPr>
          <w:highlight w:val="none"/>
        </w:rPr>
      </w:pPr>
    </w:p>
    <w:p>
      <w:pPr>
        <w:spacing w:line="340" w:lineRule="exact"/>
        <w:ind w:left="473"/>
        <w:rPr>
          <w:rFonts w:ascii="宋体" w:hAnsi="宋体" w:cs="宋体"/>
          <w:szCs w:val="21"/>
          <w:highlight w:val="none"/>
        </w:rPr>
      </w:pPr>
    </w:p>
    <w:p>
      <w:pPr>
        <w:spacing w:line="340" w:lineRule="exact"/>
        <w:ind w:left="473"/>
        <w:rPr>
          <w:rFonts w:ascii="宋体" w:hAnsi="宋体" w:cs="宋体"/>
          <w:szCs w:val="21"/>
          <w:highlight w:val="none"/>
        </w:rPr>
      </w:pPr>
    </w:p>
    <w:p>
      <w:pPr>
        <w:pStyle w:val="2"/>
        <w:ind w:firstLine="210"/>
        <w:rPr>
          <w:rFonts w:ascii="宋体" w:hAnsi="宋体" w:cs="宋体"/>
          <w:szCs w:val="21"/>
          <w:highlight w:val="none"/>
        </w:rPr>
      </w:pPr>
    </w:p>
    <w:p>
      <w:pPr>
        <w:pStyle w:val="2"/>
        <w:ind w:firstLine="210"/>
        <w:rPr>
          <w:rFonts w:ascii="宋体" w:hAnsi="宋体" w:cs="宋体"/>
          <w:szCs w:val="21"/>
          <w:highlight w:val="none"/>
        </w:rPr>
      </w:pPr>
    </w:p>
    <w:p>
      <w:pPr>
        <w:pStyle w:val="2"/>
        <w:ind w:firstLine="210"/>
        <w:rPr>
          <w:rFonts w:ascii="宋体" w:hAnsi="宋体" w:cs="宋体"/>
          <w:szCs w:val="21"/>
          <w:highlight w:val="none"/>
        </w:rPr>
      </w:pPr>
    </w:p>
    <w:p>
      <w:pPr>
        <w:pStyle w:val="2"/>
        <w:ind w:firstLine="210"/>
        <w:rPr>
          <w:rFonts w:ascii="宋体" w:hAnsi="宋体" w:cs="宋体"/>
          <w:szCs w:val="21"/>
          <w:highlight w:val="none"/>
        </w:rPr>
      </w:pPr>
    </w:p>
    <w:p>
      <w:pPr>
        <w:pStyle w:val="2"/>
        <w:ind w:firstLine="210"/>
        <w:rPr>
          <w:rFonts w:ascii="宋体" w:hAnsi="宋体" w:cs="宋体"/>
          <w:szCs w:val="21"/>
          <w:highlight w:val="none"/>
        </w:rPr>
      </w:pPr>
    </w:p>
    <w:p>
      <w:pPr>
        <w:pStyle w:val="2"/>
        <w:ind w:firstLine="210"/>
        <w:rPr>
          <w:rFonts w:ascii="宋体" w:hAnsi="宋体" w:cs="宋体"/>
          <w:szCs w:val="21"/>
          <w:highlight w:val="none"/>
        </w:rPr>
      </w:pPr>
    </w:p>
    <w:p>
      <w:pPr>
        <w:pStyle w:val="23"/>
        <w:rPr>
          <w:highlight w:val="none"/>
        </w:rPr>
      </w:pPr>
    </w:p>
    <w:p>
      <w:pPr>
        <w:rPr>
          <w:highlight w:val="none"/>
        </w:rPr>
      </w:pPr>
    </w:p>
    <w:p>
      <w:pPr>
        <w:spacing w:line="340" w:lineRule="exact"/>
        <w:ind w:left="473"/>
        <w:rPr>
          <w:rFonts w:ascii="宋体" w:hAnsi="宋体" w:cs="宋体"/>
          <w:szCs w:val="21"/>
          <w:highlight w:val="none"/>
        </w:rPr>
      </w:pPr>
    </w:p>
    <w:p>
      <w:pPr>
        <w:adjustRightInd w:val="0"/>
        <w:snapToGrid w:val="0"/>
        <w:jc w:val="left"/>
        <w:rPr>
          <w:rFonts w:ascii="宋体" w:hAnsi="宋体" w:cs="宋体"/>
          <w:sz w:val="24"/>
          <w:highlight w:val="none"/>
        </w:rPr>
      </w:pPr>
      <w:r>
        <w:rPr>
          <w:rFonts w:hint="eastAsia" w:ascii="宋体" w:hAnsi="宋体" w:cs="宋体"/>
          <w:sz w:val="24"/>
          <w:highlight w:val="none"/>
        </w:rPr>
        <w:t>2、投标资格声明书格式：</w:t>
      </w:r>
    </w:p>
    <w:p>
      <w:pPr>
        <w:adjustRightInd w:val="0"/>
        <w:snapToGrid w:val="0"/>
        <w:jc w:val="center"/>
        <w:rPr>
          <w:rFonts w:ascii="宋体" w:hAnsi="宋体" w:cs="宋体"/>
          <w:b/>
          <w:sz w:val="44"/>
          <w:szCs w:val="44"/>
          <w:highlight w:val="none"/>
        </w:rPr>
      </w:pPr>
      <w:r>
        <w:rPr>
          <w:rFonts w:hint="eastAsia" w:ascii="宋体" w:hAnsi="宋体" w:cs="宋体"/>
          <w:b/>
          <w:sz w:val="36"/>
          <w:szCs w:val="36"/>
          <w:highlight w:val="none"/>
        </w:rPr>
        <w:t>投标资格声明书</w:t>
      </w:r>
    </w:p>
    <w:p>
      <w:pPr>
        <w:adjustRightInd w:val="0"/>
        <w:snapToGrid w:val="0"/>
        <w:spacing w:line="400" w:lineRule="exact"/>
        <w:rPr>
          <w:rFonts w:ascii="宋体" w:hAnsi="宋体" w:cs="宋体"/>
          <w:spacing w:val="8"/>
          <w:kern w:val="0"/>
          <w:szCs w:val="21"/>
          <w:highlight w:val="none"/>
        </w:rPr>
      </w:pPr>
      <w:r>
        <w:rPr>
          <w:rFonts w:hint="eastAsia" w:ascii="宋体" w:hAnsi="宋体" w:cs="宋体"/>
          <w:szCs w:val="21"/>
          <w:highlight w:val="none"/>
        </w:rPr>
        <w:t>致：</w:t>
      </w:r>
      <w:r>
        <w:rPr>
          <w:rFonts w:hint="eastAsia" w:ascii="宋体" w:hAnsi="宋体" w:cs="宋体"/>
          <w:szCs w:val="21"/>
          <w:highlight w:val="none"/>
          <w:u w:val="single"/>
          <w:lang w:eastAsia="zh-CN"/>
        </w:rPr>
        <w:t>安吉县食品药品检验检测中心</w:t>
      </w:r>
      <w:r>
        <w:rPr>
          <w:rFonts w:hint="eastAsia" w:ascii="宋体" w:hAnsi="宋体" w:cs="宋体"/>
          <w:szCs w:val="21"/>
          <w:highlight w:val="none"/>
          <w:u w:val="single"/>
        </w:rPr>
        <w:t>:</w:t>
      </w:r>
    </w:p>
    <w:p>
      <w:pPr>
        <w:adjustRightInd w:val="0"/>
        <w:snapToGrid w:val="0"/>
        <w:spacing w:line="400" w:lineRule="exact"/>
        <w:ind w:firstLine="315" w:firstLineChars="150"/>
        <w:rPr>
          <w:rFonts w:ascii="宋体" w:hAnsi="宋体" w:cs="宋体"/>
          <w:szCs w:val="21"/>
          <w:highlight w:val="none"/>
        </w:rPr>
      </w:pPr>
      <w:r>
        <w:rPr>
          <w:rFonts w:hint="eastAsia" w:ascii="宋体" w:hAnsi="宋体" w:cs="宋体"/>
          <w:szCs w:val="21"/>
          <w:highlight w:val="none"/>
          <w:u w:val="single"/>
        </w:rPr>
        <w:t>安吉精诚采购代理有限公司</w:t>
      </w:r>
      <w:r>
        <w:rPr>
          <w:rFonts w:hint="eastAsia" w:ascii="宋体" w:hAnsi="宋体" w:cs="宋体"/>
          <w:szCs w:val="21"/>
          <w:highlight w:val="none"/>
        </w:rPr>
        <w:t>：</w:t>
      </w:r>
    </w:p>
    <w:p>
      <w:pPr>
        <w:tabs>
          <w:tab w:val="left" w:pos="1418"/>
        </w:tabs>
        <w:snapToGrid w:val="0"/>
        <w:spacing w:before="50" w:after="50" w:line="400" w:lineRule="exact"/>
        <w:ind w:firstLine="420" w:firstLineChars="200"/>
        <w:rPr>
          <w:rFonts w:ascii="宋体" w:hAnsi="宋体" w:cs="宋体"/>
          <w:szCs w:val="21"/>
          <w:highlight w:val="none"/>
        </w:rPr>
      </w:pPr>
      <w:r>
        <w:rPr>
          <w:rFonts w:hint="eastAsia" w:ascii="宋体" w:hAnsi="宋体" w:cs="宋体"/>
          <w:szCs w:val="21"/>
          <w:highlight w:val="none"/>
        </w:rPr>
        <w:t>（投标人名称）系中华人民共和国合法企业，经营地址。</w:t>
      </w:r>
    </w:p>
    <w:p>
      <w:pPr>
        <w:tabs>
          <w:tab w:val="left" w:pos="1418"/>
        </w:tabs>
        <w:snapToGrid w:val="0"/>
        <w:spacing w:before="50" w:after="50" w:line="400" w:lineRule="exact"/>
        <w:ind w:firstLine="420" w:firstLineChars="200"/>
        <w:rPr>
          <w:rFonts w:ascii="宋体" w:hAnsi="宋体" w:cs="宋体"/>
          <w:szCs w:val="21"/>
          <w:highlight w:val="none"/>
        </w:rPr>
      </w:pPr>
      <w:r>
        <w:rPr>
          <w:rFonts w:hint="eastAsia" w:ascii="宋体" w:hAnsi="宋体" w:cs="宋体"/>
          <w:szCs w:val="21"/>
          <w:highlight w:val="none"/>
        </w:rPr>
        <w:t>我（姓名）系（投标人名称）的法定代表人，我方愿意参加贵方组织的项目的投标，为便于贵方公正、择优地确定中标人及其投标项目的服务，我方就本次投标有关事项郑重声明如下：</w:t>
      </w:r>
    </w:p>
    <w:p>
      <w:pPr>
        <w:adjustRightInd w:val="0"/>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1、我方向贵方提交的所有投标文件、资料都是准确的和真实的；</w:t>
      </w:r>
    </w:p>
    <w:p>
      <w:pPr>
        <w:adjustRightInd w:val="0"/>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2、我方不是采购人的附属机构；在获知本项目采购信息后，与采购人聘请的为此项目提供咨询服务的公司及其附属机构没有任何联系。</w:t>
      </w:r>
    </w:p>
    <w:p>
      <w:pPr>
        <w:adjustRightInd w:val="0"/>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3、我方承诺已经具备招标文件规定的参加本项目政府采购活动的投标人应当具备的条件：</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（1）具有独立承担民事责任的能力；</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（2）具有良好的商业信誉和健全的财务会计制度；</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（3）具有履行合同所必需的设备和专业技术能力；</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（4）有依法缴纳税收和社会保障资金的良好记录；</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（5）参加本次政府采购活动前三年内，在经营活动中没有重大违法记录；</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（6）至本项目投标截止时间前，我方未列入失信被执行人、重大税收违法案件当事人名单、政府采购严重违法失信行为记录名单；</w:t>
      </w:r>
    </w:p>
    <w:p>
      <w:pPr>
        <w:adjustRightInd w:val="0"/>
        <w:snapToGrid w:val="0"/>
        <w:spacing w:line="400" w:lineRule="exact"/>
        <w:ind w:firstLine="420" w:firstLineChars="200"/>
        <w:rPr>
          <w:rFonts w:ascii="宋体" w:hAnsi="宋体" w:cs="宋体"/>
          <w:highlight w:val="none"/>
        </w:rPr>
      </w:pPr>
      <w:r>
        <w:rPr>
          <w:rFonts w:hint="eastAsia" w:ascii="宋体" w:hAnsi="宋体" w:cs="宋体"/>
          <w:szCs w:val="21"/>
          <w:highlight w:val="none"/>
        </w:rPr>
        <w:t>4、以上事项如有虚假或隐瞒，我方愿意承担一切后果和责任。</w:t>
      </w:r>
    </w:p>
    <w:p>
      <w:pPr>
        <w:adjustRightInd w:val="0"/>
        <w:snapToGrid w:val="0"/>
        <w:spacing w:line="400" w:lineRule="exact"/>
        <w:ind w:firstLine="420" w:firstLineChars="200"/>
        <w:rPr>
          <w:rFonts w:ascii="宋体" w:hAnsi="宋体" w:cs="宋体"/>
          <w:szCs w:val="21"/>
          <w:highlight w:val="none"/>
          <w:u w:val="single"/>
        </w:rPr>
      </w:pPr>
    </w:p>
    <w:p>
      <w:pPr>
        <w:adjustRightInd w:val="0"/>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法定代表人签字：</w:t>
      </w:r>
    </w:p>
    <w:p>
      <w:pPr>
        <w:adjustRightInd w:val="0"/>
        <w:snapToGrid w:val="0"/>
        <w:spacing w:line="400" w:lineRule="exact"/>
        <w:ind w:firstLine="420" w:firstLineChars="200"/>
        <w:rPr>
          <w:rFonts w:ascii="宋体" w:hAnsi="宋体" w:cs="宋体"/>
          <w:szCs w:val="21"/>
          <w:highlight w:val="none"/>
          <w:u w:val="single"/>
        </w:rPr>
      </w:pPr>
    </w:p>
    <w:p>
      <w:pPr>
        <w:adjustRightInd w:val="0"/>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投标人全称（盖章）：</w:t>
      </w:r>
    </w:p>
    <w:p>
      <w:pPr>
        <w:adjustRightInd w:val="0"/>
        <w:snapToGrid w:val="0"/>
        <w:spacing w:line="400" w:lineRule="exact"/>
        <w:ind w:firstLine="210" w:firstLineChars="100"/>
        <w:jc w:val="right"/>
        <w:rPr>
          <w:rFonts w:ascii="宋体" w:hAnsi="宋体" w:cs="宋体"/>
          <w:szCs w:val="21"/>
          <w:highlight w:val="none"/>
        </w:rPr>
      </w:pPr>
      <w:r>
        <w:rPr>
          <w:rFonts w:hint="eastAsia" w:ascii="宋体" w:hAnsi="宋体" w:cs="宋体"/>
          <w:szCs w:val="21"/>
          <w:highlight w:val="none"/>
        </w:rPr>
        <w:t>年    月    日</w:t>
      </w:r>
    </w:p>
    <w:p>
      <w:pPr>
        <w:adjustRightInd w:val="0"/>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说明：重大违法记录是指因违法经营受到刑事处罚或者责令停产停业、吊销许可证或者执照、较大数额罚款等行政处罚。</w:t>
      </w:r>
    </w:p>
    <w:p>
      <w:pPr>
        <w:adjustRightInd w:val="0"/>
        <w:snapToGrid w:val="0"/>
        <w:ind w:firstLine="645"/>
        <w:jc w:val="left"/>
        <w:rPr>
          <w:rFonts w:ascii="宋体" w:hAnsi="宋体" w:cs="宋体"/>
          <w:sz w:val="24"/>
          <w:highlight w:val="none"/>
        </w:rPr>
      </w:pPr>
    </w:p>
    <w:p>
      <w:pPr>
        <w:adjustRightInd w:val="0"/>
        <w:snapToGrid w:val="0"/>
        <w:ind w:firstLine="645"/>
        <w:jc w:val="left"/>
        <w:rPr>
          <w:rFonts w:ascii="宋体" w:hAnsi="宋体" w:cs="宋体"/>
          <w:sz w:val="24"/>
          <w:highlight w:val="none"/>
        </w:rPr>
      </w:pPr>
    </w:p>
    <w:p>
      <w:pPr>
        <w:rPr>
          <w:rFonts w:ascii="宋体" w:hAnsi="宋体" w:cs="宋体"/>
          <w:sz w:val="24"/>
          <w:highlight w:val="none"/>
        </w:rPr>
      </w:pPr>
    </w:p>
    <w:p>
      <w:pPr>
        <w:spacing w:line="400" w:lineRule="exact"/>
        <w:rPr>
          <w:rFonts w:ascii="宋体" w:hAnsi="宋体" w:cs="宋体"/>
          <w:highlight w:val="none"/>
        </w:rPr>
      </w:pPr>
    </w:p>
    <w:p>
      <w:pPr>
        <w:spacing w:line="400" w:lineRule="exact"/>
        <w:rPr>
          <w:rFonts w:ascii="宋体" w:hAnsi="宋体" w:cs="宋体"/>
          <w:highlight w:val="none"/>
        </w:rPr>
      </w:pPr>
    </w:p>
    <w:p>
      <w:pPr>
        <w:spacing w:line="400" w:lineRule="exact"/>
        <w:rPr>
          <w:rFonts w:ascii="宋体" w:hAnsi="宋体" w:cs="宋体"/>
          <w:highlight w:val="none"/>
        </w:rPr>
      </w:pPr>
    </w:p>
    <w:p>
      <w:pPr>
        <w:pStyle w:val="3"/>
        <w:rPr>
          <w:highlight w:val="none"/>
        </w:rPr>
      </w:pPr>
    </w:p>
    <w:p>
      <w:pPr>
        <w:spacing w:line="400" w:lineRule="exact"/>
        <w:rPr>
          <w:rFonts w:hint="eastAsia" w:ascii="宋体" w:hAnsi="宋体" w:cs="宋体"/>
          <w:highlight w:val="none"/>
        </w:rPr>
      </w:pPr>
    </w:p>
    <w:p>
      <w:pPr>
        <w:pStyle w:val="2"/>
        <w:rPr>
          <w:rFonts w:hint="eastAsia" w:ascii="宋体" w:hAnsi="宋体" w:cs="宋体"/>
          <w:highlight w:val="none"/>
        </w:rPr>
      </w:pPr>
    </w:p>
    <w:p>
      <w:pPr>
        <w:rPr>
          <w:rFonts w:hint="eastAsia"/>
          <w:highlight w:val="none"/>
        </w:rPr>
      </w:pPr>
    </w:p>
    <w:p>
      <w:pPr>
        <w:pStyle w:val="2"/>
        <w:rPr>
          <w:rFonts w:hint="eastAsia"/>
          <w:highlight w:val="none"/>
        </w:rPr>
      </w:pPr>
    </w:p>
    <w:p>
      <w:pPr>
        <w:spacing w:line="400" w:lineRule="exact"/>
        <w:rPr>
          <w:rFonts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中小</w:t>
      </w:r>
      <w:r>
        <w:rPr>
          <w:rFonts w:hint="eastAsia" w:ascii="宋体" w:hAnsi="宋体" w:cs="宋体"/>
          <w:highlight w:val="none"/>
        </w:rPr>
        <w:t>企业声明函：</w:t>
      </w:r>
    </w:p>
    <w:p>
      <w:pPr>
        <w:spacing w:line="588" w:lineRule="exact"/>
        <w:jc w:val="center"/>
        <w:rPr>
          <w:rFonts w:ascii="宋体" w:hAnsi="宋体" w:cs="宋体"/>
          <w:b/>
          <w:spacing w:val="6"/>
          <w:sz w:val="32"/>
          <w:szCs w:val="32"/>
          <w:highlight w:val="none"/>
        </w:rPr>
      </w:pPr>
    </w:p>
    <w:p>
      <w:pPr>
        <w:snapToGrid w:val="0"/>
        <w:spacing w:before="50" w:after="50" w:line="500" w:lineRule="exact"/>
        <w:jc w:val="center"/>
        <w:rPr>
          <w:rFonts w:ascii="宋体" w:hAnsi="宋体" w:cs="宋体"/>
          <w:b/>
          <w:sz w:val="44"/>
          <w:szCs w:val="44"/>
          <w:highlight w:val="none"/>
        </w:rPr>
      </w:pPr>
      <w:r>
        <w:rPr>
          <w:rFonts w:hint="eastAsia" w:ascii="宋体" w:hAnsi="宋体" w:cs="宋体"/>
          <w:b/>
          <w:sz w:val="44"/>
          <w:szCs w:val="44"/>
          <w:highlight w:val="none"/>
        </w:rPr>
        <w:t>中小企业声明函</w:t>
      </w:r>
    </w:p>
    <w:p>
      <w:pPr>
        <w:rPr>
          <w:rFonts w:ascii="宋体" w:hAnsi="宋体" w:cs="宋体"/>
          <w:highlight w:val="none"/>
        </w:rPr>
      </w:pPr>
    </w:p>
    <w:p>
      <w:pPr>
        <w:widowControl/>
        <w:spacing w:line="440" w:lineRule="exact"/>
        <w:ind w:firstLine="720" w:firstLineChars="300"/>
        <w:jc w:val="left"/>
        <w:rPr>
          <w:rFonts w:ascii="宋体" w:hAnsi="宋体" w:cs="宋体"/>
          <w:sz w:val="24"/>
          <w:highlight w:val="none"/>
        </w:rPr>
      </w:pPr>
      <w:r>
        <w:rPr>
          <w:rFonts w:ascii="宋体" w:hAnsi="宋体" w:cs="宋体"/>
          <w:sz w:val="24"/>
          <w:highlight w:val="none"/>
        </w:rPr>
        <w:t>本公司郑重声明，根据《政府采购促进中小企业发展管理办法》（财库﹝2020﹞46 号）的规定，本公司参加</w:t>
      </w:r>
      <w:r>
        <w:rPr>
          <w:rFonts w:hint="eastAsia" w:ascii="宋体" w:hAnsi="宋体" w:cs="宋体"/>
          <w:sz w:val="24"/>
          <w:highlight w:val="none"/>
          <w:u w:val="single"/>
          <w:lang w:eastAsia="zh-CN"/>
        </w:rPr>
        <w:t>安吉县食品药品检验检测中心离子色谱仪设备供货与安装政府采购项目</w:t>
      </w:r>
      <w:r>
        <w:rPr>
          <w:rFonts w:ascii="宋体" w:hAnsi="宋体" w:cs="宋体"/>
          <w:sz w:val="24"/>
          <w:highlight w:val="none"/>
        </w:rPr>
        <w:t xml:space="preserve">采购活动，提供的货物全部由符合政策要求的中小企业制造。相关企业 （含联合体中的中小企业、签订分包意向协议的中小企业） 的具体情况如下： </w:t>
      </w:r>
    </w:p>
    <w:p>
      <w:pPr>
        <w:widowControl/>
        <w:numPr>
          <w:ilvl w:val="0"/>
          <w:numId w:val="11"/>
        </w:numPr>
        <w:spacing w:line="440" w:lineRule="exact"/>
        <w:ind w:firstLine="720" w:firstLineChars="300"/>
        <w:jc w:val="left"/>
        <w:rPr>
          <w:rFonts w:ascii="宋体" w:hAnsi="宋体" w:cs="宋体"/>
          <w:sz w:val="24"/>
          <w:highlight w:val="none"/>
          <w:u w:val="single"/>
        </w:rPr>
      </w:pPr>
      <w:r>
        <w:rPr>
          <w:rFonts w:ascii="宋体" w:hAnsi="宋体" w:cs="宋体"/>
          <w:sz w:val="24"/>
          <w:highlight w:val="none"/>
        </w:rPr>
        <w:t>（标的名称），属于（采购文件中明确的所属行业） 行业；</w:t>
      </w:r>
      <w:r>
        <w:rPr>
          <w:rFonts w:ascii="宋体" w:hAnsi="宋体" w:cs="宋体"/>
          <w:b/>
          <w:bCs/>
          <w:sz w:val="24"/>
          <w:highlight w:val="none"/>
        </w:rPr>
        <w:t>制造商</w:t>
      </w:r>
      <w:r>
        <w:rPr>
          <w:rFonts w:ascii="宋体" w:hAnsi="宋体" w:cs="宋体"/>
          <w:sz w:val="24"/>
          <w:highlight w:val="none"/>
        </w:rPr>
        <w:t xml:space="preserve">为（企业名称），从业人员 人，营业收入为 </w:t>
      </w:r>
      <w:r>
        <w:rPr>
          <w:rFonts w:ascii="宋体" w:hAnsi="宋体" w:cs="宋体"/>
          <w:sz w:val="24"/>
          <w:highlight w:val="none"/>
          <w:u w:val="single"/>
        </w:rPr>
        <w:t>万元</w:t>
      </w:r>
      <w:r>
        <w:rPr>
          <w:rFonts w:ascii="宋体" w:hAnsi="宋体" w:cs="宋体"/>
          <w:sz w:val="24"/>
          <w:highlight w:val="none"/>
        </w:rPr>
        <w:t>，资产总额为</w:t>
      </w:r>
      <w:r>
        <w:rPr>
          <w:rFonts w:ascii="宋体" w:hAnsi="宋体" w:cs="宋体"/>
          <w:sz w:val="24"/>
          <w:highlight w:val="none"/>
          <w:u w:val="single"/>
        </w:rPr>
        <w:t xml:space="preserve"> 万元</w:t>
      </w:r>
      <w:r>
        <w:rPr>
          <w:rFonts w:ascii="宋体" w:hAnsi="宋体" w:cs="宋体"/>
          <w:sz w:val="24"/>
          <w:highlight w:val="none"/>
        </w:rPr>
        <w:t xml:space="preserve"> ，属于（中型企业、小 型企业、微型企业）</w:t>
      </w:r>
      <w:r>
        <w:rPr>
          <w:rFonts w:ascii="宋体" w:hAnsi="宋体" w:cs="宋体"/>
          <w:sz w:val="24"/>
          <w:highlight w:val="none"/>
          <w:u w:val="single"/>
        </w:rPr>
        <w:t xml:space="preserve">； </w:t>
      </w:r>
    </w:p>
    <w:p>
      <w:pPr>
        <w:widowControl/>
        <w:numPr>
          <w:ilvl w:val="0"/>
          <w:numId w:val="11"/>
        </w:numPr>
        <w:spacing w:line="440" w:lineRule="exact"/>
        <w:ind w:firstLine="720" w:firstLineChars="300"/>
        <w:jc w:val="left"/>
        <w:rPr>
          <w:rFonts w:ascii="宋体" w:hAnsi="宋体" w:cs="宋体"/>
          <w:sz w:val="24"/>
          <w:highlight w:val="none"/>
          <w:u w:val="single"/>
        </w:rPr>
      </w:pPr>
      <w:r>
        <w:rPr>
          <w:rFonts w:ascii="宋体" w:hAnsi="宋体" w:cs="宋体"/>
          <w:sz w:val="24"/>
          <w:highlight w:val="none"/>
        </w:rPr>
        <w:t>（标的名称），属于（采购文件中明确的所属行业） 行业；</w:t>
      </w:r>
      <w:r>
        <w:rPr>
          <w:rFonts w:ascii="宋体" w:hAnsi="宋体" w:cs="宋体"/>
          <w:b/>
          <w:bCs/>
          <w:sz w:val="24"/>
          <w:highlight w:val="none"/>
        </w:rPr>
        <w:t>制造商</w:t>
      </w:r>
      <w:r>
        <w:rPr>
          <w:rFonts w:ascii="宋体" w:hAnsi="宋体" w:cs="宋体"/>
          <w:sz w:val="24"/>
          <w:highlight w:val="none"/>
        </w:rPr>
        <w:t>为（企业名称），从业人员 人，营业收入为</w:t>
      </w:r>
      <w:r>
        <w:rPr>
          <w:rFonts w:ascii="宋体" w:hAnsi="宋体" w:cs="宋体"/>
          <w:sz w:val="24"/>
          <w:highlight w:val="none"/>
          <w:u w:val="single"/>
        </w:rPr>
        <w:t xml:space="preserve"> 万元</w:t>
      </w:r>
      <w:r>
        <w:rPr>
          <w:rFonts w:ascii="宋体" w:hAnsi="宋体" w:cs="宋体"/>
          <w:sz w:val="24"/>
          <w:highlight w:val="none"/>
        </w:rPr>
        <w:t xml:space="preserve">，资产总额为 </w:t>
      </w:r>
      <w:r>
        <w:rPr>
          <w:rFonts w:ascii="宋体" w:hAnsi="宋体" w:cs="宋体"/>
          <w:sz w:val="24"/>
          <w:highlight w:val="none"/>
          <w:u w:val="single"/>
        </w:rPr>
        <w:t>万元</w:t>
      </w:r>
      <w:r>
        <w:rPr>
          <w:rFonts w:ascii="宋体" w:hAnsi="宋体" w:cs="宋体"/>
          <w:sz w:val="24"/>
          <w:highlight w:val="none"/>
        </w:rPr>
        <w:t xml:space="preserve"> ，属于（中型企业、小 型企业、微型企业）</w:t>
      </w:r>
      <w:r>
        <w:rPr>
          <w:rFonts w:ascii="宋体" w:hAnsi="宋体" w:cs="宋体"/>
          <w:sz w:val="24"/>
          <w:highlight w:val="none"/>
          <w:u w:val="single"/>
        </w:rPr>
        <w:t xml:space="preserve">； </w:t>
      </w:r>
    </w:p>
    <w:p>
      <w:pPr>
        <w:widowControl/>
        <w:numPr>
          <w:ilvl w:val="0"/>
          <w:numId w:val="11"/>
        </w:numPr>
        <w:spacing w:line="440" w:lineRule="exact"/>
        <w:ind w:firstLine="720" w:firstLineChars="300"/>
        <w:jc w:val="left"/>
        <w:rPr>
          <w:rFonts w:ascii="宋体" w:hAnsi="宋体" w:cs="宋体"/>
          <w:sz w:val="24"/>
          <w:highlight w:val="none"/>
        </w:rPr>
      </w:pPr>
      <w:r>
        <w:rPr>
          <w:rFonts w:ascii="宋体" w:hAnsi="宋体" w:cs="宋体"/>
          <w:sz w:val="24"/>
          <w:highlight w:val="none"/>
        </w:rPr>
        <w:t xml:space="preserve"> …… </w:t>
      </w:r>
    </w:p>
    <w:p>
      <w:pPr>
        <w:widowControl/>
        <w:spacing w:line="440" w:lineRule="exact"/>
        <w:ind w:firstLine="720" w:firstLineChars="300"/>
        <w:jc w:val="left"/>
        <w:rPr>
          <w:rFonts w:ascii="宋体" w:hAnsi="宋体" w:cs="宋体"/>
          <w:sz w:val="24"/>
          <w:highlight w:val="none"/>
        </w:rPr>
      </w:pPr>
      <w:r>
        <w:rPr>
          <w:rFonts w:ascii="宋体" w:hAnsi="宋体" w:cs="宋体"/>
          <w:sz w:val="24"/>
          <w:highlight w:val="none"/>
        </w:rPr>
        <w:t xml:space="preserve">以上企业，不属于大企业的分支机构，不存在控股股东为大企业的情形，也不存在与大企业的负责人为同一人的情形。 本企业对上述声明内容的真实性负责。如有虚假，将依法承担相应责任。 </w:t>
      </w:r>
    </w:p>
    <w:p>
      <w:pPr>
        <w:widowControl/>
        <w:spacing w:line="440" w:lineRule="exact"/>
        <w:ind w:firstLine="720" w:firstLineChars="300"/>
        <w:jc w:val="right"/>
        <w:rPr>
          <w:rFonts w:ascii="宋体" w:hAnsi="宋体" w:cs="宋体"/>
          <w:sz w:val="24"/>
          <w:highlight w:val="none"/>
        </w:rPr>
      </w:pPr>
      <w:r>
        <w:rPr>
          <w:rFonts w:ascii="宋体" w:hAnsi="宋体" w:cs="宋体"/>
          <w:sz w:val="24"/>
          <w:highlight w:val="none"/>
        </w:rPr>
        <w:t xml:space="preserve">企业名称（盖章）： </w:t>
      </w:r>
    </w:p>
    <w:p>
      <w:pPr>
        <w:widowControl/>
        <w:spacing w:line="440" w:lineRule="exact"/>
        <w:ind w:firstLine="720" w:firstLineChars="300"/>
        <w:jc w:val="right"/>
        <w:rPr>
          <w:rFonts w:ascii="宋体" w:hAnsi="宋体" w:cs="宋体"/>
          <w:sz w:val="24"/>
          <w:highlight w:val="none"/>
        </w:rPr>
      </w:pPr>
      <w:r>
        <w:rPr>
          <w:rFonts w:ascii="宋体" w:hAnsi="宋体" w:cs="宋体"/>
          <w:sz w:val="24"/>
          <w:highlight w:val="none"/>
        </w:rPr>
        <w:t xml:space="preserve">日 期： </w:t>
      </w:r>
    </w:p>
    <w:p>
      <w:pPr>
        <w:widowControl/>
        <w:spacing w:line="32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说明：1、从业人员、营业收入、资产总额填报上一年度数据，无上一年度数据的新成立企业可不填报。为本项目提供货物的企业按照《关于印发中小企业划型标准规定的通知》（工信部联企业〔2011〕300 号）的所属行业分类为</w:t>
      </w:r>
      <w:r>
        <w:rPr>
          <w:rStyle w:val="35"/>
          <w:rFonts w:hint="eastAsia" w:hAnsi="宋体" w:cs="宋体"/>
          <w:color w:val="191919"/>
          <w:sz w:val="22"/>
          <w:szCs w:val="22"/>
          <w:highlight w:val="none"/>
          <w:shd w:val="clear" w:color="auto" w:fill="FFFFFF"/>
          <w:lang w:eastAsia="zh-CN"/>
        </w:rPr>
        <w:t>工业</w:t>
      </w:r>
      <w:r>
        <w:rPr>
          <w:rFonts w:hint="eastAsia" w:ascii="宋体" w:hAnsi="宋体" w:cs="宋体"/>
          <w:b/>
          <w:bCs/>
          <w:color w:val="000000"/>
          <w:kern w:val="0"/>
          <w:szCs w:val="21"/>
          <w:highlight w:val="none"/>
        </w:rPr>
        <w:t>。</w:t>
      </w:r>
    </w:p>
    <w:p>
      <w:pPr>
        <w:widowControl/>
        <w:spacing w:line="320" w:lineRule="exact"/>
        <w:ind w:firstLine="632" w:firstLineChars="300"/>
        <w:jc w:val="left"/>
        <w:rPr>
          <w:rFonts w:ascii="宋体" w:hAnsi="宋体" w:cs="宋体"/>
          <w:b/>
          <w:bCs/>
          <w:color w:val="000000"/>
          <w:kern w:val="0"/>
          <w:szCs w:val="21"/>
          <w:highlight w:val="none"/>
        </w:rPr>
      </w:pPr>
      <w:r>
        <w:rPr>
          <w:rFonts w:hint="eastAsia" w:ascii="宋体" w:hAnsi="宋体" w:cs="宋体"/>
          <w:b/>
          <w:bCs/>
          <w:color w:val="000000"/>
          <w:kern w:val="0"/>
          <w:szCs w:val="21"/>
          <w:highlight w:val="none"/>
        </w:rPr>
        <w:t>2、投标人必须如实且规范填写本表格。</w:t>
      </w:r>
    </w:p>
    <w:p>
      <w:pPr>
        <w:widowControl/>
        <w:spacing w:line="320" w:lineRule="exact"/>
        <w:ind w:firstLine="630" w:firstLineChars="300"/>
        <w:jc w:val="left"/>
        <w:rPr>
          <w:rFonts w:ascii="宋体" w:hAnsi="宋体" w:cs="宋体"/>
          <w:color w:val="000000"/>
          <w:kern w:val="0"/>
          <w:szCs w:val="21"/>
          <w:highlight w:val="none"/>
        </w:rPr>
      </w:pPr>
      <w:r>
        <w:rPr>
          <w:rFonts w:hint="eastAsia" w:ascii="宋体" w:hAnsi="宋体" w:cs="宋体"/>
          <w:color w:val="000000"/>
          <w:kern w:val="0"/>
          <w:szCs w:val="21"/>
          <w:highlight w:val="none"/>
        </w:rPr>
        <w:t>3、中小企业划分为中型、小型、微型三种类型，具体标准根据企业从业人员、营业收入、资产总额等指标，结合行业特点制定。各行业划型标准为：</w:t>
      </w:r>
    </w:p>
    <w:p>
      <w:pPr>
        <w:pStyle w:val="28"/>
        <w:shd w:val="clear" w:color="auto" w:fill="FFFFFF"/>
        <w:spacing w:before="0" w:beforeAutospacing="0" w:after="0" w:afterAutospacing="0" w:line="320" w:lineRule="exact"/>
        <w:ind w:firstLine="632" w:firstLineChars="300"/>
        <w:jc w:val="both"/>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（一）农、林、牧、渔业</w:t>
      </w:r>
    </w:p>
    <w:p>
      <w:pPr>
        <w:pStyle w:val="28"/>
        <w:shd w:val="clear" w:color="auto" w:fill="FFFFFF"/>
        <w:spacing w:before="0" w:beforeAutospacing="0" w:after="0" w:afterAutospacing="0" w:line="320" w:lineRule="exact"/>
        <w:ind w:firstLine="630" w:firstLineChars="3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营业收入20000万元以下的为中小微型企业。其中，营业收入500万元及以上的为中型企业，营业收入50万元及以上的为小型企业，营业收入50万元以下的为微型企业。</w:t>
      </w:r>
    </w:p>
    <w:p>
      <w:pPr>
        <w:pStyle w:val="28"/>
        <w:shd w:val="clear" w:color="auto" w:fill="FFFFFF"/>
        <w:spacing w:before="0" w:beforeAutospacing="0" w:after="0" w:afterAutospacing="0" w:line="320" w:lineRule="exact"/>
        <w:ind w:firstLine="632" w:firstLineChars="3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（二）工业</w:t>
      </w:r>
    </w:p>
    <w:p>
      <w:pPr>
        <w:pStyle w:val="28"/>
        <w:shd w:val="clear" w:color="auto" w:fill="FFFFFF"/>
        <w:spacing w:before="0" w:beforeAutospacing="0" w:after="0" w:afterAutospacing="0" w:line="320" w:lineRule="exact"/>
        <w:ind w:firstLine="630" w:firstLineChars="3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8"/>
        <w:shd w:val="clear" w:color="auto" w:fill="FFFFFF"/>
        <w:spacing w:before="0" w:beforeAutospacing="0" w:after="0" w:afterAutospacing="0" w:line="320" w:lineRule="exact"/>
        <w:ind w:firstLine="632" w:firstLineChars="3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（三）建筑业</w:t>
      </w:r>
    </w:p>
    <w:p>
      <w:pPr>
        <w:pStyle w:val="28"/>
        <w:shd w:val="clear" w:color="auto" w:fill="FFFFFF"/>
        <w:spacing w:before="0" w:beforeAutospacing="0" w:after="0" w:afterAutospacing="0" w:line="320" w:lineRule="exact"/>
        <w:ind w:firstLine="630" w:firstLineChars="3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8"/>
        <w:shd w:val="clear" w:color="auto" w:fill="FFFFFF"/>
        <w:spacing w:before="0" w:beforeAutospacing="0" w:after="0" w:afterAutospacing="0" w:line="320" w:lineRule="exact"/>
        <w:ind w:firstLine="632" w:firstLineChars="3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（四）批发业</w:t>
      </w:r>
    </w:p>
    <w:p>
      <w:pPr>
        <w:pStyle w:val="28"/>
        <w:shd w:val="clear" w:color="auto" w:fill="FFFFFF"/>
        <w:spacing w:before="0" w:beforeAutospacing="0" w:after="0" w:afterAutospacing="0" w:line="320" w:lineRule="exact"/>
        <w:ind w:firstLine="630" w:firstLineChars="3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8"/>
        <w:shd w:val="clear" w:color="auto" w:fill="FFFFFF"/>
        <w:spacing w:before="0" w:beforeAutospacing="0" w:after="0" w:afterAutospacing="0" w:line="320" w:lineRule="exact"/>
        <w:ind w:firstLine="422" w:firstLineChars="2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（五）零售业</w:t>
      </w:r>
    </w:p>
    <w:p>
      <w:pPr>
        <w:pStyle w:val="28"/>
        <w:shd w:val="clear" w:color="auto" w:fill="FFFFFF"/>
        <w:spacing w:before="0" w:beforeAutospacing="0" w:after="0" w:afterAutospacing="0" w:line="320" w:lineRule="exact"/>
        <w:ind w:firstLine="630" w:firstLineChars="3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8"/>
        <w:shd w:val="clear" w:color="auto" w:fill="FFFFFF"/>
        <w:spacing w:before="0" w:beforeAutospacing="0" w:after="0" w:afterAutospacing="0" w:line="320" w:lineRule="exact"/>
        <w:ind w:firstLine="422" w:firstLineChars="2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（六）交通运输业</w:t>
      </w:r>
    </w:p>
    <w:p>
      <w:pPr>
        <w:pStyle w:val="28"/>
        <w:shd w:val="clear" w:color="auto" w:fill="FFFFFF"/>
        <w:spacing w:before="0" w:beforeAutospacing="0" w:after="0" w:afterAutospacing="0" w:line="320" w:lineRule="exact"/>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从业人员1000人以下或营业收入30000万元以下的为中小微型企业。</w:t>
      </w:r>
    </w:p>
    <w:p>
      <w:pPr>
        <w:pStyle w:val="28"/>
        <w:shd w:val="clear" w:color="auto" w:fill="FFFFFF"/>
        <w:spacing w:before="0" w:beforeAutospacing="0" w:after="0" w:afterAutospacing="0" w:line="320" w:lineRule="exact"/>
        <w:ind w:firstLine="422" w:firstLineChars="2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（七）仓储业</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（八）邮政业</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（九）住宿业</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（十）餐饮业</w:t>
      </w:r>
    </w:p>
    <w:p>
      <w:pPr>
        <w:pStyle w:val="28"/>
        <w:shd w:val="clear" w:color="auto" w:fill="FFFFFF"/>
        <w:spacing w:before="0" w:beforeAutospacing="0" w:after="0" w:afterAutospacing="0" w:line="320" w:lineRule="exact"/>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（十一）信息传输业</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（十二）软件和信息技术服务业</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（十三）房地产开发经营</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（十四）物业管理</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（十五）租赁和商务服务业</w:t>
      </w:r>
    </w:p>
    <w:p>
      <w:pPr>
        <w:pStyle w:val="28"/>
        <w:shd w:val="clear" w:color="auto" w:fill="FFFFFF"/>
        <w:spacing w:before="0" w:beforeAutospacing="0" w:after="0" w:afterAutospacing="0" w:line="320" w:lineRule="exact"/>
        <w:ind w:firstLine="420" w:firstLineChars="200"/>
        <w:jc w:val="both"/>
        <w:rPr>
          <w:rFonts w:hAnsi="宋体" w:cs="宋体"/>
          <w:color w:val="191919"/>
          <w:sz w:val="21"/>
          <w:szCs w:val="21"/>
          <w:highlight w:val="none"/>
        </w:rPr>
      </w:pPr>
      <w:r>
        <w:rPr>
          <w:rFonts w:hint="eastAsia" w:hAnsi="宋体" w:cs="宋体"/>
          <w:color w:val="191919"/>
          <w:sz w:val="21"/>
          <w:szCs w:val="21"/>
          <w:highlight w:val="none"/>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8"/>
        <w:shd w:val="clear" w:color="auto" w:fill="FFFFFF"/>
        <w:spacing w:before="0" w:beforeAutospacing="0" w:after="0" w:afterAutospacing="0" w:line="320" w:lineRule="exact"/>
        <w:ind w:firstLine="211" w:firstLineChars="100"/>
        <w:rPr>
          <w:rFonts w:hAnsi="宋体" w:cs="宋体"/>
          <w:color w:val="191919"/>
          <w:sz w:val="21"/>
          <w:szCs w:val="21"/>
          <w:highlight w:val="none"/>
        </w:rPr>
      </w:pPr>
      <w:r>
        <w:rPr>
          <w:rStyle w:val="35"/>
          <w:rFonts w:hint="eastAsia" w:hAnsi="宋体" w:cs="宋体"/>
          <w:color w:val="191919"/>
          <w:sz w:val="21"/>
          <w:szCs w:val="21"/>
          <w:highlight w:val="none"/>
          <w:shd w:val="clear" w:color="auto" w:fill="FFFFFF"/>
        </w:rPr>
        <w:t>（十六）其他未列明行业</w:t>
      </w:r>
    </w:p>
    <w:p>
      <w:pPr>
        <w:pStyle w:val="28"/>
        <w:shd w:val="clear" w:color="auto" w:fill="FFFFFF"/>
        <w:spacing w:before="0" w:beforeAutospacing="0" w:after="0" w:afterAutospacing="0" w:line="320" w:lineRule="exact"/>
        <w:ind w:firstLine="210" w:firstLineChars="100"/>
        <w:jc w:val="both"/>
        <w:rPr>
          <w:rFonts w:hAnsi="宋体" w:cs="宋体"/>
          <w:szCs w:val="21"/>
          <w:highlight w:val="none"/>
        </w:rPr>
      </w:pPr>
      <w:r>
        <w:rPr>
          <w:rFonts w:hint="eastAsia" w:hAnsi="宋体" w:cs="宋体"/>
          <w:color w:val="191919"/>
          <w:sz w:val="21"/>
          <w:szCs w:val="21"/>
          <w:highlight w:val="none"/>
          <w:shd w:val="clear" w:color="auto" w:fill="FFFFFF"/>
        </w:rPr>
        <w:t>从业人员300人以下的为中小微型企业。其中，从业人员100人及以上的为中型企业；从业人员10人及以上的为小型企业；从业人员10人以下的为微型企业。</w:t>
      </w:r>
    </w:p>
    <w:p>
      <w:pPr>
        <w:pStyle w:val="4"/>
        <w:rPr>
          <w:highlight w:val="none"/>
        </w:rPr>
      </w:pPr>
    </w:p>
    <w:p>
      <w:pPr>
        <w:adjustRightInd w:val="0"/>
        <w:snapToGrid w:val="0"/>
        <w:ind w:firstLine="645"/>
        <w:jc w:val="left"/>
        <w:rPr>
          <w:rFonts w:ascii="宋体" w:hAnsi="宋体" w:cs="宋体"/>
          <w:sz w:val="24"/>
          <w:highlight w:val="none"/>
        </w:rPr>
      </w:pPr>
    </w:p>
    <w:p>
      <w:pPr>
        <w:pStyle w:val="4"/>
        <w:rPr>
          <w:rFonts w:ascii="宋体" w:hAnsi="宋体" w:cs="宋体"/>
          <w:sz w:val="24"/>
          <w:highlight w:val="none"/>
        </w:rPr>
      </w:pPr>
    </w:p>
    <w:p>
      <w:pPr>
        <w:rPr>
          <w:rFonts w:ascii="宋体" w:hAnsi="宋体" w:cs="宋体"/>
          <w:sz w:val="24"/>
          <w:highlight w:val="none"/>
        </w:rPr>
      </w:pPr>
    </w:p>
    <w:p>
      <w:pPr>
        <w:pStyle w:val="4"/>
        <w:rPr>
          <w:rFonts w:ascii="宋体" w:hAnsi="宋体" w:cs="宋体"/>
          <w:sz w:val="24"/>
          <w:highlight w:val="none"/>
        </w:rPr>
      </w:pPr>
    </w:p>
    <w:p>
      <w:pPr>
        <w:rPr>
          <w:rFonts w:ascii="宋体" w:hAnsi="宋体" w:cs="宋体"/>
          <w:sz w:val="24"/>
          <w:highlight w:val="none"/>
        </w:rPr>
      </w:pPr>
    </w:p>
    <w:p>
      <w:pPr>
        <w:pStyle w:val="4"/>
        <w:rPr>
          <w:rFonts w:ascii="宋体" w:hAnsi="宋体" w:cs="宋体"/>
          <w:sz w:val="24"/>
          <w:highlight w:val="none"/>
        </w:rPr>
      </w:pPr>
    </w:p>
    <w:p>
      <w:pPr>
        <w:rPr>
          <w:rFonts w:ascii="宋体" w:hAnsi="宋体" w:cs="宋体"/>
          <w:sz w:val="24"/>
          <w:highlight w:val="none"/>
        </w:rPr>
      </w:pPr>
    </w:p>
    <w:p>
      <w:pPr>
        <w:pStyle w:val="4"/>
        <w:rPr>
          <w:rFonts w:ascii="宋体" w:hAnsi="宋体" w:cs="宋体"/>
          <w:sz w:val="24"/>
          <w:highlight w:val="none"/>
        </w:rPr>
      </w:pPr>
    </w:p>
    <w:p>
      <w:pPr>
        <w:rPr>
          <w:rFonts w:ascii="宋体" w:hAnsi="宋体" w:cs="宋体"/>
          <w:sz w:val="24"/>
          <w:highlight w:val="none"/>
        </w:rPr>
      </w:pPr>
    </w:p>
    <w:p>
      <w:pPr>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pStyle w:val="2"/>
        <w:ind w:firstLine="210"/>
        <w:rPr>
          <w:highlight w:val="none"/>
        </w:rPr>
      </w:pPr>
    </w:p>
    <w:p>
      <w:pPr>
        <w:tabs>
          <w:tab w:val="left" w:pos="1642"/>
        </w:tabs>
        <w:spacing w:before="66" w:line="520" w:lineRule="exact"/>
        <w:rPr>
          <w:rFonts w:ascii="宋体" w:hAnsi="宋体" w:cs="宋体"/>
          <w:szCs w:val="21"/>
          <w:highlight w:val="none"/>
        </w:rPr>
      </w:pPr>
      <w:r>
        <w:rPr>
          <w:rFonts w:hint="eastAsia" w:ascii="宋体" w:hAnsi="宋体" w:cs="宋体"/>
          <w:szCs w:val="21"/>
          <w:highlight w:val="none"/>
        </w:rPr>
        <w:t>4、监狱企业声明函</w:t>
      </w:r>
    </w:p>
    <w:p>
      <w:pPr>
        <w:adjustRightInd w:val="0"/>
        <w:snapToGrid w:val="0"/>
        <w:spacing w:line="320" w:lineRule="exact"/>
        <w:ind w:firstLine="3907" w:firstLineChars="1390"/>
        <w:rPr>
          <w:rFonts w:ascii="宋体" w:hAnsi="宋体" w:cs="宋体"/>
          <w:b/>
          <w:sz w:val="28"/>
          <w:szCs w:val="28"/>
          <w:highlight w:val="none"/>
        </w:rPr>
      </w:pPr>
      <w:r>
        <w:rPr>
          <w:rFonts w:hint="eastAsia" w:ascii="宋体" w:hAnsi="宋体" w:cs="宋体"/>
          <w:b/>
          <w:sz w:val="28"/>
          <w:szCs w:val="28"/>
          <w:highlight w:val="none"/>
        </w:rPr>
        <w:t>监狱企业声明函</w:t>
      </w:r>
    </w:p>
    <w:p>
      <w:pPr>
        <w:adjustRightInd w:val="0"/>
        <w:snapToGrid w:val="0"/>
        <w:spacing w:line="320" w:lineRule="exact"/>
        <w:jc w:val="center"/>
        <w:rPr>
          <w:rFonts w:ascii="宋体" w:hAnsi="宋体" w:cs="宋体"/>
          <w:b/>
          <w:sz w:val="28"/>
          <w:szCs w:val="28"/>
          <w:highlight w:val="none"/>
        </w:rPr>
      </w:pPr>
      <w:r>
        <w:rPr>
          <w:rFonts w:hint="eastAsia" w:ascii="宋体" w:hAnsi="宋体" w:cs="宋体"/>
          <w:b/>
          <w:sz w:val="28"/>
          <w:szCs w:val="28"/>
          <w:highlight w:val="none"/>
        </w:rPr>
        <w:t>（非监狱企业不用提供）</w:t>
      </w:r>
    </w:p>
    <w:p>
      <w:pPr>
        <w:adjustRightInd w:val="0"/>
        <w:snapToGrid w:val="0"/>
        <w:rPr>
          <w:rFonts w:ascii="宋体" w:hAnsi="宋体" w:cs="宋体"/>
          <w:highlight w:val="none"/>
        </w:rPr>
      </w:pPr>
      <w:r>
        <w:rPr>
          <w:rFonts w:hint="eastAsia" w:ascii="宋体" w:hAnsi="宋体" w:cs="宋体"/>
          <w:highlight w:val="none"/>
        </w:rPr>
        <w:t>（采购人名称）：</w:t>
      </w:r>
    </w:p>
    <w:p>
      <w:pPr>
        <w:adjustRightInd w:val="0"/>
        <w:snapToGrid w:val="0"/>
        <w:ind w:firstLine="420" w:firstLineChars="200"/>
        <w:rPr>
          <w:rFonts w:ascii="宋体" w:hAnsi="宋体" w:cs="宋体"/>
          <w:highlight w:val="none"/>
        </w:rPr>
      </w:pPr>
      <w:r>
        <w:rPr>
          <w:rFonts w:hint="eastAsia" w:ascii="宋体" w:hAnsi="宋体" w:cs="宋体"/>
          <w:highlight w:val="none"/>
        </w:rPr>
        <w:t>本公司郑重声明，根据《关于政府采购支持监狱企业发展有关问题的通知》（财库〔2014〕68号）的规定，本公司为监狱企业。</w:t>
      </w:r>
    </w:p>
    <w:p>
      <w:pPr>
        <w:adjustRightInd w:val="0"/>
        <w:snapToGrid w:val="0"/>
        <w:ind w:firstLine="420" w:firstLineChars="200"/>
        <w:rPr>
          <w:rFonts w:ascii="宋体" w:hAnsi="宋体" w:cs="宋体"/>
          <w:highlight w:val="none"/>
        </w:rPr>
      </w:pPr>
      <w:r>
        <w:rPr>
          <w:rFonts w:hint="eastAsia" w:ascii="宋体" w:hAnsi="宋体" w:cs="宋体"/>
          <w:highlight w:val="none"/>
        </w:rPr>
        <w:t>1.本公司为监狱企业的证明材料如下：</w:t>
      </w:r>
    </w:p>
    <w:p>
      <w:pPr>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u w:val="single"/>
        </w:rPr>
        <w:t xml:space="preserve">                   附：                                          </w:t>
      </w:r>
      <w:r>
        <w:rPr>
          <w:rFonts w:hint="eastAsia" w:ascii="宋体" w:hAnsi="宋体" w:cs="宋体"/>
          <w:highlight w:val="none"/>
        </w:rPr>
        <w:t>。</w:t>
      </w:r>
    </w:p>
    <w:p>
      <w:pPr>
        <w:ind w:firstLine="420" w:firstLineChars="200"/>
        <w:rPr>
          <w:rFonts w:ascii="宋体" w:hAnsi="宋体" w:cs="宋体"/>
          <w:highlight w:val="none"/>
        </w:rPr>
      </w:pPr>
      <w:r>
        <w:rPr>
          <w:rFonts w:hint="eastAsia" w:ascii="宋体" w:hAnsi="宋体" w:cs="宋体"/>
          <w:highlight w:val="none"/>
        </w:rPr>
        <w:t>（2）</w:t>
      </w:r>
      <w:r>
        <w:rPr>
          <w:rFonts w:hint="eastAsia" w:ascii="宋体" w:hAnsi="宋体" w:cs="宋体"/>
          <w:highlight w:val="none"/>
          <w:u w:val="single"/>
        </w:rPr>
        <w:t xml:space="preserve">                   附：                                          </w:t>
      </w:r>
      <w:r>
        <w:rPr>
          <w:rFonts w:hint="eastAsia" w:ascii="宋体" w:hAnsi="宋体" w:cs="宋体"/>
          <w:highlight w:val="none"/>
        </w:rPr>
        <w:t>。</w:t>
      </w:r>
    </w:p>
    <w:p>
      <w:pPr>
        <w:adjustRightInd w:val="0"/>
        <w:snapToGrid w:val="0"/>
        <w:ind w:firstLine="420" w:firstLineChars="200"/>
        <w:rPr>
          <w:rFonts w:ascii="宋体" w:hAnsi="宋体" w:cs="宋体"/>
          <w:highlight w:val="none"/>
        </w:rPr>
      </w:pPr>
      <w:r>
        <w:rPr>
          <w:rFonts w:hint="eastAsia" w:ascii="宋体" w:hAnsi="宋体" w:cs="宋体"/>
          <w:highlight w:val="none"/>
        </w:rPr>
        <w:t>2.本公司参加</w:t>
      </w:r>
      <w:r>
        <w:rPr>
          <w:rFonts w:hint="eastAsia" w:ascii="宋体" w:hAnsi="宋体" w:cs="宋体"/>
          <w:highlight w:val="none"/>
          <w:u w:val="single"/>
        </w:rPr>
        <w:t>_（采购人名称）</w:t>
      </w:r>
      <w:r>
        <w:rPr>
          <w:rFonts w:hint="eastAsia" w:ascii="宋体" w:hAnsi="宋体" w:cs="宋体"/>
          <w:highlight w:val="none"/>
        </w:rPr>
        <w:t>单位的</w:t>
      </w:r>
      <w:r>
        <w:rPr>
          <w:rFonts w:hint="eastAsia" w:ascii="宋体" w:hAnsi="宋体" w:cs="宋体"/>
          <w:highlight w:val="none"/>
          <w:u w:val="single"/>
        </w:rPr>
        <w:t>（项目名称）</w:t>
      </w:r>
      <w:r>
        <w:rPr>
          <w:rFonts w:hint="eastAsia" w:ascii="宋体" w:hAnsi="宋体" w:cs="宋体"/>
          <w:highlight w:val="none"/>
        </w:rPr>
        <w:t>采购活动。本公司对上述声明的真实性负责。如有虚假，将依法承担相应责任。</w:t>
      </w:r>
    </w:p>
    <w:p>
      <w:pPr>
        <w:adjustRightInd w:val="0"/>
        <w:snapToGrid w:val="0"/>
        <w:ind w:firstLine="422" w:firstLineChars="200"/>
        <w:rPr>
          <w:rFonts w:ascii="宋体" w:hAnsi="宋体" w:cs="宋体"/>
          <w:szCs w:val="21"/>
          <w:highlight w:val="none"/>
        </w:rPr>
      </w:pPr>
      <w:r>
        <w:rPr>
          <w:rFonts w:hint="eastAsia" w:ascii="宋体" w:hAnsi="宋体" w:cs="宋体"/>
          <w:b/>
          <w:kern w:val="0"/>
          <w:szCs w:val="21"/>
          <w:highlight w:val="none"/>
          <w:lang w:val="zh-CN"/>
        </w:rPr>
        <w:t>注：1）本声明函为监狱企业填写。</w:t>
      </w:r>
    </w:p>
    <w:p>
      <w:pPr>
        <w:adjustRightInd w:val="0"/>
        <w:snapToGrid w:val="0"/>
        <w:ind w:firstLine="835" w:firstLineChars="396"/>
        <w:rPr>
          <w:rFonts w:ascii="宋体" w:hAnsi="宋体" w:cs="宋体"/>
          <w:b/>
          <w:kern w:val="0"/>
          <w:szCs w:val="21"/>
          <w:highlight w:val="none"/>
          <w:lang w:val="zh-CN"/>
        </w:rPr>
      </w:pPr>
      <w:r>
        <w:rPr>
          <w:rFonts w:hint="eastAsia" w:ascii="宋体" w:hAnsi="宋体" w:cs="宋体"/>
          <w:b/>
          <w:kern w:val="0"/>
          <w:szCs w:val="21"/>
          <w:highlight w:val="none"/>
          <w:lang w:val="zh-CN"/>
        </w:rPr>
        <w:t>2）后附相关部门认定盖章认定证明文件</w:t>
      </w:r>
      <w:r>
        <w:rPr>
          <w:rFonts w:hint="eastAsia" w:ascii="宋体" w:hAnsi="宋体" w:cs="宋体"/>
          <w:b/>
          <w:szCs w:val="21"/>
          <w:highlight w:val="none"/>
        </w:rPr>
        <w:t>且有效期内</w:t>
      </w:r>
      <w:r>
        <w:rPr>
          <w:rFonts w:hint="eastAsia" w:ascii="宋体" w:hAnsi="宋体" w:cs="宋体"/>
          <w:b/>
          <w:kern w:val="0"/>
          <w:szCs w:val="21"/>
          <w:highlight w:val="none"/>
          <w:lang w:val="zh-CN"/>
        </w:rPr>
        <w:t>。</w:t>
      </w:r>
    </w:p>
    <w:p>
      <w:pPr>
        <w:adjustRightInd w:val="0"/>
        <w:snapToGrid w:val="0"/>
        <w:rPr>
          <w:rFonts w:ascii="宋体" w:hAnsi="宋体" w:cs="宋体"/>
          <w:kern w:val="0"/>
          <w:highlight w:val="none"/>
          <w:lang w:val="zh-CN"/>
        </w:rPr>
      </w:pPr>
    </w:p>
    <w:p>
      <w:pPr>
        <w:snapToGrid w:val="0"/>
        <w:ind w:firstLine="4644" w:firstLineChars="2203"/>
        <w:jc w:val="left"/>
        <w:rPr>
          <w:rFonts w:ascii="宋体" w:hAnsi="宋体" w:cs="宋体"/>
          <w:b/>
          <w:highlight w:val="none"/>
        </w:rPr>
      </w:pPr>
      <w:r>
        <w:rPr>
          <w:rFonts w:hint="eastAsia" w:ascii="宋体" w:hAnsi="宋体" w:cs="宋体"/>
          <w:b/>
          <w:highlight w:val="none"/>
        </w:rPr>
        <w:t>供 应 商 公 章：</w:t>
      </w:r>
    </w:p>
    <w:p>
      <w:pPr>
        <w:pStyle w:val="9"/>
        <w:snapToGrid w:val="0"/>
        <w:spacing w:before="0" w:after="0"/>
        <w:ind w:firstLine="5313" w:firstLineChars="2205"/>
        <w:rPr>
          <w:rFonts w:ascii="宋体" w:hAnsi="宋体" w:eastAsia="宋体" w:cs="宋体"/>
          <w:b/>
          <w:sz w:val="24"/>
          <w:highlight w:val="none"/>
          <w:u w:val="single"/>
        </w:rPr>
      </w:pPr>
      <w:r>
        <w:rPr>
          <w:rFonts w:hint="eastAsia" w:ascii="宋体" w:hAnsi="宋体" w:eastAsia="宋体" w:cs="宋体"/>
          <w:b/>
          <w:sz w:val="24"/>
          <w:highlight w:val="none"/>
        </w:rPr>
        <w:t>法定代表人签字：</w:t>
      </w:r>
      <w:r>
        <w:rPr>
          <w:rFonts w:hint="eastAsia" w:ascii="宋体" w:hAnsi="宋体" w:eastAsia="宋体" w:cs="宋体"/>
          <w:b/>
          <w:sz w:val="24"/>
          <w:highlight w:val="none"/>
          <w:u w:val="single"/>
        </w:rPr>
        <w:t>　    　　    　　</w:t>
      </w:r>
    </w:p>
    <w:p>
      <w:pPr>
        <w:spacing w:line="440" w:lineRule="exact"/>
        <w:ind w:firstLine="413" w:firstLineChars="196"/>
        <w:rPr>
          <w:rFonts w:ascii="宋体" w:hAnsi="宋体" w:cs="宋体"/>
          <w:highlight w:val="none"/>
          <w:u w:val="single"/>
        </w:rPr>
      </w:pPr>
      <w:r>
        <w:rPr>
          <w:rFonts w:hint="eastAsia" w:ascii="宋体" w:hAnsi="宋体" w:cs="宋体"/>
          <w:b/>
          <w:highlight w:val="none"/>
        </w:rPr>
        <w:t>日          期：</w:t>
      </w: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spacing w:line="440" w:lineRule="exact"/>
        <w:ind w:firstLine="411" w:firstLineChars="196"/>
        <w:rPr>
          <w:rFonts w:ascii="宋体" w:hAnsi="宋体" w:cs="宋体"/>
          <w:highlight w:val="none"/>
          <w:u w:val="single"/>
        </w:rPr>
      </w:pPr>
    </w:p>
    <w:p>
      <w:pPr>
        <w:pStyle w:val="2"/>
        <w:rPr>
          <w:highlight w:val="none"/>
        </w:rPr>
      </w:pPr>
    </w:p>
    <w:p>
      <w:pPr>
        <w:tabs>
          <w:tab w:val="left" w:pos="1642"/>
        </w:tabs>
        <w:spacing w:before="66" w:line="520" w:lineRule="exact"/>
        <w:rPr>
          <w:rFonts w:ascii="宋体" w:hAnsi="宋体" w:cs="宋体"/>
          <w:szCs w:val="21"/>
          <w:highlight w:val="none"/>
        </w:rPr>
      </w:pPr>
      <w:r>
        <w:rPr>
          <w:rFonts w:hint="eastAsia" w:ascii="宋体" w:hAnsi="宋体" w:cs="宋体"/>
          <w:szCs w:val="21"/>
          <w:highlight w:val="none"/>
        </w:rPr>
        <w:t>5、残疾人福利性单位声明函</w:t>
      </w:r>
    </w:p>
    <w:p>
      <w:pPr>
        <w:spacing w:line="440" w:lineRule="exact"/>
        <w:ind w:firstLine="506" w:firstLineChars="200"/>
        <w:jc w:val="center"/>
        <w:rPr>
          <w:rFonts w:ascii="宋体" w:hAnsi="宋体" w:cs="宋体"/>
          <w:b/>
          <w:spacing w:val="6"/>
          <w:sz w:val="24"/>
          <w:highlight w:val="none"/>
        </w:rPr>
      </w:pPr>
    </w:p>
    <w:p>
      <w:pPr>
        <w:spacing w:line="440" w:lineRule="exact"/>
        <w:ind w:firstLine="506" w:firstLineChars="200"/>
        <w:jc w:val="center"/>
        <w:rPr>
          <w:rFonts w:ascii="宋体" w:hAnsi="宋体" w:cs="宋体"/>
          <w:b/>
          <w:spacing w:val="6"/>
          <w:sz w:val="24"/>
          <w:highlight w:val="none"/>
        </w:rPr>
      </w:pPr>
      <w:r>
        <w:rPr>
          <w:rFonts w:hint="eastAsia" w:ascii="宋体" w:hAnsi="宋体" w:cs="宋体"/>
          <w:b/>
          <w:spacing w:val="6"/>
          <w:sz w:val="24"/>
          <w:highlight w:val="none"/>
        </w:rPr>
        <w:t>残疾人福利性单位声明函</w:t>
      </w:r>
    </w:p>
    <w:p>
      <w:pPr>
        <w:spacing w:line="440" w:lineRule="exact"/>
        <w:ind w:firstLine="504" w:firstLineChars="200"/>
        <w:rPr>
          <w:rFonts w:ascii="宋体" w:hAnsi="宋体" w:cs="宋体"/>
          <w:spacing w:val="6"/>
          <w:sz w:val="24"/>
          <w:highlight w:val="none"/>
        </w:rPr>
      </w:pPr>
    </w:p>
    <w:p>
      <w:pPr>
        <w:spacing w:line="440"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本单位郑重声明，根据《财政部民政部中国残疾人联合会关于促进残疾人就业政府采购政策的通知》（财库〔2017〕141号）的规定，本单位为符合条件的残疾人福利性单位，且本单位参加______单位的</w:t>
      </w:r>
      <w:r>
        <w:rPr>
          <w:rFonts w:hint="eastAsia" w:ascii="宋体" w:hAnsi="宋体" w:cs="宋体"/>
          <w:spacing w:val="6"/>
          <w:sz w:val="24"/>
          <w:highlight w:val="none"/>
        </w:rPr>
        <w:tab/>
      </w:r>
      <w:r>
        <w:rPr>
          <w:rFonts w:hint="eastAsia" w:ascii="宋体" w:hAnsi="宋体" w:cs="宋体"/>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440"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pStyle w:val="3"/>
        <w:rPr>
          <w:rFonts w:ascii="宋体" w:hAnsi="宋体" w:cs="宋体"/>
          <w:highlight w:val="none"/>
        </w:rPr>
      </w:pPr>
    </w:p>
    <w:p>
      <w:pPr>
        <w:pStyle w:val="3"/>
        <w:rPr>
          <w:rFonts w:ascii="宋体" w:hAnsi="宋体" w:cs="宋体"/>
          <w:highlight w:val="none"/>
        </w:rPr>
      </w:pPr>
    </w:p>
    <w:p>
      <w:pPr>
        <w:pStyle w:val="3"/>
        <w:rPr>
          <w:rFonts w:ascii="宋体" w:hAnsi="宋体" w:cs="宋体"/>
          <w:highlight w:val="none"/>
        </w:rPr>
      </w:pPr>
    </w:p>
    <w:p>
      <w:pPr>
        <w:pStyle w:val="3"/>
        <w:rPr>
          <w:rFonts w:ascii="宋体" w:hAnsi="宋体" w:cs="宋体"/>
          <w:sz w:val="17"/>
          <w:highlight w:val="none"/>
        </w:rPr>
      </w:pPr>
    </w:p>
    <w:p>
      <w:pPr>
        <w:spacing w:line="520" w:lineRule="exact"/>
        <w:rPr>
          <w:rFonts w:ascii="宋体" w:hAnsi="宋体" w:cs="宋体"/>
          <w:spacing w:val="39"/>
          <w:highlight w:val="none"/>
        </w:rPr>
      </w:pPr>
      <w:r>
        <w:rPr>
          <w:rFonts w:hint="eastAsia" w:ascii="宋体" w:hAnsi="宋体" w:cs="宋体"/>
          <w:spacing w:val="39"/>
          <w:highlight w:val="none"/>
        </w:rPr>
        <w:t>法定代表人或授权委托人：</w:t>
      </w:r>
      <w:r>
        <w:rPr>
          <w:rFonts w:hint="eastAsia" w:ascii="宋体" w:hAnsi="宋体" w:cs="宋体"/>
          <w:spacing w:val="39"/>
          <w:highlight w:val="none"/>
        </w:rPr>
        <w:tab/>
      </w:r>
      <w:r>
        <w:rPr>
          <w:rFonts w:hint="eastAsia" w:ascii="宋体" w:hAnsi="宋体" w:cs="宋体"/>
          <w:spacing w:val="39"/>
          <w:highlight w:val="none"/>
        </w:rPr>
        <w:t>（签字或盖章）</w:t>
      </w:r>
      <w:r>
        <w:rPr>
          <w:rFonts w:hint="eastAsia" w:ascii="宋体" w:hAnsi="宋体" w:cs="宋体"/>
          <w:spacing w:val="39"/>
          <w:highlight w:val="none"/>
        </w:rPr>
        <w:tab/>
      </w:r>
    </w:p>
    <w:p>
      <w:pPr>
        <w:spacing w:line="520" w:lineRule="exact"/>
        <w:rPr>
          <w:rFonts w:ascii="宋体" w:hAnsi="宋体" w:cs="宋体"/>
          <w:highlight w:val="none"/>
        </w:rPr>
      </w:pPr>
      <w:r>
        <w:rPr>
          <w:rFonts w:hint="eastAsia" w:ascii="宋体" w:hAnsi="宋体" w:cs="宋体"/>
          <w:spacing w:val="39"/>
          <w:highlight w:val="none"/>
        </w:rPr>
        <w:t>投标人</w:t>
      </w:r>
      <w:r>
        <w:rPr>
          <w:rFonts w:hint="eastAsia" w:ascii="宋体" w:hAnsi="宋体" w:cs="宋体"/>
          <w:highlight w:val="none"/>
        </w:rPr>
        <w:t>：</w:t>
      </w:r>
      <w:r>
        <w:rPr>
          <w:rFonts w:hint="eastAsia" w:ascii="宋体" w:hAnsi="宋体" w:cs="宋体"/>
          <w:highlight w:val="none"/>
          <w:u w:val="single"/>
        </w:rPr>
        <w:tab/>
      </w:r>
      <w:r>
        <w:rPr>
          <w:rFonts w:hint="eastAsia" w:ascii="宋体" w:hAnsi="宋体" w:cs="宋体"/>
          <w:highlight w:val="none"/>
          <w:u w:val="single"/>
        </w:rPr>
        <w:t>（</w:t>
      </w:r>
      <w:r>
        <w:rPr>
          <w:rFonts w:hint="eastAsia" w:ascii="宋体" w:hAnsi="宋体" w:cs="宋体"/>
          <w:spacing w:val="39"/>
          <w:highlight w:val="none"/>
          <w:u w:val="single"/>
        </w:rPr>
        <w:t>盖章</w:t>
      </w:r>
      <w:r>
        <w:rPr>
          <w:rFonts w:hint="eastAsia" w:ascii="宋体" w:hAnsi="宋体" w:cs="宋体"/>
          <w:highlight w:val="none"/>
          <w:u w:val="single"/>
        </w:rPr>
        <w:t>）</w:t>
      </w:r>
      <w:r>
        <w:rPr>
          <w:rFonts w:hint="eastAsia" w:ascii="宋体" w:hAnsi="宋体" w:cs="宋体"/>
          <w:highlight w:val="none"/>
          <w:u w:val="single"/>
        </w:rPr>
        <w:tab/>
      </w:r>
      <w:r>
        <w:rPr>
          <w:rFonts w:hint="eastAsia" w:ascii="宋体" w:hAnsi="宋体" w:cs="宋体"/>
          <w:highlight w:val="none"/>
        </w:rPr>
        <w:tab/>
      </w:r>
    </w:p>
    <w:p>
      <w:pPr>
        <w:spacing w:line="520" w:lineRule="exact"/>
        <w:rPr>
          <w:rFonts w:ascii="宋体" w:hAnsi="宋体" w:cs="宋体"/>
          <w:highlight w:val="none"/>
          <w:u w:val="single"/>
        </w:rPr>
      </w:pPr>
      <w:r>
        <w:rPr>
          <w:rFonts w:hint="eastAsia" w:ascii="宋体" w:hAnsi="宋体" w:cs="宋体"/>
          <w:highlight w:val="none"/>
        </w:rPr>
        <w:t>日</w:t>
      </w:r>
      <w:r>
        <w:rPr>
          <w:rFonts w:hint="eastAsia" w:ascii="宋体" w:hAnsi="宋体" w:cs="宋体"/>
          <w:highlight w:val="none"/>
        </w:rPr>
        <w:tab/>
      </w:r>
      <w:r>
        <w:rPr>
          <w:rFonts w:hint="eastAsia" w:ascii="宋体" w:hAnsi="宋体" w:cs="宋体"/>
          <w:spacing w:val="39"/>
          <w:highlight w:val="none"/>
        </w:rPr>
        <w:t>期</w:t>
      </w:r>
      <w:r>
        <w:rPr>
          <w:rFonts w:hint="eastAsia" w:ascii="宋体" w:hAnsi="宋体" w:cs="宋体"/>
          <w:highlight w:val="none"/>
        </w:rPr>
        <w:t>：</w:t>
      </w:r>
      <w:r>
        <w:rPr>
          <w:rFonts w:hint="eastAsia" w:ascii="宋体" w:hAnsi="宋体" w:cs="宋体"/>
          <w:highlight w:val="none"/>
          <w:u w:val="single"/>
        </w:rPr>
        <w:tab/>
      </w:r>
    </w:p>
    <w:p>
      <w:pPr>
        <w:spacing w:line="520" w:lineRule="exact"/>
        <w:rPr>
          <w:rFonts w:ascii="宋体" w:hAnsi="宋体" w:cs="宋体"/>
          <w:highlight w:val="none"/>
          <w:u w:val="single"/>
        </w:rPr>
      </w:pPr>
    </w:p>
    <w:p>
      <w:pPr>
        <w:spacing w:line="520" w:lineRule="exact"/>
        <w:rPr>
          <w:rFonts w:ascii="宋体" w:hAnsi="宋体" w:cs="宋体"/>
          <w:highlight w:val="none"/>
          <w:u w:val="single"/>
        </w:rPr>
      </w:pPr>
    </w:p>
    <w:p>
      <w:pPr>
        <w:adjustRightInd w:val="0"/>
        <w:snapToGrid w:val="0"/>
        <w:spacing w:line="360" w:lineRule="exact"/>
        <w:ind w:left="113"/>
        <w:jc w:val="left"/>
        <w:rPr>
          <w:rFonts w:ascii="宋体" w:hAnsi="宋体" w:cs="宋体"/>
          <w:szCs w:val="21"/>
          <w:highlight w:val="none"/>
        </w:rPr>
      </w:pPr>
      <w:r>
        <w:rPr>
          <w:rFonts w:hint="eastAsia" w:ascii="宋体" w:hAnsi="宋体" w:cs="宋体"/>
          <w:szCs w:val="21"/>
          <w:highlight w:val="none"/>
        </w:rPr>
        <w:t xml:space="preserve"> 提供社保缴纳人员名单、录用的残疾人的</w:t>
      </w:r>
      <w:r>
        <w:rPr>
          <w:rFonts w:hint="eastAsia" w:ascii="宋体" w:hAnsi="宋体" w:cs="宋体"/>
          <w:highlight w:val="none"/>
        </w:rPr>
        <w:t>《中华人民共和国残疾人证》或者《中华人民共和国残疾军人证(1至8级)》复印件。</w:t>
      </w: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jc w:val="center"/>
        <w:rPr>
          <w:highlight w:val="none"/>
        </w:rPr>
      </w:pPr>
      <w:bookmarkStart w:id="278" w:name="_Toc8549"/>
      <w:bookmarkStart w:id="279" w:name="_Toc5664"/>
      <w:bookmarkStart w:id="280" w:name="_Toc1358244755"/>
      <w:bookmarkStart w:id="281" w:name="_Toc25692"/>
      <w:bookmarkStart w:id="282" w:name="_Toc24255"/>
    </w:p>
    <w:p>
      <w:pPr>
        <w:pStyle w:val="2"/>
        <w:ind w:firstLine="210"/>
        <w:jc w:val="center"/>
        <w:rPr>
          <w:highlight w:val="none"/>
        </w:rPr>
      </w:pPr>
    </w:p>
    <w:p>
      <w:pPr>
        <w:rPr>
          <w:highlight w:val="none"/>
        </w:rPr>
      </w:pPr>
    </w:p>
    <w:p>
      <w:pPr>
        <w:pStyle w:val="2"/>
        <w:rPr>
          <w:highlight w:val="none"/>
        </w:rPr>
      </w:pPr>
    </w:p>
    <w:p>
      <w:pPr>
        <w:rPr>
          <w:rFonts w:hint="eastAsia"/>
          <w:highlight w:val="none"/>
        </w:rPr>
      </w:pPr>
    </w:p>
    <w:p>
      <w:pPr>
        <w:pStyle w:val="5"/>
        <w:jc w:val="center"/>
        <w:rPr>
          <w:rFonts w:ascii="宋体" w:hAnsi="宋体" w:eastAsia="宋体" w:cs="宋体"/>
          <w:sz w:val="28"/>
          <w:szCs w:val="28"/>
          <w:highlight w:val="none"/>
        </w:rPr>
      </w:pPr>
      <w:r>
        <w:rPr>
          <w:rFonts w:hint="eastAsia" w:ascii="宋体" w:hAnsi="宋体" w:eastAsia="宋体" w:cs="宋体"/>
          <w:sz w:val="28"/>
          <w:szCs w:val="28"/>
          <w:highlight w:val="none"/>
        </w:rPr>
        <w:t>二、技术商务文件格式</w:t>
      </w:r>
      <w:bookmarkEnd w:id="278"/>
      <w:bookmarkEnd w:id="279"/>
      <w:bookmarkEnd w:id="280"/>
      <w:bookmarkEnd w:id="281"/>
      <w:bookmarkEnd w:id="282"/>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r>
        <w:rPr>
          <w:rFonts w:hint="eastAsia" w:ascii="宋体" w:hAnsi="宋体" w:cs="宋体"/>
          <w:sz w:val="24"/>
          <w:highlight w:val="none"/>
        </w:rPr>
        <w:t xml:space="preserve">1、技术资信文件封面格式： </w:t>
      </w:r>
    </w:p>
    <w:p>
      <w:pPr>
        <w:adjustRightInd w:val="0"/>
        <w:snapToGrid w:val="0"/>
        <w:rPr>
          <w:rFonts w:ascii="宋体" w:hAnsi="宋体" w:cs="宋体"/>
          <w:sz w:val="24"/>
          <w:highlight w:val="none"/>
        </w:rPr>
      </w:pPr>
    </w:p>
    <w:p>
      <w:pPr>
        <w:adjustRightInd w:val="0"/>
        <w:snapToGrid w:val="0"/>
        <w:rPr>
          <w:rFonts w:ascii="宋体" w:hAnsi="宋体" w:cs="宋体"/>
          <w:b/>
          <w:bCs/>
          <w:sz w:val="24"/>
          <w:highlight w:val="none"/>
        </w:rPr>
      </w:pPr>
    </w:p>
    <w:p>
      <w:pPr>
        <w:adjustRightInd w:val="0"/>
        <w:snapToGrid w:val="0"/>
        <w:jc w:val="center"/>
        <w:rPr>
          <w:rFonts w:ascii="宋体" w:hAnsi="宋体" w:cs="宋体"/>
          <w:bCs/>
          <w:sz w:val="30"/>
          <w:szCs w:val="30"/>
          <w:highlight w:val="none"/>
        </w:rPr>
      </w:pPr>
      <w:r>
        <w:rPr>
          <w:rFonts w:hint="eastAsia" w:ascii="宋体" w:hAnsi="宋体" w:cs="宋体"/>
          <w:bCs/>
          <w:sz w:val="30"/>
          <w:szCs w:val="30"/>
          <w:highlight w:val="none"/>
        </w:rPr>
        <w:t>×××（投标人名称）</w:t>
      </w:r>
    </w:p>
    <w:p>
      <w:pPr>
        <w:adjustRightInd w:val="0"/>
        <w:snapToGrid w:val="0"/>
        <w:jc w:val="center"/>
        <w:rPr>
          <w:rFonts w:ascii="宋体" w:hAnsi="宋体" w:cs="宋体"/>
          <w:bCs/>
          <w:sz w:val="30"/>
          <w:szCs w:val="30"/>
          <w:highlight w:val="none"/>
        </w:rPr>
      </w:pPr>
    </w:p>
    <w:p>
      <w:pPr>
        <w:adjustRightInd w:val="0"/>
        <w:snapToGrid w:val="0"/>
        <w:jc w:val="center"/>
        <w:rPr>
          <w:rFonts w:ascii="宋体" w:hAnsi="宋体" w:cs="宋体"/>
          <w:b/>
          <w:bCs/>
          <w:sz w:val="48"/>
          <w:szCs w:val="48"/>
          <w:highlight w:val="none"/>
        </w:rPr>
      </w:pPr>
      <w:r>
        <w:rPr>
          <w:rFonts w:hint="eastAsia" w:ascii="宋体" w:hAnsi="宋体" w:cs="宋体"/>
          <w:b/>
          <w:bCs/>
          <w:sz w:val="48"/>
          <w:szCs w:val="48"/>
          <w:highlight w:val="none"/>
        </w:rPr>
        <w:t>技术商务文件</w:t>
      </w:r>
    </w:p>
    <w:p>
      <w:pPr>
        <w:adjustRightInd w:val="0"/>
        <w:snapToGrid w:val="0"/>
        <w:jc w:val="center"/>
        <w:rPr>
          <w:rFonts w:ascii="宋体" w:hAnsi="宋体" w:cs="宋体"/>
          <w:b/>
          <w:bCs/>
          <w:sz w:val="44"/>
          <w:szCs w:val="44"/>
          <w:highlight w:val="none"/>
        </w:rPr>
      </w:pPr>
    </w:p>
    <w:p>
      <w:pPr>
        <w:adjustRightInd w:val="0"/>
        <w:snapToGrid w:val="0"/>
        <w:ind w:left="2250" w:leftChars="500" w:hanging="1200" w:hangingChars="500"/>
        <w:rPr>
          <w:rFonts w:ascii="宋体" w:hAnsi="宋体" w:cs="宋体"/>
          <w:bCs/>
          <w:sz w:val="24"/>
          <w:highlight w:val="none"/>
        </w:rPr>
      </w:pPr>
      <w:r>
        <w:rPr>
          <w:rFonts w:hint="eastAsia" w:ascii="宋体" w:hAnsi="宋体" w:cs="宋体"/>
          <w:bCs/>
          <w:sz w:val="24"/>
          <w:highlight w:val="none"/>
        </w:rPr>
        <w:t xml:space="preserve">项目名称： </w:t>
      </w:r>
    </w:p>
    <w:p>
      <w:pPr>
        <w:adjustRightInd w:val="0"/>
        <w:snapToGrid w:val="0"/>
        <w:ind w:firstLine="480" w:firstLineChars="200"/>
        <w:rPr>
          <w:rFonts w:ascii="宋体" w:hAnsi="宋体" w:cs="宋体"/>
          <w:bCs/>
          <w:sz w:val="24"/>
          <w:highlight w:val="none"/>
        </w:rPr>
      </w:pPr>
      <w:r>
        <w:rPr>
          <w:rFonts w:hint="eastAsia" w:ascii="宋体" w:hAnsi="宋体" w:cs="宋体"/>
          <w:bCs/>
          <w:sz w:val="24"/>
          <w:highlight w:val="none"/>
        </w:rPr>
        <w:t xml:space="preserve">     项目编号：</w:t>
      </w:r>
    </w:p>
    <w:p>
      <w:pPr>
        <w:adjustRightInd w:val="0"/>
        <w:snapToGrid w:val="0"/>
        <w:ind w:firstLine="480" w:firstLineChars="200"/>
        <w:rPr>
          <w:rFonts w:ascii="宋体" w:hAnsi="宋体" w:cs="宋体"/>
          <w:sz w:val="24"/>
          <w:highlight w:val="none"/>
        </w:rPr>
      </w:pPr>
      <w:r>
        <w:rPr>
          <w:rFonts w:hint="eastAsia" w:ascii="宋体" w:hAnsi="宋体" w:cs="宋体"/>
          <w:sz w:val="24"/>
          <w:highlight w:val="none"/>
        </w:rPr>
        <w:t xml:space="preserve">     投标人名称（盖章）：</w:t>
      </w:r>
    </w:p>
    <w:p>
      <w:pPr>
        <w:adjustRightInd w:val="0"/>
        <w:snapToGrid w:val="0"/>
        <w:ind w:firstLine="1080" w:firstLineChars="450"/>
        <w:rPr>
          <w:rFonts w:ascii="宋体" w:hAnsi="宋体" w:cs="宋体"/>
          <w:sz w:val="24"/>
          <w:highlight w:val="none"/>
        </w:rPr>
      </w:pPr>
      <w:r>
        <w:rPr>
          <w:rFonts w:hint="eastAsia" w:ascii="宋体" w:hAnsi="宋体" w:cs="宋体"/>
          <w:sz w:val="24"/>
          <w:highlight w:val="none"/>
        </w:rPr>
        <w:t>投标人地址：</w:t>
      </w:r>
    </w:p>
    <w:p>
      <w:pPr>
        <w:adjustRightInd w:val="0"/>
        <w:snapToGrid w:val="0"/>
        <w:ind w:firstLine="4080" w:firstLineChars="1700"/>
        <w:rPr>
          <w:rFonts w:ascii="宋体" w:hAnsi="宋体" w:cs="宋体"/>
          <w:sz w:val="24"/>
          <w:highlight w:val="none"/>
        </w:rPr>
      </w:pPr>
      <w:r>
        <w:rPr>
          <w:rFonts w:hint="eastAsia" w:ascii="宋体" w:hAnsi="宋体" w:cs="宋体"/>
          <w:sz w:val="24"/>
          <w:highlight w:val="none"/>
        </w:rPr>
        <w:t>授权代表签名或盖章：</w:t>
      </w:r>
    </w:p>
    <w:p>
      <w:pPr>
        <w:adjustRightInd w:val="0"/>
        <w:snapToGrid w:val="0"/>
        <w:ind w:firstLine="645"/>
        <w:jc w:val="right"/>
        <w:rPr>
          <w:rFonts w:ascii="宋体" w:hAnsi="宋体" w:cs="宋体"/>
          <w:sz w:val="24"/>
          <w:highlight w:val="none"/>
        </w:rPr>
      </w:pPr>
      <w:r>
        <w:rPr>
          <w:rFonts w:hint="eastAsia" w:ascii="宋体" w:hAnsi="宋体" w:cs="宋体"/>
          <w:sz w:val="24"/>
          <w:highlight w:val="none"/>
        </w:rPr>
        <w:t xml:space="preserve">                        年  月  日</w:t>
      </w: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pStyle w:val="2"/>
        <w:rPr>
          <w:highlight w:val="none"/>
        </w:rPr>
      </w:pPr>
    </w:p>
    <w:p>
      <w:pPr>
        <w:adjustRightInd w:val="0"/>
        <w:snapToGrid w:val="0"/>
        <w:rPr>
          <w:rFonts w:ascii="宋体" w:hAnsi="宋体" w:cs="宋体"/>
          <w:sz w:val="24"/>
          <w:highlight w:val="none"/>
        </w:rPr>
      </w:pPr>
    </w:p>
    <w:p>
      <w:pPr>
        <w:spacing w:line="520" w:lineRule="exact"/>
        <w:rPr>
          <w:rFonts w:ascii="宋体" w:hAnsi="宋体" w:cs="宋体"/>
          <w:sz w:val="24"/>
          <w:highlight w:val="none"/>
        </w:rPr>
      </w:pPr>
      <w:r>
        <w:rPr>
          <w:rFonts w:hint="eastAsia" w:ascii="宋体" w:hAnsi="宋体" w:cs="宋体"/>
          <w:sz w:val="24"/>
          <w:highlight w:val="none"/>
        </w:rPr>
        <w:t>2、投标函格式</w:t>
      </w:r>
    </w:p>
    <w:p>
      <w:pPr>
        <w:spacing w:line="360" w:lineRule="auto"/>
        <w:jc w:val="center"/>
        <w:rPr>
          <w:rFonts w:ascii="宋体" w:hAnsi="宋体" w:cs="宋体"/>
          <w:b/>
          <w:sz w:val="30"/>
          <w:szCs w:val="30"/>
          <w:highlight w:val="none"/>
        </w:rPr>
      </w:pPr>
      <w:r>
        <w:rPr>
          <w:rFonts w:hint="eastAsia" w:ascii="宋体" w:hAnsi="宋体" w:cs="宋体"/>
          <w:b/>
          <w:sz w:val="30"/>
          <w:szCs w:val="30"/>
          <w:highlight w:val="none"/>
        </w:rPr>
        <w:t>投 标 函</w:t>
      </w:r>
    </w:p>
    <w:p>
      <w:pPr>
        <w:spacing w:line="420" w:lineRule="exact"/>
        <w:rPr>
          <w:rFonts w:ascii="宋体" w:hAnsi="宋体" w:cs="宋体"/>
          <w:szCs w:val="21"/>
          <w:highlight w:val="none"/>
          <w:u w:val="single"/>
        </w:rPr>
      </w:pPr>
      <w:r>
        <w:rPr>
          <w:rFonts w:hint="eastAsia" w:ascii="宋体" w:hAnsi="宋体" w:cs="宋体"/>
          <w:szCs w:val="21"/>
          <w:highlight w:val="none"/>
          <w:u w:val="single"/>
        </w:rPr>
        <w:t>致：</w:t>
      </w:r>
      <w:r>
        <w:rPr>
          <w:rFonts w:hint="eastAsia" w:ascii="宋体" w:hAnsi="宋体" w:cs="宋体"/>
          <w:szCs w:val="21"/>
          <w:highlight w:val="none"/>
          <w:u w:val="single"/>
          <w:lang w:eastAsia="zh-CN"/>
        </w:rPr>
        <w:t>安吉县食品药品检验检测中心</w:t>
      </w:r>
      <w:r>
        <w:rPr>
          <w:rFonts w:hint="eastAsia" w:ascii="宋体" w:hAnsi="宋体" w:cs="宋体"/>
          <w:szCs w:val="21"/>
          <w:highlight w:val="none"/>
          <w:u w:val="single"/>
        </w:rPr>
        <w:t>：</w:t>
      </w:r>
    </w:p>
    <w:p>
      <w:pPr>
        <w:spacing w:line="420" w:lineRule="exact"/>
        <w:ind w:firstLine="210" w:firstLineChars="100"/>
        <w:rPr>
          <w:rFonts w:ascii="宋体" w:hAnsi="宋体" w:cs="宋体"/>
          <w:szCs w:val="21"/>
          <w:highlight w:val="none"/>
          <w:u w:val="single"/>
        </w:rPr>
      </w:pPr>
      <w:r>
        <w:rPr>
          <w:rFonts w:hint="eastAsia" w:ascii="宋体" w:hAnsi="宋体" w:cs="宋体"/>
          <w:szCs w:val="21"/>
          <w:highlight w:val="none"/>
          <w:u w:val="single"/>
        </w:rPr>
        <w:t>安吉精诚采购代理有限公司：</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根据已收到贵方的招标文件编号</w:t>
      </w:r>
      <w:r>
        <w:rPr>
          <w:rFonts w:hint="eastAsia" w:ascii="宋体" w:hAnsi="宋体" w:cs="宋体"/>
          <w:szCs w:val="21"/>
          <w:highlight w:val="none"/>
          <w:lang w:eastAsia="zh-CN"/>
        </w:rPr>
        <w:t>JCGK2024-006</w:t>
      </w:r>
      <w:r>
        <w:rPr>
          <w:rFonts w:hint="eastAsia" w:ascii="宋体" w:hAnsi="宋体" w:cs="宋体"/>
          <w:szCs w:val="21"/>
          <w:highlight w:val="none"/>
        </w:rPr>
        <w:t>的《</w:t>
      </w:r>
      <w:r>
        <w:rPr>
          <w:rFonts w:hint="eastAsia" w:ascii="宋体" w:hAnsi="宋体" w:cs="宋体"/>
          <w:szCs w:val="21"/>
          <w:highlight w:val="none"/>
          <w:lang w:eastAsia="zh-CN"/>
        </w:rPr>
        <w:t>安吉县食品药品检验检测中心离子色谱仪设备供货与安装政府采购项目</w:t>
      </w:r>
      <w:r>
        <w:rPr>
          <w:rFonts w:hint="eastAsia" w:ascii="宋体" w:hAnsi="宋体" w:cs="宋体"/>
          <w:szCs w:val="21"/>
          <w:highlight w:val="none"/>
        </w:rPr>
        <w:t>》招标文件，正式授权下述签字人：</w:t>
      </w:r>
      <w:r>
        <w:rPr>
          <w:rFonts w:hint="eastAsia" w:ascii="宋体" w:hAnsi="宋体" w:cs="宋体"/>
          <w:szCs w:val="21"/>
          <w:highlight w:val="none"/>
          <w:u w:val="single"/>
        </w:rPr>
        <w:t>（姓名和职务）</w:t>
      </w:r>
      <w:r>
        <w:rPr>
          <w:rFonts w:hint="eastAsia" w:ascii="宋体" w:hAnsi="宋体" w:cs="宋体"/>
          <w:szCs w:val="21"/>
          <w:highlight w:val="none"/>
        </w:rPr>
        <w:t>为我公司在职职工，代表</w:t>
      </w:r>
      <w:r>
        <w:rPr>
          <w:rFonts w:hint="eastAsia" w:ascii="宋体" w:hAnsi="宋体" w:cs="宋体"/>
          <w:szCs w:val="21"/>
          <w:highlight w:val="none"/>
          <w:u w:val="single"/>
        </w:rPr>
        <w:t>投标人（即投标单位）</w:t>
      </w:r>
      <w:r>
        <w:rPr>
          <w:rFonts w:hint="eastAsia" w:ascii="宋体" w:hAnsi="宋体" w:cs="宋体"/>
          <w:szCs w:val="21"/>
          <w:highlight w:val="none"/>
        </w:rPr>
        <w:t>，按招标文件要求提交投标文件。</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据此函，签字人兹宣布同意如下：</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1. 我单位已详细审核全部招标文件，包括招标文件、招标文件的补充、修改通知、投标答疑纪要的所有内容，均没有异议。在完全理解和接受的前提下，完全知道必须放弃因含糊不清或误解而对招标文件提出质疑的权利;</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2、投标人在投标之前已经与贵方进行了充分的沟通，完全理解并接受招标文件的各项规定和要求，对招标文件的合理性、合法性不再有异议。</w:t>
      </w:r>
    </w:p>
    <w:p>
      <w:pPr>
        <w:adjustRightInd w:val="0"/>
        <w:snapToGrid w:val="0"/>
        <w:spacing w:line="420" w:lineRule="exact"/>
        <w:ind w:firstLine="420" w:firstLineChars="200"/>
        <w:rPr>
          <w:rFonts w:ascii="宋体" w:hAnsi="宋体" w:cs="宋体"/>
          <w:sz w:val="24"/>
          <w:highlight w:val="none"/>
        </w:rPr>
      </w:pPr>
      <w:r>
        <w:rPr>
          <w:rFonts w:hint="eastAsia" w:ascii="宋体" w:hAnsi="宋体" w:cs="宋体"/>
          <w:szCs w:val="21"/>
          <w:highlight w:val="none"/>
        </w:rPr>
        <w:t>3. 本投标有效期自开标日起</w:t>
      </w:r>
      <w:r>
        <w:rPr>
          <w:rFonts w:hint="eastAsia" w:ascii="宋体" w:hAnsi="宋体" w:cs="宋体"/>
          <w:szCs w:val="21"/>
          <w:highlight w:val="none"/>
          <w:u w:val="single"/>
        </w:rPr>
        <w:t xml:space="preserve"> 90个</w:t>
      </w:r>
      <w:r>
        <w:rPr>
          <w:rFonts w:hint="eastAsia" w:ascii="宋体" w:hAnsi="宋体" w:cs="宋体"/>
          <w:szCs w:val="21"/>
          <w:highlight w:val="none"/>
        </w:rPr>
        <w:t>日历天；</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4. 我单位同意提供采购人和采购代理机构可能另外要求的与其招标有关的任何数据或资料；</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5. 我单位同意按照招标文件中规定的服务期限如期提供服务；</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6. 我单位保证所供服务项目质量符合国家强制性规范和标准，达到招标文件规定的要求；</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7. 我单位同意所提交的投标文件在招标有效期内有效，在此期间我方的投标有可能中标，我方将受此约束；</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8. 除非另外达成协议并生效，招标文件、招标文件补充、修改通知、技术规范、中标通知书和本投标文件将构成约束我们双方的合同。</w:t>
      </w:r>
    </w:p>
    <w:p>
      <w:pPr>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9. 与本次投标有关的一切正式往来函件信息如下：</w:t>
      </w:r>
    </w:p>
    <w:p>
      <w:pPr>
        <w:spacing w:line="420" w:lineRule="exact"/>
        <w:ind w:firstLine="420" w:firstLineChars="200"/>
        <w:rPr>
          <w:rFonts w:ascii="宋体" w:hAnsi="宋体" w:cs="宋体"/>
          <w:szCs w:val="21"/>
          <w:highlight w:val="none"/>
          <w:u w:val="single"/>
        </w:rPr>
      </w:pPr>
      <w:r>
        <w:rPr>
          <w:rFonts w:hint="eastAsia" w:ascii="宋体" w:hAnsi="宋体" w:cs="宋体"/>
          <w:szCs w:val="21"/>
          <w:highlight w:val="none"/>
        </w:rPr>
        <w:t>通信地址：</w:t>
      </w:r>
      <w:r>
        <w:rPr>
          <w:rFonts w:hint="eastAsia" w:ascii="宋体" w:hAnsi="宋体" w:cs="宋体"/>
          <w:szCs w:val="21"/>
          <w:highlight w:val="none"/>
          <w:u w:val="single"/>
        </w:rPr>
        <w:t xml:space="preserve">电子邮箱：            </w:t>
      </w:r>
    </w:p>
    <w:p>
      <w:pPr>
        <w:spacing w:line="420" w:lineRule="exact"/>
        <w:ind w:firstLine="420" w:firstLineChars="200"/>
        <w:rPr>
          <w:rFonts w:ascii="宋体" w:hAnsi="宋体" w:cs="宋体"/>
          <w:szCs w:val="21"/>
          <w:highlight w:val="none"/>
          <w:u w:val="single"/>
        </w:rPr>
      </w:pPr>
      <w:r>
        <w:rPr>
          <w:rFonts w:hint="eastAsia" w:ascii="宋体" w:hAnsi="宋体" w:cs="宋体"/>
          <w:szCs w:val="21"/>
          <w:highlight w:val="none"/>
        </w:rPr>
        <w:t xml:space="preserve">邮编：    电话： 传真： </w:t>
      </w:r>
    </w:p>
    <w:p>
      <w:pPr>
        <w:spacing w:line="420" w:lineRule="exact"/>
        <w:ind w:firstLine="420" w:firstLineChars="200"/>
        <w:rPr>
          <w:rFonts w:ascii="宋体" w:hAnsi="宋体" w:cs="宋体"/>
          <w:szCs w:val="21"/>
          <w:highlight w:val="none"/>
          <w:u w:val="single"/>
        </w:rPr>
      </w:pPr>
      <w:r>
        <w:rPr>
          <w:rFonts w:hint="eastAsia" w:ascii="宋体" w:hAnsi="宋体" w:cs="宋体"/>
          <w:szCs w:val="21"/>
          <w:highlight w:val="none"/>
        </w:rPr>
        <w:t>开户银行：银行帐号：</w:t>
      </w:r>
    </w:p>
    <w:p>
      <w:pPr>
        <w:spacing w:line="420" w:lineRule="exact"/>
        <w:ind w:firstLine="420" w:firstLineChars="200"/>
        <w:rPr>
          <w:rFonts w:ascii="宋体" w:hAnsi="宋体" w:cs="宋体"/>
          <w:szCs w:val="21"/>
          <w:highlight w:val="none"/>
          <w:u w:val="single"/>
        </w:rPr>
      </w:pPr>
      <w:r>
        <w:rPr>
          <w:rFonts w:hint="eastAsia" w:ascii="宋体" w:hAnsi="宋体" w:cs="宋体"/>
          <w:szCs w:val="21"/>
          <w:highlight w:val="none"/>
        </w:rPr>
        <w:t>投标人代表姓名 _______ ____  职务：</w:t>
      </w:r>
    </w:p>
    <w:p>
      <w:pPr>
        <w:spacing w:line="420" w:lineRule="exact"/>
        <w:ind w:firstLine="420" w:firstLineChars="200"/>
        <w:rPr>
          <w:rFonts w:hint="eastAsia" w:ascii="宋体" w:hAnsi="宋体" w:cs="宋体"/>
          <w:szCs w:val="21"/>
          <w:highlight w:val="none"/>
        </w:rPr>
      </w:pPr>
    </w:p>
    <w:p>
      <w:pPr>
        <w:spacing w:line="420" w:lineRule="exact"/>
        <w:ind w:firstLine="420" w:firstLineChars="200"/>
        <w:rPr>
          <w:rFonts w:hint="eastAsia" w:ascii="宋体" w:hAnsi="宋体" w:cs="宋体"/>
          <w:szCs w:val="21"/>
          <w:highlight w:val="none"/>
          <w:u w:val="none"/>
        </w:rPr>
      </w:pPr>
      <w:r>
        <w:rPr>
          <w:rFonts w:hint="eastAsia" w:ascii="宋体" w:hAnsi="宋体" w:cs="宋体"/>
          <w:szCs w:val="21"/>
          <w:highlight w:val="none"/>
        </w:rPr>
        <w:t>法定代表人签字：</w:t>
      </w:r>
    </w:p>
    <w:p>
      <w:pPr>
        <w:snapToGrid w:val="0"/>
        <w:spacing w:line="420" w:lineRule="exact"/>
        <w:ind w:left="0" w:leftChars="0"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投标人全称（公章）：</w:t>
      </w:r>
    </w:p>
    <w:p>
      <w:pPr>
        <w:spacing w:line="420" w:lineRule="exact"/>
        <w:ind w:firstLine="420" w:firstLineChars="200"/>
        <w:rPr>
          <w:rFonts w:hint="eastAsia" w:ascii="宋体" w:hAnsi="宋体" w:cs="宋体"/>
          <w:szCs w:val="21"/>
          <w:highlight w:val="none"/>
        </w:rPr>
      </w:pPr>
      <w:r>
        <w:rPr>
          <w:rFonts w:hint="eastAsia" w:ascii="宋体" w:hAnsi="宋体" w:cs="宋体"/>
          <w:szCs w:val="21"/>
          <w:highlight w:val="none"/>
        </w:rPr>
        <w:t>日 期：</w:t>
      </w: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pStyle w:val="2"/>
        <w:rPr>
          <w:rFonts w:ascii="宋体" w:hAnsi="宋体" w:cs="宋体"/>
          <w:sz w:val="24"/>
          <w:highlight w:val="none"/>
        </w:rPr>
      </w:pPr>
    </w:p>
    <w:p>
      <w:pPr>
        <w:adjustRightInd w:val="0"/>
        <w:snapToGrid w:val="0"/>
        <w:rPr>
          <w:rFonts w:ascii="宋体" w:hAnsi="宋体" w:cs="宋体"/>
          <w:sz w:val="24"/>
          <w:highlight w:val="none"/>
        </w:rPr>
      </w:pPr>
      <w:r>
        <w:rPr>
          <w:rFonts w:hint="eastAsia" w:ascii="宋体" w:hAnsi="宋体" w:cs="宋体"/>
          <w:sz w:val="24"/>
          <w:highlight w:val="none"/>
        </w:rPr>
        <w:t>3、法定代表人身份证明书格式</w:t>
      </w:r>
    </w:p>
    <w:p>
      <w:pPr>
        <w:adjustRightInd w:val="0"/>
        <w:snapToGrid w:val="0"/>
        <w:jc w:val="center"/>
        <w:rPr>
          <w:rFonts w:ascii="宋体" w:hAnsi="宋体" w:cs="宋体"/>
          <w:b/>
          <w:sz w:val="36"/>
          <w:szCs w:val="36"/>
          <w:highlight w:val="none"/>
        </w:rPr>
      </w:pPr>
    </w:p>
    <w:p>
      <w:pPr>
        <w:adjustRightInd w:val="0"/>
        <w:snapToGrid w:val="0"/>
        <w:jc w:val="center"/>
        <w:rPr>
          <w:rFonts w:ascii="宋体" w:hAnsi="宋体" w:cs="宋体"/>
          <w:b/>
          <w:sz w:val="36"/>
          <w:szCs w:val="36"/>
          <w:highlight w:val="none"/>
        </w:rPr>
      </w:pPr>
      <w:r>
        <w:rPr>
          <w:rFonts w:hint="eastAsia" w:ascii="宋体" w:hAnsi="宋体" w:cs="宋体"/>
          <w:b/>
          <w:sz w:val="36"/>
          <w:szCs w:val="36"/>
          <w:highlight w:val="none"/>
        </w:rPr>
        <w:t>法定代表人身份证明书</w:t>
      </w:r>
    </w:p>
    <w:p>
      <w:pPr>
        <w:spacing w:line="480" w:lineRule="auto"/>
        <w:ind w:firstLine="403" w:firstLineChars="192"/>
        <w:rPr>
          <w:rFonts w:ascii="宋体" w:hAnsi="宋体" w:cs="宋体"/>
          <w:szCs w:val="21"/>
          <w:highlight w:val="none"/>
        </w:rPr>
      </w:pPr>
    </w:p>
    <w:p>
      <w:pPr>
        <w:adjustRightInd w:val="0"/>
        <w:snapToGrid w:val="0"/>
        <w:jc w:val="left"/>
        <w:rPr>
          <w:rFonts w:ascii="宋体" w:hAnsi="宋体" w:cs="宋体"/>
          <w:sz w:val="24"/>
          <w:highlight w:val="none"/>
        </w:rPr>
      </w:pPr>
      <w:bookmarkStart w:id="283" w:name="_Toc24953114"/>
      <w:r>
        <w:rPr>
          <w:rFonts w:hint="eastAsia" w:ascii="宋体" w:hAnsi="宋体" w:cs="宋体"/>
          <w:sz w:val="24"/>
          <w:highlight w:val="none"/>
        </w:rPr>
        <w:t>致</w:t>
      </w:r>
      <w:r>
        <w:rPr>
          <w:rFonts w:hint="eastAsia" w:ascii="宋体" w:hAnsi="宋体" w:cs="宋体"/>
          <w:sz w:val="24"/>
          <w:highlight w:val="none"/>
          <w:lang w:eastAsia="zh-CN"/>
        </w:rPr>
        <w:t>安吉县食品药品检验检测中心</w:t>
      </w:r>
      <w:r>
        <w:rPr>
          <w:rFonts w:hint="eastAsia" w:ascii="宋体" w:hAnsi="宋体" w:cs="宋体"/>
          <w:sz w:val="24"/>
          <w:highlight w:val="none"/>
        </w:rPr>
        <w:t>：</w:t>
      </w:r>
    </w:p>
    <w:p>
      <w:pPr>
        <w:adjustRightInd w:val="0"/>
        <w:snapToGrid w:val="0"/>
        <w:jc w:val="left"/>
        <w:rPr>
          <w:rFonts w:ascii="宋体" w:hAnsi="宋体" w:cs="宋体"/>
          <w:sz w:val="24"/>
          <w:highlight w:val="none"/>
        </w:rPr>
      </w:pPr>
      <w:r>
        <w:rPr>
          <w:rFonts w:hint="eastAsia" w:ascii="宋体" w:hAnsi="宋体" w:cs="宋体"/>
          <w:sz w:val="24"/>
          <w:highlight w:val="none"/>
        </w:rPr>
        <w:t>安吉精诚采购代理有限公司：</w:t>
      </w:r>
    </w:p>
    <w:p>
      <w:pPr>
        <w:adjustRightInd w:val="0"/>
        <w:snapToGrid w:val="0"/>
        <w:jc w:val="left"/>
        <w:rPr>
          <w:rFonts w:ascii="宋体" w:hAnsi="宋体" w:cs="宋体"/>
          <w:sz w:val="24"/>
          <w:highlight w:val="none"/>
        </w:rPr>
      </w:pPr>
    </w:p>
    <w:p>
      <w:pPr>
        <w:adjustRightInd w:val="0"/>
        <w:snapToGrid w:val="0"/>
        <w:ind w:firstLine="600" w:firstLineChars="250"/>
        <w:jc w:val="left"/>
        <w:rPr>
          <w:rFonts w:ascii="宋体" w:hAnsi="宋体" w:cs="宋体"/>
          <w:sz w:val="24"/>
          <w:highlight w:val="none"/>
          <w:u w:val="single"/>
        </w:rPr>
      </w:pPr>
      <w:r>
        <w:rPr>
          <w:rFonts w:hint="eastAsia" w:ascii="宋体" w:hAnsi="宋体" w:cs="宋体"/>
          <w:sz w:val="24"/>
          <w:highlight w:val="none"/>
        </w:rPr>
        <w:t xml:space="preserve"> 姓名，性别 ，职务，是  的法定代表人。联系电话 传真   通讯地址：。</w:t>
      </w:r>
    </w:p>
    <w:p>
      <w:pPr>
        <w:adjustRightInd w:val="0"/>
        <w:snapToGrid w:val="0"/>
        <w:jc w:val="center"/>
        <w:rPr>
          <w:rFonts w:ascii="宋体" w:hAnsi="宋体" w:cs="宋体"/>
          <w:sz w:val="24"/>
          <w:highlight w:val="none"/>
        </w:rPr>
      </w:pPr>
    </w:p>
    <w:p>
      <w:pPr>
        <w:adjustRightInd w:val="0"/>
        <w:snapToGrid w:val="0"/>
        <w:jc w:val="center"/>
        <w:rPr>
          <w:rFonts w:ascii="宋体" w:hAnsi="宋体" w:cs="宋体"/>
          <w:sz w:val="24"/>
          <w:highlight w:val="none"/>
        </w:rPr>
      </w:pPr>
      <w:r>
        <w:rPr>
          <w:rFonts w:hint="eastAsia" w:ascii="宋体" w:hAnsi="宋体" w:cs="宋体"/>
          <w:sz w:val="24"/>
          <w:highlight w:val="none"/>
        </w:rPr>
        <w:t>特此证明</w:t>
      </w:r>
    </w:p>
    <w:p>
      <w:pPr>
        <w:adjustRightInd w:val="0"/>
        <w:snapToGrid w:val="0"/>
        <w:jc w:val="center"/>
        <w:rPr>
          <w:rFonts w:ascii="宋体" w:hAnsi="宋体" w:cs="宋体"/>
          <w:sz w:val="24"/>
          <w:highlight w:val="none"/>
        </w:rPr>
      </w:pPr>
    </w:p>
    <w:p>
      <w:pPr>
        <w:adjustRightInd w:val="0"/>
        <w:snapToGrid w:val="0"/>
        <w:jc w:val="center"/>
        <w:rPr>
          <w:rFonts w:ascii="宋体" w:hAnsi="宋体" w:cs="宋体"/>
          <w:sz w:val="24"/>
          <w:highlight w:val="none"/>
        </w:rPr>
      </w:pPr>
      <w:r>
        <w:rPr>
          <w:rFonts w:hint="eastAsia" w:ascii="宋体" w:hAnsi="宋体" w:cs="宋体"/>
          <w:sz w:val="24"/>
          <w:highlight w:val="none"/>
        </w:rPr>
        <w:t xml:space="preserve">                      投标人全称：（公章）</w:t>
      </w:r>
    </w:p>
    <w:p>
      <w:pPr>
        <w:wordWrap w:val="0"/>
        <w:adjustRightInd w:val="0"/>
        <w:snapToGrid w:val="0"/>
        <w:jc w:val="right"/>
        <w:rPr>
          <w:rFonts w:ascii="宋体" w:hAnsi="宋体" w:cs="宋体"/>
          <w:sz w:val="24"/>
          <w:highlight w:val="none"/>
          <w:u w:val="single"/>
        </w:rPr>
      </w:pPr>
      <w:r>
        <w:rPr>
          <w:rFonts w:hint="eastAsia" w:ascii="宋体" w:hAnsi="宋体" w:cs="宋体"/>
          <w:sz w:val="24"/>
          <w:highlight w:val="none"/>
        </w:rPr>
        <w:t>日期： 年 月</w:t>
      </w:r>
      <w:r>
        <w:rPr>
          <w:rFonts w:hint="eastAsia" w:ascii="宋体" w:hAnsi="宋体" w:cs="宋体"/>
          <w:sz w:val="24"/>
          <w:highlight w:val="none"/>
          <w:u w:val="single"/>
        </w:rPr>
        <w:t xml:space="preserve">      日</w:t>
      </w:r>
    </w:p>
    <w:p>
      <w:pPr>
        <w:adjustRightInd w:val="0"/>
        <w:snapToGrid w:val="0"/>
        <w:jc w:val="right"/>
        <w:rPr>
          <w:rFonts w:ascii="宋体" w:hAnsi="宋体" w:cs="宋体"/>
          <w:sz w:val="24"/>
          <w:highlight w:val="none"/>
          <w:u w:val="single"/>
        </w:rPr>
      </w:pPr>
    </w:p>
    <w:p>
      <w:pPr>
        <w:adjustRightInd w:val="0"/>
        <w:snapToGrid w:val="0"/>
        <w:jc w:val="right"/>
        <w:rPr>
          <w:rFonts w:ascii="宋体" w:hAnsi="宋体" w:cs="宋体"/>
          <w:sz w:val="24"/>
          <w:highlight w:val="none"/>
          <w:u w:val="single"/>
        </w:rPr>
      </w:pPr>
    </w:p>
    <w:p>
      <w:pPr>
        <w:adjustRightInd w:val="0"/>
        <w:snapToGrid w:val="0"/>
        <w:jc w:val="right"/>
        <w:rPr>
          <w:rFonts w:ascii="宋体" w:hAnsi="宋体" w:cs="宋体"/>
          <w:sz w:val="24"/>
          <w:highlight w:val="none"/>
        </w:rPr>
      </w:pPr>
      <w:r>
        <w:rPr>
          <w:rFonts w:hint="eastAsia" w:ascii="宋体" w:hAnsi="宋体" w:cs="宋体"/>
          <w:sz w:val="24"/>
          <w:highlight w:val="none"/>
        </w:rPr>
        <w:t>---------------------------------------------------------------------------------</w:t>
      </w:r>
    </w:p>
    <w:p>
      <w:pPr>
        <w:adjustRightInd w:val="0"/>
        <w:snapToGrid w:val="0"/>
        <w:jc w:val="center"/>
        <w:rPr>
          <w:rFonts w:ascii="宋体" w:hAnsi="宋体" w:cs="宋体"/>
          <w:sz w:val="24"/>
          <w:highlight w:val="none"/>
        </w:rPr>
      </w:pPr>
    </w:p>
    <w:p>
      <w:pPr>
        <w:adjustRightInd w:val="0"/>
        <w:snapToGrid w:val="0"/>
        <w:jc w:val="center"/>
        <w:rPr>
          <w:rFonts w:ascii="宋体" w:hAnsi="宋体" w:cs="宋体"/>
          <w:sz w:val="24"/>
          <w:highlight w:val="none"/>
        </w:rPr>
      </w:pPr>
      <w:r>
        <w:rPr>
          <w:rFonts w:hint="eastAsia" w:ascii="宋体" w:hAnsi="宋体" w:cs="宋体"/>
          <w:sz w:val="24"/>
          <w:highlight w:val="none"/>
        </w:rPr>
        <w:t>法定代表人身份证复印件黏贴处</w:t>
      </w:r>
    </w:p>
    <w:p>
      <w:pPr>
        <w:adjustRightInd w:val="0"/>
        <w:snapToGrid w:val="0"/>
        <w:rPr>
          <w:rFonts w:ascii="宋体" w:hAnsi="宋体" w:cs="宋体"/>
          <w:sz w:val="24"/>
          <w:highlight w:val="none"/>
          <w:u w:val="single"/>
        </w:rPr>
      </w:pPr>
      <w:r>
        <w:rPr>
          <w:rFonts w:hint="eastAsia" w:ascii="宋体" w:hAnsi="宋体" w:cs="宋体"/>
          <w:bCs/>
          <w:sz w:val="24"/>
          <w:highlight w:val="none"/>
        </w:rPr>
        <w:br w:type="page"/>
      </w:r>
      <w:bookmarkEnd w:id="283"/>
      <w:bookmarkStart w:id="284" w:name="_Toc251602206"/>
      <w:bookmarkStart w:id="285" w:name="_Toc251601951"/>
      <w:r>
        <w:rPr>
          <w:rFonts w:hint="eastAsia" w:ascii="宋体" w:hAnsi="宋体" w:cs="宋体"/>
          <w:bCs/>
          <w:sz w:val="24"/>
          <w:highlight w:val="none"/>
        </w:rPr>
        <w:t>4</w:t>
      </w:r>
      <w:r>
        <w:rPr>
          <w:rFonts w:hint="eastAsia" w:ascii="宋体" w:hAnsi="宋体" w:cs="宋体"/>
          <w:sz w:val="24"/>
          <w:highlight w:val="none"/>
        </w:rPr>
        <w:t>、法定代表人授权委托书格式：</w:t>
      </w:r>
    </w:p>
    <w:p>
      <w:pPr>
        <w:spacing w:line="360" w:lineRule="auto"/>
        <w:jc w:val="center"/>
        <w:rPr>
          <w:rFonts w:ascii="宋体" w:hAnsi="宋体" w:cs="宋体"/>
          <w:b/>
          <w:sz w:val="28"/>
          <w:szCs w:val="28"/>
          <w:highlight w:val="none"/>
        </w:rPr>
      </w:pPr>
    </w:p>
    <w:p>
      <w:pPr>
        <w:adjustRightInd w:val="0"/>
        <w:snapToGrid w:val="0"/>
        <w:jc w:val="center"/>
        <w:rPr>
          <w:rFonts w:ascii="宋体" w:hAnsi="宋体" w:cs="宋体"/>
          <w:b/>
          <w:sz w:val="36"/>
          <w:szCs w:val="36"/>
          <w:highlight w:val="none"/>
        </w:rPr>
      </w:pPr>
      <w:r>
        <w:rPr>
          <w:rFonts w:hint="eastAsia" w:ascii="宋体" w:hAnsi="宋体" w:cs="宋体"/>
          <w:b/>
          <w:sz w:val="36"/>
          <w:szCs w:val="36"/>
          <w:highlight w:val="none"/>
        </w:rPr>
        <w:t>法定代表人授权委托书</w:t>
      </w:r>
      <w:bookmarkEnd w:id="284"/>
      <w:bookmarkEnd w:id="285"/>
    </w:p>
    <w:p>
      <w:pPr>
        <w:spacing w:line="360" w:lineRule="auto"/>
        <w:jc w:val="center"/>
        <w:rPr>
          <w:rFonts w:ascii="宋体" w:hAnsi="宋体" w:cs="宋体"/>
          <w:b/>
          <w:sz w:val="28"/>
          <w:szCs w:val="28"/>
          <w:highlight w:val="none"/>
        </w:rPr>
      </w:pP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 xml:space="preserve">本授权委托书声明: 我 </w:t>
      </w:r>
      <w:r>
        <w:rPr>
          <w:rFonts w:hint="eastAsia" w:ascii="宋体" w:hAnsi="宋体" w:cs="宋体"/>
          <w:szCs w:val="21"/>
          <w:highlight w:val="none"/>
          <w:u w:val="single"/>
        </w:rPr>
        <w:t xml:space="preserve">            （姓名）</w:t>
      </w:r>
      <w:r>
        <w:rPr>
          <w:rFonts w:hint="eastAsia" w:ascii="宋体" w:hAnsi="宋体" w:cs="宋体"/>
          <w:szCs w:val="21"/>
          <w:highlight w:val="none"/>
        </w:rPr>
        <w:t>系</w:t>
      </w:r>
      <w:r>
        <w:rPr>
          <w:rFonts w:hint="eastAsia" w:ascii="宋体" w:hAnsi="宋体" w:cs="宋体"/>
          <w:szCs w:val="21"/>
          <w:highlight w:val="none"/>
          <w:u w:val="single"/>
        </w:rPr>
        <w:t xml:space="preserve">               （投标人名称）</w:t>
      </w:r>
      <w:r>
        <w:rPr>
          <w:rFonts w:hint="eastAsia" w:ascii="宋体" w:hAnsi="宋体" w:cs="宋体"/>
          <w:szCs w:val="21"/>
          <w:highlight w:val="none"/>
        </w:rPr>
        <w:t>的法定代表人，现授权委托</w:t>
      </w:r>
      <w:r>
        <w:rPr>
          <w:rFonts w:hint="eastAsia" w:ascii="宋体" w:hAnsi="宋体" w:cs="宋体"/>
          <w:szCs w:val="21"/>
          <w:highlight w:val="none"/>
          <w:u w:val="single"/>
        </w:rPr>
        <w:t xml:space="preserve">                    （姓名）</w:t>
      </w:r>
      <w:r>
        <w:rPr>
          <w:rFonts w:hint="eastAsia" w:ascii="宋体" w:hAnsi="宋体" w:cs="宋体"/>
          <w:szCs w:val="21"/>
          <w:highlight w:val="none"/>
        </w:rPr>
        <w:t>身份证号：为我公司授权代表，以本公司的名义参加</w:t>
      </w:r>
      <w:r>
        <w:rPr>
          <w:rFonts w:hint="eastAsia" w:ascii="宋体" w:hAnsi="宋体" w:cs="宋体"/>
          <w:szCs w:val="21"/>
          <w:highlight w:val="none"/>
          <w:u w:val="single"/>
          <w:lang w:eastAsia="zh-CN"/>
        </w:rPr>
        <w:t>安吉县食品药品检验检测中心</w:t>
      </w:r>
      <w:r>
        <w:rPr>
          <w:rFonts w:hint="eastAsia" w:ascii="宋体" w:hAnsi="宋体" w:cs="宋体"/>
          <w:szCs w:val="21"/>
          <w:highlight w:val="none"/>
        </w:rPr>
        <w:t>的</w:t>
      </w:r>
      <w:r>
        <w:rPr>
          <w:rFonts w:hint="eastAsia" w:ascii="宋体" w:hAnsi="宋体" w:cs="宋体"/>
          <w:szCs w:val="21"/>
          <w:highlight w:val="none"/>
          <w:u w:val="single"/>
          <w:lang w:eastAsia="zh-CN"/>
        </w:rPr>
        <w:t>安吉县食品药品检验检测中心离子色谱仪设备供货与安装政府采购项目</w:t>
      </w:r>
      <w:r>
        <w:rPr>
          <w:rFonts w:hint="eastAsia" w:ascii="宋体" w:hAnsi="宋体" w:cs="宋体"/>
          <w:szCs w:val="21"/>
          <w:highlight w:val="none"/>
        </w:rPr>
        <w:t>的投标活动。授权代表在开标、询标、合同招标过程中所签署的一切文件和处理与之有关的一切事务，我均予以承认。</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 xml:space="preserve">     授权代表无转委托权。特此委托。</w:t>
      </w:r>
    </w:p>
    <w:p>
      <w:pPr>
        <w:pStyle w:val="16"/>
        <w:spacing w:line="480" w:lineRule="auto"/>
        <w:ind w:left="5250"/>
        <w:rPr>
          <w:rFonts w:ascii="宋体" w:eastAsia="宋体" w:cs="宋体"/>
          <w:sz w:val="21"/>
          <w:szCs w:val="21"/>
          <w:highlight w:val="none"/>
        </w:rPr>
      </w:pP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 xml:space="preserve">授权代表（签字）： </w:t>
      </w:r>
      <w:r>
        <w:rPr>
          <w:rFonts w:hint="eastAsia" w:ascii="宋体" w:hAnsi="宋体" w:cs="宋体"/>
          <w:szCs w:val="21"/>
          <w:highlight w:val="none"/>
          <w:u w:val="single"/>
        </w:rPr>
        <w:t xml:space="preserve">      　　　     </w:t>
      </w:r>
      <w:r>
        <w:rPr>
          <w:rFonts w:hint="eastAsia" w:ascii="宋体" w:hAnsi="宋体" w:cs="宋体"/>
          <w:szCs w:val="21"/>
          <w:highlight w:val="none"/>
        </w:rPr>
        <w:t xml:space="preserve">性  别： </w:t>
      </w:r>
      <w:r>
        <w:rPr>
          <w:rFonts w:hint="eastAsia" w:ascii="宋体" w:hAnsi="宋体" w:cs="宋体"/>
          <w:szCs w:val="21"/>
          <w:highlight w:val="none"/>
          <w:u w:val="single"/>
        </w:rPr>
        <w:t xml:space="preserve">   　　　  </w:t>
      </w:r>
      <w:r>
        <w:rPr>
          <w:rFonts w:hint="eastAsia" w:ascii="宋体" w:hAnsi="宋体" w:cs="宋体"/>
          <w:szCs w:val="21"/>
          <w:highlight w:val="none"/>
        </w:rPr>
        <w:t>年  龄：</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w:t>
      </w:r>
    </w:p>
    <w:p>
      <w:pPr>
        <w:spacing w:line="480" w:lineRule="exact"/>
        <w:ind w:firstLine="420" w:firstLineChars="200"/>
        <w:rPr>
          <w:rFonts w:ascii="宋体" w:hAnsi="宋体" w:cs="宋体"/>
          <w:szCs w:val="21"/>
          <w:highlight w:val="none"/>
          <w:u w:val="single"/>
        </w:rPr>
      </w:pPr>
      <w:r>
        <w:rPr>
          <w:rFonts w:hint="eastAsia" w:ascii="宋体" w:hAnsi="宋体" w:cs="宋体"/>
          <w:szCs w:val="21"/>
          <w:highlight w:val="none"/>
        </w:rPr>
        <w:t>部    门：</w:t>
      </w:r>
      <w:r>
        <w:rPr>
          <w:rFonts w:hint="eastAsia" w:ascii="宋体" w:hAnsi="宋体" w:cs="宋体"/>
          <w:szCs w:val="21"/>
          <w:highlight w:val="none"/>
          <w:u w:val="single"/>
        </w:rPr>
        <w:t xml:space="preserve">       　　　　　   </w:t>
      </w:r>
      <w:r>
        <w:rPr>
          <w:rFonts w:hint="eastAsia" w:ascii="宋体" w:hAnsi="宋体" w:cs="宋体"/>
          <w:szCs w:val="21"/>
          <w:highlight w:val="none"/>
        </w:rPr>
        <w:t xml:space="preserve"> 职   务： </w:t>
      </w:r>
      <w:r>
        <w:rPr>
          <w:rFonts w:hint="eastAsia" w:ascii="宋体" w:hAnsi="宋体" w:cs="宋体"/>
          <w:szCs w:val="21"/>
          <w:highlight w:val="none"/>
          <w:u w:val="single"/>
        </w:rPr>
        <w:t xml:space="preserve">  　　　　　　　　　　</w:t>
      </w:r>
    </w:p>
    <w:p>
      <w:pPr>
        <w:spacing w:line="480" w:lineRule="exact"/>
        <w:ind w:firstLine="420" w:firstLineChars="200"/>
        <w:rPr>
          <w:rFonts w:ascii="宋体" w:hAnsi="宋体" w:cs="宋体"/>
          <w:szCs w:val="21"/>
          <w:highlight w:val="none"/>
          <w:u w:val="single"/>
        </w:rPr>
      </w:pPr>
      <w:r>
        <w:rPr>
          <w:rFonts w:hint="eastAsia" w:ascii="宋体" w:hAnsi="宋体" w:cs="宋体"/>
          <w:szCs w:val="21"/>
          <w:highlight w:val="none"/>
        </w:rPr>
        <w:t>投标人 (盖章)：</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 xml:space="preserve">法定代表人(签字)： </w:t>
      </w:r>
    </w:p>
    <w:p>
      <w:pPr>
        <w:pStyle w:val="16"/>
        <w:spacing w:line="480" w:lineRule="auto"/>
        <w:ind w:left="5250"/>
        <w:rPr>
          <w:rFonts w:ascii="宋体" w:eastAsia="宋体" w:cs="宋体"/>
          <w:sz w:val="21"/>
          <w:szCs w:val="21"/>
          <w:highlight w:val="none"/>
        </w:rPr>
      </w:pP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年 月 日</w:t>
      </w:r>
    </w:p>
    <w:p>
      <w:pPr>
        <w:snapToGrid w:val="0"/>
        <w:spacing w:line="360" w:lineRule="auto"/>
        <w:rPr>
          <w:rFonts w:ascii="宋体" w:hAnsi="宋体" w:cs="宋体"/>
          <w:b/>
          <w:sz w:val="24"/>
          <w:highlight w:val="none"/>
          <w:u w:val="dash"/>
        </w:rPr>
      </w:pPr>
    </w:p>
    <w:p>
      <w:pPr>
        <w:spacing w:line="360" w:lineRule="auto"/>
        <w:jc w:val="center"/>
        <w:rPr>
          <w:rFonts w:ascii="宋体" w:hAnsi="宋体" w:cs="宋体"/>
          <w:bCs/>
          <w:sz w:val="24"/>
          <w:highlight w:val="none"/>
        </w:rPr>
      </w:pPr>
    </w:p>
    <w:p>
      <w:pPr>
        <w:spacing w:line="360" w:lineRule="auto"/>
        <w:jc w:val="center"/>
        <w:rPr>
          <w:rFonts w:ascii="宋体" w:hAnsi="宋体" w:cs="宋体"/>
          <w:bCs/>
          <w:sz w:val="24"/>
          <w:highlight w:val="none"/>
        </w:rPr>
      </w:pPr>
      <w:r>
        <w:rPr>
          <w:rFonts w:hint="eastAsia" w:ascii="宋体" w:hAnsi="宋体" w:cs="宋体"/>
          <w:bCs/>
          <w:sz w:val="24"/>
          <w:highlight w:val="none"/>
        </w:rPr>
        <w:t>被授权人身份证复印件黏贴处</w:t>
      </w:r>
    </w:p>
    <w:p>
      <w:pPr>
        <w:spacing w:line="540" w:lineRule="exact"/>
        <w:rPr>
          <w:rFonts w:ascii="宋体" w:hAnsi="宋体" w:cs="宋体"/>
          <w:sz w:val="32"/>
          <w:szCs w:val="32"/>
          <w:highlight w:val="none"/>
        </w:rPr>
      </w:pPr>
    </w:p>
    <w:p>
      <w:pPr>
        <w:spacing w:line="540" w:lineRule="exact"/>
        <w:rPr>
          <w:rFonts w:ascii="宋体" w:hAnsi="宋体" w:cs="宋体"/>
          <w:sz w:val="32"/>
          <w:szCs w:val="32"/>
          <w:highlight w:val="none"/>
        </w:rPr>
      </w:pPr>
    </w:p>
    <w:p>
      <w:pPr>
        <w:spacing w:line="540" w:lineRule="exact"/>
        <w:rPr>
          <w:rFonts w:ascii="宋体" w:hAnsi="宋体" w:cs="宋体"/>
          <w:sz w:val="32"/>
          <w:szCs w:val="32"/>
          <w:highlight w:val="none"/>
        </w:rPr>
      </w:pPr>
    </w:p>
    <w:p>
      <w:pPr>
        <w:spacing w:line="540" w:lineRule="exact"/>
        <w:rPr>
          <w:rFonts w:ascii="宋体" w:hAnsi="宋体" w:cs="宋体"/>
          <w:sz w:val="32"/>
          <w:szCs w:val="32"/>
          <w:highlight w:val="none"/>
        </w:rPr>
      </w:pPr>
    </w:p>
    <w:p>
      <w:pPr>
        <w:spacing w:line="540" w:lineRule="exact"/>
        <w:rPr>
          <w:rFonts w:ascii="宋体" w:hAnsi="宋体" w:cs="宋体"/>
          <w:sz w:val="32"/>
          <w:szCs w:val="32"/>
          <w:highlight w:val="none"/>
        </w:rPr>
      </w:pPr>
    </w:p>
    <w:p>
      <w:pPr>
        <w:pStyle w:val="2"/>
        <w:rPr>
          <w:rFonts w:ascii="宋体" w:hAnsi="宋体" w:cs="宋体"/>
          <w:sz w:val="32"/>
          <w:szCs w:val="32"/>
          <w:highlight w:val="none"/>
        </w:rPr>
      </w:pPr>
    </w:p>
    <w:p>
      <w:pPr>
        <w:rPr>
          <w:highlight w:val="none"/>
        </w:rPr>
      </w:pPr>
    </w:p>
    <w:p>
      <w:pPr>
        <w:spacing w:line="540" w:lineRule="exact"/>
        <w:rPr>
          <w:rFonts w:ascii="宋体" w:hAnsi="宋体" w:cs="宋体"/>
          <w:sz w:val="32"/>
          <w:szCs w:val="32"/>
          <w:highlight w:val="none"/>
        </w:rPr>
      </w:pPr>
    </w:p>
    <w:p>
      <w:pPr>
        <w:spacing w:line="540" w:lineRule="exact"/>
        <w:rPr>
          <w:rFonts w:ascii="宋体" w:hAnsi="宋体" w:cs="宋体"/>
          <w:sz w:val="32"/>
          <w:szCs w:val="32"/>
          <w:highlight w:val="none"/>
        </w:rPr>
      </w:pPr>
    </w:p>
    <w:p>
      <w:pPr>
        <w:adjustRightInd w:val="0"/>
        <w:snapToGrid w:val="0"/>
        <w:jc w:val="left"/>
        <w:rPr>
          <w:rFonts w:ascii="宋体" w:hAnsi="宋体" w:cs="宋体"/>
          <w:sz w:val="24"/>
          <w:highlight w:val="none"/>
        </w:rPr>
      </w:pPr>
      <w:r>
        <w:rPr>
          <w:rFonts w:hint="eastAsia" w:ascii="宋体" w:hAnsi="宋体" w:cs="宋体"/>
          <w:sz w:val="24"/>
          <w:highlight w:val="none"/>
        </w:rPr>
        <w:t>5、投标单位情况表格式：</w:t>
      </w:r>
    </w:p>
    <w:p>
      <w:pPr>
        <w:spacing w:line="360" w:lineRule="exact"/>
        <w:ind w:firstLine="281" w:firstLineChars="100"/>
        <w:jc w:val="center"/>
        <w:rPr>
          <w:rFonts w:ascii="宋体" w:hAnsi="宋体" w:cs="宋体"/>
          <w:b/>
          <w:sz w:val="28"/>
          <w:szCs w:val="28"/>
          <w:highlight w:val="none"/>
        </w:rPr>
      </w:pPr>
    </w:p>
    <w:p>
      <w:pPr>
        <w:adjustRightInd w:val="0"/>
        <w:snapToGrid w:val="0"/>
        <w:jc w:val="center"/>
        <w:rPr>
          <w:rFonts w:ascii="宋体" w:hAnsi="宋体" w:cs="宋体"/>
          <w:b/>
          <w:sz w:val="36"/>
          <w:szCs w:val="36"/>
          <w:highlight w:val="none"/>
        </w:rPr>
      </w:pPr>
      <w:r>
        <w:rPr>
          <w:rFonts w:hint="eastAsia" w:ascii="宋体" w:hAnsi="宋体" w:cs="宋体"/>
          <w:b/>
          <w:sz w:val="36"/>
          <w:szCs w:val="36"/>
          <w:highlight w:val="none"/>
        </w:rPr>
        <w:t>投标单位情况表</w:t>
      </w:r>
    </w:p>
    <w:p>
      <w:pPr>
        <w:spacing w:line="360" w:lineRule="exact"/>
        <w:ind w:firstLine="210" w:firstLineChars="100"/>
        <w:rPr>
          <w:rFonts w:ascii="宋体" w:hAnsi="宋体" w:cs="宋体"/>
          <w:szCs w:val="21"/>
          <w:highlight w:val="none"/>
        </w:rPr>
      </w:pPr>
      <w:r>
        <w:rPr>
          <w:rFonts w:hint="eastAsia" w:ascii="宋体" w:hAnsi="宋体" w:cs="宋体"/>
          <w:szCs w:val="21"/>
          <w:highlight w:val="none"/>
        </w:rPr>
        <w:t>项目名称：                                                         项目编号：</w:t>
      </w:r>
    </w:p>
    <w:tbl>
      <w:tblPr>
        <w:tblStyle w:val="32"/>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108"/>
        <w:gridCol w:w="1054"/>
        <w:gridCol w:w="1722"/>
        <w:gridCol w:w="88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投标单位（盖章）</w:t>
            </w:r>
          </w:p>
        </w:tc>
        <w:tc>
          <w:tcPr>
            <w:tcW w:w="2162" w:type="dxa"/>
            <w:gridSpan w:val="2"/>
            <w:vAlign w:val="center"/>
          </w:tcPr>
          <w:p>
            <w:pPr>
              <w:pStyle w:val="8"/>
              <w:ind w:firstLine="0"/>
              <w:jc w:val="center"/>
              <w:rPr>
                <w:rFonts w:ascii="宋体" w:hAnsi="宋体" w:cs="宋体"/>
                <w:szCs w:val="21"/>
                <w:highlight w:val="none"/>
              </w:rPr>
            </w:pPr>
          </w:p>
        </w:tc>
        <w:tc>
          <w:tcPr>
            <w:tcW w:w="1722"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注册时间</w:t>
            </w:r>
          </w:p>
        </w:tc>
        <w:tc>
          <w:tcPr>
            <w:tcW w:w="2747" w:type="dxa"/>
            <w:gridSpan w:val="2"/>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注册地址</w:t>
            </w:r>
          </w:p>
        </w:tc>
        <w:tc>
          <w:tcPr>
            <w:tcW w:w="2162" w:type="dxa"/>
            <w:gridSpan w:val="2"/>
            <w:vAlign w:val="center"/>
          </w:tcPr>
          <w:p>
            <w:pPr>
              <w:pStyle w:val="8"/>
              <w:ind w:firstLine="0"/>
              <w:jc w:val="center"/>
              <w:rPr>
                <w:rFonts w:ascii="宋体" w:hAnsi="宋体" w:cs="宋体"/>
                <w:szCs w:val="21"/>
                <w:highlight w:val="none"/>
              </w:rPr>
            </w:pPr>
          </w:p>
        </w:tc>
        <w:tc>
          <w:tcPr>
            <w:tcW w:w="1722"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邮政编码</w:t>
            </w:r>
          </w:p>
          <w:p>
            <w:pPr>
              <w:pStyle w:val="8"/>
              <w:ind w:firstLine="0"/>
              <w:jc w:val="center"/>
              <w:rPr>
                <w:rFonts w:ascii="宋体" w:hAnsi="宋体" w:cs="宋体"/>
                <w:szCs w:val="21"/>
                <w:highlight w:val="none"/>
              </w:rPr>
            </w:pPr>
          </w:p>
        </w:tc>
        <w:tc>
          <w:tcPr>
            <w:tcW w:w="2747" w:type="dxa"/>
            <w:gridSpan w:val="2"/>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资质</w:t>
            </w:r>
          </w:p>
        </w:tc>
        <w:tc>
          <w:tcPr>
            <w:tcW w:w="2162" w:type="dxa"/>
            <w:gridSpan w:val="2"/>
            <w:vAlign w:val="center"/>
          </w:tcPr>
          <w:p>
            <w:pPr>
              <w:pStyle w:val="8"/>
              <w:ind w:firstLine="0"/>
              <w:jc w:val="center"/>
              <w:rPr>
                <w:rFonts w:ascii="宋体" w:hAnsi="宋体" w:cs="宋体"/>
                <w:szCs w:val="21"/>
                <w:highlight w:val="none"/>
              </w:rPr>
            </w:pPr>
          </w:p>
        </w:tc>
        <w:tc>
          <w:tcPr>
            <w:tcW w:w="1722"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注册资金</w:t>
            </w:r>
          </w:p>
        </w:tc>
        <w:tc>
          <w:tcPr>
            <w:tcW w:w="2747" w:type="dxa"/>
            <w:gridSpan w:val="2"/>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法定代表人</w:t>
            </w:r>
          </w:p>
        </w:tc>
        <w:tc>
          <w:tcPr>
            <w:tcW w:w="1108" w:type="dxa"/>
            <w:vAlign w:val="center"/>
          </w:tcPr>
          <w:p>
            <w:pPr>
              <w:pStyle w:val="8"/>
              <w:ind w:firstLine="0"/>
              <w:jc w:val="center"/>
              <w:rPr>
                <w:rFonts w:ascii="宋体" w:hAnsi="宋体" w:cs="宋体"/>
                <w:szCs w:val="21"/>
                <w:highlight w:val="none"/>
              </w:rPr>
            </w:pPr>
          </w:p>
        </w:tc>
        <w:tc>
          <w:tcPr>
            <w:tcW w:w="105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电话</w:t>
            </w:r>
          </w:p>
        </w:tc>
        <w:tc>
          <w:tcPr>
            <w:tcW w:w="1722" w:type="dxa"/>
            <w:vAlign w:val="center"/>
          </w:tcPr>
          <w:p>
            <w:pPr>
              <w:pStyle w:val="8"/>
              <w:ind w:firstLine="0"/>
              <w:jc w:val="center"/>
              <w:rPr>
                <w:rFonts w:ascii="宋体" w:hAnsi="宋体" w:cs="宋体"/>
                <w:szCs w:val="21"/>
                <w:highlight w:val="none"/>
              </w:rPr>
            </w:pPr>
          </w:p>
        </w:tc>
        <w:tc>
          <w:tcPr>
            <w:tcW w:w="880"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传真</w:t>
            </w:r>
          </w:p>
        </w:tc>
        <w:tc>
          <w:tcPr>
            <w:tcW w:w="1867" w:type="dxa"/>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项目经理</w:t>
            </w:r>
          </w:p>
        </w:tc>
        <w:tc>
          <w:tcPr>
            <w:tcW w:w="2162" w:type="dxa"/>
            <w:gridSpan w:val="2"/>
            <w:vAlign w:val="center"/>
          </w:tcPr>
          <w:p>
            <w:pPr>
              <w:pStyle w:val="8"/>
              <w:ind w:firstLine="0"/>
              <w:jc w:val="center"/>
              <w:rPr>
                <w:rFonts w:ascii="宋体" w:hAnsi="宋体" w:cs="宋体"/>
                <w:szCs w:val="21"/>
                <w:highlight w:val="none"/>
              </w:rPr>
            </w:pPr>
          </w:p>
        </w:tc>
        <w:tc>
          <w:tcPr>
            <w:tcW w:w="1722"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电话</w:t>
            </w:r>
          </w:p>
        </w:tc>
        <w:tc>
          <w:tcPr>
            <w:tcW w:w="2747" w:type="dxa"/>
            <w:gridSpan w:val="2"/>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职工人数</w:t>
            </w:r>
          </w:p>
        </w:tc>
        <w:tc>
          <w:tcPr>
            <w:tcW w:w="6631" w:type="dxa"/>
            <w:gridSpan w:val="5"/>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964" w:type="dxa"/>
            <w:vAlign w:val="center"/>
          </w:tcPr>
          <w:p>
            <w:pPr>
              <w:pStyle w:val="8"/>
              <w:ind w:firstLine="0"/>
              <w:rPr>
                <w:rFonts w:ascii="宋体" w:hAnsi="宋体" w:cs="宋体"/>
                <w:szCs w:val="21"/>
                <w:highlight w:val="none"/>
              </w:rPr>
            </w:pPr>
            <w:r>
              <w:rPr>
                <w:rFonts w:hint="eastAsia" w:ascii="宋体" w:hAnsi="宋体" w:cs="宋体"/>
                <w:szCs w:val="21"/>
                <w:highlight w:val="none"/>
              </w:rPr>
              <w:t>可从事业务范围</w:t>
            </w:r>
          </w:p>
        </w:tc>
        <w:tc>
          <w:tcPr>
            <w:tcW w:w="6631" w:type="dxa"/>
            <w:gridSpan w:val="5"/>
            <w:vAlign w:val="center"/>
          </w:tcPr>
          <w:p>
            <w:pPr>
              <w:pStyle w:val="8"/>
              <w:ind w:firstLine="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964" w:type="dxa"/>
            <w:vAlign w:val="center"/>
          </w:tcPr>
          <w:p>
            <w:pPr>
              <w:pStyle w:val="8"/>
              <w:ind w:firstLine="0"/>
              <w:jc w:val="center"/>
              <w:rPr>
                <w:rFonts w:ascii="宋体" w:hAnsi="宋体" w:cs="宋体"/>
                <w:szCs w:val="21"/>
                <w:highlight w:val="none"/>
              </w:rPr>
            </w:pPr>
            <w:r>
              <w:rPr>
                <w:rFonts w:hint="eastAsia" w:ascii="宋体" w:hAnsi="宋体" w:cs="宋体"/>
                <w:szCs w:val="21"/>
                <w:highlight w:val="none"/>
              </w:rPr>
              <w:t>公司简介</w:t>
            </w:r>
          </w:p>
        </w:tc>
        <w:tc>
          <w:tcPr>
            <w:tcW w:w="6631" w:type="dxa"/>
            <w:gridSpan w:val="5"/>
            <w:vAlign w:val="center"/>
          </w:tcPr>
          <w:p>
            <w:pPr>
              <w:pStyle w:val="8"/>
              <w:ind w:firstLine="0"/>
              <w:jc w:val="center"/>
              <w:rPr>
                <w:rFonts w:ascii="宋体" w:hAnsi="宋体" w:cs="宋体"/>
                <w:szCs w:val="21"/>
                <w:highlight w:val="none"/>
              </w:rPr>
            </w:pPr>
          </w:p>
        </w:tc>
      </w:tr>
    </w:tbl>
    <w:p>
      <w:pPr>
        <w:spacing w:line="360" w:lineRule="exact"/>
        <w:rPr>
          <w:rFonts w:ascii="宋体" w:hAnsi="宋体" w:cs="宋体"/>
          <w:szCs w:val="21"/>
          <w:highlight w:val="none"/>
        </w:rPr>
      </w:pP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注：除此表外，可另附文字和资料加以说明。</w:t>
      </w:r>
    </w:p>
    <w:p>
      <w:pPr>
        <w:tabs>
          <w:tab w:val="left" w:pos="450"/>
          <w:tab w:val="left" w:pos="8280"/>
        </w:tabs>
        <w:spacing w:line="400" w:lineRule="exact"/>
        <w:jc w:val="right"/>
        <w:rPr>
          <w:rFonts w:ascii="宋体" w:hAnsi="宋体" w:cs="宋体"/>
          <w:sz w:val="24"/>
          <w:highlight w:val="none"/>
        </w:rPr>
      </w:pPr>
      <w:r>
        <w:rPr>
          <w:rFonts w:hint="eastAsia" w:ascii="宋体" w:hAnsi="宋体" w:cs="宋体"/>
          <w:sz w:val="24"/>
          <w:highlight w:val="none"/>
        </w:rPr>
        <w:t>投标人全称：（盖章）</w:t>
      </w:r>
    </w:p>
    <w:p>
      <w:pPr>
        <w:tabs>
          <w:tab w:val="left" w:pos="450"/>
          <w:tab w:val="left" w:pos="8280"/>
        </w:tabs>
        <w:spacing w:line="400" w:lineRule="exact"/>
        <w:jc w:val="right"/>
        <w:rPr>
          <w:rFonts w:ascii="宋体" w:hAnsi="宋体" w:cs="宋体"/>
          <w:sz w:val="24"/>
          <w:highlight w:val="none"/>
        </w:rPr>
      </w:pPr>
      <w:r>
        <w:rPr>
          <w:rFonts w:hint="eastAsia" w:ascii="宋体" w:hAnsi="宋体" w:cs="宋体"/>
          <w:sz w:val="24"/>
          <w:highlight w:val="none"/>
        </w:rPr>
        <w:t>授权代表或法定代表人签名：</w:t>
      </w:r>
    </w:p>
    <w:p>
      <w:pPr>
        <w:tabs>
          <w:tab w:val="left" w:pos="450"/>
          <w:tab w:val="left" w:pos="8280"/>
        </w:tabs>
        <w:spacing w:line="400" w:lineRule="exact"/>
        <w:jc w:val="right"/>
        <w:rPr>
          <w:rFonts w:ascii="宋体" w:hAnsi="宋体" w:cs="宋体"/>
          <w:sz w:val="24"/>
          <w:highlight w:val="none"/>
        </w:rPr>
      </w:pPr>
      <w:r>
        <w:rPr>
          <w:rFonts w:hint="eastAsia" w:ascii="宋体" w:hAnsi="宋体" w:cs="宋体"/>
          <w:sz w:val="24"/>
          <w:highlight w:val="none"/>
        </w:rPr>
        <w:t>年     月    日</w:t>
      </w: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tabs>
          <w:tab w:val="left" w:pos="450"/>
          <w:tab w:val="left" w:pos="8280"/>
        </w:tabs>
        <w:rPr>
          <w:rFonts w:ascii="宋体" w:hAnsi="宋体" w:cs="宋体"/>
          <w:sz w:val="24"/>
          <w:highlight w:val="none"/>
        </w:rPr>
        <w:sectPr>
          <w:headerReference r:id="rId6" w:type="default"/>
          <w:footerReference r:id="rId7" w:type="default"/>
          <w:footerReference r:id="rId8" w:type="even"/>
          <w:pgSz w:w="11906" w:h="16838"/>
          <w:pgMar w:top="1247" w:right="1247" w:bottom="1247" w:left="1247" w:header="851" w:footer="992" w:gutter="0"/>
          <w:pgBorders>
            <w:top w:val="none" w:sz="0" w:space="0"/>
            <w:left w:val="none" w:sz="0" w:space="0"/>
            <w:bottom w:val="none" w:sz="0" w:space="0"/>
            <w:right w:val="none" w:sz="0" w:space="0"/>
          </w:pgBorders>
          <w:cols w:space="720" w:num="1"/>
          <w:docGrid w:linePitch="312" w:charSpace="0"/>
        </w:sectPr>
      </w:pPr>
    </w:p>
    <w:p>
      <w:pPr>
        <w:tabs>
          <w:tab w:val="left" w:pos="450"/>
          <w:tab w:val="left" w:pos="8280"/>
        </w:tabs>
        <w:rPr>
          <w:rFonts w:ascii="宋体" w:hAnsi="宋体" w:cs="宋体"/>
          <w:sz w:val="24"/>
          <w:highlight w:val="none"/>
        </w:rPr>
      </w:pPr>
      <w:r>
        <w:rPr>
          <w:rFonts w:hint="eastAsia" w:ascii="宋体" w:hAnsi="宋体" w:cs="宋体"/>
          <w:sz w:val="24"/>
          <w:highlight w:val="none"/>
        </w:rPr>
        <w:t>6、同类项目实施情况一览表格式</w:t>
      </w:r>
    </w:p>
    <w:p>
      <w:pPr>
        <w:adjustRightInd w:val="0"/>
        <w:snapToGrid w:val="0"/>
        <w:spacing w:line="440" w:lineRule="exact"/>
        <w:jc w:val="center"/>
        <w:rPr>
          <w:rFonts w:ascii="宋体" w:hAnsi="宋体" w:cs="宋体"/>
          <w:b/>
          <w:sz w:val="28"/>
          <w:szCs w:val="28"/>
          <w:highlight w:val="none"/>
        </w:rPr>
      </w:pPr>
      <w:r>
        <w:rPr>
          <w:rFonts w:hint="eastAsia" w:ascii="宋体" w:hAnsi="宋体" w:cs="宋体"/>
          <w:b/>
          <w:sz w:val="28"/>
          <w:szCs w:val="28"/>
          <w:highlight w:val="none"/>
        </w:rPr>
        <w:t>投标人同类项目实施情况一览表</w:t>
      </w:r>
    </w:p>
    <w:p>
      <w:pPr>
        <w:autoSpaceDE w:val="0"/>
        <w:autoSpaceDN w:val="0"/>
        <w:adjustRightInd w:val="0"/>
        <w:snapToGrid w:val="0"/>
        <w:spacing w:line="440" w:lineRule="exact"/>
        <w:jc w:val="center"/>
        <w:rPr>
          <w:rFonts w:ascii="宋体" w:hAnsi="宋体" w:cs="宋体"/>
          <w:b/>
          <w:szCs w:val="21"/>
          <w:highlight w:val="none"/>
        </w:rPr>
      </w:pPr>
    </w:p>
    <w:tbl>
      <w:tblPr>
        <w:tblStyle w:val="32"/>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153"/>
        <w:gridCol w:w="1551"/>
        <w:gridCol w:w="1832"/>
        <w:gridCol w:w="1936"/>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62"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序号</w:t>
            </w:r>
          </w:p>
        </w:tc>
        <w:tc>
          <w:tcPr>
            <w:tcW w:w="1153"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项目名称</w:t>
            </w:r>
          </w:p>
        </w:tc>
        <w:tc>
          <w:tcPr>
            <w:tcW w:w="1551"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项目服务时间</w:t>
            </w:r>
          </w:p>
        </w:tc>
        <w:tc>
          <w:tcPr>
            <w:tcW w:w="1832"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采购人名称</w:t>
            </w:r>
          </w:p>
        </w:tc>
        <w:tc>
          <w:tcPr>
            <w:tcW w:w="1936"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联系人</w:t>
            </w:r>
          </w:p>
        </w:tc>
        <w:tc>
          <w:tcPr>
            <w:tcW w:w="1182"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2" w:type="dxa"/>
            <w:vAlign w:val="center"/>
          </w:tcPr>
          <w:p>
            <w:pPr>
              <w:spacing w:line="360" w:lineRule="exact"/>
              <w:jc w:val="center"/>
              <w:rPr>
                <w:rFonts w:ascii="宋体" w:hAnsi="宋体" w:cs="宋体"/>
                <w:szCs w:val="21"/>
                <w:highlight w:val="none"/>
              </w:rPr>
            </w:pPr>
          </w:p>
        </w:tc>
        <w:tc>
          <w:tcPr>
            <w:tcW w:w="1153" w:type="dxa"/>
            <w:vAlign w:val="center"/>
          </w:tcPr>
          <w:p>
            <w:pPr>
              <w:spacing w:line="360" w:lineRule="exact"/>
              <w:jc w:val="center"/>
              <w:rPr>
                <w:rFonts w:ascii="宋体" w:hAnsi="宋体" w:cs="宋体"/>
                <w:szCs w:val="21"/>
                <w:highlight w:val="none"/>
              </w:rPr>
            </w:pPr>
          </w:p>
        </w:tc>
        <w:tc>
          <w:tcPr>
            <w:tcW w:w="1551" w:type="dxa"/>
            <w:vAlign w:val="center"/>
          </w:tcPr>
          <w:p>
            <w:pPr>
              <w:spacing w:line="360" w:lineRule="exact"/>
              <w:jc w:val="center"/>
              <w:rPr>
                <w:rFonts w:ascii="宋体" w:hAnsi="宋体" w:cs="宋体"/>
                <w:szCs w:val="21"/>
                <w:highlight w:val="none"/>
              </w:rPr>
            </w:pPr>
          </w:p>
        </w:tc>
        <w:tc>
          <w:tcPr>
            <w:tcW w:w="1832" w:type="dxa"/>
            <w:vAlign w:val="center"/>
          </w:tcPr>
          <w:p>
            <w:pPr>
              <w:spacing w:line="360" w:lineRule="exact"/>
              <w:jc w:val="center"/>
              <w:rPr>
                <w:rFonts w:ascii="宋体" w:hAnsi="宋体" w:cs="宋体"/>
                <w:szCs w:val="21"/>
                <w:highlight w:val="none"/>
              </w:rPr>
            </w:pPr>
          </w:p>
        </w:tc>
        <w:tc>
          <w:tcPr>
            <w:tcW w:w="1936" w:type="dxa"/>
            <w:vAlign w:val="center"/>
          </w:tcPr>
          <w:p>
            <w:pPr>
              <w:spacing w:line="360" w:lineRule="exact"/>
              <w:jc w:val="center"/>
              <w:rPr>
                <w:rFonts w:ascii="宋体" w:hAnsi="宋体" w:cs="宋体"/>
                <w:szCs w:val="21"/>
                <w:highlight w:val="none"/>
              </w:rPr>
            </w:pPr>
          </w:p>
        </w:tc>
        <w:tc>
          <w:tcPr>
            <w:tcW w:w="1182" w:type="dxa"/>
            <w:vAlign w:val="center"/>
          </w:tcPr>
          <w:p>
            <w:pPr>
              <w:spacing w:line="360" w:lineRule="exact"/>
              <w:jc w:val="center"/>
              <w:rPr>
                <w:rFonts w:ascii="宋体" w:hAnsi="宋体" w:cs="宋体"/>
                <w:szCs w:val="21"/>
                <w:highlight w:val="none"/>
              </w:rPr>
            </w:pPr>
          </w:p>
        </w:tc>
      </w:tr>
    </w:tbl>
    <w:p>
      <w:pPr>
        <w:snapToGrid w:val="0"/>
        <w:spacing w:line="440" w:lineRule="exact"/>
        <w:rPr>
          <w:rFonts w:ascii="宋体" w:hAnsi="宋体" w:cs="宋体"/>
          <w:szCs w:val="21"/>
          <w:highlight w:val="none"/>
        </w:rPr>
      </w:pPr>
    </w:p>
    <w:p>
      <w:pPr>
        <w:snapToGrid w:val="0"/>
        <w:spacing w:line="440" w:lineRule="exact"/>
        <w:rPr>
          <w:rFonts w:ascii="宋体" w:hAnsi="宋体" w:cs="宋体"/>
          <w:szCs w:val="21"/>
          <w:highlight w:val="none"/>
          <w:u w:val="single"/>
        </w:rPr>
      </w:pPr>
      <w:r>
        <w:rPr>
          <w:rFonts w:hint="eastAsia" w:ascii="宋体" w:hAnsi="宋体" w:cs="宋体"/>
          <w:szCs w:val="21"/>
          <w:highlight w:val="none"/>
        </w:rPr>
        <w:t>授权代表签名：</w:t>
      </w:r>
    </w:p>
    <w:p>
      <w:pPr>
        <w:pStyle w:val="3"/>
        <w:adjustRightInd w:val="0"/>
        <w:snapToGrid w:val="0"/>
        <w:spacing w:after="0" w:line="440" w:lineRule="exact"/>
        <w:rPr>
          <w:rFonts w:ascii="宋体" w:hAnsi="宋体" w:cs="宋体"/>
          <w:szCs w:val="21"/>
          <w:highlight w:val="none"/>
        </w:rPr>
      </w:pPr>
      <w:r>
        <w:rPr>
          <w:rFonts w:hint="eastAsia" w:ascii="宋体" w:hAnsi="宋体" w:cs="宋体"/>
          <w:szCs w:val="21"/>
          <w:highlight w:val="none"/>
        </w:rPr>
        <w:t>投标人盖章：</w:t>
      </w:r>
    </w:p>
    <w:p>
      <w:pPr>
        <w:adjustRightInd w:val="0"/>
        <w:snapToGrid w:val="0"/>
        <w:spacing w:line="440" w:lineRule="exact"/>
        <w:rPr>
          <w:rFonts w:ascii="宋体" w:hAnsi="宋体" w:cs="宋体"/>
          <w:bCs/>
          <w:szCs w:val="21"/>
          <w:highlight w:val="none"/>
        </w:rPr>
      </w:pPr>
      <w:r>
        <w:rPr>
          <w:rFonts w:hint="eastAsia" w:ascii="宋体" w:hAnsi="宋体" w:cs="宋体"/>
          <w:bCs/>
          <w:szCs w:val="21"/>
          <w:highlight w:val="none"/>
        </w:rPr>
        <w:t>年月日</w:t>
      </w: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utoSpaceDE w:val="0"/>
        <w:autoSpaceDN w:val="0"/>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注：1、按评分标准提供证明材料。</w:t>
      </w: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adjustRightInd w:val="0"/>
        <w:snapToGrid w:val="0"/>
        <w:jc w:val="left"/>
        <w:rPr>
          <w:rFonts w:ascii="宋体" w:hAnsi="宋体" w:cs="宋体"/>
          <w:b/>
          <w:color w:val="000000"/>
          <w:sz w:val="24"/>
          <w:highlight w:val="none"/>
        </w:rPr>
      </w:pPr>
      <w:r>
        <w:rPr>
          <w:rFonts w:hint="eastAsia" w:ascii="宋体" w:hAnsi="宋体" w:cs="宋体"/>
          <w:b/>
          <w:color w:val="000000"/>
          <w:sz w:val="24"/>
          <w:highlight w:val="none"/>
        </w:rPr>
        <w:t>7、商务响应表格式:</w:t>
      </w:r>
    </w:p>
    <w:p>
      <w:pPr>
        <w:adjustRightInd w:val="0"/>
        <w:snapToGrid w:val="0"/>
        <w:rPr>
          <w:rFonts w:ascii="宋体" w:hAnsi="宋体" w:cs="宋体"/>
          <w:b/>
          <w:color w:val="000000"/>
          <w:sz w:val="44"/>
          <w:szCs w:val="44"/>
          <w:highlight w:val="none"/>
        </w:rPr>
      </w:pPr>
    </w:p>
    <w:p>
      <w:pPr>
        <w:adjustRightInd w:val="0"/>
        <w:snapToGrid w:val="0"/>
        <w:jc w:val="center"/>
        <w:rPr>
          <w:rFonts w:ascii="宋体" w:hAnsi="宋体" w:cs="宋体"/>
          <w:b/>
          <w:color w:val="000000"/>
          <w:sz w:val="44"/>
          <w:szCs w:val="44"/>
          <w:highlight w:val="none"/>
        </w:rPr>
      </w:pPr>
      <w:r>
        <w:rPr>
          <w:rFonts w:hint="eastAsia" w:ascii="宋体" w:hAnsi="宋体" w:cs="宋体"/>
          <w:b/>
          <w:color w:val="000000"/>
          <w:sz w:val="44"/>
          <w:szCs w:val="44"/>
          <w:highlight w:val="none"/>
        </w:rPr>
        <w:t>商务响应表</w:t>
      </w:r>
    </w:p>
    <w:p>
      <w:pPr>
        <w:spacing w:line="380" w:lineRule="exact"/>
        <w:rPr>
          <w:rFonts w:ascii="宋体" w:hAnsi="宋体" w:cs="宋体"/>
          <w:szCs w:val="21"/>
          <w:highlight w:val="none"/>
        </w:rPr>
      </w:pPr>
      <w:r>
        <w:rPr>
          <w:rFonts w:hint="eastAsia" w:ascii="宋体" w:hAnsi="宋体" w:cs="宋体"/>
          <w:szCs w:val="21"/>
          <w:highlight w:val="none"/>
        </w:rPr>
        <w:t xml:space="preserve">项目名称：  </w:t>
      </w:r>
    </w:p>
    <w:p>
      <w:pPr>
        <w:spacing w:line="380" w:lineRule="exact"/>
        <w:rPr>
          <w:rFonts w:ascii="宋体" w:hAnsi="宋体" w:cs="宋体"/>
          <w:szCs w:val="21"/>
          <w:highlight w:val="none"/>
        </w:rPr>
      </w:pPr>
      <w:r>
        <w:rPr>
          <w:rFonts w:hint="eastAsia" w:ascii="宋体" w:hAnsi="宋体" w:cs="宋体"/>
          <w:szCs w:val="21"/>
          <w:highlight w:val="none"/>
        </w:rPr>
        <w:t xml:space="preserve">项目编号： </w:t>
      </w:r>
    </w:p>
    <w:tbl>
      <w:tblPr>
        <w:tblStyle w:val="32"/>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4043"/>
        <w:gridCol w:w="126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2020" w:type="dxa"/>
            <w:vAlign w:val="center"/>
          </w:tcPr>
          <w:p>
            <w:pPr>
              <w:adjustRightInd w:val="0"/>
              <w:snapToGrid w:val="0"/>
              <w:spacing w:line="300" w:lineRule="exact"/>
              <w:jc w:val="center"/>
              <w:rPr>
                <w:rFonts w:ascii="宋体" w:hAnsi="宋体" w:cs="宋体"/>
                <w:b/>
                <w:color w:val="000000"/>
                <w:szCs w:val="21"/>
                <w:highlight w:val="none"/>
              </w:rPr>
            </w:pPr>
            <w:r>
              <w:rPr>
                <w:rFonts w:hint="eastAsia" w:ascii="宋体" w:hAnsi="宋体" w:cs="宋体"/>
                <w:b/>
                <w:color w:val="000000"/>
                <w:szCs w:val="21"/>
                <w:highlight w:val="none"/>
              </w:rPr>
              <w:t>项目</w:t>
            </w:r>
          </w:p>
        </w:tc>
        <w:tc>
          <w:tcPr>
            <w:tcW w:w="4043" w:type="dxa"/>
            <w:vAlign w:val="center"/>
          </w:tcPr>
          <w:p>
            <w:pPr>
              <w:adjustRightInd w:val="0"/>
              <w:snapToGrid w:val="0"/>
              <w:spacing w:line="300" w:lineRule="exact"/>
              <w:jc w:val="center"/>
              <w:rPr>
                <w:rFonts w:ascii="宋体" w:hAnsi="宋体" w:cs="宋体"/>
                <w:b/>
                <w:color w:val="000000"/>
                <w:szCs w:val="21"/>
                <w:highlight w:val="none"/>
              </w:rPr>
            </w:pPr>
            <w:r>
              <w:rPr>
                <w:rFonts w:hint="eastAsia" w:ascii="宋体" w:hAnsi="宋体" w:cs="宋体"/>
                <w:b/>
                <w:color w:val="000000"/>
                <w:szCs w:val="21"/>
                <w:highlight w:val="none"/>
              </w:rPr>
              <w:t>招标文件要求</w:t>
            </w:r>
          </w:p>
        </w:tc>
        <w:tc>
          <w:tcPr>
            <w:tcW w:w="1265" w:type="dxa"/>
            <w:vAlign w:val="center"/>
          </w:tcPr>
          <w:p>
            <w:pPr>
              <w:adjustRightInd w:val="0"/>
              <w:snapToGrid w:val="0"/>
              <w:spacing w:line="300" w:lineRule="exact"/>
              <w:jc w:val="center"/>
              <w:rPr>
                <w:rFonts w:ascii="宋体" w:hAnsi="宋体" w:cs="宋体"/>
                <w:b/>
                <w:color w:val="000000"/>
                <w:szCs w:val="21"/>
                <w:highlight w:val="none"/>
              </w:rPr>
            </w:pPr>
            <w:r>
              <w:rPr>
                <w:rFonts w:hint="eastAsia" w:ascii="宋体" w:hAnsi="宋体" w:cs="宋体"/>
                <w:b/>
                <w:color w:val="000000"/>
                <w:szCs w:val="21"/>
                <w:highlight w:val="none"/>
              </w:rPr>
              <w:t>是否响应</w:t>
            </w:r>
          </w:p>
        </w:tc>
        <w:tc>
          <w:tcPr>
            <w:tcW w:w="1596" w:type="dxa"/>
            <w:vAlign w:val="center"/>
          </w:tcPr>
          <w:p>
            <w:pPr>
              <w:adjustRightInd w:val="0"/>
              <w:snapToGrid w:val="0"/>
              <w:spacing w:line="300" w:lineRule="exact"/>
              <w:jc w:val="center"/>
              <w:rPr>
                <w:rFonts w:ascii="宋体" w:hAnsi="宋体" w:cs="宋体"/>
                <w:b/>
                <w:color w:val="000000"/>
                <w:szCs w:val="21"/>
                <w:highlight w:val="none"/>
              </w:rPr>
            </w:pPr>
            <w:r>
              <w:rPr>
                <w:rFonts w:hint="eastAsia" w:ascii="宋体" w:hAnsi="宋体" w:cs="宋体"/>
                <w:b/>
                <w:color w:val="000000"/>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rPr>
                <w:rFonts w:ascii="宋体" w:hAnsi="宋体" w:cs="宋体"/>
                <w:b/>
                <w:color w:val="000000"/>
                <w:sz w:val="18"/>
                <w:szCs w:val="18"/>
                <w:highlight w:val="none"/>
              </w:rPr>
            </w:pPr>
          </w:p>
        </w:tc>
        <w:tc>
          <w:tcPr>
            <w:tcW w:w="4043" w:type="dxa"/>
            <w:vAlign w:val="center"/>
          </w:tcPr>
          <w:p>
            <w:pPr>
              <w:adjustRightInd w:val="0"/>
              <w:snapToGrid w:val="0"/>
              <w:rPr>
                <w:rFonts w:ascii="宋体" w:hAnsi="宋体" w:cs="宋体"/>
                <w:color w:val="000000"/>
                <w:sz w:val="18"/>
                <w:szCs w:val="18"/>
                <w:highlight w:val="none"/>
              </w:rPr>
            </w:pPr>
          </w:p>
        </w:tc>
        <w:tc>
          <w:tcPr>
            <w:tcW w:w="1265" w:type="dxa"/>
            <w:vAlign w:val="center"/>
          </w:tcPr>
          <w:p>
            <w:pPr>
              <w:adjustRightInd w:val="0"/>
              <w:snapToGrid w:val="0"/>
              <w:spacing w:line="240" w:lineRule="exact"/>
              <w:jc w:val="center"/>
              <w:rPr>
                <w:rFonts w:ascii="宋体" w:hAnsi="宋体" w:cs="宋体"/>
                <w:b/>
                <w:color w:val="000000"/>
                <w:sz w:val="18"/>
                <w:szCs w:val="18"/>
                <w:highlight w:val="none"/>
              </w:rPr>
            </w:pPr>
          </w:p>
        </w:tc>
        <w:tc>
          <w:tcPr>
            <w:tcW w:w="1596" w:type="dxa"/>
            <w:vAlign w:val="center"/>
          </w:tcPr>
          <w:p>
            <w:pPr>
              <w:adjustRightInd w:val="0"/>
              <w:snapToGrid w:val="0"/>
              <w:spacing w:line="240" w:lineRule="exact"/>
              <w:jc w:val="center"/>
              <w:rPr>
                <w:rFonts w:ascii="宋体" w:hAnsi="宋体" w:cs="宋体"/>
                <w:b/>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rPr>
                <w:rFonts w:ascii="宋体" w:hAnsi="宋体" w:cs="宋体"/>
                <w:b/>
                <w:color w:val="000000"/>
                <w:sz w:val="18"/>
                <w:szCs w:val="18"/>
                <w:highlight w:val="none"/>
              </w:rPr>
            </w:pPr>
          </w:p>
        </w:tc>
        <w:tc>
          <w:tcPr>
            <w:tcW w:w="4043" w:type="dxa"/>
          </w:tcPr>
          <w:p>
            <w:pPr>
              <w:adjustRightInd w:val="0"/>
              <w:snapToGrid w:val="0"/>
              <w:ind w:firstLine="360" w:firstLineChars="200"/>
              <w:rPr>
                <w:rFonts w:ascii="宋体" w:hAnsi="宋体" w:cs="宋体"/>
                <w:color w:val="000000"/>
                <w:sz w:val="18"/>
                <w:szCs w:val="18"/>
                <w:highlight w:val="none"/>
              </w:rPr>
            </w:pPr>
          </w:p>
        </w:tc>
        <w:tc>
          <w:tcPr>
            <w:tcW w:w="1265" w:type="dxa"/>
            <w:vAlign w:val="center"/>
          </w:tcPr>
          <w:p>
            <w:pPr>
              <w:adjustRightInd w:val="0"/>
              <w:snapToGrid w:val="0"/>
              <w:spacing w:line="240" w:lineRule="exact"/>
              <w:rPr>
                <w:rFonts w:ascii="宋体" w:hAnsi="宋体" w:cs="宋体"/>
                <w:color w:val="000000"/>
                <w:sz w:val="18"/>
                <w:szCs w:val="18"/>
                <w:highlight w:val="none"/>
              </w:rPr>
            </w:pPr>
          </w:p>
        </w:tc>
        <w:tc>
          <w:tcPr>
            <w:tcW w:w="1596" w:type="dxa"/>
            <w:vAlign w:val="center"/>
          </w:tcPr>
          <w:p>
            <w:pPr>
              <w:adjustRightInd w:val="0"/>
              <w:snapToGrid w:val="0"/>
              <w:spacing w:line="24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rPr>
                <w:rFonts w:ascii="宋体" w:hAnsi="宋体" w:cs="宋体"/>
                <w:b/>
                <w:color w:val="000000"/>
                <w:sz w:val="18"/>
                <w:szCs w:val="18"/>
                <w:highlight w:val="none"/>
              </w:rPr>
            </w:pPr>
          </w:p>
        </w:tc>
        <w:tc>
          <w:tcPr>
            <w:tcW w:w="4043" w:type="dxa"/>
          </w:tcPr>
          <w:p>
            <w:pPr>
              <w:adjustRightInd w:val="0"/>
              <w:snapToGrid w:val="0"/>
              <w:rPr>
                <w:rFonts w:ascii="宋体" w:hAnsi="宋体" w:cs="宋体"/>
                <w:b/>
                <w:color w:val="000000"/>
                <w:sz w:val="18"/>
                <w:szCs w:val="18"/>
                <w:highlight w:val="none"/>
              </w:rPr>
            </w:pPr>
          </w:p>
        </w:tc>
        <w:tc>
          <w:tcPr>
            <w:tcW w:w="1265" w:type="dxa"/>
          </w:tcPr>
          <w:p>
            <w:pPr>
              <w:adjustRightInd w:val="0"/>
              <w:snapToGrid w:val="0"/>
              <w:spacing w:line="240" w:lineRule="exact"/>
              <w:rPr>
                <w:rFonts w:ascii="宋体" w:hAnsi="宋体" w:cs="宋体"/>
                <w:color w:val="000000"/>
                <w:sz w:val="18"/>
                <w:szCs w:val="18"/>
                <w:highlight w:val="none"/>
              </w:rPr>
            </w:pPr>
          </w:p>
        </w:tc>
        <w:tc>
          <w:tcPr>
            <w:tcW w:w="1596" w:type="dxa"/>
          </w:tcPr>
          <w:p>
            <w:pPr>
              <w:adjustRightInd w:val="0"/>
              <w:snapToGrid w:val="0"/>
              <w:spacing w:line="24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jc w:val="center"/>
              <w:rPr>
                <w:rFonts w:ascii="宋体" w:hAnsi="宋体" w:cs="宋体"/>
                <w:b/>
                <w:color w:val="000000"/>
                <w:sz w:val="18"/>
                <w:szCs w:val="18"/>
                <w:highlight w:val="none"/>
              </w:rPr>
            </w:pPr>
          </w:p>
        </w:tc>
        <w:tc>
          <w:tcPr>
            <w:tcW w:w="4043" w:type="dxa"/>
          </w:tcPr>
          <w:p>
            <w:pPr>
              <w:adjustRightInd w:val="0"/>
              <w:snapToGrid w:val="0"/>
              <w:rPr>
                <w:rFonts w:ascii="宋体" w:hAnsi="宋体" w:cs="宋体"/>
                <w:color w:val="000000"/>
                <w:sz w:val="18"/>
                <w:szCs w:val="18"/>
                <w:highlight w:val="none"/>
              </w:rPr>
            </w:pPr>
          </w:p>
        </w:tc>
        <w:tc>
          <w:tcPr>
            <w:tcW w:w="1265" w:type="dxa"/>
          </w:tcPr>
          <w:p>
            <w:pPr>
              <w:adjustRightInd w:val="0"/>
              <w:snapToGrid w:val="0"/>
              <w:spacing w:line="240" w:lineRule="exact"/>
              <w:rPr>
                <w:rFonts w:ascii="宋体" w:hAnsi="宋体" w:cs="宋体"/>
                <w:color w:val="000000"/>
                <w:sz w:val="18"/>
                <w:szCs w:val="18"/>
                <w:highlight w:val="none"/>
              </w:rPr>
            </w:pPr>
          </w:p>
        </w:tc>
        <w:tc>
          <w:tcPr>
            <w:tcW w:w="1596" w:type="dxa"/>
          </w:tcPr>
          <w:p>
            <w:pPr>
              <w:adjustRightInd w:val="0"/>
              <w:snapToGrid w:val="0"/>
              <w:spacing w:line="24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jc w:val="center"/>
              <w:rPr>
                <w:rFonts w:ascii="宋体" w:hAnsi="宋体" w:cs="宋体"/>
                <w:b/>
                <w:color w:val="000000"/>
                <w:sz w:val="18"/>
                <w:szCs w:val="18"/>
                <w:highlight w:val="none"/>
              </w:rPr>
            </w:pPr>
          </w:p>
        </w:tc>
        <w:tc>
          <w:tcPr>
            <w:tcW w:w="4043" w:type="dxa"/>
          </w:tcPr>
          <w:p>
            <w:pPr>
              <w:autoSpaceDE w:val="0"/>
              <w:autoSpaceDN w:val="0"/>
              <w:adjustRightInd w:val="0"/>
              <w:ind w:right="-100"/>
              <w:jc w:val="left"/>
              <w:rPr>
                <w:rFonts w:ascii="宋体" w:hAnsi="宋体" w:cs="宋体"/>
                <w:color w:val="000000"/>
                <w:kern w:val="0"/>
                <w:sz w:val="18"/>
                <w:szCs w:val="18"/>
                <w:highlight w:val="none"/>
              </w:rPr>
            </w:pPr>
          </w:p>
        </w:tc>
        <w:tc>
          <w:tcPr>
            <w:tcW w:w="1265" w:type="dxa"/>
          </w:tcPr>
          <w:p>
            <w:pPr>
              <w:adjustRightInd w:val="0"/>
              <w:snapToGrid w:val="0"/>
              <w:spacing w:line="240" w:lineRule="exact"/>
              <w:rPr>
                <w:rFonts w:ascii="宋体" w:hAnsi="宋体" w:cs="宋体"/>
                <w:color w:val="000000"/>
                <w:sz w:val="18"/>
                <w:szCs w:val="18"/>
                <w:highlight w:val="none"/>
              </w:rPr>
            </w:pPr>
          </w:p>
        </w:tc>
        <w:tc>
          <w:tcPr>
            <w:tcW w:w="1596" w:type="dxa"/>
          </w:tcPr>
          <w:p>
            <w:pPr>
              <w:adjustRightInd w:val="0"/>
              <w:snapToGrid w:val="0"/>
              <w:spacing w:line="24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jc w:val="center"/>
              <w:rPr>
                <w:rFonts w:ascii="宋体" w:hAnsi="宋体" w:cs="宋体"/>
                <w:b/>
                <w:color w:val="000000"/>
                <w:sz w:val="18"/>
                <w:szCs w:val="18"/>
                <w:highlight w:val="none"/>
              </w:rPr>
            </w:pPr>
          </w:p>
        </w:tc>
        <w:tc>
          <w:tcPr>
            <w:tcW w:w="4043" w:type="dxa"/>
            <w:vAlign w:val="center"/>
          </w:tcPr>
          <w:p>
            <w:pPr>
              <w:adjustRightInd w:val="0"/>
              <w:snapToGrid w:val="0"/>
              <w:rPr>
                <w:rFonts w:ascii="宋体" w:hAnsi="宋体" w:cs="宋体"/>
                <w:color w:val="000000"/>
                <w:sz w:val="18"/>
                <w:szCs w:val="18"/>
                <w:highlight w:val="none"/>
              </w:rPr>
            </w:pPr>
          </w:p>
        </w:tc>
        <w:tc>
          <w:tcPr>
            <w:tcW w:w="1265" w:type="dxa"/>
          </w:tcPr>
          <w:p>
            <w:pPr>
              <w:adjustRightInd w:val="0"/>
              <w:snapToGrid w:val="0"/>
              <w:spacing w:line="240" w:lineRule="exact"/>
              <w:rPr>
                <w:rFonts w:ascii="宋体" w:hAnsi="宋体" w:cs="宋体"/>
                <w:color w:val="000000"/>
                <w:sz w:val="18"/>
                <w:szCs w:val="18"/>
                <w:highlight w:val="none"/>
              </w:rPr>
            </w:pPr>
          </w:p>
        </w:tc>
        <w:tc>
          <w:tcPr>
            <w:tcW w:w="1596" w:type="dxa"/>
          </w:tcPr>
          <w:p>
            <w:pPr>
              <w:adjustRightInd w:val="0"/>
              <w:snapToGrid w:val="0"/>
              <w:spacing w:line="24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20" w:type="dxa"/>
            <w:vAlign w:val="center"/>
          </w:tcPr>
          <w:p>
            <w:pPr>
              <w:adjustRightInd w:val="0"/>
              <w:snapToGrid w:val="0"/>
              <w:jc w:val="center"/>
              <w:rPr>
                <w:rFonts w:ascii="宋体" w:hAnsi="宋体" w:cs="宋体"/>
                <w:b/>
                <w:color w:val="000000"/>
                <w:sz w:val="18"/>
                <w:szCs w:val="18"/>
                <w:highlight w:val="none"/>
              </w:rPr>
            </w:pPr>
          </w:p>
        </w:tc>
        <w:tc>
          <w:tcPr>
            <w:tcW w:w="4043" w:type="dxa"/>
            <w:vAlign w:val="center"/>
          </w:tcPr>
          <w:p>
            <w:pPr>
              <w:rPr>
                <w:rFonts w:ascii="宋体" w:hAnsi="宋体" w:cs="宋体"/>
                <w:sz w:val="18"/>
                <w:szCs w:val="18"/>
                <w:highlight w:val="none"/>
              </w:rPr>
            </w:pPr>
          </w:p>
        </w:tc>
        <w:tc>
          <w:tcPr>
            <w:tcW w:w="1265" w:type="dxa"/>
          </w:tcPr>
          <w:p>
            <w:pPr>
              <w:adjustRightInd w:val="0"/>
              <w:snapToGrid w:val="0"/>
              <w:spacing w:line="240" w:lineRule="exact"/>
              <w:rPr>
                <w:rFonts w:ascii="宋体" w:hAnsi="宋体" w:cs="宋体"/>
                <w:color w:val="000000"/>
                <w:sz w:val="18"/>
                <w:szCs w:val="18"/>
                <w:highlight w:val="none"/>
              </w:rPr>
            </w:pPr>
          </w:p>
        </w:tc>
        <w:tc>
          <w:tcPr>
            <w:tcW w:w="1596" w:type="dxa"/>
          </w:tcPr>
          <w:p>
            <w:pPr>
              <w:adjustRightInd w:val="0"/>
              <w:snapToGrid w:val="0"/>
              <w:spacing w:line="240" w:lineRule="exact"/>
              <w:rPr>
                <w:rFonts w:ascii="宋体" w:hAnsi="宋体" w:cs="宋体"/>
                <w:color w:val="000000"/>
                <w:sz w:val="18"/>
                <w:szCs w:val="18"/>
                <w:highlight w:val="none"/>
              </w:rPr>
            </w:pPr>
          </w:p>
        </w:tc>
      </w:tr>
    </w:tbl>
    <w:p>
      <w:pPr>
        <w:snapToGrid w:val="0"/>
        <w:spacing w:before="50" w:after="50"/>
        <w:rPr>
          <w:rFonts w:ascii="宋体" w:hAnsi="宋体" w:cs="宋体"/>
          <w:color w:val="000000"/>
          <w:sz w:val="24"/>
          <w:highlight w:val="none"/>
          <w:u w:val="single"/>
        </w:rPr>
      </w:pPr>
      <w:r>
        <w:rPr>
          <w:rFonts w:hint="eastAsia" w:ascii="宋体" w:hAnsi="宋体" w:cs="宋体"/>
          <w:color w:val="000000"/>
          <w:sz w:val="24"/>
          <w:highlight w:val="none"/>
        </w:rPr>
        <w:t>授权代表签名：</w:t>
      </w:r>
    </w:p>
    <w:p>
      <w:pPr>
        <w:pStyle w:val="3"/>
        <w:snapToGrid w:val="0"/>
        <w:ind w:right="280"/>
        <w:rPr>
          <w:rFonts w:cs="宋体"/>
          <w:sz w:val="24"/>
          <w:highlight w:val="none"/>
        </w:rPr>
      </w:pPr>
      <w:r>
        <w:rPr>
          <w:rFonts w:cs="宋体"/>
          <w:sz w:val="24"/>
          <w:highlight w:val="none"/>
        </w:rPr>
        <w:t>投标人全称（盖章）：              年    月　 日</w:t>
      </w:r>
    </w:p>
    <w:p>
      <w:pPr>
        <w:adjustRightInd w:val="0"/>
        <w:snapToGrid w:val="0"/>
        <w:jc w:val="left"/>
        <w:rPr>
          <w:rFonts w:ascii="宋体" w:hAnsi="宋体" w:cs="宋体"/>
          <w:sz w:val="24"/>
          <w:highlight w:val="none"/>
        </w:rPr>
      </w:pPr>
    </w:p>
    <w:p>
      <w:pPr>
        <w:adjustRightInd w:val="0"/>
        <w:snapToGrid w:val="0"/>
        <w:jc w:val="left"/>
        <w:rPr>
          <w:rFonts w:ascii="宋体" w:hAnsi="宋体" w:cs="宋体"/>
          <w:sz w:val="24"/>
          <w:highlight w:val="none"/>
        </w:rPr>
      </w:pPr>
    </w:p>
    <w:p>
      <w:pPr>
        <w:pStyle w:val="11"/>
        <w:adjustRightInd w:val="0"/>
        <w:snapToGrid w:val="0"/>
        <w:rPr>
          <w:rFonts w:ascii="宋体" w:hAnsi="宋体" w:cs="宋体"/>
          <w:szCs w:val="21"/>
          <w:highlight w:val="none"/>
        </w:rPr>
      </w:pPr>
      <w:r>
        <w:rPr>
          <w:rFonts w:hint="eastAsia" w:ascii="宋体" w:hAnsi="宋体" w:cs="宋体"/>
          <w:sz w:val="21"/>
          <w:szCs w:val="21"/>
          <w:highlight w:val="none"/>
        </w:rPr>
        <w:t>注：按招标文件第二章要求列表，对照招标文件要求在“偏离情况”栏注明“正偏离”、“负偏离”或“无偏离”</w:t>
      </w:r>
      <w:r>
        <w:rPr>
          <w:rFonts w:hint="eastAsia" w:ascii="宋体" w:hAnsi="宋体" w:cs="宋体"/>
          <w:sz w:val="21"/>
          <w:szCs w:val="21"/>
          <w:highlight w:val="none"/>
          <w:lang w:eastAsia="zh-CN"/>
        </w:rPr>
        <w:t>。</w:t>
      </w:r>
    </w:p>
    <w:p>
      <w:pPr>
        <w:adjustRightInd w:val="0"/>
        <w:snapToGrid w:val="0"/>
        <w:jc w:val="left"/>
        <w:rPr>
          <w:rFonts w:ascii="宋体" w:hAnsi="宋体" w:cs="宋体"/>
          <w:sz w:val="24"/>
          <w:highlight w:val="none"/>
        </w:rPr>
        <w:sectPr>
          <w:pgSz w:w="11906" w:h="16838"/>
          <w:pgMar w:top="1440" w:right="1797" w:bottom="1440" w:left="1622" w:header="851" w:footer="992" w:gutter="0"/>
          <w:pgBorders>
            <w:top w:val="none" w:sz="0" w:space="0"/>
            <w:left w:val="none" w:sz="0" w:space="0"/>
            <w:bottom w:val="none" w:sz="0" w:space="0"/>
            <w:right w:val="none" w:sz="0" w:space="0"/>
          </w:pgBorders>
          <w:cols w:space="720" w:num="1"/>
          <w:docGrid w:linePitch="313" w:charSpace="0"/>
        </w:sectPr>
      </w:pPr>
    </w:p>
    <w:p>
      <w:pPr>
        <w:adjustRightInd w:val="0"/>
        <w:snapToGrid w:val="0"/>
        <w:jc w:val="left"/>
        <w:rPr>
          <w:rFonts w:ascii="宋体" w:hAnsi="宋体" w:cs="宋体"/>
          <w:b/>
          <w:color w:val="000000"/>
          <w:sz w:val="24"/>
          <w:highlight w:val="none"/>
        </w:rPr>
      </w:pPr>
      <w:r>
        <w:rPr>
          <w:rFonts w:hint="eastAsia" w:ascii="宋体" w:hAnsi="宋体" w:cs="宋体"/>
          <w:b/>
          <w:color w:val="000000"/>
          <w:sz w:val="24"/>
          <w:highlight w:val="none"/>
        </w:rPr>
        <w:t>8、技术响应表格式</w:t>
      </w:r>
    </w:p>
    <w:p>
      <w:pPr>
        <w:tabs>
          <w:tab w:val="left" w:pos="1418"/>
        </w:tabs>
        <w:adjustRightInd w:val="0"/>
        <w:snapToGrid w:val="0"/>
        <w:jc w:val="center"/>
        <w:rPr>
          <w:rFonts w:ascii="宋体" w:hAnsi="宋体" w:cs="宋体"/>
          <w:b/>
          <w:color w:val="000000"/>
          <w:sz w:val="36"/>
          <w:szCs w:val="36"/>
          <w:highlight w:val="none"/>
        </w:rPr>
      </w:pPr>
      <w:r>
        <w:rPr>
          <w:rFonts w:hint="eastAsia" w:ascii="宋体" w:hAnsi="宋体" w:cs="宋体"/>
          <w:b/>
          <w:color w:val="000000"/>
          <w:sz w:val="36"/>
          <w:szCs w:val="36"/>
          <w:highlight w:val="none"/>
        </w:rPr>
        <w:t>技术响应表</w:t>
      </w:r>
    </w:p>
    <w:p>
      <w:pPr>
        <w:spacing w:line="440" w:lineRule="exact"/>
        <w:rPr>
          <w:rFonts w:ascii="宋体" w:hAnsi="宋体" w:cs="宋体"/>
          <w:szCs w:val="21"/>
          <w:highlight w:val="none"/>
        </w:rPr>
      </w:pPr>
      <w:r>
        <w:rPr>
          <w:rFonts w:hint="eastAsia" w:ascii="宋体" w:hAnsi="宋体" w:cs="宋体"/>
          <w:szCs w:val="21"/>
          <w:highlight w:val="none"/>
        </w:rPr>
        <w:t>项目名称：</w:t>
      </w:r>
    </w:p>
    <w:p>
      <w:pPr>
        <w:spacing w:line="440" w:lineRule="exact"/>
        <w:rPr>
          <w:rFonts w:ascii="宋体" w:hAnsi="宋体" w:cs="宋体"/>
          <w:szCs w:val="21"/>
          <w:highlight w:val="none"/>
        </w:rPr>
      </w:pPr>
      <w:r>
        <w:rPr>
          <w:rFonts w:hint="eastAsia" w:ascii="宋体" w:hAnsi="宋体" w:cs="宋体"/>
          <w:szCs w:val="21"/>
          <w:highlight w:val="none"/>
        </w:rPr>
        <w:t>项目编号：</w:t>
      </w:r>
    </w:p>
    <w:tbl>
      <w:tblPr>
        <w:tblStyle w:val="32"/>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2958"/>
        <w:gridCol w:w="1726"/>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trPr>
        <w:tc>
          <w:tcPr>
            <w:tcW w:w="2090" w:type="dxa"/>
            <w:vAlign w:val="center"/>
          </w:tcPr>
          <w:p>
            <w:pPr>
              <w:adjustRightInd w:val="0"/>
              <w:snapToGrid w:val="0"/>
              <w:jc w:val="center"/>
              <w:rPr>
                <w:rFonts w:ascii="宋体" w:hAnsi="宋体" w:cs="宋体"/>
                <w:b/>
                <w:color w:val="000000"/>
                <w:szCs w:val="21"/>
                <w:highlight w:val="none"/>
              </w:rPr>
            </w:pPr>
            <w:r>
              <w:rPr>
                <w:rFonts w:hint="eastAsia" w:ascii="宋体" w:hAnsi="宋体" w:cs="宋体"/>
                <w:b/>
                <w:color w:val="000000"/>
                <w:szCs w:val="21"/>
                <w:highlight w:val="none"/>
              </w:rPr>
              <w:t>项目</w:t>
            </w:r>
          </w:p>
        </w:tc>
        <w:tc>
          <w:tcPr>
            <w:tcW w:w="2958" w:type="dxa"/>
            <w:vAlign w:val="center"/>
          </w:tcPr>
          <w:p>
            <w:pPr>
              <w:adjustRightInd w:val="0"/>
              <w:snapToGrid w:val="0"/>
              <w:jc w:val="center"/>
              <w:rPr>
                <w:rFonts w:ascii="宋体" w:hAnsi="宋体" w:cs="宋体"/>
                <w:b/>
                <w:color w:val="000000"/>
                <w:szCs w:val="21"/>
                <w:highlight w:val="none"/>
              </w:rPr>
            </w:pPr>
            <w:r>
              <w:rPr>
                <w:rFonts w:hint="eastAsia" w:ascii="宋体" w:hAnsi="宋体" w:cs="宋体"/>
                <w:b/>
                <w:color w:val="000000"/>
                <w:szCs w:val="21"/>
                <w:highlight w:val="none"/>
              </w:rPr>
              <w:t>招标文件要求</w:t>
            </w:r>
          </w:p>
        </w:tc>
        <w:tc>
          <w:tcPr>
            <w:tcW w:w="1726" w:type="dxa"/>
            <w:vAlign w:val="center"/>
          </w:tcPr>
          <w:p>
            <w:pPr>
              <w:adjustRightInd w:val="0"/>
              <w:snapToGrid w:val="0"/>
              <w:jc w:val="center"/>
              <w:rPr>
                <w:rFonts w:ascii="宋体" w:hAnsi="宋体" w:cs="宋体"/>
                <w:b/>
                <w:color w:val="000000"/>
                <w:szCs w:val="21"/>
                <w:highlight w:val="none"/>
              </w:rPr>
            </w:pPr>
            <w:r>
              <w:rPr>
                <w:rFonts w:hint="eastAsia" w:ascii="宋体" w:hAnsi="宋体" w:cs="宋体"/>
                <w:b/>
                <w:color w:val="000000"/>
                <w:szCs w:val="21"/>
                <w:highlight w:val="none"/>
              </w:rPr>
              <w:t>偏离情况</w:t>
            </w:r>
          </w:p>
        </w:tc>
        <w:tc>
          <w:tcPr>
            <w:tcW w:w="2084" w:type="dxa"/>
            <w:vAlign w:val="center"/>
          </w:tcPr>
          <w:p>
            <w:pPr>
              <w:adjustRightInd w:val="0"/>
              <w:snapToGrid w:val="0"/>
              <w:jc w:val="center"/>
              <w:rPr>
                <w:rFonts w:ascii="宋体" w:hAnsi="宋体" w:cs="宋体"/>
                <w:b/>
                <w:color w:val="000000"/>
                <w:szCs w:val="21"/>
                <w:highlight w:val="none"/>
              </w:rPr>
            </w:pPr>
            <w:r>
              <w:rPr>
                <w:rFonts w:hint="eastAsia" w:ascii="宋体" w:hAnsi="宋体" w:cs="宋体"/>
                <w:b/>
                <w:color w:val="000000"/>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2090" w:type="dxa"/>
            <w:vAlign w:val="center"/>
          </w:tcPr>
          <w:p>
            <w:pPr>
              <w:adjustRightInd w:val="0"/>
              <w:snapToGrid w:val="0"/>
              <w:jc w:val="center"/>
              <w:rPr>
                <w:rFonts w:ascii="宋体" w:hAnsi="宋体" w:cs="宋体"/>
                <w:b/>
                <w:color w:val="000000"/>
                <w:szCs w:val="21"/>
                <w:highlight w:val="none"/>
              </w:rPr>
            </w:pPr>
          </w:p>
        </w:tc>
        <w:tc>
          <w:tcPr>
            <w:tcW w:w="2958" w:type="dxa"/>
            <w:vAlign w:val="center"/>
          </w:tcPr>
          <w:p>
            <w:pPr>
              <w:adjustRightInd w:val="0"/>
              <w:snapToGrid w:val="0"/>
              <w:jc w:val="center"/>
              <w:rPr>
                <w:rFonts w:ascii="宋体" w:hAnsi="宋体" w:cs="宋体"/>
                <w:b/>
                <w:color w:val="000000"/>
                <w:szCs w:val="21"/>
                <w:highlight w:val="none"/>
              </w:rPr>
            </w:pPr>
          </w:p>
        </w:tc>
        <w:tc>
          <w:tcPr>
            <w:tcW w:w="1726" w:type="dxa"/>
            <w:vAlign w:val="center"/>
          </w:tcPr>
          <w:p>
            <w:pPr>
              <w:adjustRightInd w:val="0"/>
              <w:snapToGrid w:val="0"/>
              <w:jc w:val="center"/>
              <w:rPr>
                <w:rFonts w:ascii="宋体" w:hAnsi="宋体" w:cs="宋体"/>
                <w:b/>
                <w:color w:val="000000"/>
                <w:szCs w:val="21"/>
                <w:highlight w:val="none"/>
              </w:rPr>
            </w:pPr>
          </w:p>
        </w:tc>
        <w:tc>
          <w:tcPr>
            <w:tcW w:w="2084" w:type="dxa"/>
            <w:vAlign w:val="center"/>
          </w:tcPr>
          <w:p>
            <w:pPr>
              <w:adjustRightInd w:val="0"/>
              <w:snapToGrid w:val="0"/>
              <w:jc w:val="center"/>
              <w:rPr>
                <w:rFonts w:ascii="宋体" w:hAnsi="宋体" w:cs="宋体"/>
                <w:b/>
                <w:color w:val="000000"/>
                <w:szCs w:val="21"/>
                <w:highlight w:val="none"/>
              </w:rPr>
            </w:pPr>
          </w:p>
          <w:p>
            <w:pPr>
              <w:adjustRightInd w:val="0"/>
              <w:snapToGrid w:val="0"/>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2090" w:type="dxa"/>
            <w:vAlign w:val="center"/>
          </w:tcPr>
          <w:p>
            <w:pPr>
              <w:adjustRightInd w:val="0"/>
              <w:snapToGrid w:val="0"/>
              <w:jc w:val="center"/>
              <w:rPr>
                <w:rFonts w:ascii="宋体" w:hAnsi="宋体" w:cs="宋体"/>
                <w:b/>
                <w:color w:val="000000"/>
                <w:szCs w:val="21"/>
                <w:highlight w:val="none"/>
              </w:rPr>
            </w:pPr>
          </w:p>
        </w:tc>
        <w:tc>
          <w:tcPr>
            <w:tcW w:w="2958" w:type="dxa"/>
            <w:vAlign w:val="center"/>
          </w:tcPr>
          <w:p>
            <w:pPr>
              <w:adjustRightInd w:val="0"/>
              <w:snapToGrid w:val="0"/>
              <w:jc w:val="center"/>
              <w:rPr>
                <w:rFonts w:ascii="宋体" w:hAnsi="宋体" w:cs="宋体"/>
                <w:b/>
                <w:color w:val="000000"/>
                <w:szCs w:val="21"/>
                <w:highlight w:val="none"/>
              </w:rPr>
            </w:pPr>
          </w:p>
        </w:tc>
        <w:tc>
          <w:tcPr>
            <w:tcW w:w="1726" w:type="dxa"/>
            <w:vAlign w:val="center"/>
          </w:tcPr>
          <w:p>
            <w:pPr>
              <w:adjustRightInd w:val="0"/>
              <w:snapToGrid w:val="0"/>
              <w:jc w:val="center"/>
              <w:rPr>
                <w:rFonts w:ascii="宋体" w:hAnsi="宋体" w:cs="宋体"/>
                <w:b/>
                <w:color w:val="000000"/>
                <w:szCs w:val="21"/>
                <w:highlight w:val="none"/>
              </w:rPr>
            </w:pPr>
          </w:p>
        </w:tc>
        <w:tc>
          <w:tcPr>
            <w:tcW w:w="2084" w:type="dxa"/>
            <w:vAlign w:val="center"/>
          </w:tcPr>
          <w:p>
            <w:pPr>
              <w:adjustRightInd w:val="0"/>
              <w:snapToGrid w:val="0"/>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2090" w:type="dxa"/>
            <w:vAlign w:val="center"/>
          </w:tcPr>
          <w:p>
            <w:pPr>
              <w:adjustRightInd w:val="0"/>
              <w:snapToGrid w:val="0"/>
              <w:jc w:val="center"/>
              <w:rPr>
                <w:rFonts w:ascii="宋体" w:hAnsi="宋体" w:cs="宋体"/>
                <w:b/>
                <w:color w:val="000000"/>
                <w:szCs w:val="21"/>
                <w:highlight w:val="none"/>
              </w:rPr>
            </w:pPr>
          </w:p>
        </w:tc>
        <w:tc>
          <w:tcPr>
            <w:tcW w:w="2958" w:type="dxa"/>
            <w:vAlign w:val="center"/>
          </w:tcPr>
          <w:p>
            <w:pPr>
              <w:adjustRightInd w:val="0"/>
              <w:snapToGrid w:val="0"/>
              <w:jc w:val="center"/>
              <w:rPr>
                <w:rFonts w:ascii="宋体" w:hAnsi="宋体" w:cs="宋体"/>
                <w:b/>
                <w:color w:val="000000"/>
                <w:szCs w:val="21"/>
                <w:highlight w:val="none"/>
              </w:rPr>
            </w:pPr>
          </w:p>
        </w:tc>
        <w:tc>
          <w:tcPr>
            <w:tcW w:w="1726" w:type="dxa"/>
            <w:vAlign w:val="center"/>
          </w:tcPr>
          <w:p>
            <w:pPr>
              <w:adjustRightInd w:val="0"/>
              <w:snapToGrid w:val="0"/>
              <w:jc w:val="center"/>
              <w:rPr>
                <w:rFonts w:ascii="宋体" w:hAnsi="宋体" w:cs="宋体"/>
                <w:b/>
                <w:color w:val="000000"/>
                <w:szCs w:val="21"/>
                <w:highlight w:val="none"/>
              </w:rPr>
            </w:pPr>
          </w:p>
        </w:tc>
        <w:tc>
          <w:tcPr>
            <w:tcW w:w="2084" w:type="dxa"/>
            <w:vAlign w:val="center"/>
          </w:tcPr>
          <w:p>
            <w:pPr>
              <w:adjustRightInd w:val="0"/>
              <w:snapToGrid w:val="0"/>
              <w:jc w:val="center"/>
              <w:rPr>
                <w:rFonts w:ascii="宋体" w:hAnsi="宋体" w:cs="宋体"/>
                <w:b/>
                <w:color w:val="000000"/>
                <w:szCs w:val="21"/>
                <w:highlight w:val="none"/>
              </w:rPr>
            </w:pPr>
          </w:p>
          <w:p>
            <w:pPr>
              <w:adjustRightInd w:val="0"/>
              <w:snapToGrid w:val="0"/>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090" w:type="dxa"/>
            <w:vAlign w:val="center"/>
          </w:tcPr>
          <w:p>
            <w:pPr>
              <w:adjustRightInd w:val="0"/>
              <w:snapToGrid w:val="0"/>
              <w:jc w:val="center"/>
              <w:rPr>
                <w:rFonts w:ascii="宋体" w:hAnsi="宋体" w:cs="宋体"/>
                <w:b/>
                <w:color w:val="000000"/>
                <w:szCs w:val="21"/>
                <w:highlight w:val="none"/>
              </w:rPr>
            </w:pPr>
          </w:p>
        </w:tc>
        <w:tc>
          <w:tcPr>
            <w:tcW w:w="2958" w:type="dxa"/>
            <w:vAlign w:val="center"/>
          </w:tcPr>
          <w:p>
            <w:pPr>
              <w:adjustRightInd w:val="0"/>
              <w:snapToGrid w:val="0"/>
              <w:jc w:val="center"/>
              <w:rPr>
                <w:rFonts w:ascii="宋体" w:hAnsi="宋体" w:cs="宋体"/>
                <w:b/>
                <w:color w:val="000000"/>
                <w:szCs w:val="21"/>
                <w:highlight w:val="none"/>
              </w:rPr>
            </w:pPr>
          </w:p>
        </w:tc>
        <w:tc>
          <w:tcPr>
            <w:tcW w:w="1726" w:type="dxa"/>
            <w:vAlign w:val="center"/>
          </w:tcPr>
          <w:p>
            <w:pPr>
              <w:adjustRightInd w:val="0"/>
              <w:snapToGrid w:val="0"/>
              <w:jc w:val="center"/>
              <w:rPr>
                <w:rFonts w:ascii="宋体" w:hAnsi="宋体" w:cs="宋体"/>
                <w:b/>
                <w:color w:val="000000"/>
                <w:szCs w:val="21"/>
                <w:highlight w:val="none"/>
              </w:rPr>
            </w:pPr>
          </w:p>
        </w:tc>
        <w:tc>
          <w:tcPr>
            <w:tcW w:w="2084" w:type="dxa"/>
            <w:vAlign w:val="center"/>
          </w:tcPr>
          <w:p>
            <w:pPr>
              <w:adjustRightInd w:val="0"/>
              <w:snapToGrid w:val="0"/>
              <w:jc w:val="center"/>
              <w:rPr>
                <w:rFonts w:ascii="宋体" w:hAnsi="宋体" w:cs="宋体"/>
                <w:b/>
                <w:color w:val="000000"/>
                <w:szCs w:val="21"/>
                <w:highlight w:val="none"/>
              </w:rPr>
            </w:pPr>
          </w:p>
          <w:p>
            <w:pPr>
              <w:adjustRightInd w:val="0"/>
              <w:snapToGrid w:val="0"/>
              <w:jc w:val="center"/>
              <w:rPr>
                <w:rFonts w:ascii="宋体" w:hAnsi="宋体" w:cs="宋体"/>
                <w:b/>
                <w:color w:val="000000"/>
                <w:szCs w:val="21"/>
                <w:highlight w:val="none"/>
              </w:rPr>
            </w:pPr>
          </w:p>
        </w:tc>
      </w:tr>
    </w:tbl>
    <w:p>
      <w:pPr>
        <w:adjustRightInd w:val="0"/>
        <w:snapToGrid w:val="0"/>
        <w:jc w:val="left"/>
        <w:rPr>
          <w:rFonts w:ascii="宋体" w:hAnsi="宋体" w:cs="宋体"/>
          <w:color w:val="000000"/>
          <w:sz w:val="24"/>
          <w:highlight w:val="none"/>
        </w:rPr>
      </w:pPr>
    </w:p>
    <w:p>
      <w:pPr>
        <w:pStyle w:val="11"/>
        <w:adjustRightInd w:val="0"/>
        <w:snapToGrid w:val="0"/>
        <w:ind w:right="420"/>
        <w:rPr>
          <w:rFonts w:ascii="宋体" w:hAnsi="宋体" w:cs="宋体"/>
          <w:color w:val="000000"/>
          <w:sz w:val="21"/>
          <w:szCs w:val="21"/>
          <w:highlight w:val="none"/>
        </w:rPr>
      </w:pPr>
      <w:r>
        <w:rPr>
          <w:rFonts w:hint="eastAsia" w:ascii="宋体" w:hAnsi="宋体" w:cs="宋体"/>
          <w:sz w:val="21"/>
          <w:szCs w:val="21"/>
          <w:highlight w:val="none"/>
        </w:rPr>
        <w:t>授权代表签名：</w:t>
      </w:r>
    </w:p>
    <w:p>
      <w:pPr>
        <w:adjustRightInd w:val="0"/>
        <w:snapToGrid w:val="0"/>
        <w:ind w:right="420"/>
        <w:rPr>
          <w:rFonts w:ascii="宋体" w:hAnsi="宋体" w:cs="宋体"/>
          <w:color w:val="000000"/>
          <w:szCs w:val="21"/>
          <w:highlight w:val="none"/>
          <w:u w:val="single"/>
        </w:rPr>
      </w:pPr>
      <w:r>
        <w:rPr>
          <w:rFonts w:hint="eastAsia" w:ascii="宋体" w:hAnsi="宋体" w:cs="宋体"/>
          <w:color w:val="000000"/>
          <w:szCs w:val="21"/>
          <w:highlight w:val="none"/>
        </w:rPr>
        <w:t>投标人盖章：</w:t>
      </w:r>
    </w:p>
    <w:p>
      <w:pPr>
        <w:adjustRightInd w:val="0"/>
        <w:snapToGrid w:val="0"/>
        <w:ind w:right="420"/>
        <w:rPr>
          <w:rFonts w:ascii="宋体" w:hAnsi="宋体" w:cs="宋体"/>
          <w:color w:val="000000"/>
          <w:szCs w:val="21"/>
          <w:highlight w:val="none"/>
        </w:rPr>
      </w:pP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年    月    日</w:t>
      </w:r>
    </w:p>
    <w:p>
      <w:pPr>
        <w:pStyle w:val="11"/>
        <w:adjustRightInd w:val="0"/>
        <w:snapToGrid w:val="0"/>
        <w:rPr>
          <w:rFonts w:ascii="宋体" w:hAnsi="宋体" w:cs="宋体"/>
          <w:sz w:val="21"/>
          <w:szCs w:val="21"/>
          <w:highlight w:val="none"/>
        </w:rPr>
      </w:pPr>
    </w:p>
    <w:p>
      <w:pPr>
        <w:pStyle w:val="11"/>
        <w:adjustRightInd w:val="0"/>
        <w:snapToGrid w:val="0"/>
        <w:rPr>
          <w:rFonts w:ascii="宋体" w:hAnsi="宋体" w:cs="宋体"/>
          <w:szCs w:val="21"/>
          <w:highlight w:val="none"/>
        </w:rPr>
      </w:pPr>
      <w:r>
        <w:rPr>
          <w:rFonts w:hint="eastAsia" w:ascii="宋体" w:hAnsi="宋体" w:cs="宋体"/>
          <w:sz w:val="21"/>
          <w:szCs w:val="21"/>
          <w:highlight w:val="none"/>
        </w:rPr>
        <w:t>注：按招标文件第二章要求列表，投标人应对照招标文件要求在“偏离情况”栏注明“正偏离”、“负偏离”或“无偏离”</w:t>
      </w:r>
      <w:r>
        <w:rPr>
          <w:rFonts w:hint="eastAsia" w:ascii="宋体" w:hAnsi="宋体" w:cs="宋体"/>
          <w:sz w:val="21"/>
          <w:szCs w:val="21"/>
          <w:highlight w:val="none"/>
          <w:lang w:eastAsia="zh-CN"/>
        </w:rPr>
        <w:t>。</w:t>
      </w: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spacing w:line="480" w:lineRule="exact"/>
        <w:ind w:firstLine="420" w:firstLineChars="200"/>
        <w:rPr>
          <w:rFonts w:ascii="宋体" w:hAnsi="宋体" w:cs="宋体"/>
          <w:szCs w:val="21"/>
          <w:highlight w:val="none"/>
        </w:rPr>
      </w:pPr>
    </w:p>
    <w:p>
      <w:pPr>
        <w:pStyle w:val="43"/>
        <w:rPr>
          <w:highlight w:val="none"/>
        </w:rPr>
      </w:pPr>
    </w:p>
    <w:p>
      <w:pPr>
        <w:spacing w:line="480" w:lineRule="exact"/>
        <w:ind w:firstLine="420" w:firstLineChars="200"/>
        <w:rPr>
          <w:rFonts w:ascii="宋体" w:hAnsi="宋体" w:cs="宋体"/>
          <w:szCs w:val="21"/>
          <w:highlight w:val="none"/>
        </w:rPr>
      </w:pPr>
    </w:p>
    <w:p>
      <w:pPr>
        <w:adjustRightInd w:val="0"/>
        <w:snapToGrid w:val="0"/>
        <w:jc w:val="left"/>
        <w:rPr>
          <w:rFonts w:ascii="宋体" w:hAnsi="宋体" w:cs="宋体"/>
          <w:sz w:val="24"/>
          <w:highlight w:val="none"/>
        </w:rPr>
      </w:pPr>
      <w:r>
        <w:rPr>
          <w:rFonts w:hint="eastAsia" w:ascii="宋体" w:hAnsi="宋体" w:cs="宋体"/>
          <w:sz w:val="24"/>
          <w:highlight w:val="none"/>
        </w:rPr>
        <w:t>9、投入本项目实施人员一览表</w:t>
      </w:r>
    </w:p>
    <w:p>
      <w:pPr>
        <w:adjustRightInd w:val="0"/>
        <w:snapToGrid w:val="0"/>
        <w:jc w:val="left"/>
        <w:rPr>
          <w:rFonts w:ascii="宋体" w:hAnsi="宋体" w:cs="宋体"/>
          <w:sz w:val="24"/>
          <w:highlight w:val="none"/>
        </w:rPr>
      </w:pPr>
    </w:p>
    <w:p>
      <w:pPr>
        <w:adjustRightInd w:val="0"/>
        <w:snapToGrid w:val="0"/>
        <w:spacing w:line="440" w:lineRule="exact"/>
        <w:jc w:val="center"/>
        <w:rPr>
          <w:rFonts w:ascii="宋体" w:hAnsi="宋体" w:cs="宋体"/>
          <w:b/>
          <w:sz w:val="28"/>
          <w:szCs w:val="28"/>
          <w:highlight w:val="none"/>
        </w:rPr>
      </w:pPr>
      <w:r>
        <w:rPr>
          <w:rFonts w:hint="eastAsia" w:ascii="宋体" w:hAnsi="宋体" w:cs="宋体"/>
          <w:b/>
          <w:sz w:val="28"/>
          <w:szCs w:val="28"/>
          <w:highlight w:val="none"/>
        </w:rPr>
        <w:t>投入本项目实施人员一览表</w:t>
      </w:r>
    </w:p>
    <w:p>
      <w:pPr>
        <w:adjustRightInd w:val="0"/>
        <w:snapToGrid w:val="0"/>
        <w:spacing w:line="440" w:lineRule="exact"/>
        <w:jc w:val="center"/>
        <w:rPr>
          <w:rFonts w:ascii="宋体" w:hAnsi="宋体" w:cs="宋体"/>
          <w:b/>
          <w:sz w:val="28"/>
          <w:szCs w:val="28"/>
          <w:highlight w:val="none"/>
        </w:rPr>
      </w:pPr>
    </w:p>
    <w:p>
      <w:pPr>
        <w:adjustRightInd w:val="0"/>
        <w:snapToGrid w:val="0"/>
        <w:spacing w:line="440" w:lineRule="exact"/>
        <w:jc w:val="center"/>
        <w:rPr>
          <w:rFonts w:ascii="宋体" w:hAnsi="宋体" w:cs="宋体"/>
          <w:b/>
          <w:sz w:val="28"/>
          <w:szCs w:val="28"/>
          <w:highlight w:val="none"/>
        </w:rPr>
      </w:pPr>
      <w:r>
        <w:rPr>
          <w:rFonts w:hint="eastAsia" w:ascii="宋体" w:hAnsi="宋体" w:cs="宋体"/>
          <w:sz w:val="24"/>
          <w:highlight w:val="none"/>
        </w:rPr>
        <w:t>项目名称：                项目编号：</w:t>
      </w:r>
    </w:p>
    <w:tbl>
      <w:tblPr>
        <w:tblStyle w:val="32"/>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039"/>
        <w:gridCol w:w="595"/>
        <w:gridCol w:w="564"/>
        <w:gridCol w:w="941"/>
        <w:gridCol w:w="1163"/>
        <w:gridCol w:w="131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53" w:type="dxa"/>
            <w:tcBorders>
              <w:top w:val="single" w:color="auto" w:sz="12" w:space="0"/>
              <w:left w:val="single" w:color="auto" w:sz="12" w:space="0"/>
              <w:bottom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姓 名</w:t>
            </w:r>
          </w:p>
        </w:tc>
        <w:tc>
          <w:tcPr>
            <w:tcW w:w="2039" w:type="dxa"/>
            <w:tcBorders>
              <w:top w:val="single" w:color="auto" w:sz="12" w:space="0"/>
              <w:bottom w:val="single" w:color="auto" w:sz="12" w:space="0"/>
            </w:tcBorders>
            <w:vAlign w:val="center"/>
          </w:tcPr>
          <w:p>
            <w:pPr>
              <w:spacing w:line="480" w:lineRule="exact"/>
              <w:ind w:firstLine="420" w:firstLineChars="200"/>
              <w:rPr>
                <w:rFonts w:ascii="宋体" w:hAnsi="宋体" w:cs="宋体"/>
                <w:szCs w:val="21"/>
                <w:highlight w:val="none"/>
              </w:rPr>
            </w:pPr>
            <w:r>
              <w:rPr>
                <w:rFonts w:hint="eastAsia" w:ascii="宋体" w:hAnsi="宋体" w:cs="宋体"/>
                <w:szCs w:val="21"/>
                <w:highlight w:val="none"/>
              </w:rPr>
              <w:t>本项目拟任</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岗    位</w:t>
            </w:r>
          </w:p>
        </w:tc>
        <w:tc>
          <w:tcPr>
            <w:tcW w:w="595" w:type="dxa"/>
            <w:tcBorders>
              <w:top w:val="single" w:color="auto" w:sz="12" w:space="0"/>
              <w:bottom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年龄</w:t>
            </w:r>
          </w:p>
        </w:tc>
        <w:tc>
          <w:tcPr>
            <w:tcW w:w="564" w:type="dxa"/>
            <w:tcBorders>
              <w:top w:val="single" w:color="auto" w:sz="12" w:space="0"/>
              <w:bottom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性别</w:t>
            </w:r>
          </w:p>
        </w:tc>
        <w:tc>
          <w:tcPr>
            <w:tcW w:w="941" w:type="dxa"/>
            <w:tcBorders>
              <w:top w:val="single" w:color="auto" w:sz="12" w:space="0"/>
              <w:bottom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专 业</w:t>
            </w:r>
          </w:p>
        </w:tc>
        <w:tc>
          <w:tcPr>
            <w:tcW w:w="1163" w:type="dxa"/>
            <w:tcBorders>
              <w:top w:val="single" w:color="auto" w:sz="12" w:space="0"/>
              <w:bottom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职 称与证书</w:t>
            </w:r>
          </w:p>
        </w:tc>
        <w:tc>
          <w:tcPr>
            <w:tcW w:w="1317" w:type="dxa"/>
            <w:tcBorders>
              <w:top w:val="single" w:color="auto" w:sz="12" w:space="0"/>
              <w:bottom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安排上岗起止时间</w:t>
            </w:r>
          </w:p>
        </w:tc>
        <w:tc>
          <w:tcPr>
            <w:tcW w:w="1232" w:type="dxa"/>
            <w:tcBorders>
              <w:top w:val="single" w:color="auto" w:sz="12" w:space="0"/>
              <w:bottom w:val="single" w:color="auto" w:sz="12" w:space="0"/>
              <w:right w:val="single" w:color="auto" w:sz="12"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top w:val="single" w:color="auto" w:sz="12" w:space="0"/>
              <w:left w:val="single" w:color="auto" w:sz="12" w:space="0"/>
            </w:tcBorders>
            <w:vAlign w:val="center"/>
          </w:tcPr>
          <w:p>
            <w:pPr>
              <w:spacing w:line="360" w:lineRule="auto"/>
              <w:rPr>
                <w:rFonts w:ascii="宋体" w:hAnsi="宋体" w:cs="宋体"/>
                <w:szCs w:val="21"/>
                <w:highlight w:val="none"/>
              </w:rPr>
            </w:pPr>
          </w:p>
        </w:tc>
        <w:tc>
          <w:tcPr>
            <w:tcW w:w="2039" w:type="dxa"/>
            <w:tcBorders>
              <w:top w:val="single" w:color="auto" w:sz="12" w:space="0"/>
            </w:tcBorders>
            <w:vAlign w:val="center"/>
          </w:tcPr>
          <w:p>
            <w:pPr>
              <w:spacing w:line="360" w:lineRule="auto"/>
              <w:rPr>
                <w:rFonts w:ascii="宋体" w:hAnsi="宋体" w:cs="宋体"/>
                <w:szCs w:val="21"/>
                <w:highlight w:val="none"/>
              </w:rPr>
            </w:pPr>
          </w:p>
        </w:tc>
        <w:tc>
          <w:tcPr>
            <w:tcW w:w="595" w:type="dxa"/>
            <w:tcBorders>
              <w:top w:val="single" w:color="auto" w:sz="12" w:space="0"/>
            </w:tcBorders>
            <w:vAlign w:val="center"/>
          </w:tcPr>
          <w:p>
            <w:pPr>
              <w:spacing w:line="360" w:lineRule="auto"/>
              <w:rPr>
                <w:rFonts w:ascii="宋体" w:hAnsi="宋体" w:cs="宋体"/>
                <w:szCs w:val="21"/>
                <w:highlight w:val="none"/>
              </w:rPr>
            </w:pPr>
          </w:p>
        </w:tc>
        <w:tc>
          <w:tcPr>
            <w:tcW w:w="564" w:type="dxa"/>
            <w:tcBorders>
              <w:top w:val="single" w:color="auto" w:sz="12" w:space="0"/>
            </w:tcBorders>
            <w:vAlign w:val="center"/>
          </w:tcPr>
          <w:p>
            <w:pPr>
              <w:spacing w:line="360" w:lineRule="auto"/>
              <w:rPr>
                <w:rFonts w:ascii="宋体" w:hAnsi="宋体" w:cs="宋体"/>
                <w:szCs w:val="21"/>
                <w:highlight w:val="none"/>
              </w:rPr>
            </w:pPr>
          </w:p>
        </w:tc>
        <w:tc>
          <w:tcPr>
            <w:tcW w:w="941" w:type="dxa"/>
            <w:tcBorders>
              <w:top w:val="single" w:color="auto" w:sz="12" w:space="0"/>
            </w:tcBorders>
            <w:vAlign w:val="center"/>
          </w:tcPr>
          <w:p>
            <w:pPr>
              <w:spacing w:line="360" w:lineRule="auto"/>
              <w:rPr>
                <w:rFonts w:ascii="宋体" w:hAnsi="宋体" w:cs="宋体"/>
                <w:szCs w:val="21"/>
                <w:highlight w:val="none"/>
              </w:rPr>
            </w:pPr>
          </w:p>
        </w:tc>
        <w:tc>
          <w:tcPr>
            <w:tcW w:w="1163" w:type="dxa"/>
            <w:tcBorders>
              <w:top w:val="single" w:color="auto" w:sz="12" w:space="0"/>
            </w:tcBorders>
            <w:vAlign w:val="center"/>
          </w:tcPr>
          <w:p>
            <w:pPr>
              <w:spacing w:line="360" w:lineRule="auto"/>
              <w:rPr>
                <w:rFonts w:ascii="宋体" w:hAnsi="宋体" w:cs="宋体"/>
                <w:szCs w:val="21"/>
                <w:highlight w:val="none"/>
              </w:rPr>
            </w:pPr>
          </w:p>
        </w:tc>
        <w:tc>
          <w:tcPr>
            <w:tcW w:w="1317" w:type="dxa"/>
            <w:tcBorders>
              <w:top w:val="single" w:color="auto" w:sz="12" w:space="0"/>
            </w:tcBorders>
            <w:vAlign w:val="center"/>
          </w:tcPr>
          <w:p>
            <w:pPr>
              <w:pStyle w:val="16"/>
              <w:spacing w:line="360" w:lineRule="auto"/>
              <w:ind w:left="5250"/>
              <w:rPr>
                <w:rFonts w:ascii="宋体" w:eastAsia="宋体" w:cs="宋体"/>
                <w:sz w:val="21"/>
                <w:szCs w:val="21"/>
                <w:highlight w:val="none"/>
                <w:lang w:val="en-US" w:eastAsia="zh-CN"/>
              </w:rPr>
            </w:pPr>
          </w:p>
        </w:tc>
        <w:tc>
          <w:tcPr>
            <w:tcW w:w="1232" w:type="dxa"/>
            <w:tcBorders>
              <w:top w:val="single" w:color="auto" w:sz="12" w:space="0"/>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tcBorders>
              <w:left w:val="single" w:color="auto" w:sz="12" w:space="0"/>
            </w:tcBorders>
            <w:vAlign w:val="center"/>
          </w:tcPr>
          <w:p>
            <w:pPr>
              <w:spacing w:line="360" w:lineRule="auto"/>
              <w:rPr>
                <w:rFonts w:ascii="宋体" w:hAnsi="宋体" w:cs="宋体"/>
                <w:szCs w:val="21"/>
                <w:highlight w:val="none"/>
              </w:rPr>
            </w:pPr>
          </w:p>
        </w:tc>
        <w:tc>
          <w:tcPr>
            <w:tcW w:w="2039" w:type="dxa"/>
            <w:vAlign w:val="center"/>
          </w:tcPr>
          <w:p>
            <w:pPr>
              <w:spacing w:line="360" w:lineRule="auto"/>
              <w:rPr>
                <w:rFonts w:ascii="宋体" w:hAnsi="宋体" w:cs="宋体"/>
                <w:szCs w:val="21"/>
                <w:highlight w:val="none"/>
              </w:rPr>
            </w:pPr>
          </w:p>
        </w:tc>
        <w:tc>
          <w:tcPr>
            <w:tcW w:w="595" w:type="dxa"/>
            <w:vAlign w:val="center"/>
          </w:tcPr>
          <w:p>
            <w:pPr>
              <w:spacing w:line="360" w:lineRule="auto"/>
              <w:rPr>
                <w:rFonts w:ascii="宋体" w:hAnsi="宋体" w:cs="宋体"/>
                <w:szCs w:val="21"/>
                <w:highlight w:val="none"/>
              </w:rPr>
            </w:pPr>
          </w:p>
        </w:tc>
        <w:tc>
          <w:tcPr>
            <w:tcW w:w="564" w:type="dxa"/>
            <w:vAlign w:val="center"/>
          </w:tcPr>
          <w:p>
            <w:pPr>
              <w:spacing w:line="360" w:lineRule="auto"/>
              <w:rPr>
                <w:rFonts w:ascii="宋体" w:hAnsi="宋体" w:cs="宋体"/>
                <w:szCs w:val="21"/>
                <w:highlight w:val="none"/>
              </w:rPr>
            </w:pPr>
          </w:p>
        </w:tc>
        <w:tc>
          <w:tcPr>
            <w:tcW w:w="941" w:type="dxa"/>
            <w:vAlign w:val="center"/>
          </w:tcPr>
          <w:p>
            <w:pPr>
              <w:spacing w:line="360" w:lineRule="auto"/>
              <w:rPr>
                <w:rFonts w:ascii="宋体" w:hAnsi="宋体" w:cs="宋体"/>
                <w:szCs w:val="21"/>
                <w:highlight w:val="none"/>
              </w:rPr>
            </w:pPr>
          </w:p>
        </w:tc>
        <w:tc>
          <w:tcPr>
            <w:tcW w:w="1163" w:type="dxa"/>
            <w:vAlign w:val="center"/>
          </w:tcPr>
          <w:p>
            <w:pPr>
              <w:spacing w:line="360" w:lineRule="auto"/>
              <w:rPr>
                <w:rFonts w:ascii="宋体" w:hAnsi="宋体" w:cs="宋体"/>
                <w:szCs w:val="21"/>
                <w:highlight w:val="none"/>
              </w:rPr>
            </w:pPr>
          </w:p>
        </w:tc>
        <w:tc>
          <w:tcPr>
            <w:tcW w:w="1317" w:type="dxa"/>
            <w:vAlign w:val="center"/>
          </w:tcPr>
          <w:p>
            <w:pPr>
              <w:spacing w:line="360" w:lineRule="auto"/>
              <w:rPr>
                <w:rFonts w:ascii="宋体" w:hAnsi="宋体" w:cs="宋体"/>
                <w:szCs w:val="21"/>
                <w:highlight w:val="none"/>
              </w:rPr>
            </w:pPr>
          </w:p>
        </w:tc>
        <w:tc>
          <w:tcPr>
            <w:tcW w:w="1232" w:type="dxa"/>
            <w:tcBorders>
              <w:right w:val="single" w:color="auto" w:sz="12" w:space="0"/>
            </w:tcBorders>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8904" w:type="dxa"/>
            <w:gridSpan w:val="8"/>
            <w:tcBorders>
              <w:left w:val="single" w:color="auto" w:sz="12" w:space="0"/>
              <w:bottom w:val="single" w:color="auto" w:sz="12" w:space="0"/>
              <w:right w:val="single" w:color="auto" w:sz="12" w:space="0"/>
            </w:tcBorders>
            <w:vAlign w:val="center"/>
          </w:tcPr>
          <w:p>
            <w:pPr>
              <w:spacing w:line="480" w:lineRule="exact"/>
              <w:ind w:firstLine="420" w:firstLineChars="200"/>
              <w:rPr>
                <w:rFonts w:ascii="宋体" w:hAnsi="宋体" w:cs="宋体"/>
                <w:szCs w:val="21"/>
                <w:highlight w:val="none"/>
              </w:rPr>
            </w:pPr>
            <w:r>
              <w:rPr>
                <w:rFonts w:hint="eastAsia" w:ascii="宋体" w:hAnsi="宋体" w:cs="宋体"/>
                <w:szCs w:val="21"/>
                <w:highlight w:val="none"/>
              </w:rPr>
              <w:t>说明：</w:t>
            </w:r>
          </w:p>
        </w:tc>
      </w:tr>
    </w:tbl>
    <w:p>
      <w:pPr>
        <w:snapToGrid w:val="0"/>
        <w:spacing w:line="440" w:lineRule="exact"/>
        <w:rPr>
          <w:rFonts w:ascii="宋体" w:hAnsi="宋体" w:cs="宋体"/>
          <w:szCs w:val="21"/>
          <w:highlight w:val="none"/>
          <w:u w:val="single"/>
        </w:rPr>
      </w:pPr>
      <w:r>
        <w:rPr>
          <w:rFonts w:hint="eastAsia" w:ascii="宋体" w:hAnsi="宋体" w:cs="宋体"/>
          <w:szCs w:val="21"/>
          <w:highlight w:val="none"/>
        </w:rPr>
        <w:t>授权代表签名：</w:t>
      </w:r>
    </w:p>
    <w:p>
      <w:pPr>
        <w:pStyle w:val="3"/>
        <w:adjustRightInd w:val="0"/>
        <w:snapToGrid w:val="0"/>
        <w:spacing w:after="0" w:line="440" w:lineRule="exact"/>
        <w:rPr>
          <w:rFonts w:ascii="宋体" w:hAnsi="宋体" w:cs="宋体"/>
          <w:szCs w:val="21"/>
          <w:highlight w:val="none"/>
        </w:rPr>
      </w:pPr>
      <w:r>
        <w:rPr>
          <w:rFonts w:hint="eastAsia" w:ascii="宋体" w:hAnsi="宋体" w:cs="宋体"/>
          <w:szCs w:val="21"/>
          <w:highlight w:val="none"/>
        </w:rPr>
        <w:t>投标人盖章：</w:t>
      </w:r>
    </w:p>
    <w:p>
      <w:pPr>
        <w:adjustRightInd w:val="0"/>
        <w:snapToGrid w:val="0"/>
        <w:spacing w:line="440" w:lineRule="exact"/>
        <w:rPr>
          <w:rFonts w:ascii="宋体" w:hAnsi="宋体" w:cs="宋体"/>
          <w:bCs/>
          <w:szCs w:val="21"/>
          <w:highlight w:val="none"/>
        </w:rPr>
      </w:pPr>
      <w:r>
        <w:rPr>
          <w:rFonts w:hint="eastAsia" w:ascii="宋体" w:hAnsi="宋体" w:cs="宋体"/>
          <w:bCs/>
          <w:szCs w:val="21"/>
          <w:highlight w:val="none"/>
        </w:rPr>
        <w:t>年月日</w:t>
      </w:r>
    </w:p>
    <w:p>
      <w:pPr>
        <w:adjustRightInd w:val="0"/>
        <w:snapToGrid w:val="0"/>
        <w:spacing w:line="440" w:lineRule="exact"/>
        <w:rPr>
          <w:rFonts w:ascii="宋体" w:hAnsi="宋体" w:cs="宋体"/>
          <w:bCs/>
          <w:szCs w:val="21"/>
          <w:highlight w:val="none"/>
        </w:rPr>
      </w:pPr>
    </w:p>
    <w:p>
      <w:pPr>
        <w:snapToGrid w:val="0"/>
        <w:spacing w:line="440" w:lineRule="exact"/>
        <w:rPr>
          <w:rFonts w:ascii="宋体" w:hAnsi="宋体" w:cs="宋体"/>
          <w:szCs w:val="21"/>
          <w:highlight w:val="none"/>
        </w:rPr>
      </w:pPr>
      <w:r>
        <w:rPr>
          <w:rFonts w:hint="eastAsia" w:ascii="宋体" w:hAnsi="宋体" w:cs="宋体"/>
          <w:szCs w:val="21"/>
          <w:highlight w:val="none"/>
        </w:rPr>
        <w:t>注：1、按评分标准细则提供。</w:t>
      </w:r>
    </w:p>
    <w:p>
      <w:pPr>
        <w:ind w:firstLine="482" w:firstLineChars="200"/>
        <w:rPr>
          <w:rFonts w:ascii="宋体" w:hAnsi="宋体" w:cs="宋体"/>
          <w:b/>
          <w:sz w:val="24"/>
          <w:highlight w:val="none"/>
          <w:shd w:val="clear" w:color="auto" w:fill="FFFF00"/>
        </w:rPr>
      </w:pPr>
    </w:p>
    <w:p>
      <w:pPr>
        <w:ind w:firstLine="482" w:firstLineChars="200"/>
        <w:rPr>
          <w:rFonts w:ascii="宋体" w:hAnsi="宋体" w:cs="宋体"/>
          <w:b/>
          <w:sz w:val="24"/>
          <w:highlight w:val="none"/>
          <w:shd w:val="clear" w:color="auto" w:fill="FFFF00"/>
        </w:rPr>
      </w:pPr>
    </w:p>
    <w:p>
      <w:pPr>
        <w:ind w:firstLine="482" w:firstLineChars="200"/>
        <w:rPr>
          <w:rFonts w:ascii="宋体" w:hAnsi="宋体" w:cs="宋体"/>
          <w:b/>
          <w:sz w:val="24"/>
          <w:highlight w:val="none"/>
          <w:shd w:val="clear" w:color="auto" w:fill="FFFF00"/>
        </w:rPr>
      </w:pPr>
    </w:p>
    <w:p>
      <w:pPr>
        <w:ind w:firstLine="482" w:firstLineChars="200"/>
        <w:rPr>
          <w:rFonts w:ascii="宋体" w:hAnsi="宋体" w:cs="宋体"/>
          <w:b/>
          <w:sz w:val="24"/>
          <w:highlight w:val="none"/>
          <w:shd w:val="clear" w:color="auto" w:fill="FFFF00"/>
        </w:rPr>
      </w:pPr>
    </w:p>
    <w:p>
      <w:pPr>
        <w:ind w:firstLine="482" w:firstLineChars="200"/>
        <w:rPr>
          <w:rFonts w:ascii="宋体" w:hAnsi="宋体" w:cs="宋体"/>
          <w:b/>
          <w:sz w:val="24"/>
          <w:highlight w:val="none"/>
          <w:shd w:val="clear" w:color="auto" w:fill="FFFF00"/>
        </w:rPr>
      </w:pPr>
    </w:p>
    <w:p>
      <w:pPr>
        <w:adjustRightInd w:val="0"/>
        <w:snapToGrid w:val="0"/>
        <w:jc w:val="left"/>
        <w:rPr>
          <w:rFonts w:ascii="宋体" w:hAnsi="宋体" w:cs="宋体"/>
          <w:sz w:val="24"/>
          <w:highlight w:val="none"/>
        </w:rPr>
      </w:pPr>
      <w:r>
        <w:rPr>
          <w:rFonts w:hint="eastAsia" w:ascii="宋体" w:hAnsi="宋体" w:cs="宋体"/>
          <w:sz w:val="24"/>
          <w:highlight w:val="none"/>
        </w:rPr>
        <w:t>10、项目负责人一览表</w:t>
      </w:r>
    </w:p>
    <w:p>
      <w:pPr>
        <w:adjustRightInd w:val="0"/>
        <w:snapToGrid w:val="0"/>
        <w:spacing w:line="440" w:lineRule="exact"/>
        <w:jc w:val="center"/>
        <w:rPr>
          <w:rFonts w:ascii="宋体" w:hAnsi="宋体" w:cs="宋体"/>
          <w:b/>
          <w:sz w:val="28"/>
          <w:szCs w:val="28"/>
          <w:highlight w:val="none"/>
        </w:rPr>
      </w:pPr>
      <w:r>
        <w:rPr>
          <w:rFonts w:hint="eastAsia" w:ascii="宋体" w:hAnsi="宋体" w:cs="宋体"/>
          <w:b/>
          <w:sz w:val="28"/>
          <w:szCs w:val="28"/>
          <w:highlight w:val="none"/>
        </w:rPr>
        <w:t>项目负责人一览表</w:t>
      </w:r>
    </w:p>
    <w:p>
      <w:pPr>
        <w:spacing w:line="360" w:lineRule="auto"/>
        <w:ind w:right="658"/>
        <w:rPr>
          <w:rFonts w:ascii="宋体" w:hAnsi="宋体" w:cs="宋体"/>
          <w:sz w:val="24"/>
          <w:highlight w:val="none"/>
        </w:rPr>
      </w:pPr>
    </w:p>
    <w:p>
      <w:pPr>
        <w:spacing w:line="360" w:lineRule="auto"/>
        <w:ind w:right="658"/>
        <w:rPr>
          <w:rFonts w:ascii="宋体" w:hAnsi="宋体" w:cs="宋体"/>
          <w:sz w:val="24"/>
          <w:highlight w:val="none"/>
          <w:u w:val="single"/>
        </w:rPr>
      </w:pPr>
      <w:r>
        <w:rPr>
          <w:rFonts w:hint="eastAsia" w:ascii="宋体" w:hAnsi="宋体" w:cs="宋体"/>
          <w:sz w:val="24"/>
          <w:highlight w:val="none"/>
        </w:rPr>
        <w:t>项目名称：                项目编号：</w:t>
      </w:r>
    </w:p>
    <w:tbl>
      <w:tblPr>
        <w:tblStyle w:val="32"/>
        <w:tblW w:w="91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800"/>
        <w:gridCol w:w="1457"/>
        <w:gridCol w:w="349"/>
        <w:gridCol w:w="200"/>
        <w:gridCol w:w="903"/>
        <w:gridCol w:w="356"/>
        <w:gridCol w:w="1209"/>
        <w:gridCol w:w="897"/>
        <w:gridCol w:w="264"/>
        <w:gridCol w:w="451"/>
        <w:gridCol w:w="1483"/>
        <w:gridCol w:w="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0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姓名</w:t>
            </w:r>
          </w:p>
        </w:tc>
        <w:tc>
          <w:tcPr>
            <w:tcW w:w="280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9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性别</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年龄</w:t>
            </w:r>
          </w:p>
        </w:tc>
        <w:tc>
          <w:tcPr>
            <w:tcW w:w="19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职务</w:t>
            </w:r>
          </w:p>
        </w:tc>
        <w:tc>
          <w:tcPr>
            <w:tcW w:w="280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9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职称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学历</w:t>
            </w:r>
          </w:p>
        </w:tc>
        <w:tc>
          <w:tcPr>
            <w:tcW w:w="19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0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参加工作时间</w:t>
            </w:r>
          </w:p>
        </w:tc>
        <w:tc>
          <w:tcPr>
            <w:tcW w:w="18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8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担任项目负责人年限</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468" w:hRule="atLeast"/>
          <w:jc w:val="center"/>
        </w:trPr>
        <w:tc>
          <w:tcPr>
            <w:tcW w:w="30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 xml:space="preserve"> 资格证书名称、编号</w:t>
            </w:r>
          </w:p>
        </w:tc>
        <w:tc>
          <w:tcPr>
            <w:tcW w:w="611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20" w:hRule="atLeast"/>
          <w:jc w:val="center"/>
        </w:trPr>
        <w:tc>
          <w:tcPr>
            <w:tcW w:w="91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已完项目情况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00"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服务单位</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项目名称</w:t>
            </w: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服务规模</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服务日期</w:t>
            </w: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服务质量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16"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16"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16"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16"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16"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16"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14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p>
        </w:tc>
      </w:tr>
    </w:tbl>
    <w:p>
      <w:pPr>
        <w:snapToGrid w:val="0"/>
        <w:spacing w:line="440" w:lineRule="exact"/>
        <w:rPr>
          <w:rFonts w:ascii="宋体" w:hAnsi="宋体" w:cs="宋体"/>
          <w:szCs w:val="21"/>
          <w:highlight w:val="none"/>
        </w:rPr>
      </w:pPr>
    </w:p>
    <w:p>
      <w:pPr>
        <w:snapToGrid w:val="0"/>
        <w:spacing w:line="440" w:lineRule="exact"/>
        <w:rPr>
          <w:rFonts w:ascii="宋体" w:hAnsi="宋体" w:cs="宋体"/>
          <w:szCs w:val="21"/>
          <w:highlight w:val="none"/>
          <w:u w:val="single"/>
        </w:rPr>
      </w:pPr>
      <w:r>
        <w:rPr>
          <w:rFonts w:hint="eastAsia" w:ascii="宋体" w:hAnsi="宋体" w:cs="宋体"/>
          <w:szCs w:val="21"/>
          <w:highlight w:val="none"/>
        </w:rPr>
        <w:t>授权代表签名：</w:t>
      </w:r>
    </w:p>
    <w:p>
      <w:pPr>
        <w:pStyle w:val="3"/>
        <w:adjustRightInd w:val="0"/>
        <w:snapToGrid w:val="0"/>
        <w:spacing w:after="0" w:line="440" w:lineRule="exact"/>
        <w:rPr>
          <w:rFonts w:ascii="宋体" w:hAnsi="宋体" w:cs="宋体"/>
          <w:szCs w:val="21"/>
          <w:highlight w:val="none"/>
        </w:rPr>
      </w:pPr>
      <w:r>
        <w:rPr>
          <w:rFonts w:hint="eastAsia" w:ascii="宋体" w:hAnsi="宋体" w:cs="宋体"/>
          <w:szCs w:val="21"/>
          <w:highlight w:val="none"/>
        </w:rPr>
        <w:t>投标人盖章：</w:t>
      </w:r>
    </w:p>
    <w:p>
      <w:pPr>
        <w:adjustRightInd w:val="0"/>
        <w:snapToGrid w:val="0"/>
        <w:spacing w:line="440" w:lineRule="exact"/>
        <w:rPr>
          <w:rFonts w:ascii="宋体" w:hAnsi="宋体" w:cs="宋体"/>
          <w:bCs/>
          <w:szCs w:val="21"/>
          <w:highlight w:val="none"/>
        </w:rPr>
      </w:pPr>
      <w:r>
        <w:rPr>
          <w:rFonts w:hint="eastAsia" w:ascii="宋体" w:hAnsi="宋体" w:cs="宋体"/>
          <w:bCs/>
          <w:szCs w:val="21"/>
          <w:highlight w:val="none"/>
        </w:rPr>
        <w:t>年月日</w:t>
      </w:r>
    </w:p>
    <w:p>
      <w:pPr>
        <w:adjustRightInd w:val="0"/>
        <w:snapToGrid w:val="0"/>
        <w:spacing w:line="440" w:lineRule="exact"/>
        <w:rPr>
          <w:rFonts w:ascii="宋体" w:hAnsi="宋体" w:cs="宋体"/>
          <w:bCs/>
          <w:szCs w:val="21"/>
          <w:highlight w:val="none"/>
        </w:rPr>
      </w:pPr>
    </w:p>
    <w:p>
      <w:pPr>
        <w:spacing w:line="360" w:lineRule="auto"/>
        <w:ind w:right="658"/>
        <w:rPr>
          <w:rFonts w:ascii="宋体" w:hAnsi="宋体" w:cs="宋体"/>
          <w:sz w:val="24"/>
          <w:highlight w:val="none"/>
        </w:rPr>
      </w:pPr>
      <w:r>
        <w:rPr>
          <w:rFonts w:hint="eastAsia" w:ascii="宋体" w:hAnsi="宋体" w:cs="宋体"/>
          <w:sz w:val="24"/>
          <w:highlight w:val="none"/>
        </w:rPr>
        <w:t>注：按评分要求提供证明材料。</w:t>
      </w:r>
    </w:p>
    <w:p>
      <w:pPr>
        <w:pStyle w:val="43"/>
        <w:rPr>
          <w:rFonts w:ascii="宋体" w:hAnsi="宋体" w:cs="宋体"/>
          <w:sz w:val="24"/>
          <w:highlight w:val="none"/>
        </w:rPr>
      </w:pPr>
    </w:p>
    <w:p>
      <w:pPr>
        <w:pStyle w:val="43"/>
        <w:rPr>
          <w:rFonts w:ascii="宋体" w:hAnsi="宋体" w:cs="宋体"/>
          <w:sz w:val="24"/>
          <w:highlight w:val="none"/>
        </w:rPr>
      </w:pPr>
    </w:p>
    <w:p>
      <w:pPr>
        <w:pStyle w:val="43"/>
        <w:rPr>
          <w:rFonts w:ascii="宋体" w:hAnsi="宋体" w:cs="宋体"/>
          <w:sz w:val="24"/>
          <w:highlight w:val="none"/>
        </w:rPr>
      </w:pPr>
    </w:p>
    <w:p>
      <w:pPr>
        <w:pStyle w:val="43"/>
        <w:rPr>
          <w:rFonts w:ascii="宋体" w:hAnsi="宋体" w:cs="宋体"/>
          <w:sz w:val="24"/>
          <w:highlight w:val="none"/>
        </w:rPr>
      </w:pPr>
    </w:p>
    <w:p>
      <w:pPr>
        <w:pStyle w:val="43"/>
        <w:rPr>
          <w:rFonts w:ascii="宋体" w:hAnsi="宋体" w:cs="宋体"/>
          <w:sz w:val="24"/>
          <w:highlight w:val="none"/>
        </w:rPr>
      </w:pPr>
    </w:p>
    <w:p>
      <w:pPr>
        <w:pStyle w:val="43"/>
        <w:rPr>
          <w:rFonts w:ascii="宋体" w:hAnsi="宋体" w:cs="宋体"/>
          <w:sz w:val="24"/>
          <w:highlight w:val="none"/>
        </w:rPr>
      </w:pPr>
    </w:p>
    <w:p>
      <w:pPr>
        <w:pStyle w:val="43"/>
        <w:rPr>
          <w:rFonts w:ascii="宋体" w:hAnsi="宋体" w:cs="宋体"/>
          <w:sz w:val="24"/>
          <w:highlight w:val="none"/>
        </w:rPr>
      </w:pPr>
    </w:p>
    <w:p>
      <w:pPr>
        <w:adjustRightInd w:val="0"/>
        <w:snapToGrid w:val="0"/>
        <w:jc w:val="left"/>
        <w:rPr>
          <w:rFonts w:ascii="宋体" w:hAnsi="宋体" w:cs="宋体"/>
          <w:sz w:val="24"/>
          <w:highlight w:val="none"/>
        </w:rPr>
      </w:pPr>
      <w:r>
        <w:rPr>
          <w:rFonts w:hint="eastAsia" w:ascii="宋体" w:hAnsi="宋体" w:cs="宋体"/>
          <w:sz w:val="24"/>
          <w:highlight w:val="none"/>
        </w:rPr>
        <w:t>11、距采购人最近的服务网点情况表格式：</w:t>
      </w:r>
    </w:p>
    <w:p>
      <w:pPr>
        <w:adjustRightInd w:val="0"/>
        <w:snapToGrid w:val="0"/>
        <w:jc w:val="left"/>
        <w:rPr>
          <w:rFonts w:ascii="宋体" w:hAnsi="宋体" w:cs="宋体"/>
          <w:sz w:val="24"/>
          <w:highlight w:val="none"/>
        </w:rPr>
      </w:pPr>
    </w:p>
    <w:p>
      <w:pPr>
        <w:adjustRightInd w:val="0"/>
        <w:snapToGrid w:val="0"/>
        <w:jc w:val="center"/>
        <w:rPr>
          <w:rFonts w:ascii="宋体" w:hAnsi="宋体" w:cs="宋体"/>
          <w:b/>
          <w:sz w:val="44"/>
          <w:szCs w:val="44"/>
          <w:highlight w:val="none"/>
        </w:rPr>
      </w:pPr>
      <w:r>
        <w:rPr>
          <w:rFonts w:hint="eastAsia" w:ascii="宋体" w:hAnsi="宋体" w:cs="宋体"/>
          <w:b/>
          <w:sz w:val="44"/>
          <w:szCs w:val="44"/>
          <w:highlight w:val="none"/>
        </w:rPr>
        <w:t>距采购人最近的服务网点情况表</w:t>
      </w:r>
    </w:p>
    <w:tbl>
      <w:tblPr>
        <w:tblStyle w:val="32"/>
        <w:tblW w:w="85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7"/>
        <w:gridCol w:w="1896"/>
        <w:gridCol w:w="223"/>
        <w:gridCol w:w="1682"/>
        <w:gridCol w:w="1038"/>
        <w:gridCol w:w="16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服务网点名称</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地址</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注册资本金</w:t>
            </w:r>
          </w:p>
        </w:tc>
        <w:tc>
          <w:tcPr>
            <w:tcW w:w="18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c>
          <w:tcPr>
            <w:tcW w:w="29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其中：投标人出资比例</w:t>
            </w: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员工总人数</w:t>
            </w:r>
          </w:p>
        </w:tc>
        <w:tc>
          <w:tcPr>
            <w:tcW w:w="18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c>
          <w:tcPr>
            <w:tcW w:w="29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其中：技术人员数</w:t>
            </w: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经营期限</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售后服务协议</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售后服务内容</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工作业绩</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服务承诺</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业务咨询电话</w:t>
            </w:r>
          </w:p>
        </w:tc>
        <w:tc>
          <w:tcPr>
            <w:tcW w:w="2119"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宋体" w:hAnsi="宋体" w:cs="宋体"/>
                <w:sz w:val="24"/>
                <w:highlight w:val="none"/>
              </w:rPr>
            </w:pPr>
          </w:p>
        </w:tc>
        <w:tc>
          <w:tcPr>
            <w:tcW w:w="1682"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传真</w:t>
            </w:r>
          </w:p>
        </w:tc>
        <w:tc>
          <w:tcPr>
            <w:tcW w:w="2715"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负责人</w:t>
            </w:r>
          </w:p>
        </w:tc>
        <w:tc>
          <w:tcPr>
            <w:tcW w:w="2119"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宋体" w:hAnsi="宋体" w:cs="宋体"/>
                <w:sz w:val="24"/>
                <w:highlight w:val="none"/>
              </w:rPr>
            </w:pPr>
          </w:p>
        </w:tc>
        <w:tc>
          <w:tcPr>
            <w:tcW w:w="1682"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联系电话</w:t>
            </w:r>
          </w:p>
        </w:tc>
        <w:tc>
          <w:tcPr>
            <w:tcW w:w="2715"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7" w:hRule="atLeast"/>
        </w:trPr>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sz w:val="24"/>
                <w:highlight w:val="none"/>
              </w:rPr>
              <w:t>投标人情况介绍</w:t>
            </w:r>
          </w:p>
        </w:tc>
        <w:tc>
          <w:tcPr>
            <w:tcW w:w="65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highlight w:val="none"/>
              </w:rPr>
            </w:pPr>
          </w:p>
        </w:tc>
      </w:tr>
    </w:tbl>
    <w:p>
      <w:pPr>
        <w:pStyle w:val="9"/>
        <w:adjustRightInd w:val="0"/>
        <w:snapToGrid w:val="0"/>
        <w:rPr>
          <w:rFonts w:ascii="宋体" w:hAnsi="宋体" w:eastAsia="宋体" w:cs="宋体"/>
          <w:sz w:val="24"/>
          <w:highlight w:val="none"/>
        </w:rPr>
      </w:pPr>
    </w:p>
    <w:p>
      <w:pPr>
        <w:snapToGrid w:val="0"/>
        <w:spacing w:before="50" w:after="50"/>
        <w:rPr>
          <w:rFonts w:ascii="宋体" w:hAnsi="宋体" w:cs="宋体"/>
          <w:sz w:val="24"/>
          <w:highlight w:val="none"/>
        </w:rPr>
      </w:pPr>
      <w:r>
        <w:rPr>
          <w:rFonts w:hint="eastAsia" w:ascii="宋体" w:hAnsi="宋体" w:cs="宋体"/>
          <w:sz w:val="24"/>
          <w:highlight w:val="none"/>
        </w:rPr>
        <w:t>授权代表签名：</w:t>
      </w:r>
    </w:p>
    <w:p>
      <w:pPr>
        <w:snapToGrid w:val="0"/>
        <w:spacing w:before="50" w:after="50"/>
        <w:rPr>
          <w:rFonts w:ascii="宋体" w:hAnsi="宋体" w:cs="宋体"/>
          <w:sz w:val="24"/>
          <w:highlight w:val="none"/>
          <w:u w:val="single"/>
        </w:rPr>
      </w:pPr>
      <w:r>
        <w:rPr>
          <w:rFonts w:hint="eastAsia" w:ascii="宋体" w:hAnsi="宋体" w:cs="宋体"/>
          <w:sz w:val="24"/>
          <w:highlight w:val="none"/>
        </w:rPr>
        <w:t>投标人盖章：</w:t>
      </w:r>
    </w:p>
    <w:p>
      <w:pPr>
        <w:pStyle w:val="3"/>
        <w:snapToGrid w:val="0"/>
        <w:rPr>
          <w:rFonts w:ascii="宋体" w:hAnsi="宋体" w:cs="宋体"/>
          <w:sz w:val="24"/>
          <w:highlight w:val="none"/>
        </w:rPr>
      </w:pPr>
      <w:r>
        <w:rPr>
          <w:rFonts w:hint="eastAsia" w:ascii="宋体" w:hAnsi="宋体" w:cs="宋体"/>
          <w:sz w:val="24"/>
          <w:highlight w:val="none"/>
        </w:rPr>
        <w:t>　</w:t>
      </w:r>
    </w:p>
    <w:p>
      <w:pPr>
        <w:pStyle w:val="3"/>
        <w:snapToGrid w:val="0"/>
        <w:jc w:val="right"/>
        <w:rPr>
          <w:rFonts w:ascii="宋体" w:hAnsi="宋体" w:cs="宋体"/>
          <w:sz w:val="24"/>
          <w:highlight w:val="none"/>
        </w:rPr>
      </w:pPr>
      <w:r>
        <w:rPr>
          <w:rFonts w:hint="eastAsia" w:ascii="宋体" w:hAnsi="宋体" w:cs="宋体"/>
          <w:sz w:val="24"/>
          <w:highlight w:val="none"/>
        </w:rPr>
        <w:t>年月　日</w:t>
      </w:r>
    </w:p>
    <w:p>
      <w:pPr>
        <w:pStyle w:val="43"/>
        <w:rPr>
          <w:rFonts w:ascii="宋体" w:hAnsi="宋体" w:cs="宋体"/>
          <w:sz w:val="24"/>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pStyle w:val="43"/>
        <w:rPr>
          <w:rFonts w:ascii="宋体" w:hAnsi="宋体" w:cs="宋体"/>
          <w:szCs w:val="21"/>
          <w:highlight w:val="none"/>
        </w:rPr>
      </w:pPr>
    </w:p>
    <w:p>
      <w:pPr>
        <w:pStyle w:val="43"/>
        <w:rPr>
          <w:rFonts w:ascii="宋体" w:hAnsi="宋体" w:cs="宋体"/>
          <w:szCs w:val="21"/>
          <w:highlight w:val="none"/>
        </w:rPr>
      </w:pPr>
    </w:p>
    <w:p>
      <w:pPr>
        <w:pStyle w:val="43"/>
        <w:rPr>
          <w:rFonts w:ascii="宋体" w:hAnsi="宋体" w:cs="宋体"/>
          <w:szCs w:val="21"/>
          <w:highlight w:val="none"/>
        </w:rPr>
      </w:pPr>
    </w:p>
    <w:p>
      <w:pPr>
        <w:pStyle w:val="43"/>
        <w:rPr>
          <w:rFonts w:ascii="宋体" w:hAnsi="宋体" w:cs="宋体"/>
          <w:szCs w:val="21"/>
          <w:highlight w:val="none"/>
        </w:rPr>
      </w:pPr>
    </w:p>
    <w:p>
      <w:pPr>
        <w:spacing w:line="360" w:lineRule="auto"/>
        <w:rPr>
          <w:rFonts w:ascii="宋体" w:hAnsi="宋体" w:cs="宋体"/>
          <w:szCs w:val="21"/>
          <w:highlight w:val="none"/>
        </w:rPr>
      </w:pPr>
    </w:p>
    <w:p>
      <w:pPr>
        <w:pStyle w:val="5"/>
        <w:jc w:val="center"/>
        <w:rPr>
          <w:rFonts w:ascii="宋体" w:hAnsi="宋体" w:eastAsia="宋体" w:cs="宋体"/>
          <w:sz w:val="28"/>
          <w:szCs w:val="28"/>
          <w:highlight w:val="none"/>
        </w:rPr>
      </w:pPr>
      <w:bookmarkStart w:id="286" w:name="_Toc13626"/>
      <w:bookmarkStart w:id="287" w:name="_Toc5232"/>
      <w:bookmarkStart w:id="288" w:name="_Toc15923"/>
      <w:bookmarkStart w:id="289" w:name="_Toc1394162290"/>
      <w:bookmarkStart w:id="290" w:name="_Toc18005"/>
      <w:bookmarkStart w:id="291" w:name="_Toc14504"/>
      <w:r>
        <w:rPr>
          <w:rFonts w:hint="eastAsia" w:ascii="宋体" w:hAnsi="宋体" w:eastAsia="宋体" w:cs="宋体"/>
          <w:sz w:val="28"/>
          <w:szCs w:val="28"/>
          <w:highlight w:val="none"/>
        </w:rPr>
        <w:t>三、报价文件格式</w:t>
      </w:r>
      <w:bookmarkEnd w:id="286"/>
      <w:bookmarkEnd w:id="287"/>
      <w:bookmarkEnd w:id="288"/>
      <w:bookmarkEnd w:id="289"/>
      <w:bookmarkEnd w:id="290"/>
      <w:bookmarkEnd w:id="291"/>
    </w:p>
    <w:p>
      <w:pPr>
        <w:adjustRightInd w:val="0"/>
        <w:snapToGrid w:val="0"/>
        <w:rPr>
          <w:rFonts w:ascii="宋体" w:hAnsi="宋体" w:cs="宋体"/>
          <w:bCs/>
          <w:sz w:val="24"/>
          <w:highlight w:val="none"/>
        </w:rPr>
      </w:pPr>
    </w:p>
    <w:p>
      <w:pPr>
        <w:adjustRightInd w:val="0"/>
        <w:snapToGrid w:val="0"/>
        <w:rPr>
          <w:rFonts w:ascii="宋体" w:hAnsi="宋体" w:cs="宋体"/>
          <w:sz w:val="24"/>
          <w:highlight w:val="none"/>
        </w:rPr>
      </w:pPr>
      <w:r>
        <w:rPr>
          <w:rFonts w:hint="eastAsia" w:ascii="宋体" w:hAnsi="宋体" w:cs="宋体"/>
          <w:bCs/>
          <w:sz w:val="24"/>
          <w:highlight w:val="none"/>
        </w:rPr>
        <w:t>1、</w:t>
      </w:r>
      <w:r>
        <w:rPr>
          <w:rFonts w:hint="eastAsia" w:ascii="宋体" w:hAnsi="宋体" w:cs="宋体"/>
          <w:sz w:val="24"/>
          <w:highlight w:val="none"/>
        </w:rPr>
        <w:t xml:space="preserve">报价文件封面格式： </w:t>
      </w:r>
    </w:p>
    <w:p>
      <w:pPr>
        <w:adjustRightInd w:val="0"/>
        <w:snapToGrid w:val="0"/>
        <w:rPr>
          <w:rFonts w:ascii="宋体" w:hAnsi="宋体" w:cs="宋体"/>
          <w:b/>
          <w:bCs/>
          <w:sz w:val="24"/>
          <w:highlight w:val="none"/>
        </w:rPr>
      </w:pPr>
    </w:p>
    <w:p>
      <w:pPr>
        <w:adjustRightInd w:val="0"/>
        <w:snapToGrid w:val="0"/>
        <w:jc w:val="center"/>
        <w:rPr>
          <w:rFonts w:ascii="宋体" w:hAnsi="宋体" w:cs="宋体"/>
          <w:bCs/>
          <w:sz w:val="24"/>
          <w:highlight w:val="none"/>
        </w:rPr>
      </w:pPr>
      <w:r>
        <w:rPr>
          <w:rFonts w:hint="eastAsia" w:ascii="宋体" w:hAnsi="宋体" w:cs="宋体"/>
          <w:bCs/>
          <w:sz w:val="24"/>
          <w:highlight w:val="none"/>
        </w:rPr>
        <w:t>×××（投标人名称）</w:t>
      </w:r>
    </w:p>
    <w:p>
      <w:pPr>
        <w:adjustRightInd w:val="0"/>
        <w:snapToGrid w:val="0"/>
        <w:jc w:val="center"/>
        <w:rPr>
          <w:rFonts w:ascii="宋体" w:hAnsi="宋体" w:cs="宋体"/>
          <w:b/>
          <w:bCs/>
          <w:sz w:val="44"/>
          <w:szCs w:val="44"/>
          <w:highlight w:val="none"/>
        </w:rPr>
      </w:pPr>
      <w:r>
        <w:rPr>
          <w:rFonts w:hint="eastAsia" w:ascii="宋体" w:hAnsi="宋体" w:cs="宋体"/>
          <w:b/>
          <w:bCs/>
          <w:sz w:val="44"/>
          <w:szCs w:val="44"/>
          <w:highlight w:val="none"/>
        </w:rPr>
        <w:t>报价文件</w:t>
      </w:r>
    </w:p>
    <w:p>
      <w:pPr>
        <w:adjustRightInd w:val="0"/>
        <w:snapToGrid w:val="0"/>
        <w:ind w:left="2245" w:leftChars="513" w:hanging="1168" w:hangingChars="487"/>
        <w:rPr>
          <w:rFonts w:ascii="宋体" w:hAnsi="宋体" w:cs="宋体"/>
          <w:bCs/>
          <w:sz w:val="24"/>
          <w:highlight w:val="none"/>
        </w:rPr>
      </w:pPr>
      <w:r>
        <w:rPr>
          <w:rFonts w:hint="eastAsia" w:ascii="宋体" w:hAnsi="宋体" w:cs="宋体"/>
          <w:bCs/>
          <w:sz w:val="24"/>
          <w:highlight w:val="none"/>
        </w:rPr>
        <w:t xml:space="preserve">项目名称： </w:t>
      </w:r>
    </w:p>
    <w:p>
      <w:pPr>
        <w:adjustRightInd w:val="0"/>
        <w:snapToGrid w:val="0"/>
        <w:ind w:firstLine="480" w:firstLineChars="200"/>
        <w:rPr>
          <w:rFonts w:ascii="宋体" w:hAnsi="宋体" w:cs="宋体"/>
          <w:bCs/>
          <w:sz w:val="24"/>
          <w:highlight w:val="none"/>
        </w:rPr>
      </w:pPr>
      <w:r>
        <w:rPr>
          <w:rFonts w:hint="eastAsia" w:ascii="宋体" w:hAnsi="宋体" w:cs="宋体"/>
          <w:bCs/>
          <w:sz w:val="24"/>
          <w:highlight w:val="none"/>
        </w:rPr>
        <w:t xml:space="preserve">     项目编号： </w:t>
      </w:r>
    </w:p>
    <w:p>
      <w:pPr>
        <w:adjustRightInd w:val="0"/>
        <w:snapToGrid w:val="0"/>
        <w:ind w:firstLine="1080" w:firstLineChars="450"/>
        <w:rPr>
          <w:rFonts w:ascii="宋体" w:hAnsi="宋体" w:cs="宋体"/>
          <w:sz w:val="24"/>
          <w:highlight w:val="none"/>
        </w:rPr>
      </w:pPr>
      <w:r>
        <w:rPr>
          <w:rFonts w:hint="eastAsia" w:ascii="宋体" w:hAnsi="宋体" w:cs="宋体"/>
          <w:sz w:val="24"/>
          <w:highlight w:val="none"/>
        </w:rPr>
        <w:t>投标人名称（盖章）：</w:t>
      </w:r>
    </w:p>
    <w:p>
      <w:pPr>
        <w:adjustRightInd w:val="0"/>
        <w:snapToGrid w:val="0"/>
        <w:ind w:firstLine="1080" w:firstLineChars="450"/>
        <w:rPr>
          <w:rFonts w:ascii="宋体" w:hAnsi="宋体" w:cs="宋体"/>
          <w:sz w:val="24"/>
          <w:highlight w:val="none"/>
        </w:rPr>
      </w:pPr>
      <w:r>
        <w:rPr>
          <w:rFonts w:hint="eastAsia" w:ascii="宋体" w:hAnsi="宋体" w:cs="宋体"/>
          <w:sz w:val="24"/>
          <w:highlight w:val="none"/>
        </w:rPr>
        <w:t>投标人地址：</w:t>
      </w:r>
    </w:p>
    <w:p>
      <w:pPr>
        <w:adjustRightInd w:val="0"/>
        <w:snapToGrid w:val="0"/>
        <w:ind w:firstLine="4080" w:firstLineChars="1700"/>
        <w:rPr>
          <w:rFonts w:ascii="宋体" w:hAnsi="宋体" w:cs="宋体"/>
          <w:sz w:val="24"/>
          <w:highlight w:val="none"/>
        </w:rPr>
      </w:pPr>
      <w:r>
        <w:rPr>
          <w:rFonts w:hint="eastAsia" w:ascii="宋体" w:hAnsi="宋体" w:cs="宋体"/>
          <w:sz w:val="24"/>
          <w:highlight w:val="none"/>
        </w:rPr>
        <w:t>授权代表签名或盖章：</w:t>
      </w:r>
    </w:p>
    <w:p>
      <w:pPr>
        <w:adjustRightInd w:val="0"/>
        <w:snapToGrid w:val="0"/>
        <w:jc w:val="right"/>
        <w:rPr>
          <w:rFonts w:ascii="宋体" w:hAnsi="宋体" w:cs="宋体"/>
          <w:sz w:val="24"/>
          <w:highlight w:val="none"/>
        </w:rPr>
      </w:pPr>
      <w:r>
        <w:rPr>
          <w:rFonts w:hint="eastAsia" w:ascii="宋体" w:hAnsi="宋体" w:cs="宋体"/>
          <w:sz w:val="24"/>
          <w:highlight w:val="none"/>
        </w:rPr>
        <w:t xml:space="preserve">                        年  月  日</w:t>
      </w:r>
    </w:p>
    <w:p>
      <w:pPr>
        <w:spacing w:line="540" w:lineRule="exact"/>
        <w:rPr>
          <w:rFonts w:ascii="宋体" w:hAnsi="宋体" w:cs="宋体"/>
          <w:sz w:val="32"/>
          <w:szCs w:val="32"/>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adjustRightInd w:val="0"/>
        <w:snapToGrid w:val="0"/>
        <w:rPr>
          <w:rFonts w:ascii="宋体" w:hAnsi="宋体" w:cs="宋体"/>
          <w:sz w:val="24"/>
          <w:highlight w:val="none"/>
        </w:rPr>
      </w:pPr>
    </w:p>
    <w:p>
      <w:pPr>
        <w:spacing w:line="520" w:lineRule="exact"/>
        <w:rPr>
          <w:rFonts w:ascii="宋体" w:hAnsi="宋体" w:cs="宋体"/>
          <w:szCs w:val="21"/>
          <w:highlight w:val="none"/>
          <w:u w:val="single"/>
        </w:rPr>
        <w:sectPr>
          <w:pgSz w:w="11906" w:h="16838"/>
          <w:pgMar w:top="1440" w:right="1797" w:bottom="1440" w:left="1622" w:header="851" w:footer="992" w:gutter="0"/>
          <w:pgBorders>
            <w:top w:val="none" w:sz="0" w:space="0"/>
            <w:left w:val="none" w:sz="0" w:space="0"/>
            <w:bottom w:val="none" w:sz="0" w:space="0"/>
            <w:right w:val="none" w:sz="0" w:space="0"/>
          </w:pgBorders>
          <w:cols w:space="720" w:num="1"/>
          <w:docGrid w:linePitch="313" w:charSpace="0"/>
        </w:sectPr>
      </w:pPr>
    </w:p>
    <w:p>
      <w:pPr>
        <w:spacing w:line="520" w:lineRule="exact"/>
        <w:rPr>
          <w:rFonts w:ascii="宋体" w:hAnsi="宋体" w:cs="宋体"/>
          <w:sz w:val="24"/>
          <w:highlight w:val="none"/>
        </w:rPr>
      </w:pPr>
      <w:r>
        <w:rPr>
          <w:rFonts w:hint="eastAsia" w:ascii="宋体" w:hAnsi="宋体" w:cs="宋体"/>
          <w:sz w:val="24"/>
          <w:highlight w:val="none"/>
        </w:rPr>
        <w:t>2、开标一览表格式</w:t>
      </w:r>
    </w:p>
    <w:p>
      <w:pPr>
        <w:spacing w:line="500" w:lineRule="exact"/>
        <w:jc w:val="center"/>
        <w:rPr>
          <w:rFonts w:ascii="宋体" w:hAnsi="宋体" w:cs="宋体"/>
          <w:spacing w:val="-20"/>
          <w:szCs w:val="21"/>
          <w:highlight w:val="none"/>
        </w:rPr>
      </w:pPr>
      <w:r>
        <w:rPr>
          <w:rFonts w:hint="eastAsia" w:ascii="宋体" w:hAnsi="宋体" w:cs="宋体"/>
          <w:bCs/>
          <w:sz w:val="44"/>
          <w:highlight w:val="none"/>
        </w:rPr>
        <w:t>开标一览表</w:t>
      </w:r>
    </w:p>
    <w:p>
      <w:pPr>
        <w:pStyle w:val="8"/>
        <w:tabs>
          <w:tab w:val="left" w:pos="4477"/>
        </w:tabs>
        <w:spacing w:line="400" w:lineRule="exact"/>
        <w:ind w:firstLine="0"/>
        <w:rPr>
          <w:rFonts w:ascii="宋体" w:hAnsi="宋体" w:cs="宋体"/>
          <w:szCs w:val="21"/>
          <w:highlight w:val="none"/>
        </w:rPr>
      </w:pPr>
      <w:r>
        <w:rPr>
          <w:rFonts w:hint="eastAsia" w:ascii="宋体" w:hAnsi="宋体" w:cs="宋体"/>
          <w:szCs w:val="21"/>
          <w:highlight w:val="none"/>
        </w:rPr>
        <w:t xml:space="preserve">项目名称：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项目编号：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金额单位：元      </w:t>
      </w:r>
    </w:p>
    <w:tbl>
      <w:tblPr>
        <w:tblStyle w:val="32"/>
        <w:tblW w:w="9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88"/>
        <w:gridCol w:w="2839"/>
        <w:gridCol w:w="1823"/>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805" w:type="dxa"/>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序号</w:t>
            </w:r>
          </w:p>
        </w:tc>
        <w:tc>
          <w:tcPr>
            <w:tcW w:w="4227" w:type="dxa"/>
            <w:gridSpan w:val="2"/>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名称</w:t>
            </w:r>
          </w:p>
        </w:tc>
        <w:tc>
          <w:tcPr>
            <w:tcW w:w="1823" w:type="dxa"/>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报价（</w:t>
            </w:r>
            <w:r>
              <w:rPr>
                <w:rFonts w:hint="eastAsia" w:ascii="宋体" w:hAnsi="宋体"/>
                <w:szCs w:val="21"/>
                <w:highlight w:val="none"/>
                <w:lang w:eastAsia="zh-CN"/>
              </w:rPr>
              <w:t>元</w:t>
            </w:r>
            <w:r>
              <w:rPr>
                <w:rFonts w:hint="eastAsia" w:ascii="宋体" w:hAnsi="宋体"/>
                <w:szCs w:val="21"/>
                <w:highlight w:val="none"/>
              </w:rPr>
              <w:t>）</w:t>
            </w:r>
          </w:p>
        </w:tc>
        <w:tc>
          <w:tcPr>
            <w:tcW w:w="2663" w:type="dxa"/>
            <w:noWrap w:val="0"/>
            <w:vAlign w:val="center"/>
          </w:tcPr>
          <w:p>
            <w:pPr>
              <w:spacing w:line="360" w:lineRule="exact"/>
              <w:jc w:val="center"/>
              <w:rPr>
                <w:rFonts w:hint="eastAsia" w:ascii="宋体" w:hAnsi="宋体" w:eastAsia="宋体"/>
                <w:szCs w:val="21"/>
                <w:highlight w:val="none"/>
                <w:lang w:eastAsia="zh-CN"/>
              </w:rPr>
            </w:pPr>
            <w:r>
              <w:rPr>
                <w:rFonts w:hint="eastAsia" w:ascii="宋体" w:hAnsi="宋体"/>
                <w:szCs w:val="21"/>
                <w:highlight w:val="none"/>
                <w:lang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805" w:type="dxa"/>
            <w:noWrap w:val="0"/>
            <w:vAlign w:val="center"/>
          </w:tcPr>
          <w:p>
            <w:pPr>
              <w:spacing w:line="500" w:lineRule="exact"/>
              <w:jc w:val="center"/>
              <w:rPr>
                <w:rFonts w:hint="eastAsia" w:ascii="宋体" w:hAnsi="宋体"/>
                <w:szCs w:val="21"/>
                <w:highlight w:val="none"/>
              </w:rPr>
            </w:pPr>
            <w:r>
              <w:rPr>
                <w:rFonts w:hint="eastAsia" w:ascii="宋体" w:hAnsi="宋体"/>
                <w:szCs w:val="21"/>
                <w:highlight w:val="none"/>
              </w:rPr>
              <w:t>1</w:t>
            </w:r>
          </w:p>
        </w:tc>
        <w:tc>
          <w:tcPr>
            <w:tcW w:w="4227" w:type="dxa"/>
            <w:gridSpan w:val="2"/>
            <w:noWrap w:val="0"/>
            <w:vAlign w:val="center"/>
          </w:tcPr>
          <w:p>
            <w:pPr>
              <w:autoSpaceDE w:val="0"/>
              <w:autoSpaceDN w:val="0"/>
              <w:adjustRightInd w:val="0"/>
              <w:spacing w:line="380" w:lineRule="exact"/>
              <w:jc w:val="center"/>
              <w:rPr>
                <w:rFonts w:hint="eastAsia" w:ascii="宋体" w:hAnsi="宋体" w:eastAsia="宋体"/>
                <w:kern w:val="0"/>
                <w:szCs w:val="21"/>
                <w:highlight w:val="none"/>
                <w:lang w:eastAsia="zh-CN"/>
              </w:rPr>
            </w:pPr>
          </w:p>
        </w:tc>
        <w:tc>
          <w:tcPr>
            <w:tcW w:w="1823" w:type="dxa"/>
            <w:noWrap w:val="0"/>
            <w:vAlign w:val="center"/>
          </w:tcPr>
          <w:p>
            <w:pPr>
              <w:spacing w:line="500" w:lineRule="exact"/>
              <w:jc w:val="center"/>
              <w:rPr>
                <w:rFonts w:hint="eastAsia" w:ascii="宋体" w:hAnsi="宋体"/>
                <w:szCs w:val="21"/>
                <w:highlight w:val="none"/>
              </w:rPr>
            </w:pPr>
          </w:p>
        </w:tc>
        <w:tc>
          <w:tcPr>
            <w:tcW w:w="2663" w:type="dxa"/>
            <w:noWrap w:val="0"/>
            <w:vAlign w:val="center"/>
          </w:tcPr>
          <w:p>
            <w:pPr>
              <w:spacing w:line="50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193" w:type="dxa"/>
            <w:gridSpan w:val="2"/>
            <w:vMerge w:val="restart"/>
            <w:noWrap w:val="0"/>
            <w:vAlign w:val="center"/>
          </w:tcPr>
          <w:p>
            <w:pPr>
              <w:spacing w:line="500" w:lineRule="exact"/>
              <w:jc w:val="center"/>
              <w:rPr>
                <w:rFonts w:hint="eastAsia" w:ascii="宋体" w:hAnsi="宋体"/>
                <w:szCs w:val="21"/>
                <w:highlight w:val="none"/>
              </w:rPr>
            </w:pPr>
            <w:r>
              <w:rPr>
                <w:rFonts w:hint="eastAsia" w:ascii="宋体" w:hAnsi="宋体"/>
                <w:szCs w:val="21"/>
                <w:highlight w:val="none"/>
                <w:lang w:eastAsia="zh-CN"/>
              </w:rPr>
              <w:t>投标报价</w:t>
            </w:r>
            <w:r>
              <w:rPr>
                <w:rFonts w:hint="eastAsia" w:ascii="宋体" w:hAnsi="宋体"/>
                <w:szCs w:val="21"/>
                <w:highlight w:val="none"/>
              </w:rPr>
              <w:t>（</w:t>
            </w:r>
            <w:r>
              <w:rPr>
                <w:rFonts w:hint="eastAsia" w:ascii="宋体" w:hAnsi="宋体"/>
                <w:szCs w:val="21"/>
                <w:highlight w:val="none"/>
                <w:lang w:eastAsia="zh-CN"/>
              </w:rPr>
              <w:t>元</w:t>
            </w:r>
            <w:r>
              <w:rPr>
                <w:rFonts w:hint="eastAsia" w:ascii="宋体" w:hAnsi="宋体"/>
                <w:szCs w:val="21"/>
                <w:highlight w:val="none"/>
              </w:rPr>
              <w:t>）</w:t>
            </w:r>
          </w:p>
        </w:tc>
        <w:tc>
          <w:tcPr>
            <w:tcW w:w="7325" w:type="dxa"/>
            <w:gridSpan w:val="3"/>
            <w:noWrap w:val="0"/>
            <w:vAlign w:val="center"/>
          </w:tcPr>
          <w:p>
            <w:pPr>
              <w:spacing w:line="500" w:lineRule="exact"/>
              <w:jc w:val="left"/>
              <w:rPr>
                <w:rFonts w:hint="eastAsia" w:ascii="宋体" w:hAnsi="宋体"/>
                <w:szCs w:val="21"/>
                <w:highlight w:val="none"/>
              </w:rPr>
            </w:pPr>
            <w:r>
              <w:rPr>
                <w:rFonts w:hint="eastAsia" w:ascii="宋体" w:hAnsi="宋体"/>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193" w:type="dxa"/>
            <w:gridSpan w:val="2"/>
            <w:vMerge w:val="continue"/>
            <w:noWrap w:val="0"/>
            <w:vAlign w:val="top"/>
          </w:tcPr>
          <w:p>
            <w:pPr>
              <w:spacing w:line="500" w:lineRule="exact"/>
              <w:jc w:val="left"/>
              <w:rPr>
                <w:rFonts w:hint="eastAsia" w:ascii="宋体" w:hAnsi="宋体"/>
                <w:szCs w:val="21"/>
                <w:highlight w:val="none"/>
              </w:rPr>
            </w:pPr>
          </w:p>
        </w:tc>
        <w:tc>
          <w:tcPr>
            <w:tcW w:w="7325" w:type="dxa"/>
            <w:gridSpan w:val="3"/>
            <w:noWrap w:val="0"/>
            <w:vAlign w:val="center"/>
          </w:tcPr>
          <w:p>
            <w:pPr>
              <w:spacing w:line="500" w:lineRule="exact"/>
              <w:jc w:val="left"/>
              <w:rPr>
                <w:rFonts w:hint="eastAsia" w:ascii="宋体" w:hAnsi="宋体" w:eastAsia="宋体"/>
                <w:szCs w:val="21"/>
                <w:highlight w:val="none"/>
                <w:lang w:eastAsia="zh-CN"/>
              </w:rPr>
            </w:pPr>
            <w:r>
              <w:rPr>
                <w:rFonts w:hint="eastAsia" w:ascii="宋体" w:hAnsi="宋体"/>
                <w:szCs w:val="21"/>
                <w:highlight w:val="none"/>
              </w:rPr>
              <w:t xml:space="preserve">小写：        </w:t>
            </w:r>
            <w:r>
              <w:rPr>
                <w:rFonts w:hint="eastAsia" w:ascii="宋体" w:hAnsi="宋体"/>
                <w:szCs w:val="21"/>
                <w:highlight w:val="none"/>
                <w:lang w:val="en-US" w:eastAsia="zh-CN"/>
              </w:rPr>
              <w:t xml:space="preserve"> </w:t>
            </w:r>
          </w:p>
        </w:tc>
      </w:tr>
    </w:tbl>
    <w:p>
      <w:pPr>
        <w:pStyle w:val="8"/>
        <w:tabs>
          <w:tab w:val="left" w:pos="4477"/>
        </w:tabs>
        <w:spacing w:line="400" w:lineRule="exact"/>
        <w:ind w:firstLine="0"/>
        <w:rPr>
          <w:rFonts w:ascii="宋体" w:hAnsi="宋体" w:cs="宋体"/>
          <w:szCs w:val="21"/>
          <w:highlight w:val="none"/>
        </w:rPr>
      </w:pPr>
    </w:p>
    <w:p>
      <w:pPr>
        <w:pStyle w:val="15"/>
        <w:widowControl/>
        <w:numPr>
          <w:ilvl w:val="0"/>
          <w:numId w:val="12"/>
        </w:numPr>
        <w:spacing w:beforeLines="0" w:afterLines="0" w:line="460" w:lineRule="atLeast"/>
        <w:jc w:val="left"/>
        <w:rPr>
          <w:rFonts w:hAnsi="宋体" w:cs="宋体"/>
          <w:b/>
          <w:sz w:val="21"/>
          <w:szCs w:val="21"/>
          <w:highlight w:val="none"/>
        </w:rPr>
      </w:pPr>
      <w:r>
        <w:rPr>
          <w:rFonts w:hint="eastAsia" w:hAnsi="宋体" w:cs="宋体"/>
          <w:b/>
          <w:sz w:val="21"/>
          <w:szCs w:val="21"/>
          <w:highlight w:val="none"/>
        </w:rPr>
        <w:t>说明：</w:t>
      </w:r>
    </w:p>
    <w:p>
      <w:pPr>
        <w:pStyle w:val="15"/>
        <w:spacing w:before="120" w:after="120" w:line="24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1、大写：如壹、贰、叁、肆、伍、陆、柒、捌、玖、拾、零。报价可以精确到小数点后二位。</w:t>
      </w:r>
    </w:p>
    <w:p>
      <w:pPr>
        <w:pStyle w:val="15"/>
        <w:spacing w:before="120" w:after="120" w:line="24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2、电子交易系统填报的最终报价即此表格的报价合计。投标人在电子交易系统提交的最终报价与此表不一致的，以此表报价为准。</w:t>
      </w:r>
    </w:p>
    <w:p>
      <w:pPr>
        <w:pStyle w:val="15"/>
        <w:spacing w:before="120" w:after="120" w:line="24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3、本表格的总价应与《</w:t>
      </w:r>
      <w:r>
        <w:rPr>
          <w:rFonts w:hint="eastAsia" w:ascii="宋体" w:hAnsi="宋体" w:eastAsia="宋体" w:cs="宋体"/>
          <w:b/>
          <w:sz w:val="21"/>
          <w:szCs w:val="21"/>
          <w:highlight w:val="none"/>
          <w:lang w:eastAsia="zh-CN"/>
        </w:rPr>
        <w:t>投标</w:t>
      </w:r>
      <w:r>
        <w:rPr>
          <w:rFonts w:hint="eastAsia" w:ascii="宋体" w:hAnsi="宋体" w:eastAsia="宋体" w:cs="宋体"/>
          <w:b/>
          <w:sz w:val="21"/>
          <w:szCs w:val="21"/>
          <w:highlight w:val="none"/>
        </w:rPr>
        <w:t>报价明细表》的总价相一致。</w:t>
      </w:r>
    </w:p>
    <w:p>
      <w:pPr>
        <w:pStyle w:val="15"/>
        <w:spacing w:before="120" w:after="120" w:line="240" w:lineRule="exact"/>
        <w:rPr>
          <w:rFonts w:hint="eastAsia" w:hAnsi="宋体" w:eastAsia="宋体" w:cs="宋体"/>
          <w:b/>
          <w:sz w:val="21"/>
          <w:szCs w:val="21"/>
          <w:highlight w:val="none"/>
          <w:lang w:val="en-US" w:eastAsia="zh-CN"/>
        </w:rPr>
      </w:pPr>
      <w:r>
        <w:rPr>
          <w:rFonts w:hint="eastAsia" w:hAnsi="宋体" w:cs="宋体"/>
          <w:b/>
          <w:sz w:val="21"/>
          <w:szCs w:val="21"/>
          <w:highlight w:val="none"/>
          <w:lang w:val="en-US" w:eastAsia="zh-CN"/>
        </w:rPr>
        <w:t>4、投标报价不得高于控制价，否则投标无效。</w:t>
      </w:r>
    </w:p>
    <w:p>
      <w:pPr>
        <w:widowControl/>
        <w:spacing w:line="460" w:lineRule="atLeast"/>
        <w:ind w:right="660" w:firstLine="5250" w:firstLineChars="2500"/>
        <w:rPr>
          <w:rFonts w:hint="eastAsia" w:ascii="宋体" w:hAnsi="宋体" w:cs="宋体"/>
          <w:szCs w:val="21"/>
          <w:highlight w:val="none"/>
        </w:rPr>
      </w:pPr>
    </w:p>
    <w:p>
      <w:pPr>
        <w:widowControl/>
        <w:spacing w:line="460" w:lineRule="atLeast"/>
        <w:ind w:right="660" w:firstLine="5250" w:firstLineChars="2500"/>
        <w:rPr>
          <w:rFonts w:ascii="宋体" w:hAnsi="宋体" w:cs="宋体"/>
          <w:szCs w:val="21"/>
          <w:highlight w:val="none"/>
        </w:rPr>
      </w:pPr>
      <w:r>
        <w:rPr>
          <w:rFonts w:hint="eastAsia" w:ascii="宋体" w:hAnsi="宋体" w:cs="宋体"/>
          <w:szCs w:val="21"/>
          <w:highlight w:val="none"/>
        </w:rPr>
        <w:t>投标人全称：（盖章）</w:t>
      </w:r>
    </w:p>
    <w:p>
      <w:pPr>
        <w:widowControl/>
        <w:spacing w:line="460" w:lineRule="atLeast"/>
        <w:ind w:right="440"/>
        <w:jc w:val="center"/>
        <w:rPr>
          <w:rFonts w:ascii="宋体" w:hAnsi="宋体" w:cs="宋体"/>
          <w:szCs w:val="21"/>
          <w:highlight w:val="none"/>
        </w:rPr>
      </w:pPr>
      <w:r>
        <w:rPr>
          <w:rFonts w:hint="eastAsia" w:ascii="宋体" w:hAnsi="宋体" w:cs="宋体"/>
          <w:szCs w:val="21"/>
          <w:highlight w:val="none"/>
        </w:rPr>
        <w:t xml:space="preserve">                                 授权代表：（签字）</w:t>
      </w:r>
    </w:p>
    <w:p>
      <w:pPr>
        <w:snapToGrid w:val="0"/>
        <w:spacing w:line="400" w:lineRule="exac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日期：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年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月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日</w:t>
      </w:r>
    </w:p>
    <w:bookmarkEnd w:id="269"/>
    <w:bookmarkEnd w:id="270"/>
    <w:p>
      <w:pPr>
        <w:spacing w:line="520" w:lineRule="exact"/>
        <w:rPr>
          <w:rFonts w:ascii="宋体" w:hAnsi="宋体" w:cs="宋体"/>
          <w:szCs w:val="21"/>
          <w:highlight w:val="none"/>
        </w:rPr>
      </w:pPr>
      <w:bookmarkStart w:id="292" w:name="_Toc2464"/>
      <w:bookmarkStart w:id="293" w:name="_Toc17729"/>
    </w:p>
    <w:p>
      <w:pPr>
        <w:spacing w:line="520" w:lineRule="exact"/>
        <w:rPr>
          <w:rFonts w:hint="eastAsia" w:ascii="宋体" w:hAnsi="宋体" w:cs="宋体"/>
          <w:sz w:val="24"/>
          <w:highlight w:val="none"/>
        </w:rPr>
      </w:pPr>
      <w:bookmarkStart w:id="294" w:name="_Toc27716"/>
      <w:bookmarkStart w:id="295" w:name="_Toc526960898"/>
      <w:bookmarkStart w:id="296" w:name="_Toc530041770"/>
      <w:bookmarkStart w:id="297" w:name="_Toc8807242"/>
      <w:bookmarkStart w:id="298" w:name="_Toc31956"/>
    </w:p>
    <w:p>
      <w:pPr>
        <w:spacing w:line="520" w:lineRule="exact"/>
        <w:rPr>
          <w:rFonts w:hint="eastAsia" w:ascii="宋体" w:hAnsi="宋体" w:cs="宋体"/>
          <w:sz w:val="24"/>
          <w:highlight w:val="none"/>
        </w:rPr>
      </w:pPr>
    </w:p>
    <w:p>
      <w:pPr>
        <w:spacing w:line="520" w:lineRule="exact"/>
        <w:rPr>
          <w:rFonts w:hint="eastAsia" w:ascii="宋体" w:hAnsi="宋体" w:cs="宋体"/>
          <w:sz w:val="24"/>
          <w:highlight w:val="none"/>
        </w:rPr>
      </w:pPr>
    </w:p>
    <w:p>
      <w:pPr>
        <w:spacing w:line="520" w:lineRule="exact"/>
        <w:rPr>
          <w:rFonts w:hint="eastAsia" w:ascii="宋体" w:hAnsi="宋体" w:cs="宋体"/>
          <w:sz w:val="24"/>
          <w:highlight w:val="none"/>
        </w:rPr>
      </w:pPr>
    </w:p>
    <w:p>
      <w:pPr>
        <w:spacing w:line="520" w:lineRule="exact"/>
        <w:rPr>
          <w:rFonts w:hint="eastAsia" w:ascii="宋体" w:hAnsi="宋体" w:cs="宋体"/>
          <w:sz w:val="24"/>
          <w:highlight w:val="none"/>
        </w:rPr>
      </w:pPr>
    </w:p>
    <w:p>
      <w:pPr>
        <w:spacing w:line="520" w:lineRule="exact"/>
        <w:rPr>
          <w:rFonts w:hint="eastAsia" w:ascii="宋体" w:hAnsi="宋体" w:cs="宋体"/>
          <w:sz w:val="24"/>
          <w:highlight w:val="none"/>
        </w:rPr>
      </w:pPr>
    </w:p>
    <w:p>
      <w:pPr>
        <w:spacing w:line="520" w:lineRule="exact"/>
        <w:rPr>
          <w:rFonts w:hint="eastAsia" w:ascii="宋体" w:hAnsi="宋体" w:cs="宋体"/>
          <w:sz w:val="24"/>
          <w:highlight w:val="none"/>
        </w:rPr>
      </w:pPr>
    </w:p>
    <w:p>
      <w:pPr>
        <w:spacing w:line="520" w:lineRule="exact"/>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eastAsia="zh-CN"/>
        </w:rPr>
        <w:t>投标</w:t>
      </w:r>
      <w:r>
        <w:rPr>
          <w:rFonts w:hint="eastAsia" w:ascii="宋体" w:hAnsi="宋体" w:cs="宋体"/>
          <w:sz w:val="24"/>
          <w:highlight w:val="none"/>
        </w:rPr>
        <w:t>报价明细表</w:t>
      </w:r>
    </w:p>
    <w:p>
      <w:pPr>
        <w:pStyle w:val="15"/>
        <w:spacing w:before="120" w:after="120"/>
        <w:jc w:val="center"/>
        <w:outlineLvl w:val="1"/>
        <w:rPr>
          <w:rFonts w:hAnsi="宋体" w:cs="宋体"/>
          <w:sz w:val="30"/>
          <w:szCs w:val="30"/>
          <w:highlight w:val="none"/>
        </w:rPr>
      </w:pPr>
      <w:bookmarkStart w:id="299" w:name="_Toc790416859"/>
      <w:bookmarkStart w:id="300" w:name="_Toc21964"/>
      <w:bookmarkStart w:id="301" w:name="_Toc18526"/>
      <w:r>
        <w:rPr>
          <w:rFonts w:hint="eastAsia" w:hAnsi="宋体" w:cs="宋体"/>
          <w:sz w:val="30"/>
          <w:szCs w:val="30"/>
          <w:highlight w:val="none"/>
          <w:lang w:eastAsia="zh-CN"/>
        </w:rPr>
        <w:t>投标</w:t>
      </w:r>
      <w:r>
        <w:rPr>
          <w:rFonts w:hint="eastAsia" w:hAnsi="宋体" w:cs="宋体"/>
          <w:sz w:val="30"/>
          <w:szCs w:val="30"/>
          <w:highlight w:val="none"/>
        </w:rPr>
        <w:t>报价明细表</w:t>
      </w:r>
      <w:bookmarkEnd w:id="294"/>
      <w:bookmarkEnd w:id="295"/>
      <w:bookmarkEnd w:id="296"/>
      <w:bookmarkEnd w:id="297"/>
      <w:bookmarkEnd w:id="298"/>
      <w:bookmarkEnd w:id="299"/>
      <w:bookmarkEnd w:id="300"/>
      <w:bookmarkEnd w:id="301"/>
    </w:p>
    <w:p>
      <w:pPr>
        <w:pStyle w:val="8"/>
        <w:spacing w:line="400" w:lineRule="exact"/>
        <w:ind w:firstLine="0"/>
        <w:rPr>
          <w:rFonts w:ascii="宋体" w:hAnsi="宋体" w:cs="宋体"/>
          <w:szCs w:val="21"/>
          <w:highlight w:val="none"/>
        </w:rPr>
      </w:pPr>
      <w:r>
        <w:rPr>
          <w:rFonts w:hint="eastAsia" w:ascii="宋体" w:hAnsi="宋体" w:cs="宋体"/>
          <w:szCs w:val="21"/>
          <w:highlight w:val="none"/>
          <w:lang w:eastAsia="zh-CN"/>
        </w:rPr>
        <w:t>标项：</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项目名称：                             项目编号：    </w:t>
      </w:r>
    </w:p>
    <w:tbl>
      <w:tblPr>
        <w:tblStyle w:val="32"/>
        <w:tblW w:w="9317" w:type="dxa"/>
        <w:tblInd w:w="0" w:type="dxa"/>
        <w:tblLayout w:type="fixed"/>
        <w:tblCellMar>
          <w:top w:w="0" w:type="dxa"/>
          <w:left w:w="108" w:type="dxa"/>
          <w:bottom w:w="0" w:type="dxa"/>
          <w:right w:w="108" w:type="dxa"/>
        </w:tblCellMar>
      </w:tblPr>
      <w:tblGrid>
        <w:gridCol w:w="877"/>
        <w:gridCol w:w="2362"/>
        <w:gridCol w:w="2254"/>
        <w:gridCol w:w="1096"/>
        <w:gridCol w:w="928"/>
        <w:gridCol w:w="1800"/>
      </w:tblGrid>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序号</w:t>
            </w:r>
          </w:p>
        </w:tc>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内容</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lang w:eastAsia="zh-CN"/>
              </w:rPr>
              <w:t>规格参数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单位及数量</w:t>
            </w:r>
          </w:p>
        </w:tc>
        <w:tc>
          <w:tcPr>
            <w:tcW w:w="9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单价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金额</w:t>
            </w: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r>
              <w:rPr>
                <w:rFonts w:hint="eastAsia" w:ascii="宋体" w:hAnsi="宋体"/>
                <w:color w:val="auto"/>
                <w:szCs w:val="21"/>
                <w:highlight w:val="none"/>
              </w:rPr>
              <w:t>税费及附加</w:t>
            </w: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lang w:val="en-US" w:eastAsia="zh-CN"/>
              </w:rPr>
              <w:t>/</w:t>
            </w:r>
          </w:p>
        </w:tc>
        <w:tc>
          <w:tcPr>
            <w:tcW w:w="2024"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r>
              <w:rPr>
                <w:rFonts w:hint="eastAsia" w:ascii="宋体" w:hAnsi="宋体"/>
                <w:color w:val="auto"/>
                <w:szCs w:val="21"/>
                <w:highlight w:val="none"/>
              </w:rPr>
              <w:t>税费率：      %</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60" w:hRule="atLeast"/>
        </w:trPr>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r>
              <w:rPr>
                <w:rFonts w:hint="eastAsia" w:ascii="宋体" w:hAnsi="宋体"/>
                <w:color w:val="auto"/>
                <w:szCs w:val="21"/>
                <w:highlight w:val="none"/>
              </w:rPr>
              <w:t>项目毛利</w:t>
            </w: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lang w:val="en-US" w:eastAsia="zh-CN"/>
              </w:rPr>
              <w:t>/</w:t>
            </w:r>
          </w:p>
        </w:tc>
        <w:tc>
          <w:tcPr>
            <w:tcW w:w="2024"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r>
              <w:rPr>
                <w:rFonts w:hint="eastAsia" w:ascii="宋体" w:hAnsi="宋体"/>
                <w:color w:val="auto"/>
                <w:szCs w:val="21"/>
                <w:highlight w:val="none"/>
              </w:rPr>
              <w:t>毛利率：       %</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r>
        <w:tblPrEx>
          <w:tblCellMar>
            <w:top w:w="0" w:type="dxa"/>
            <w:left w:w="108" w:type="dxa"/>
            <w:bottom w:w="0" w:type="dxa"/>
            <w:right w:w="108" w:type="dxa"/>
          </w:tblCellMar>
        </w:tblPrEx>
        <w:trPr>
          <w:trHeight w:val="588" w:hRule="atLeast"/>
        </w:trPr>
        <w:tc>
          <w:tcPr>
            <w:tcW w:w="7517"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r>
              <w:rPr>
                <w:rFonts w:hint="eastAsia" w:ascii="宋体" w:hAnsi="宋体"/>
                <w:color w:val="auto"/>
                <w:szCs w:val="21"/>
                <w:highlight w:val="none"/>
              </w:rPr>
              <w:t>合计金额（应与开标一览表总价相一致）</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olor w:val="auto"/>
                <w:szCs w:val="21"/>
                <w:highlight w:val="none"/>
              </w:rPr>
            </w:pPr>
          </w:p>
        </w:tc>
      </w:tr>
    </w:tbl>
    <w:p>
      <w:pPr>
        <w:pStyle w:val="8"/>
        <w:spacing w:line="400" w:lineRule="exact"/>
        <w:ind w:firstLine="0"/>
        <w:rPr>
          <w:rFonts w:ascii="宋体" w:hAnsi="宋体" w:cs="宋体"/>
          <w:szCs w:val="21"/>
          <w:highlight w:val="none"/>
        </w:rPr>
      </w:pPr>
    </w:p>
    <w:p>
      <w:pPr>
        <w:spacing w:line="360" w:lineRule="exact"/>
        <w:rPr>
          <w:rFonts w:ascii="宋体" w:hAnsi="宋体" w:cs="宋体"/>
          <w:szCs w:val="21"/>
          <w:highlight w:val="none"/>
        </w:rPr>
      </w:pPr>
      <w:r>
        <w:rPr>
          <w:rFonts w:hint="eastAsia" w:ascii="宋体" w:hAnsi="宋体" w:cs="宋体"/>
          <w:szCs w:val="21"/>
          <w:highlight w:val="none"/>
        </w:rPr>
        <w:t>投标人（盖章）：</w:t>
      </w:r>
    </w:p>
    <w:p>
      <w:pPr>
        <w:spacing w:line="360" w:lineRule="exact"/>
        <w:rPr>
          <w:rFonts w:ascii="宋体" w:hAnsi="宋体" w:cs="宋体"/>
          <w:szCs w:val="21"/>
          <w:highlight w:val="none"/>
        </w:rPr>
      </w:pPr>
      <w:r>
        <w:rPr>
          <w:rFonts w:hint="eastAsia" w:ascii="宋体" w:hAnsi="宋体" w:cs="宋体"/>
          <w:szCs w:val="21"/>
          <w:highlight w:val="none"/>
        </w:rPr>
        <w:t>授权代表（签字）：</w:t>
      </w:r>
    </w:p>
    <w:p>
      <w:pPr>
        <w:spacing w:line="400" w:lineRule="exact"/>
        <w:rPr>
          <w:rFonts w:ascii="宋体" w:hAnsi="宋体" w:cs="宋体"/>
          <w:szCs w:val="21"/>
          <w:highlight w:val="none"/>
        </w:rPr>
      </w:pPr>
      <w:r>
        <w:rPr>
          <w:rFonts w:hint="eastAsia" w:ascii="宋体" w:hAnsi="宋体" w:cs="宋体"/>
          <w:szCs w:val="21"/>
          <w:highlight w:val="none"/>
        </w:rPr>
        <w:t xml:space="preserve">日期：     </w:t>
      </w:r>
    </w:p>
    <w:p>
      <w:pPr>
        <w:spacing w:line="320" w:lineRule="exact"/>
        <w:rPr>
          <w:rFonts w:ascii="宋体" w:hAnsi="宋体" w:cs="宋体"/>
          <w:b/>
          <w:szCs w:val="21"/>
          <w:highlight w:val="none"/>
        </w:rPr>
      </w:pPr>
      <w:r>
        <w:rPr>
          <w:rFonts w:hint="eastAsia" w:ascii="宋体" w:hAnsi="宋体" w:cs="宋体"/>
          <w:b/>
          <w:szCs w:val="21"/>
          <w:highlight w:val="none"/>
        </w:rPr>
        <w:t>注：1、本表格仅提供了样表格式，投标人应根据</w:t>
      </w:r>
      <w:r>
        <w:rPr>
          <w:rFonts w:hint="eastAsia" w:ascii="宋体" w:hAnsi="宋体" w:cs="宋体"/>
          <w:b/>
          <w:szCs w:val="21"/>
          <w:highlight w:val="none"/>
          <w:lang w:eastAsia="zh-CN"/>
        </w:rPr>
        <w:t>采购需求自行调整填写</w:t>
      </w:r>
      <w:r>
        <w:rPr>
          <w:rFonts w:hint="eastAsia" w:ascii="宋体" w:hAnsi="宋体" w:cs="宋体"/>
          <w:b/>
          <w:szCs w:val="21"/>
          <w:highlight w:val="none"/>
        </w:rPr>
        <w:t>；</w:t>
      </w:r>
    </w:p>
    <w:p>
      <w:pPr>
        <w:spacing w:line="320" w:lineRule="exact"/>
        <w:ind w:firstLine="432"/>
        <w:rPr>
          <w:rFonts w:ascii="宋体" w:hAnsi="宋体" w:cs="宋体"/>
          <w:b/>
          <w:szCs w:val="21"/>
          <w:highlight w:val="none"/>
        </w:rPr>
        <w:sectPr>
          <w:pgSz w:w="11906" w:h="16838"/>
          <w:pgMar w:top="1247" w:right="1247" w:bottom="1247" w:left="1247"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b/>
          <w:szCs w:val="21"/>
          <w:highlight w:val="none"/>
        </w:rPr>
        <w:t>2、最终合计金额必须包括实施本项目所需的一切费用，并与</w:t>
      </w:r>
      <w:r>
        <w:rPr>
          <w:rFonts w:hint="eastAsia" w:ascii="宋体" w:hAnsi="宋体" w:cs="宋体"/>
          <w:b/>
          <w:szCs w:val="21"/>
          <w:highlight w:val="none"/>
          <w:lang w:eastAsia="zh-CN"/>
        </w:rPr>
        <w:t>开标一览表</w:t>
      </w:r>
      <w:r>
        <w:rPr>
          <w:rFonts w:hint="eastAsia" w:ascii="宋体" w:hAnsi="宋体" w:cs="宋体"/>
          <w:b/>
          <w:szCs w:val="21"/>
          <w:highlight w:val="none"/>
        </w:rPr>
        <w:t>中总价相一致。</w:t>
      </w:r>
    </w:p>
    <w:p>
      <w:pPr>
        <w:adjustRightInd w:val="0"/>
        <w:snapToGrid w:val="0"/>
        <w:jc w:val="center"/>
        <w:rPr>
          <w:rFonts w:ascii="宋体" w:hAnsi="宋体" w:cs="宋体"/>
          <w:b/>
          <w:color w:val="000000"/>
          <w:sz w:val="44"/>
          <w:szCs w:val="44"/>
          <w:highlight w:val="none"/>
        </w:rPr>
      </w:pPr>
      <w:r>
        <w:rPr>
          <w:rFonts w:hint="eastAsia" w:ascii="宋体" w:hAnsi="宋体" w:cs="宋体"/>
          <w:b/>
          <w:color w:val="000000"/>
          <w:sz w:val="44"/>
          <w:szCs w:val="44"/>
          <w:highlight w:val="none"/>
        </w:rPr>
        <w:t>五、其他文书、文件格式</w:t>
      </w:r>
    </w:p>
    <w:p>
      <w:pPr>
        <w:rPr>
          <w:rFonts w:ascii="宋体" w:hAnsi="宋体" w:cs="宋体"/>
          <w:szCs w:val="21"/>
          <w:highlight w:val="none"/>
        </w:rPr>
      </w:pPr>
      <w:r>
        <w:rPr>
          <w:rFonts w:hint="eastAsia" w:ascii="宋体" w:hAnsi="宋体" w:cs="宋体"/>
          <w:szCs w:val="21"/>
          <w:highlight w:val="none"/>
        </w:rPr>
        <w:t>评分表格式（评分内容参见第四章）</w:t>
      </w:r>
    </w:p>
    <w:p>
      <w:pPr>
        <w:jc w:val="center"/>
        <w:rPr>
          <w:rFonts w:ascii="宋体" w:hAnsi="宋体" w:cs="宋体"/>
          <w:sz w:val="32"/>
          <w:szCs w:val="32"/>
          <w:highlight w:val="none"/>
        </w:rPr>
      </w:pPr>
      <w:r>
        <w:rPr>
          <w:rFonts w:hint="eastAsia" w:ascii="宋体" w:hAnsi="宋体" w:cs="宋体"/>
          <w:sz w:val="32"/>
          <w:szCs w:val="32"/>
          <w:highlight w:val="none"/>
        </w:rPr>
        <w:t>采购项目评分表</w:t>
      </w:r>
    </w:p>
    <w:p>
      <w:pPr>
        <w:spacing w:line="440" w:lineRule="exact"/>
        <w:rPr>
          <w:rFonts w:ascii="宋体" w:hAnsi="宋体" w:cs="宋体"/>
          <w:szCs w:val="21"/>
          <w:highlight w:val="none"/>
        </w:rPr>
      </w:pPr>
      <w:r>
        <w:rPr>
          <w:rFonts w:hint="eastAsia" w:ascii="宋体" w:hAnsi="宋体" w:cs="宋体"/>
          <w:szCs w:val="21"/>
          <w:highlight w:val="none"/>
        </w:rPr>
        <w:t xml:space="preserve">投标人名称： </w:t>
      </w:r>
    </w:p>
    <w:p>
      <w:pPr>
        <w:rPr>
          <w:rFonts w:ascii="宋体" w:hAnsi="宋体" w:cs="宋体"/>
          <w:szCs w:val="21"/>
          <w:highlight w:val="none"/>
        </w:rPr>
      </w:pPr>
      <w:r>
        <w:rPr>
          <w:rFonts w:hint="eastAsia" w:ascii="宋体" w:hAnsi="宋体" w:cs="宋体"/>
          <w:szCs w:val="21"/>
          <w:highlight w:val="none"/>
        </w:rPr>
        <w:t xml:space="preserve">项目编号：  </w:t>
      </w:r>
    </w:p>
    <w:tbl>
      <w:tblPr>
        <w:tblStyle w:val="32"/>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849"/>
        <w:gridCol w:w="787"/>
        <w:gridCol w:w="888"/>
        <w:gridCol w:w="761"/>
        <w:gridCol w:w="822"/>
        <w:gridCol w:w="83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3620" w:type="dxa"/>
            <w:gridSpan w:val="2"/>
            <w:vMerge w:val="restart"/>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r>
              <w:rPr>
                <w:rFonts w:hint="eastAsia" w:ascii="宋体" w:hAnsi="宋体" w:cs="宋体"/>
                <w:szCs w:val="21"/>
                <w:highlight w:val="none"/>
              </w:rPr>
              <w:t>评标内容及分值</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r>
              <w:rPr>
                <w:rFonts w:hint="eastAsia" w:ascii="宋体" w:hAnsi="宋体" w:cs="宋体"/>
                <w:szCs w:val="21"/>
                <w:highlight w:val="none"/>
              </w:rPr>
              <w:t>投标人自评栏</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r>
              <w:rPr>
                <w:rFonts w:hint="eastAsia" w:ascii="宋体" w:hAnsi="宋体" w:cs="宋体"/>
                <w:szCs w:val="21"/>
                <w:highlight w:val="none"/>
              </w:rPr>
              <w:t>专家评定栏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3620" w:type="dxa"/>
            <w:gridSpan w:val="2"/>
            <w:vMerge w:val="continue"/>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响应</w:t>
            </w:r>
          </w:p>
          <w:p>
            <w:pPr>
              <w:rPr>
                <w:rFonts w:ascii="宋体" w:hAnsi="宋体" w:cs="宋体"/>
                <w:szCs w:val="21"/>
                <w:highlight w:val="none"/>
              </w:rPr>
            </w:pPr>
            <w:r>
              <w:rPr>
                <w:rFonts w:hint="eastAsia" w:ascii="宋体" w:hAnsi="宋体" w:cs="宋体"/>
                <w:szCs w:val="21"/>
                <w:highlight w:val="none"/>
              </w:rPr>
              <w:t>程度</w:t>
            </w:r>
          </w:p>
        </w:tc>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响应文件页码</w:t>
            </w:r>
          </w:p>
        </w:tc>
        <w:tc>
          <w:tcPr>
            <w:tcW w:w="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自评分</w:t>
            </w:r>
          </w:p>
        </w:tc>
        <w:tc>
          <w:tcPr>
            <w:tcW w:w="8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专家</w:t>
            </w:r>
          </w:p>
          <w:p>
            <w:pPr>
              <w:rPr>
                <w:rFonts w:ascii="宋体" w:hAnsi="宋体" w:cs="宋体"/>
                <w:szCs w:val="21"/>
                <w:highlight w:val="none"/>
              </w:rPr>
            </w:pPr>
            <w:r>
              <w:rPr>
                <w:rFonts w:hint="eastAsia" w:ascii="宋体" w:hAnsi="宋体" w:cs="宋体"/>
                <w:szCs w:val="21"/>
                <w:highlight w:val="none"/>
              </w:rPr>
              <w:t>评定分</w:t>
            </w:r>
          </w:p>
        </w:tc>
        <w:tc>
          <w:tcPr>
            <w:tcW w:w="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偏离</w:t>
            </w:r>
          </w:p>
          <w:p>
            <w:pPr>
              <w:rPr>
                <w:rFonts w:ascii="宋体" w:hAnsi="宋体" w:cs="宋体"/>
                <w:szCs w:val="21"/>
                <w:highlight w:val="none"/>
              </w:rPr>
            </w:pPr>
            <w:r>
              <w:rPr>
                <w:rFonts w:hint="eastAsia" w:ascii="宋体" w:hAnsi="宋体" w:cs="宋体"/>
                <w:szCs w:val="21"/>
                <w:highlight w:val="none"/>
              </w:rPr>
              <w:t>情况</w:t>
            </w:r>
          </w:p>
        </w:tc>
        <w:tc>
          <w:tcPr>
            <w:tcW w:w="8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扣分</w:t>
            </w:r>
          </w:p>
          <w:p>
            <w:pPr>
              <w:rPr>
                <w:rFonts w:ascii="宋体" w:hAnsi="宋体" w:cs="宋体"/>
                <w:szCs w:val="21"/>
                <w:highlight w:val="none"/>
              </w:rPr>
            </w:pPr>
            <w:r>
              <w:rPr>
                <w:rFonts w:hint="eastAsia" w:ascii="宋体" w:hAnsi="宋体" w:cs="宋体"/>
                <w:szCs w:val="21"/>
                <w:highlight w:val="none"/>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62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r>
              <w:rPr>
                <w:rFonts w:hint="eastAsia" w:ascii="宋体" w:hAnsi="宋体" w:cs="宋体"/>
                <w:szCs w:val="21"/>
                <w:highlight w:val="none"/>
              </w:rPr>
              <w:t>价格分（    分）</w:t>
            </w:r>
          </w:p>
        </w:tc>
        <w:tc>
          <w:tcPr>
            <w:tcW w:w="787" w:type="dxa"/>
            <w:tcBorders>
              <w:top w:val="single" w:color="auto" w:sz="4" w:space="0"/>
              <w:left w:val="single" w:color="auto" w:sz="4" w:space="0"/>
              <w:bottom w:val="single" w:color="auto" w:sz="4" w:space="0"/>
              <w:right w:val="single" w:color="auto" w:sz="4" w:space="0"/>
              <w:tr2bl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bottom w:val="single" w:color="auto" w:sz="4" w:space="0"/>
              <w:right w:val="single" w:color="auto" w:sz="4" w:space="0"/>
              <w:tr2bl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bottom w:val="single" w:color="auto" w:sz="4" w:space="0"/>
              <w:right w:val="single" w:color="auto" w:sz="4" w:space="0"/>
              <w:tr2bl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771"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2849" w:type="dxa"/>
            <w:tcBorders>
              <w:top w:val="single" w:color="auto" w:sz="4" w:space="0"/>
              <w:left w:val="single" w:color="auto" w:sz="4" w:space="0"/>
              <w:bottom w:val="single" w:color="auto" w:sz="4" w:space="0"/>
              <w:right w:val="single" w:color="auto" w:sz="4" w:space="0"/>
            </w:tcBorders>
            <w:vAlign w:val="center"/>
          </w:tcPr>
          <w:p>
            <w:pPr>
              <w:ind w:left="16" w:hanging="16"/>
              <w:rPr>
                <w:rFonts w:ascii="宋体" w:hAnsi="宋体" w:cs="宋体"/>
                <w:color w:val="000000"/>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771" w:type="dxa"/>
            <w:vMerge w:val="continue"/>
            <w:tcBorders>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2849" w:type="dxa"/>
            <w:tcBorders>
              <w:top w:val="single" w:color="auto" w:sz="4" w:space="0"/>
              <w:left w:val="single" w:color="auto" w:sz="4" w:space="0"/>
              <w:bottom w:val="single" w:color="auto" w:sz="4" w:space="0"/>
              <w:right w:val="single" w:color="auto" w:sz="4" w:space="0"/>
            </w:tcBorders>
            <w:vAlign w:val="center"/>
          </w:tcPr>
          <w:p>
            <w:pPr>
              <w:adjustRightInd w:val="0"/>
              <w:spacing w:beforeLines="50" w:afterLines="50"/>
              <w:textAlignment w:val="baseline"/>
              <w:rPr>
                <w:rFonts w:ascii="宋体" w:hAnsi="宋体" w:cs="宋体"/>
                <w:color w:val="000000"/>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71" w:type="dxa"/>
            <w:vMerge w:val="continue"/>
            <w:tcBorders>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2849" w:type="dxa"/>
            <w:tcBorders>
              <w:top w:val="single" w:color="auto" w:sz="4" w:space="0"/>
              <w:left w:val="single" w:color="auto" w:sz="4" w:space="0"/>
              <w:right w:val="single" w:color="auto" w:sz="4" w:space="0"/>
            </w:tcBorders>
            <w:vAlign w:val="center"/>
          </w:tcPr>
          <w:p>
            <w:pPr>
              <w:adjustRightInd w:val="0"/>
              <w:spacing w:beforeLines="50" w:afterLines="50"/>
              <w:textAlignment w:val="baseline"/>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771" w:type="dxa"/>
            <w:vMerge w:val="restart"/>
            <w:tcBorders>
              <w:left w:val="single" w:color="auto" w:sz="4" w:space="0"/>
              <w:right w:val="single" w:color="auto" w:sz="4" w:space="0"/>
            </w:tcBorders>
            <w:vAlign w:val="center"/>
          </w:tcPr>
          <w:p>
            <w:pPr>
              <w:rPr>
                <w:rFonts w:ascii="宋体" w:hAnsi="宋体" w:cs="宋体"/>
                <w:szCs w:val="21"/>
                <w:highlight w:val="none"/>
              </w:rPr>
            </w:pPr>
          </w:p>
        </w:tc>
        <w:tc>
          <w:tcPr>
            <w:tcW w:w="2849"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771" w:type="dxa"/>
            <w:vMerge w:val="continue"/>
            <w:tcBorders>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2849" w:type="dxa"/>
            <w:tcBorders>
              <w:top w:val="single" w:color="auto" w:sz="4" w:space="0"/>
              <w:left w:val="single" w:color="auto" w:sz="4" w:space="0"/>
              <w:right w:val="single" w:color="auto" w:sz="4" w:space="0"/>
            </w:tcBorders>
            <w:vAlign w:val="center"/>
          </w:tcPr>
          <w:p>
            <w:pPr>
              <w:jc w:val="center"/>
              <w:rPr>
                <w:rFonts w:ascii="宋体" w:hAnsi="宋体" w:cs="宋体"/>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71" w:type="dxa"/>
            <w:vMerge w:val="continue"/>
            <w:tcBorders>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2849" w:type="dxa"/>
            <w:tcBorders>
              <w:top w:val="single" w:color="auto" w:sz="4" w:space="0"/>
              <w:left w:val="single" w:color="auto" w:sz="4" w:space="0"/>
              <w:right w:val="single" w:color="auto" w:sz="4" w:space="0"/>
            </w:tcBorders>
            <w:vAlign w:val="center"/>
          </w:tcPr>
          <w:p>
            <w:pPr>
              <w:adjustRightInd w:val="0"/>
              <w:spacing w:beforeLines="50" w:afterLines="50"/>
              <w:jc w:val="center"/>
              <w:textAlignment w:val="baseline"/>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71" w:type="dxa"/>
            <w:vMerge w:val="continue"/>
            <w:tcBorders>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2849" w:type="dxa"/>
            <w:tcBorders>
              <w:top w:val="single" w:color="auto" w:sz="4" w:space="0"/>
              <w:left w:val="single" w:color="auto" w:sz="4" w:space="0"/>
              <w:right w:val="single" w:color="auto" w:sz="4" w:space="0"/>
            </w:tcBorders>
            <w:vAlign w:val="center"/>
          </w:tcPr>
          <w:p>
            <w:pPr>
              <w:adjustRightInd w:val="0"/>
              <w:spacing w:beforeLines="50" w:afterLines="50"/>
              <w:jc w:val="center"/>
              <w:textAlignment w:val="baseline"/>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71"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2849"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71" w:type="dxa"/>
            <w:vMerge w:val="continue"/>
            <w:tcBorders>
              <w:left w:val="single" w:color="auto" w:sz="4" w:space="0"/>
              <w:right w:val="single" w:color="auto" w:sz="4" w:space="0"/>
            </w:tcBorders>
            <w:vAlign w:val="center"/>
          </w:tcPr>
          <w:p>
            <w:pPr>
              <w:rPr>
                <w:rFonts w:ascii="宋体" w:hAnsi="宋体" w:cs="宋体"/>
                <w:kern w:val="0"/>
                <w:szCs w:val="21"/>
                <w:highlight w:val="none"/>
              </w:rPr>
            </w:pPr>
          </w:p>
        </w:tc>
        <w:tc>
          <w:tcPr>
            <w:tcW w:w="2849" w:type="dxa"/>
            <w:tcBorders>
              <w:top w:val="single" w:color="auto" w:sz="4" w:space="0"/>
              <w:left w:val="single" w:color="auto" w:sz="4" w:space="0"/>
              <w:right w:val="single" w:color="auto" w:sz="4" w:space="0"/>
            </w:tcBorders>
            <w:vAlign w:val="center"/>
          </w:tcPr>
          <w:p>
            <w:pPr>
              <w:adjustRightInd w:val="0"/>
              <w:spacing w:beforeLines="50" w:afterLines="50"/>
              <w:jc w:val="center"/>
              <w:textAlignment w:val="baseline"/>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1" w:type="dxa"/>
            <w:vMerge w:val="continue"/>
            <w:tcBorders>
              <w:left w:val="single" w:color="auto" w:sz="4" w:space="0"/>
              <w:right w:val="single" w:color="auto" w:sz="4" w:space="0"/>
            </w:tcBorders>
            <w:vAlign w:val="center"/>
          </w:tcPr>
          <w:p>
            <w:pPr>
              <w:rPr>
                <w:rFonts w:ascii="宋体" w:hAnsi="宋体" w:cs="宋体"/>
                <w:kern w:val="0"/>
                <w:szCs w:val="21"/>
                <w:highlight w:val="none"/>
              </w:rPr>
            </w:pPr>
          </w:p>
        </w:tc>
        <w:tc>
          <w:tcPr>
            <w:tcW w:w="2849"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1" w:type="dxa"/>
            <w:vMerge w:val="restart"/>
            <w:tcBorders>
              <w:left w:val="single" w:color="auto" w:sz="4" w:space="0"/>
              <w:right w:val="single" w:color="auto" w:sz="4" w:space="0"/>
            </w:tcBorders>
            <w:vAlign w:val="center"/>
          </w:tcPr>
          <w:p>
            <w:pPr>
              <w:rPr>
                <w:rFonts w:ascii="宋体" w:hAnsi="宋体" w:cs="宋体"/>
                <w:kern w:val="0"/>
                <w:szCs w:val="21"/>
                <w:highlight w:val="none"/>
              </w:rPr>
            </w:pPr>
          </w:p>
        </w:tc>
        <w:tc>
          <w:tcPr>
            <w:tcW w:w="2849"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71" w:type="dxa"/>
            <w:vMerge w:val="continue"/>
            <w:tcBorders>
              <w:left w:val="single" w:color="auto" w:sz="4" w:space="0"/>
              <w:right w:val="single" w:color="auto" w:sz="4" w:space="0"/>
            </w:tcBorders>
            <w:vAlign w:val="center"/>
          </w:tcPr>
          <w:p>
            <w:pPr>
              <w:rPr>
                <w:rFonts w:ascii="宋体" w:hAnsi="宋体" w:cs="宋体"/>
                <w:kern w:val="0"/>
                <w:szCs w:val="21"/>
                <w:highlight w:val="none"/>
              </w:rPr>
            </w:pPr>
          </w:p>
        </w:tc>
        <w:tc>
          <w:tcPr>
            <w:tcW w:w="2849" w:type="dxa"/>
            <w:tcBorders>
              <w:top w:val="single" w:color="auto" w:sz="4" w:space="0"/>
              <w:left w:val="single" w:color="auto" w:sz="4" w:space="0"/>
              <w:right w:val="single" w:color="auto" w:sz="4" w:space="0"/>
            </w:tcBorders>
            <w:vAlign w:val="center"/>
          </w:tcPr>
          <w:p>
            <w:pPr>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71" w:type="dxa"/>
            <w:vMerge w:val="continue"/>
            <w:tcBorders>
              <w:left w:val="single" w:color="auto" w:sz="4" w:space="0"/>
              <w:right w:val="single" w:color="auto" w:sz="4" w:space="0"/>
            </w:tcBorders>
            <w:vAlign w:val="center"/>
          </w:tcPr>
          <w:p>
            <w:pPr>
              <w:rPr>
                <w:rFonts w:ascii="宋体" w:hAnsi="宋体" w:cs="宋体"/>
                <w:kern w:val="0"/>
                <w:szCs w:val="21"/>
                <w:highlight w:val="none"/>
              </w:rPr>
            </w:pPr>
          </w:p>
        </w:tc>
        <w:tc>
          <w:tcPr>
            <w:tcW w:w="2849"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highlight w:val="none"/>
              </w:rPr>
            </w:pPr>
          </w:p>
        </w:tc>
        <w:tc>
          <w:tcPr>
            <w:tcW w:w="787"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8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761"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38"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c>
          <w:tcPr>
            <w:tcW w:w="862" w:type="dxa"/>
            <w:tcBorders>
              <w:top w:val="single" w:color="auto" w:sz="4" w:space="0"/>
              <w:left w:val="single" w:color="auto" w:sz="4" w:space="0"/>
              <w:right w:val="single" w:color="auto" w:sz="4" w:space="0"/>
            </w:tcBorders>
            <w:vAlign w:val="center"/>
          </w:tcPr>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362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r>
              <w:rPr>
                <w:rFonts w:hint="eastAsia" w:ascii="宋体" w:hAnsi="宋体" w:cs="宋体"/>
                <w:szCs w:val="21"/>
                <w:highlight w:val="none"/>
              </w:rPr>
              <w:t>合计得分</w:t>
            </w:r>
          </w:p>
        </w:tc>
        <w:tc>
          <w:tcPr>
            <w:tcW w:w="2436" w:type="dxa"/>
            <w:gridSpan w:val="3"/>
            <w:tcBorders>
              <w:top w:val="single" w:color="auto" w:sz="4" w:space="0"/>
              <w:left w:val="single" w:color="auto" w:sz="4" w:space="0"/>
              <w:bottom w:val="single" w:color="auto" w:sz="4" w:space="0"/>
              <w:right w:val="single" w:color="auto" w:sz="4" w:space="0"/>
              <w:tr2bl w:val="single" w:color="auto" w:sz="4" w:space="0"/>
            </w:tcBorders>
            <w:vAlign w:val="center"/>
          </w:tcPr>
          <w:p>
            <w:pPr>
              <w:ind w:firstLine="420" w:firstLineChars="200"/>
              <w:rPr>
                <w:rFonts w:ascii="宋体" w:hAnsi="宋体" w:cs="宋体"/>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szCs w:val="21"/>
                <w:highlight w:val="none"/>
              </w:rPr>
            </w:pPr>
          </w:p>
        </w:tc>
        <w:tc>
          <w:tcPr>
            <w:tcW w:w="1700" w:type="dxa"/>
            <w:gridSpan w:val="2"/>
            <w:tcBorders>
              <w:top w:val="single" w:color="auto" w:sz="4" w:space="0"/>
              <w:left w:val="single" w:color="auto" w:sz="4" w:space="0"/>
              <w:bottom w:val="single" w:color="auto" w:sz="4" w:space="0"/>
              <w:right w:val="single" w:color="auto" w:sz="4" w:space="0"/>
              <w:tr2bl w:val="single" w:color="auto" w:sz="4" w:space="0"/>
            </w:tcBorders>
            <w:vAlign w:val="center"/>
          </w:tcPr>
          <w:p>
            <w:pPr>
              <w:ind w:firstLine="420" w:firstLineChars="200"/>
              <w:rPr>
                <w:rFonts w:ascii="宋体" w:hAnsi="宋体" w:cs="宋体"/>
                <w:szCs w:val="21"/>
                <w:highlight w:val="none"/>
              </w:rPr>
            </w:pPr>
          </w:p>
        </w:tc>
      </w:tr>
    </w:tbl>
    <w:p>
      <w:pPr>
        <w:rPr>
          <w:rFonts w:ascii="宋体" w:hAnsi="宋体" w:cs="宋体"/>
          <w:highlight w:val="none"/>
        </w:rPr>
      </w:pPr>
      <w:r>
        <w:rPr>
          <w:rFonts w:hint="eastAsia" w:ascii="宋体" w:hAnsi="宋体" w:cs="宋体"/>
          <w:highlight w:val="none"/>
        </w:rPr>
        <w:t>本表格需参照第四章评分条款，认真填写，并附在技术资信文件目录后，方便评委评分时核对</w:t>
      </w:r>
    </w:p>
    <w:p>
      <w:pPr>
        <w:spacing w:line="520" w:lineRule="exact"/>
        <w:rPr>
          <w:rFonts w:ascii="宋体" w:hAnsi="宋体" w:cs="宋体"/>
          <w:szCs w:val="21"/>
          <w:highlight w:val="none"/>
        </w:rPr>
      </w:pPr>
    </w:p>
    <w:bookmarkEnd w:id="292"/>
    <w:bookmarkEnd w:id="293"/>
    <w:p>
      <w:pPr>
        <w:snapToGrid w:val="0"/>
        <w:spacing w:before="50" w:after="50"/>
        <w:ind w:right="-817" w:rightChars="-389"/>
        <w:rPr>
          <w:rFonts w:ascii="宋体" w:hAnsi="宋体" w:cs="宋体"/>
          <w:highlight w:val="none"/>
        </w:rPr>
      </w:pPr>
    </w:p>
    <w:p>
      <w:pPr>
        <w:adjustRightInd w:val="0"/>
        <w:snapToGrid w:val="0"/>
        <w:jc w:val="left"/>
        <w:rPr>
          <w:rFonts w:ascii="宋体" w:hAnsi="宋体" w:cs="宋体"/>
          <w:highlight w:val="none"/>
        </w:rPr>
      </w:pPr>
      <w:r>
        <w:rPr>
          <w:rFonts w:hint="eastAsia" w:ascii="宋体" w:hAnsi="宋体" w:cs="宋体"/>
          <w:b/>
          <w:bCs/>
          <w:i/>
          <w:iCs/>
          <w:sz w:val="24"/>
          <w:highlight w:val="none"/>
        </w:rPr>
        <w:t>招标文件无格式但需要提供的资料或者影响投标人得分以及资格认定的资料请投标人另行自拟添加。</w:t>
      </w:r>
    </w:p>
    <w:sectPr>
      <w:pgSz w:w="11906" w:h="16838"/>
      <w:pgMar w:top="1440" w:right="1797" w:bottom="1440" w:left="1622" w:header="851" w:footer="992" w:gutter="0"/>
      <w:pgBorders>
        <w:top w:val="none" w:sz="0" w:space="0"/>
        <w:left w:val="none" w:sz="0" w:space="0"/>
        <w:bottom w:val="none" w:sz="0" w:space="0"/>
        <w:right w:val="none" w:sz="0" w:space="0"/>
      </w:pgBorders>
      <w:cols w:space="720" w:num="1"/>
      <w:docGrid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w:t>
    </w:r>
    <w:r>
      <w:t xml:space="preserve"> 14 -</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6"/>
      </w:rPr>
    </w:pPr>
    <w:r>
      <w:fldChar w:fldCharType="begin"/>
    </w:r>
    <w:r>
      <w:rPr>
        <w:rStyle w:val="36"/>
      </w:rPr>
      <w:instrText xml:space="preserve">PAGE  </w:instrText>
    </w:r>
    <w:r>
      <w:fldChar w:fldCharType="separate"/>
    </w:r>
    <w:r>
      <w:rPr>
        <w:rStyle w:val="36"/>
      </w:rPr>
      <w:t>32</w:t>
    </w:r>
    <w:r>
      <w:fldChar w:fldCharType="end"/>
    </w:r>
  </w:p>
  <w:p>
    <w:pPr>
      <w:pStyle w:val="19"/>
      <w:pBdr>
        <w:top w:val="single" w:color="auto" w:sz="4" w:space="1"/>
      </w:pBdr>
      <w:ind w:right="360"/>
      <w:jc w:val="both"/>
      <w:rPr>
        <w:i/>
      </w:rPr>
    </w:pPr>
    <w:r>
      <w:rPr>
        <w:rFonts w:hint="eastAsia"/>
        <w:i/>
      </w:rPr>
      <w:t>安吉精诚采购代理有限公司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6"/>
      </w:rPr>
    </w:pPr>
    <w:r>
      <w:fldChar w:fldCharType="begin"/>
    </w:r>
    <w:r>
      <w:rPr>
        <w:rStyle w:val="36"/>
      </w:rPr>
      <w:instrText xml:space="preserve">PAGE  </w:instrText>
    </w:r>
    <w:r>
      <w:fldChar w:fldCharType="end"/>
    </w:r>
  </w:p>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i/>
      </w:rPr>
    </w:pPr>
    <w:r>
      <w:rPr>
        <w:rFonts w:hint="eastAsia"/>
        <w:i/>
        <w:lang w:eastAsia="zh-CN"/>
      </w:rPr>
      <w:t>安吉县食品药品检验检测中心离子色谱仪设备供货与安装政府采购项目</w:t>
    </w:r>
    <w:r>
      <w:rPr>
        <w:rFonts w:hint="eastAsia"/>
        <w:i/>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i/>
        <w:lang w:eastAsia="zh-CN"/>
      </w:rPr>
      <w:t>安吉县食品药品检验检测中心离子色谱仪设备供货与安装政府采购项目</w:t>
    </w:r>
    <w:r>
      <w:rPr>
        <w:rFonts w:hint="eastAsia"/>
        <w:i/>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wordWrap w:val="0"/>
      <w:jc w:val="right"/>
      <w:rPr>
        <w:i/>
        <w:color w:val="000000"/>
        <w:sz w:val="15"/>
        <w:szCs w:val="15"/>
      </w:rPr>
    </w:pPr>
    <w:r>
      <w:rPr>
        <w:rFonts w:hint="eastAsia"/>
        <w:i/>
        <w:color w:val="000000"/>
        <w:sz w:val="15"/>
        <w:szCs w:val="15"/>
        <w:lang w:eastAsia="zh-CN"/>
      </w:rPr>
      <w:t>安吉县食品药品检验检测中心离子色谱仪设备供货与安装政府采购项目</w:t>
    </w:r>
    <w:r>
      <w:rPr>
        <w:rFonts w:hint="eastAsia"/>
        <w:i/>
        <w:color w:val="000000"/>
        <w:sz w:val="15"/>
        <w:szCs w:val="15"/>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356E9"/>
    <w:multiLevelType w:val="singleLevel"/>
    <w:tmpl w:val="881356E9"/>
    <w:lvl w:ilvl="0" w:tentative="0">
      <w:start w:val="4"/>
      <w:numFmt w:val="chineseCounting"/>
      <w:suff w:val="nothing"/>
      <w:lvlText w:val="%1、"/>
      <w:lvlJc w:val="left"/>
      <w:rPr>
        <w:rFonts w:hint="eastAsia"/>
      </w:rPr>
    </w:lvl>
  </w:abstractNum>
  <w:abstractNum w:abstractNumId="1">
    <w:nsid w:val="0000000A"/>
    <w:multiLevelType w:val="multilevel"/>
    <w:tmpl w:val="0000000A"/>
    <w:lvl w:ilvl="0" w:tentative="0">
      <w:start w:val="2"/>
      <w:numFmt w:val="bullet"/>
      <w:lvlText w:val="★"/>
      <w:lvlJc w:val="left"/>
      <w:pPr>
        <w:tabs>
          <w:tab w:val="left" w:pos="360"/>
        </w:tabs>
        <w:ind w:left="360" w:hanging="360"/>
      </w:pPr>
      <w:rPr>
        <w:rFonts w:hint="default" w:ascii="Times New Roman" w:hAnsi="Times New Roman" w:eastAsia="楷体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1744E57"/>
    <w:multiLevelType w:val="multilevel"/>
    <w:tmpl w:val="11744E57"/>
    <w:lvl w:ilvl="0" w:tentative="0">
      <w:start w:val="1"/>
      <w:numFmt w:val="decimal"/>
      <w:lvlText w:val="%1"/>
      <w:lvlJc w:val="left"/>
      <w:pPr>
        <w:tabs>
          <w:tab w:val="left" w:pos="432"/>
        </w:tabs>
        <w:ind w:left="432" w:hanging="432"/>
      </w:pPr>
      <w:rPr>
        <w:rFonts w:ascii="宋体" w:hAnsi="宋体" w:eastAsia="宋体"/>
      </w:r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5A44B75"/>
    <w:multiLevelType w:val="singleLevel"/>
    <w:tmpl w:val="15A44B75"/>
    <w:lvl w:ilvl="0" w:tentative="0">
      <w:start w:val="2"/>
      <w:numFmt w:val="chineseCounting"/>
      <w:suff w:val="nothing"/>
      <w:lvlText w:val="（%1）"/>
      <w:lvlJc w:val="left"/>
      <w:rPr>
        <w:rFonts w:hint="eastAsia"/>
      </w:rPr>
    </w:lvl>
  </w:abstractNum>
  <w:abstractNum w:abstractNumId="4">
    <w:nsid w:val="1CEA77E4"/>
    <w:multiLevelType w:val="multilevel"/>
    <w:tmpl w:val="1CEA77E4"/>
    <w:lvl w:ilvl="0" w:tentative="0">
      <w:start w:val="1"/>
      <w:numFmt w:val="decimal"/>
      <w:lvlText w:val="(%1)"/>
      <w:lvlJc w:val="left"/>
      <w:pPr>
        <w:tabs>
          <w:tab w:val="left" w:pos="533"/>
        </w:tabs>
        <w:ind w:left="533" w:hanging="420"/>
      </w:pPr>
      <w:rPr>
        <w:rFonts w:hint="eastAsia"/>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287E89D"/>
    <w:multiLevelType w:val="singleLevel"/>
    <w:tmpl w:val="3287E89D"/>
    <w:lvl w:ilvl="0" w:tentative="0">
      <w:start w:val="1"/>
      <w:numFmt w:val="decimal"/>
      <w:suff w:val="space"/>
      <w:lvlText w:val="%1."/>
      <w:lvlJc w:val="left"/>
    </w:lvl>
  </w:abstractNum>
  <w:abstractNum w:abstractNumId="6">
    <w:nsid w:val="4DC949C4"/>
    <w:multiLevelType w:val="multilevel"/>
    <w:tmpl w:val="4DC949C4"/>
    <w:lvl w:ilvl="0" w:tentative="0">
      <w:start w:val="1"/>
      <w:numFmt w:val="decimal"/>
      <w:lvlText w:val="(%1)"/>
      <w:lvlJc w:val="left"/>
      <w:pPr>
        <w:tabs>
          <w:tab w:val="left" w:pos="533"/>
        </w:tabs>
        <w:ind w:left="533" w:hanging="420"/>
      </w:pPr>
      <w:rPr>
        <w:rFonts w:hint="eastAsia"/>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68F454"/>
    <w:multiLevelType w:val="singleLevel"/>
    <w:tmpl w:val="5468F454"/>
    <w:lvl w:ilvl="0" w:tentative="0">
      <w:start w:val="3"/>
      <w:numFmt w:val="chineseCounting"/>
      <w:suff w:val="nothing"/>
      <w:lvlText w:val="%1、"/>
      <w:lvlJc w:val="left"/>
      <w:rPr>
        <w:rFonts w:hint="eastAsia"/>
      </w:rPr>
    </w:lvl>
  </w:abstractNum>
  <w:abstractNum w:abstractNumId="8">
    <w:nsid w:val="59D7428E"/>
    <w:multiLevelType w:val="singleLevel"/>
    <w:tmpl w:val="59D7428E"/>
    <w:lvl w:ilvl="0" w:tentative="0">
      <w:start w:val="5"/>
      <w:numFmt w:val="chineseCounting"/>
      <w:suff w:val="nothing"/>
      <w:lvlText w:val="%1、"/>
      <w:lvlJc w:val="left"/>
    </w:lvl>
  </w:abstractNum>
  <w:abstractNum w:abstractNumId="9">
    <w:nsid w:val="59D7508F"/>
    <w:multiLevelType w:val="singleLevel"/>
    <w:tmpl w:val="59D7508F"/>
    <w:lvl w:ilvl="0" w:tentative="0">
      <w:start w:val="1"/>
      <w:numFmt w:val="chineseCounting"/>
      <w:suff w:val="nothing"/>
      <w:lvlText w:val="（%1）"/>
      <w:lvlJc w:val="left"/>
    </w:lvl>
  </w:abstractNum>
  <w:abstractNum w:abstractNumId="10">
    <w:nsid w:val="59D83E1D"/>
    <w:multiLevelType w:val="singleLevel"/>
    <w:tmpl w:val="59D83E1D"/>
    <w:lvl w:ilvl="0" w:tentative="0">
      <w:start w:val="1"/>
      <w:numFmt w:val="decimal"/>
      <w:suff w:val="nothing"/>
      <w:lvlText w:val="%1、"/>
      <w:lvlJc w:val="left"/>
    </w:lvl>
  </w:abstractNum>
  <w:abstractNum w:abstractNumId="11">
    <w:nsid w:val="76143D7D"/>
    <w:multiLevelType w:val="multilevel"/>
    <w:tmpl w:val="76143D7D"/>
    <w:lvl w:ilvl="0" w:tentative="0">
      <w:start w:val="1"/>
      <w:numFmt w:val="decimal"/>
      <w:lvlText w:val="(%1)"/>
      <w:lvlJc w:val="left"/>
      <w:pPr>
        <w:tabs>
          <w:tab w:val="left" w:pos="533"/>
        </w:tabs>
        <w:ind w:left="533" w:hanging="420"/>
      </w:pPr>
      <w:rPr>
        <w:rFonts w:hint="eastAsia"/>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4"/>
  </w:num>
  <w:num w:numId="4">
    <w:abstractNumId w:val="6"/>
  </w:num>
  <w:num w:numId="5">
    <w:abstractNumId w:val="11"/>
  </w:num>
  <w:num w:numId="6">
    <w:abstractNumId w:val="8"/>
  </w:num>
  <w:num w:numId="7">
    <w:abstractNumId w:val="9"/>
  </w:num>
  <w:num w:numId="8">
    <w:abstractNumId w:val="7"/>
  </w:num>
  <w:num w:numId="9">
    <w:abstractNumId w:val="3"/>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YzA4MWE1OTVkNzczNTI1YzgxMzhjMjEyZGNlYTgifQ=="/>
  </w:docVars>
  <w:rsids>
    <w:rsidRoot w:val="00454DFB"/>
    <w:rsid w:val="000112D2"/>
    <w:rsid w:val="00012D74"/>
    <w:rsid w:val="000167D7"/>
    <w:rsid w:val="00016A12"/>
    <w:rsid w:val="0001789A"/>
    <w:rsid w:val="00022722"/>
    <w:rsid w:val="0002548B"/>
    <w:rsid w:val="000277F4"/>
    <w:rsid w:val="00031520"/>
    <w:rsid w:val="0003263C"/>
    <w:rsid w:val="000337E4"/>
    <w:rsid w:val="000340DE"/>
    <w:rsid w:val="0003428E"/>
    <w:rsid w:val="00034EBB"/>
    <w:rsid w:val="0004164E"/>
    <w:rsid w:val="000433DF"/>
    <w:rsid w:val="000434FF"/>
    <w:rsid w:val="00043718"/>
    <w:rsid w:val="0004403E"/>
    <w:rsid w:val="0004540F"/>
    <w:rsid w:val="0005069A"/>
    <w:rsid w:val="00056385"/>
    <w:rsid w:val="00057520"/>
    <w:rsid w:val="000619C7"/>
    <w:rsid w:val="000735B4"/>
    <w:rsid w:val="0008082E"/>
    <w:rsid w:val="00081789"/>
    <w:rsid w:val="00081F3C"/>
    <w:rsid w:val="00082FAE"/>
    <w:rsid w:val="00084809"/>
    <w:rsid w:val="00084E5F"/>
    <w:rsid w:val="00085CE0"/>
    <w:rsid w:val="000906B0"/>
    <w:rsid w:val="00091812"/>
    <w:rsid w:val="00093DA8"/>
    <w:rsid w:val="00095D37"/>
    <w:rsid w:val="00096140"/>
    <w:rsid w:val="00096AC3"/>
    <w:rsid w:val="000A2126"/>
    <w:rsid w:val="000A34F0"/>
    <w:rsid w:val="000A5237"/>
    <w:rsid w:val="000A7C44"/>
    <w:rsid w:val="000B2082"/>
    <w:rsid w:val="000B692C"/>
    <w:rsid w:val="000C048A"/>
    <w:rsid w:val="000C23B6"/>
    <w:rsid w:val="000C24BD"/>
    <w:rsid w:val="000C72A6"/>
    <w:rsid w:val="000C753D"/>
    <w:rsid w:val="000D01A0"/>
    <w:rsid w:val="000D46E3"/>
    <w:rsid w:val="000D4700"/>
    <w:rsid w:val="000D6BC0"/>
    <w:rsid w:val="000E1160"/>
    <w:rsid w:val="000E43B3"/>
    <w:rsid w:val="000F375B"/>
    <w:rsid w:val="00104108"/>
    <w:rsid w:val="0011072F"/>
    <w:rsid w:val="00110EED"/>
    <w:rsid w:val="00111090"/>
    <w:rsid w:val="00112DA4"/>
    <w:rsid w:val="0012246A"/>
    <w:rsid w:val="00126C7B"/>
    <w:rsid w:val="00132B89"/>
    <w:rsid w:val="00137D1D"/>
    <w:rsid w:val="001409D0"/>
    <w:rsid w:val="00141ABE"/>
    <w:rsid w:val="00143E7C"/>
    <w:rsid w:val="001443F1"/>
    <w:rsid w:val="00144DD6"/>
    <w:rsid w:val="001471FA"/>
    <w:rsid w:val="00151137"/>
    <w:rsid w:val="00152A68"/>
    <w:rsid w:val="001539B0"/>
    <w:rsid w:val="001573BA"/>
    <w:rsid w:val="00157932"/>
    <w:rsid w:val="00160830"/>
    <w:rsid w:val="00162CFC"/>
    <w:rsid w:val="00165FB2"/>
    <w:rsid w:val="001667FF"/>
    <w:rsid w:val="00174D1A"/>
    <w:rsid w:val="00175BBF"/>
    <w:rsid w:val="0017767B"/>
    <w:rsid w:val="00180631"/>
    <w:rsid w:val="00182D9F"/>
    <w:rsid w:val="00185F28"/>
    <w:rsid w:val="00191532"/>
    <w:rsid w:val="001915B1"/>
    <w:rsid w:val="001917F9"/>
    <w:rsid w:val="00192CF8"/>
    <w:rsid w:val="001A2711"/>
    <w:rsid w:val="001A5670"/>
    <w:rsid w:val="001B0455"/>
    <w:rsid w:val="001B10B8"/>
    <w:rsid w:val="001B1C63"/>
    <w:rsid w:val="001B3011"/>
    <w:rsid w:val="001C1C6A"/>
    <w:rsid w:val="001C1E55"/>
    <w:rsid w:val="001C39EC"/>
    <w:rsid w:val="001C5413"/>
    <w:rsid w:val="001D271D"/>
    <w:rsid w:val="001D353D"/>
    <w:rsid w:val="001D79FC"/>
    <w:rsid w:val="001E02EA"/>
    <w:rsid w:val="001E26C8"/>
    <w:rsid w:val="001E4D6B"/>
    <w:rsid w:val="001E4F91"/>
    <w:rsid w:val="001E514C"/>
    <w:rsid w:val="001E64AC"/>
    <w:rsid w:val="001E6B19"/>
    <w:rsid w:val="001F50DA"/>
    <w:rsid w:val="001F52F0"/>
    <w:rsid w:val="00201690"/>
    <w:rsid w:val="00201F22"/>
    <w:rsid w:val="00206B2E"/>
    <w:rsid w:val="00207516"/>
    <w:rsid w:val="00211568"/>
    <w:rsid w:val="002160A9"/>
    <w:rsid w:val="00216BC4"/>
    <w:rsid w:val="00216CE6"/>
    <w:rsid w:val="00220A12"/>
    <w:rsid w:val="00222200"/>
    <w:rsid w:val="002228D1"/>
    <w:rsid w:val="00224D9F"/>
    <w:rsid w:val="00226D94"/>
    <w:rsid w:val="00230173"/>
    <w:rsid w:val="002327AD"/>
    <w:rsid w:val="002375D2"/>
    <w:rsid w:val="0024607E"/>
    <w:rsid w:val="00250EC8"/>
    <w:rsid w:val="00253D71"/>
    <w:rsid w:val="002566A5"/>
    <w:rsid w:val="00261275"/>
    <w:rsid w:val="00264938"/>
    <w:rsid w:val="00267348"/>
    <w:rsid w:val="00267D39"/>
    <w:rsid w:val="00267EB2"/>
    <w:rsid w:val="00272A90"/>
    <w:rsid w:val="00275F1D"/>
    <w:rsid w:val="00281A80"/>
    <w:rsid w:val="0028494C"/>
    <w:rsid w:val="00284C4D"/>
    <w:rsid w:val="00284F58"/>
    <w:rsid w:val="00285F02"/>
    <w:rsid w:val="002862C8"/>
    <w:rsid w:val="002918B7"/>
    <w:rsid w:val="002A28DD"/>
    <w:rsid w:val="002A5D2E"/>
    <w:rsid w:val="002A67A5"/>
    <w:rsid w:val="002A6857"/>
    <w:rsid w:val="002A7FFE"/>
    <w:rsid w:val="002B1A8F"/>
    <w:rsid w:val="002B5F1C"/>
    <w:rsid w:val="002C3FDC"/>
    <w:rsid w:val="002C4E51"/>
    <w:rsid w:val="002C5B07"/>
    <w:rsid w:val="002C7A0D"/>
    <w:rsid w:val="002D2712"/>
    <w:rsid w:val="002D3A62"/>
    <w:rsid w:val="002D669D"/>
    <w:rsid w:val="002D6DE4"/>
    <w:rsid w:val="002E1CD4"/>
    <w:rsid w:val="002E7C84"/>
    <w:rsid w:val="002F1355"/>
    <w:rsid w:val="002F19C5"/>
    <w:rsid w:val="002F63B5"/>
    <w:rsid w:val="00301217"/>
    <w:rsid w:val="0030400E"/>
    <w:rsid w:val="00310DA4"/>
    <w:rsid w:val="003150AA"/>
    <w:rsid w:val="0031622F"/>
    <w:rsid w:val="0031690E"/>
    <w:rsid w:val="003177CB"/>
    <w:rsid w:val="00317DD6"/>
    <w:rsid w:val="0032120B"/>
    <w:rsid w:val="0032288B"/>
    <w:rsid w:val="00323AE1"/>
    <w:rsid w:val="0032608A"/>
    <w:rsid w:val="00327347"/>
    <w:rsid w:val="00330422"/>
    <w:rsid w:val="00333478"/>
    <w:rsid w:val="00333D81"/>
    <w:rsid w:val="00337344"/>
    <w:rsid w:val="003426B7"/>
    <w:rsid w:val="003541CE"/>
    <w:rsid w:val="0035467E"/>
    <w:rsid w:val="003549D1"/>
    <w:rsid w:val="003556F9"/>
    <w:rsid w:val="00356321"/>
    <w:rsid w:val="0035782B"/>
    <w:rsid w:val="003622F7"/>
    <w:rsid w:val="00363229"/>
    <w:rsid w:val="00370C8F"/>
    <w:rsid w:val="00371DAF"/>
    <w:rsid w:val="00374EC7"/>
    <w:rsid w:val="0037576B"/>
    <w:rsid w:val="00376841"/>
    <w:rsid w:val="00380347"/>
    <w:rsid w:val="00383EA9"/>
    <w:rsid w:val="00383FB7"/>
    <w:rsid w:val="0038571F"/>
    <w:rsid w:val="00390468"/>
    <w:rsid w:val="00396070"/>
    <w:rsid w:val="003A0198"/>
    <w:rsid w:val="003A092F"/>
    <w:rsid w:val="003A0FE8"/>
    <w:rsid w:val="003A1D86"/>
    <w:rsid w:val="003A33CD"/>
    <w:rsid w:val="003A5799"/>
    <w:rsid w:val="003A643C"/>
    <w:rsid w:val="003B050A"/>
    <w:rsid w:val="003B15D9"/>
    <w:rsid w:val="003B1FD8"/>
    <w:rsid w:val="003B2FFE"/>
    <w:rsid w:val="003B3D50"/>
    <w:rsid w:val="003C011D"/>
    <w:rsid w:val="003C532D"/>
    <w:rsid w:val="003D075B"/>
    <w:rsid w:val="003D17BD"/>
    <w:rsid w:val="003E1BD1"/>
    <w:rsid w:val="003E261D"/>
    <w:rsid w:val="003E46AD"/>
    <w:rsid w:val="003F097E"/>
    <w:rsid w:val="003F1DAE"/>
    <w:rsid w:val="00403AAD"/>
    <w:rsid w:val="00403FE4"/>
    <w:rsid w:val="00404499"/>
    <w:rsid w:val="004077E7"/>
    <w:rsid w:val="00407992"/>
    <w:rsid w:val="00412EC6"/>
    <w:rsid w:val="00420D7A"/>
    <w:rsid w:val="00430600"/>
    <w:rsid w:val="004323B4"/>
    <w:rsid w:val="00432F3C"/>
    <w:rsid w:val="00434B15"/>
    <w:rsid w:val="004372FD"/>
    <w:rsid w:val="00440BC5"/>
    <w:rsid w:val="0044381E"/>
    <w:rsid w:val="00445DC0"/>
    <w:rsid w:val="00446877"/>
    <w:rsid w:val="00446C4B"/>
    <w:rsid w:val="00450F8E"/>
    <w:rsid w:val="0045130C"/>
    <w:rsid w:val="00451A86"/>
    <w:rsid w:val="0045480B"/>
    <w:rsid w:val="00454DFB"/>
    <w:rsid w:val="004579AE"/>
    <w:rsid w:val="00460AC0"/>
    <w:rsid w:val="00464B00"/>
    <w:rsid w:val="00466734"/>
    <w:rsid w:val="00472C46"/>
    <w:rsid w:val="004760C1"/>
    <w:rsid w:val="00476EF8"/>
    <w:rsid w:val="00477094"/>
    <w:rsid w:val="00477F59"/>
    <w:rsid w:val="00481184"/>
    <w:rsid w:val="00482CC2"/>
    <w:rsid w:val="0048376B"/>
    <w:rsid w:val="00483EF6"/>
    <w:rsid w:val="00484CAC"/>
    <w:rsid w:val="004864C4"/>
    <w:rsid w:val="00486D0B"/>
    <w:rsid w:val="004873EF"/>
    <w:rsid w:val="00490281"/>
    <w:rsid w:val="00492DE3"/>
    <w:rsid w:val="00495E54"/>
    <w:rsid w:val="004972F8"/>
    <w:rsid w:val="00497A5A"/>
    <w:rsid w:val="004A04DE"/>
    <w:rsid w:val="004A0F59"/>
    <w:rsid w:val="004A29DF"/>
    <w:rsid w:val="004A5811"/>
    <w:rsid w:val="004B4DFB"/>
    <w:rsid w:val="004B79B4"/>
    <w:rsid w:val="004C365A"/>
    <w:rsid w:val="004C449C"/>
    <w:rsid w:val="004C4EF1"/>
    <w:rsid w:val="004C5D50"/>
    <w:rsid w:val="004C6022"/>
    <w:rsid w:val="004D42A5"/>
    <w:rsid w:val="004D6190"/>
    <w:rsid w:val="004E01B1"/>
    <w:rsid w:val="004E2567"/>
    <w:rsid w:val="004E415B"/>
    <w:rsid w:val="004E540D"/>
    <w:rsid w:val="004E57AC"/>
    <w:rsid w:val="004E5D33"/>
    <w:rsid w:val="004F0C8F"/>
    <w:rsid w:val="004F2BCE"/>
    <w:rsid w:val="004F7133"/>
    <w:rsid w:val="005028E0"/>
    <w:rsid w:val="00504E66"/>
    <w:rsid w:val="00506EEE"/>
    <w:rsid w:val="005101FA"/>
    <w:rsid w:val="00510B1A"/>
    <w:rsid w:val="00512D74"/>
    <w:rsid w:val="005150D4"/>
    <w:rsid w:val="005173F9"/>
    <w:rsid w:val="00520106"/>
    <w:rsid w:val="005227D4"/>
    <w:rsid w:val="00524E7A"/>
    <w:rsid w:val="00526603"/>
    <w:rsid w:val="00530ECC"/>
    <w:rsid w:val="005338D7"/>
    <w:rsid w:val="005340BD"/>
    <w:rsid w:val="005353BD"/>
    <w:rsid w:val="00544848"/>
    <w:rsid w:val="005451BB"/>
    <w:rsid w:val="00546DA2"/>
    <w:rsid w:val="00550891"/>
    <w:rsid w:val="00554299"/>
    <w:rsid w:val="005545A7"/>
    <w:rsid w:val="005569C2"/>
    <w:rsid w:val="00557164"/>
    <w:rsid w:val="00557D62"/>
    <w:rsid w:val="00557F5E"/>
    <w:rsid w:val="00560A96"/>
    <w:rsid w:val="00560E7C"/>
    <w:rsid w:val="00562A16"/>
    <w:rsid w:val="00563EA6"/>
    <w:rsid w:val="005658D9"/>
    <w:rsid w:val="0056647E"/>
    <w:rsid w:val="00566FAE"/>
    <w:rsid w:val="00567924"/>
    <w:rsid w:val="00570343"/>
    <w:rsid w:val="00570EC1"/>
    <w:rsid w:val="00572C48"/>
    <w:rsid w:val="0057386D"/>
    <w:rsid w:val="00576BFD"/>
    <w:rsid w:val="00577455"/>
    <w:rsid w:val="00581646"/>
    <w:rsid w:val="00581CD3"/>
    <w:rsid w:val="0058318E"/>
    <w:rsid w:val="00586433"/>
    <w:rsid w:val="005865CF"/>
    <w:rsid w:val="0058777B"/>
    <w:rsid w:val="00587B50"/>
    <w:rsid w:val="005916FF"/>
    <w:rsid w:val="005933B2"/>
    <w:rsid w:val="005963AA"/>
    <w:rsid w:val="005A1AFB"/>
    <w:rsid w:val="005A1F30"/>
    <w:rsid w:val="005A2246"/>
    <w:rsid w:val="005A34B2"/>
    <w:rsid w:val="005A3BC6"/>
    <w:rsid w:val="005B79DD"/>
    <w:rsid w:val="005C040E"/>
    <w:rsid w:val="005C4E0F"/>
    <w:rsid w:val="005C5115"/>
    <w:rsid w:val="005D1CE9"/>
    <w:rsid w:val="005D73FA"/>
    <w:rsid w:val="005E05E1"/>
    <w:rsid w:val="005E18BA"/>
    <w:rsid w:val="005E2F2C"/>
    <w:rsid w:val="005E47D1"/>
    <w:rsid w:val="005E4BE7"/>
    <w:rsid w:val="005E5A3B"/>
    <w:rsid w:val="005E5AE4"/>
    <w:rsid w:val="005E7106"/>
    <w:rsid w:val="005F2E23"/>
    <w:rsid w:val="005F3CE7"/>
    <w:rsid w:val="005F6149"/>
    <w:rsid w:val="005F6988"/>
    <w:rsid w:val="006003C1"/>
    <w:rsid w:val="00600BEC"/>
    <w:rsid w:val="00600FA1"/>
    <w:rsid w:val="00602C5B"/>
    <w:rsid w:val="00602D7E"/>
    <w:rsid w:val="00603DBA"/>
    <w:rsid w:val="00606454"/>
    <w:rsid w:val="00607C18"/>
    <w:rsid w:val="00610049"/>
    <w:rsid w:val="00613A75"/>
    <w:rsid w:val="00615DD1"/>
    <w:rsid w:val="00620F0B"/>
    <w:rsid w:val="00621064"/>
    <w:rsid w:val="006238B2"/>
    <w:rsid w:val="00630363"/>
    <w:rsid w:val="006315BC"/>
    <w:rsid w:val="006322DF"/>
    <w:rsid w:val="00633974"/>
    <w:rsid w:val="00636E61"/>
    <w:rsid w:val="00636FF6"/>
    <w:rsid w:val="00644358"/>
    <w:rsid w:val="00644A43"/>
    <w:rsid w:val="0064500E"/>
    <w:rsid w:val="0064642D"/>
    <w:rsid w:val="00651B4F"/>
    <w:rsid w:val="00652B1C"/>
    <w:rsid w:val="0065572A"/>
    <w:rsid w:val="00660567"/>
    <w:rsid w:val="006629D7"/>
    <w:rsid w:val="00663E29"/>
    <w:rsid w:val="00663FF4"/>
    <w:rsid w:val="006653ED"/>
    <w:rsid w:val="00673126"/>
    <w:rsid w:val="00674C5C"/>
    <w:rsid w:val="006764DC"/>
    <w:rsid w:val="006816F2"/>
    <w:rsid w:val="00682453"/>
    <w:rsid w:val="006826FB"/>
    <w:rsid w:val="006839C2"/>
    <w:rsid w:val="00684423"/>
    <w:rsid w:val="00684D0F"/>
    <w:rsid w:val="00685808"/>
    <w:rsid w:val="006878CC"/>
    <w:rsid w:val="00691840"/>
    <w:rsid w:val="0069274C"/>
    <w:rsid w:val="00692C47"/>
    <w:rsid w:val="00692F34"/>
    <w:rsid w:val="00693039"/>
    <w:rsid w:val="0069771C"/>
    <w:rsid w:val="006A0BEB"/>
    <w:rsid w:val="006A256E"/>
    <w:rsid w:val="006A4699"/>
    <w:rsid w:val="006A754B"/>
    <w:rsid w:val="006B3135"/>
    <w:rsid w:val="006B3FA6"/>
    <w:rsid w:val="006B41F5"/>
    <w:rsid w:val="006C0E42"/>
    <w:rsid w:val="006C375D"/>
    <w:rsid w:val="006C3D79"/>
    <w:rsid w:val="006C3E3B"/>
    <w:rsid w:val="006D0A29"/>
    <w:rsid w:val="006D3BD3"/>
    <w:rsid w:val="006D6A64"/>
    <w:rsid w:val="006E014A"/>
    <w:rsid w:val="006E2DC5"/>
    <w:rsid w:val="006E474B"/>
    <w:rsid w:val="006E50F9"/>
    <w:rsid w:val="006E617C"/>
    <w:rsid w:val="006F2735"/>
    <w:rsid w:val="006F3F43"/>
    <w:rsid w:val="006F4F07"/>
    <w:rsid w:val="006F6CC8"/>
    <w:rsid w:val="006F709F"/>
    <w:rsid w:val="007005C6"/>
    <w:rsid w:val="00701244"/>
    <w:rsid w:val="0070312B"/>
    <w:rsid w:val="0070420D"/>
    <w:rsid w:val="00706B77"/>
    <w:rsid w:val="007072B9"/>
    <w:rsid w:val="00707ACB"/>
    <w:rsid w:val="00707BFA"/>
    <w:rsid w:val="007116C5"/>
    <w:rsid w:val="00712389"/>
    <w:rsid w:val="00713177"/>
    <w:rsid w:val="007137B0"/>
    <w:rsid w:val="00714735"/>
    <w:rsid w:val="007147AF"/>
    <w:rsid w:val="00715873"/>
    <w:rsid w:val="00716040"/>
    <w:rsid w:val="00716664"/>
    <w:rsid w:val="007169F0"/>
    <w:rsid w:val="0071727A"/>
    <w:rsid w:val="00717432"/>
    <w:rsid w:val="00726797"/>
    <w:rsid w:val="007306F9"/>
    <w:rsid w:val="00730E9B"/>
    <w:rsid w:val="007314FD"/>
    <w:rsid w:val="00731823"/>
    <w:rsid w:val="0073438D"/>
    <w:rsid w:val="007405DC"/>
    <w:rsid w:val="00744FC7"/>
    <w:rsid w:val="007454A7"/>
    <w:rsid w:val="00745CBC"/>
    <w:rsid w:val="00751C31"/>
    <w:rsid w:val="00752A07"/>
    <w:rsid w:val="007531C5"/>
    <w:rsid w:val="00753A89"/>
    <w:rsid w:val="00754178"/>
    <w:rsid w:val="00754597"/>
    <w:rsid w:val="007548F6"/>
    <w:rsid w:val="00756700"/>
    <w:rsid w:val="00757A9C"/>
    <w:rsid w:val="0076242F"/>
    <w:rsid w:val="0076265D"/>
    <w:rsid w:val="007701D6"/>
    <w:rsid w:val="00771D50"/>
    <w:rsid w:val="00772195"/>
    <w:rsid w:val="0077580A"/>
    <w:rsid w:val="007771EC"/>
    <w:rsid w:val="00777692"/>
    <w:rsid w:val="007809A3"/>
    <w:rsid w:val="00781027"/>
    <w:rsid w:val="007836E9"/>
    <w:rsid w:val="00793D8E"/>
    <w:rsid w:val="00794219"/>
    <w:rsid w:val="00794E50"/>
    <w:rsid w:val="00797965"/>
    <w:rsid w:val="007A19AD"/>
    <w:rsid w:val="007A3D6F"/>
    <w:rsid w:val="007A6163"/>
    <w:rsid w:val="007A62D7"/>
    <w:rsid w:val="007A6832"/>
    <w:rsid w:val="007B29CE"/>
    <w:rsid w:val="007B4D68"/>
    <w:rsid w:val="007B52D9"/>
    <w:rsid w:val="007B60E6"/>
    <w:rsid w:val="007B7603"/>
    <w:rsid w:val="007D1326"/>
    <w:rsid w:val="007D2C9F"/>
    <w:rsid w:val="007D3FA2"/>
    <w:rsid w:val="007D5403"/>
    <w:rsid w:val="007E11E9"/>
    <w:rsid w:val="007E120C"/>
    <w:rsid w:val="007E160A"/>
    <w:rsid w:val="007E5964"/>
    <w:rsid w:val="007E689C"/>
    <w:rsid w:val="007F01CA"/>
    <w:rsid w:val="007F1D3B"/>
    <w:rsid w:val="007F3B1B"/>
    <w:rsid w:val="007F4574"/>
    <w:rsid w:val="007F75D2"/>
    <w:rsid w:val="00804BDC"/>
    <w:rsid w:val="00813929"/>
    <w:rsid w:val="00814952"/>
    <w:rsid w:val="0081625A"/>
    <w:rsid w:val="00824BA6"/>
    <w:rsid w:val="0082625C"/>
    <w:rsid w:val="00827168"/>
    <w:rsid w:val="00830963"/>
    <w:rsid w:val="00830BCA"/>
    <w:rsid w:val="00830CB9"/>
    <w:rsid w:val="00833DAD"/>
    <w:rsid w:val="00834425"/>
    <w:rsid w:val="00836C63"/>
    <w:rsid w:val="008405F5"/>
    <w:rsid w:val="00850B23"/>
    <w:rsid w:val="00853D6B"/>
    <w:rsid w:val="00854E6F"/>
    <w:rsid w:val="00854F0C"/>
    <w:rsid w:val="00855DF5"/>
    <w:rsid w:val="0085676C"/>
    <w:rsid w:val="00861CC9"/>
    <w:rsid w:val="00861E69"/>
    <w:rsid w:val="008620D1"/>
    <w:rsid w:val="00866944"/>
    <w:rsid w:val="008700CE"/>
    <w:rsid w:val="008713F9"/>
    <w:rsid w:val="00871940"/>
    <w:rsid w:val="00872982"/>
    <w:rsid w:val="00877696"/>
    <w:rsid w:val="00877B83"/>
    <w:rsid w:val="00877DCF"/>
    <w:rsid w:val="00877FE8"/>
    <w:rsid w:val="008840E4"/>
    <w:rsid w:val="008848CB"/>
    <w:rsid w:val="008877E3"/>
    <w:rsid w:val="008905B6"/>
    <w:rsid w:val="0089410A"/>
    <w:rsid w:val="008957E7"/>
    <w:rsid w:val="008974A8"/>
    <w:rsid w:val="008976E6"/>
    <w:rsid w:val="008A0818"/>
    <w:rsid w:val="008A0B18"/>
    <w:rsid w:val="008A3EE0"/>
    <w:rsid w:val="008A529C"/>
    <w:rsid w:val="008A74FF"/>
    <w:rsid w:val="008B37EE"/>
    <w:rsid w:val="008B5631"/>
    <w:rsid w:val="008B7EA9"/>
    <w:rsid w:val="008B7FD2"/>
    <w:rsid w:val="008C084A"/>
    <w:rsid w:val="008C0B0D"/>
    <w:rsid w:val="008C0FC9"/>
    <w:rsid w:val="008C11F5"/>
    <w:rsid w:val="008C61DF"/>
    <w:rsid w:val="008C639B"/>
    <w:rsid w:val="008C74C4"/>
    <w:rsid w:val="008D142F"/>
    <w:rsid w:val="008D3D03"/>
    <w:rsid w:val="008D528B"/>
    <w:rsid w:val="008E3214"/>
    <w:rsid w:val="008E4328"/>
    <w:rsid w:val="008F4D0C"/>
    <w:rsid w:val="008F63EA"/>
    <w:rsid w:val="008F6C6D"/>
    <w:rsid w:val="00902870"/>
    <w:rsid w:val="009039E2"/>
    <w:rsid w:val="00910BE4"/>
    <w:rsid w:val="009145E4"/>
    <w:rsid w:val="0092227D"/>
    <w:rsid w:val="009228AE"/>
    <w:rsid w:val="009332B6"/>
    <w:rsid w:val="009335D1"/>
    <w:rsid w:val="00933771"/>
    <w:rsid w:val="009363A8"/>
    <w:rsid w:val="00937DD8"/>
    <w:rsid w:val="00940B0B"/>
    <w:rsid w:val="0094347D"/>
    <w:rsid w:val="009454CA"/>
    <w:rsid w:val="00952D00"/>
    <w:rsid w:val="009536FB"/>
    <w:rsid w:val="00954245"/>
    <w:rsid w:val="00955462"/>
    <w:rsid w:val="009564A2"/>
    <w:rsid w:val="00956F91"/>
    <w:rsid w:val="00981742"/>
    <w:rsid w:val="00981E2C"/>
    <w:rsid w:val="00986459"/>
    <w:rsid w:val="0099022A"/>
    <w:rsid w:val="0099056F"/>
    <w:rsid w:val="00990736"/>
    <w:rsid w:val="00990B48"/>
    <w:rsid w:val="00991279"/>
    <w:rsid w:val="00994072"/>
    <w:rsid w:val="00994812"/>
    <w:rsid w:val="00995E97"/>
    <w:rsid w:val="00996F69"/>
    <w:rsid w:val="009979B0"/>
    <w:rsid w:val="00997E7E"/>
    <w:rsid w:val="009A612E"/>
    <w:rsid w:val="009A621A"/>
    <w:rsid w:val="009A72B4"/>
    <w:rsid w:val="009A7768"/>
    <w:rsid w:val="009A7858"/>
    <w:rsid w:val="009B0C14"/>
    <w:rsid w:val="009B2851"/>
    <w:rsid w:val="009B379B"/>
    <w:rsid w:val="009B5319"/>
    <w:rsid w:val="009B6BDA"/>
    <w:rsid w:val="009B759A"/>
    <w:rsid w:val="009B7971"/>
    <w:rsid w:val="009B7983"/>
    <w:rsid w:val="009C19B8"/>
    <w:rsid w:val="009C38FB"/>
    <w:rsid w:val="009C3BF3"/>
    <w:rsid w:val="009C7980"/>
    <w:rsid w:val="009D0AAB"/>
    <w:rsid w:val="009D387A"/>
    <w:rsid w:val="009E4582"/>
    <w:rsid w:val="009F037D"/>
    <w:rsid w:val="009F05F5"/>
    <w:rsid w:val="009F0972"/>
    <w:rsid w:val="009F42D9"/>
    <w:rsid w:val="009F46BA"/>
    <w:rsid w:val="009F522E"/>
    <w:rsid w:val="00A020BC"/>
    <w:rsid w:val="00A02FF9"/>
    <w:rsid w:val="00A155DB"/>
    <w:rsid w:val="00A20550"/>
    <w:rsid w:val="00A20EDE"/>
    <w:rsid w:val="00A218E3"/>
    <w:rsid w:val="00A23FB6"/>
    <w:rsid w:val="00A23FDD"/>
    <w:rsid w:val="00A2454A"/>
    <w:rsid w:val="00A26134"/>
    <w:rsid w:val="00A27D83"/>
    <w:rsid w:val="00A27E6A"/>
    <w:rsid w:val="00A332AE"/>
    <w:rsid w:val="00A3369F"/>
    <w:rsid w:val="00A33AD0"/>
    <w:rsid w:val="00A376A2"/>
    <w:rsid w:val="00A4004E"/>
    <w:rsid w:val="00A40963"/>
    <w:rsid w:val="00A41F4D"/>
    <w:rsid w:val="00A43276"/>
    <w:rsid w:val="00A4425F"/>
    <w:rsid w:val="00A44E99"/>
    <w:rsid w:val="00A4728F"/>
    <w:rsid w:val="00A53CD8"/>
    <w:rsid w:val="00A61FDA"/>
    <w:rsid w:val="00A63E77"/>
    <w:rsid w:val="00A641DF"/>
    <w:rsid w:val="00A64C19"/>
    <w:rsid w:val="00A65683"/>
    <w:rsid w:val="00A739BD"/>
    <w:rsid w:val="00A74977"/>
    <w:rsid w:val="00A751FF"/>
    <w:rsid w:val="00A76C57"/>
    <w:rsid w:val="00A81C2E"/>
    <w:rsid w:val="00A82A0C"/>
    <w:rsid w:val="00A84A97"/>
    <w:rsid w:val="00A860D9"/>
    <w:rsid w:val="00A9026A"/>
    <w:rsid w:val="00A90D60"/>
    <w:rsid w:val="00A90E96"/>
    <w:rsid w:val="00A93595"/>
    <w:rsid w:val="00A95FE4"/>
    <w:rsid w:val="00A9746B"/>
    <w:rsid w:val="00AA2C6E"/>
    <w:rsid w:val="00AA4C83"/>
    <w:rsid w:val="00AB4083"/>
    <w:rsid w:val="00AB41A4"/>
    <w:rsid w:val="00AB5700"/>
    <w:rsid w:val="00AC4A30"/>
    <w:rsid w:val="00AC67C7"/>
    <w:rsid w:val="00AD05D5"/>
    <w:rsid w:val="00AD548B"/>
    <w:rsid w:val="00AD7D30"/>
    <w:rsid w:val="00AE0636"/>
    <w:rsid w:val="00AE278D"/>
    <w:rsid w:val="00AE4937"/>
    <w:rsid w:val="00AE55F4"/>
    <w:rsid w:val="00AE5CEA"/>
    <w:rsid w:val="00AF08A5"/>
    <w:rsid w:val="00AF2E2D"/>
    <w:rsid w:val="00AF6EF2"/>
    <w:rsid w:val="00AF7DD6"/>
    <w:rsid w:val="00B000A9"/>
    <w:rsid w:val="00B002F2"/>
    <w:rsid w:val="00B01961"/>
    <w:rsid w:val="00B067B6"/>
    <w:rsid w:val="00B1194A"/>
    <w:rsid w:val="00B13406"/>
    <w:rsid w:val="00B14D81"/>
    <w:rsid w:val="00B14F61"/>
    <w:rsid w:val="00B16DEA"/>
    <w:rsid w:val="00B17451"/>
    <w:rsid w:val="00B238E9"/>
    <w:rsid w:val="00B25315"/>
    <w:rsid w:val="00B275AC"/>
    <w:rsid w:val="00B32A4B"/>
    <w:rsid w:val="00B32EF1"/>
    <w:rsid w:val="00B34ACC"/>
    <w:rsid w:val="00B34BC9"/>
    <w:rsid w:val="00B35807"/>
    <w:rsid w:val="00B35DC1"/>
    <w:rsid w:val="00B37CE8"/>
    <w:rsid w:val="00B37ECC"/>
    <w:rsid w:val="00B37F37"/>
    <w:rsid w:val="00B406CE"/>
    <w:rsid w:val="00B434CA"/>
    <w:rsid w:val="00B44513"/>
    <w:rsid w:val="00B45415"/>
    <w:rsid w:val="00B46357"/>
    <w:rsid w:val="00B523E2"/>
    <w:rsid w:val="00B5530A"/>
    <w:rsid w:val="00B5573B"/>
    <w:rsid w:val="00B56471"/>
    <w:rsid w:val="00B64963"/>
    <w:rsid w:val="00B7025D"/>
    <w:rsid w:val="00B710DF"/>
    <w:rsid w:val="00B8683E"/>
    <w:rsid w:val="00B87174"/>
    <w:rsid w:val="00B9466E"/>
    <w:rsid w:val="00B96A9E"/>
    <w:rsid w:val="00B9764E"/>
    <w:rsid w:val="00BA2A3D"/>
    <w:rsid w:val="00BA395F"/>
    <w:rsid w:val="00BA39AC"/>
    <w:rsid w:val="00BA3FCD"/>
    <w:rsid w:val="00BA427A"/>
    <w:rsid w:val="00BA5F14"/>
    <w:rsid w:val="00BB07C9"/>
    <w:rsid w:val="00BC1B45"/>
    <w:rsid w:val="00BC7858"/>
    <w:rsid w:val="00BD3E00"/>
    <w:rsid w:val="00BD41F4"/>
    <w:rsid w:val="00BE1A9B"/>
    <w:rsid w:val="00BE2FCB"/>
    <w:rsid w:val="00BE65D2"/>
    <w:rsid w:val="00BF0598"/>
    <w:rsid w:val="00BF0D54"/>
    <w:rsid w:val="00BF11D6"/>
    <w:rsid w:val="00BF149F"/>
    <w:rsid w:val="00BF179D"/>
    <w:rsid w:val="00BF23A9"/>
    <w:rsid w:val="00BF3C5E"/>
    <w:rsid w:val="00BF60FA"/>
    <w:rsid w:val="00BF68CB"/>
    <w:rsid w:val="00BF6A2F"/>
    <w:rsid w:val="00C02FF1"/>
    <w:rsid w:val="00C03BB3"/>
    <w:rsid w:val="00C0489F"/>
    <w:rsid w:val="00C0608E"/>
    <w:rsid w:val="00C130D2"/>
    <w:rsid w:val="00C13B32"/>
    <w:rsid w:val="00C13F44"/>
    <w:rsid w:val="00C1419D"/>
    <w:rsid w:val="00C15A45"/>
    <w:rsid w:val="00C15E23"/>
    <w:rsid w:val="00C1675D"/>
    <w:rsid w:val="00C213EB"/>
    <w:rsid w:val="00C21520"/>
    <w:rsid w:val="00C2586B"/>
    <w:rsid w:val="00C25AD5"/>
    <w:rsid w:val="00C261F7"/>
    <w:rsid w:val="00C26A96"/>
    <w:rsid w:val="00C26E8B"/>
    <w:rsid w:val="00C335DF"/>
    <w:rsid w:val="00C33AFB"/>
    <w:rsid w:val="00C375BE"/>
    <w:rsid w:val="00C45469"/>
    <w:rsid w:val="00C4556F"/>
    <w:rsid w:val="00C52357"/>
    <w:rsid w:val="00C526B5"/>
    <w:rsid w:val="00C52CEC"/>
    <w:rsid w:val="00C607FC"/>
    <w:rsid w:val="00C65037"/>
    <w:rsid w:val="00C6568A"/>
    <w:rsid w:val="00C65C10"/>
    <w:rsid w:val="00C66AD2"/>
    <w:rsid w:val="00C71634"/>
    <w:rsid w:val="00C730BA"/>
    <w:rsid w:val="00C73DB6"/>
    <w:rsid w:val="00C770F9"/>
    <w:rsid w:val="00C811D3"/>
    <w:rsid w:val="00C82461"/>
    <w:rsid w:val="00C84518"/>
    <w:rsid w:val="00C84607"/>
    <w:rsid w:val="00C85030"/>
    <w:rsid w:val="00C8682B"/>
    <w:rsid w:val="00C87404"/>
    <w:rsid w:val="00C93DBF"/>
    <w:rsid w:val="00C9427D"/>
    <w:rsid w:val="00C9490E"/>
    <w:rsid w:val="00C94D88"/>
    <w:rsid w:val="00C97FF6"/>
    <w:rsid w:val="00CA0E52"/>
    <w:rsid w:val="00CA6BB2"/>
    <w:rsid w:val="00CA7D53"/>
    <w:rsid w:val="00CB3D42"/>
    <w:rsid w:val="00CB4788"/>
    <w:rsid w:val="00CB5D09"/>
    <w:rsid w:val="00CB64E4"/>
    <w:rsid w:val="00CB6CA0"/>
    <w:rsid w:val="00CB7C40"/>
    <w:rsid w:val="00CC19F7"/>
    <w:rsid w:val="00CC4701"/>
    <w:rsid w:val="00CC4797"/>
    <w:rsid w:val="00CC6134"/>
    <w:rsid w:val="00CC71AB"/>
    <w:rsid w:val="00CD1349"/>
    <w:rsid w:val="00CD2758"/>
    <w:rsid w:val="00CD4516"/>
    <w:rsid w:val="00CD6666"/>
    <w:rsid w:val="00CE5BF0"/>
    <w:rsid w:val="00CE6B1A"/>
    <w:rsid w:val="00CE7448"/>
    <w:rsid w:val="00CF3D94"/>
    <w:rsid w:val="00CF59A9"/>
    <w:rsid w:val="00D01F38"/>
    <w:rsid w:val="00D03C6A"/>
    <w:rsid w:val="00D0468D"/>
    <w:rsid w:val="00D04D3B"/>
    <w:rsid w:val="00D055DD"/>
    <w:rsid w:val="00D12576"/>
    <w:rsid w:val="00D22B3B"/>
    <w:rsid w:val="00D267C3"/>
    <w:rsid w:val="00D30267"/>
    <w:rsid w:val="00D31C69"/>
    <w:rsid w:val="00D36771"/>
    <w:rsid w:val="00D411C6"/>
    <w:rsid w:val="00D413F5"/>
    <w:rsid w:val="00D42050"/>
    <w:rsid w:val="00D4414F"/>
    <w:rsid w:val="00D50EDE"/>
    <w:rsid w:val="00D52210"/>
    <w:rsid w:val="00D52DBD"/>
    <w:rsid w:val="00D57515"/>
    <w:rsid w:val="00D63B03"/>
    <w:rsid w:val="00D6674B"/>
    <w:rsid w:val="00D70E8E"/>
    <w:rsid w:val="00D733AD"/>
    <w:rsid w:val="00D74586"/>
    <w:rsid w:val="00D80331"/>
    <w:rsid w:val="00D81DDC"/>
    <w:rsid w:val="00D821C5"/>
    <w:rsid w:val="00D83C01"/>
    <w:rsid w:val="00D857C2"/>
    <w:rsid w:val="00D859C3"/>
    <w:rsid w:val="00D86AE9"/>
    <w:rsid w:val="00D9363C"/>
    <w:rsid w:val="00D95B0B"/>
    <w:rsid w:val="00DA7048"/>
    <w:rsid w:val="00DB2CBF"/>
    <w:rsid w:val="00DB3045"/>
    <w:rsid w:val="00DB3433"/>
    <w:rsid w:val="00DB4F8E"/>
    <w:rsid w:val="00DB5213"/>
    <w:rsid w:val="00DB5882"/>
    <w:rsid w:val="00DB6ACF"/>
    <w:rsid w:val="00DB77DA"/>
    <w:rsid w:val="00DC1270"/>
    <w:rsid w:val="00DC5018"/>
    <w:rsid w:val="00DD0057"/>
    <w:rsid w:val="00DD25AB"/>
    <w:rsid w:val="00DD39B7"/>
    <w:rsid w:val="00DD45F8"/>
    <w:rsid w:val="00DD583E"/>
    <w:rsid w:val="00DD76D7"/>
    <w:rsid w:val="00DE0346"/>
    <w:rsid w:val="00DE1DAD"/>
    <w:rsid w:val="00DF4469"/>
    <w:rsid w:val="00DF4A54"/>
    <w:rsid w:val="00DF5186"/>
    <w:rsid w:val="00E014F6"/>
    <w:rsid w:val="00E04566"/>
    <w:rsid w:val="00E0785E"/>
    <w:rsid w:val="00E125C8"/>
    <w:rsid w:val="00E125E3"/>
    <w:rsid w:val="00E148D8"/>
    <w:rsid w:val="00E15EE5"/>
    <w:rsid w:val="00E17875"/>
    <w:rsid w:val="00E20531"/>
    <w:rsid w:val="00E21543"/>
    <w:rsid w:val="00E2348E"/>
    <w:rsid w:val="00E23A2E"/>
    <w:rsid w:val="00E24F74"/>
    <w:rsid w:val="00E263AC"/>
    <w:rsid w:val="00E26C34"/>
    <w:rsid w:val="00E30B65"/>
    <w:rsid w:val="00E32A25"/>
    <w:rsid w:val="00E339C0"/>
    <w:rsid w:val="00E354D1"/>
    <w:rsid w:val="00E43178"/>
    <w:rsid w:val="00E444A3"/>
    <w:rsid w:val="00E4568C"/>
    <w:rsid w:val="00E509E8"/>
    <w:rsid w:val="00E5492F"/>
    <w:rsid w:val="00E56BBE"/>
    <w:rsid w:val="00E57630"/>
    <w:rsid w:val="00E62686"/>
    <w:rsid w:val="00E64E3A"/>
    <w:rsid w:val="00E66A70"/>
    <w:rsid w:val="00E714F5"/>
    <w:rsid w:val="00E82154"/>
    <w:rsid w:val="00E85454"/>
    <w:rsid w:val="00E87D02"/>
    <w:rsid w:val="00E900D8"/>
    <w:rsid w:val="00E93B45"/>
    <w:rsid w:val="00E94FCF"/>
    <w:rsid w:val="00EA154B"/>
    <w:rsid w:val="00EA40B8"/>
    <w:rsid w:val="00EA46BB"/>
    <w:rsid w:val="00EA5619"/>
    <w:rsid w:val="00EB0044"/>
    <w:rsid w:val="00EB2DE2"/>
    <w:rsid w:val="00EB3186"/>
    <w:rsid w:val="00EC15B5"/>
    <w:rsid w:val="00EC5805"/>
    <w:rsid w:val="00EC6E15"/>
    <w:rsid w:val="00ED06DA"/>
    <w:rsid w:val="00ED4617"/>
    <w:rsid w:val="00EE2D63"/>
    <w:rsid w:val="00EE4E3C"/>
    <w:rsid w:val="00EE5429"/>
    <w:rsid w:val="00EE5ADB"/>
    <w:rsid w:val="00EF044D"/>
    <w:rsid w:val="00EF059C"/>
    <w:rsid w:val="00EF3962"/>
    <w:rsid w:val="00EF5A8F"/>
    <w:rsid w:val="00EF73BE"/>
    <w:rsid w:val="00F00F74"/>
    <w:rsid w:val="00F01887"/>
    <w:rsid w:val="00F02500"/>
    <w:rsid w:val="00F068DF"/>
    <w:rsid w:val="00F1176D"/>
    <w:rsid w:val="00F17B9F"/>
    <w:rsid w:val="00F204E0"/>
    <w:rsid w:val="00F215DF"/>
    <w:rsid w:val="00F2202D"/>
    <w:rsid w:val="00F230A5"/>
    <w:rsid w:val="00F274DD"/>
    <w:rsid w:val="00F27FBF"/>
    <w:rsid w:val="00F30CC4"/>
    <w:rsid w:val="00F31196"/>
    <w:rsid w:val="00F33B48"/>
    <w:rsid w:val="00F34006"/>
    <w:rsid w:val="00F34B0A"/>
    <w:rsid w:val="00F4526C"/>
    <w:rsid w:val="00F50DDD"/>
    <w:rsid w:val="00F53089"/>
    <w:rsid w:val="00F540F8"/>
    <w:rsid w:val="00F56B98"/>
    <w:rsid w:val="00F61692"/>
    <w:rsid w:val="00F654C5"/>
    <w:rsid w:val="00F66E7E"/>
    <w:rsid w:val="00F67206"/>
    <w:rsid w:val="00F70B95"/>
    <w:rsid w:val="00F715DE"/>
    <w:rsid w:val="00F72B23"/>
    <w:rsid w:val="00F73CBB"/>
    <w:rsid w:val="00F761DA"/>
    <w:rsid w:val="00F82521"/>
    <w:rsid w:val="00F85039"/>
    <w:rsid w:val="00F85F70"/>
    <w:rsid w:val="00F87B91"/>
    <w:rsid w:val="00F9169A"/>
    <w:rsid w:val="00F9424E"/>
    <w:rsid w:val="00F94EC5"/>
    <w:rsid w:val="00FA03D6"/>
    <w:rsid w:val="00FA06AF"/>
    <w:rsid w:val="00FA09B5"/>
    <w:rsid w:val="00FA1D3A"/>
    <w:rsid w:val="00FA6653"/>
    <w:rsid w:val="00FA68DB"/>
    <w:rsid w:val="00FA6A62"/>
    <w:rsid w:val="00FA7430"/>
    <w:rsid w:val="00FB0518"/>
    <w:rsid w:val="00FB1D7D"/>
    <w:rsid w:val="00FB210F"/>
    <w:rsid w:val="00FB4E9F"/>
    <w:rsid w:val="00FC4ACF"/>
    <w:rsid w:val="00FC63E0"/>
    <w:rsid w:val="00FD3F4A"/>
    <w:rsid w:val="00FE0707"/>
    <w:rsid w:val="00FE173E"/>
    <w:rsid w:val="00FE37E5"/>
    <w:rsid w:val="00FE4F38"/>
    <w:rsid w:val="00FE6077"/>
    <w:rsid w:val="00FE7CDA"/>
    <w:rsid w:val="00FF2342"/>
    <w:rsid w:val="00FF314A"/>
    <w:rsid w:val="00FF3702"/>
    <w:rsid w:val="00FF42D4"/>
    <w:rsid w:val="00FF5E4D"/>
    <w:rsid w:val="01095331"/>
    <w:rsid w:val="01415D92"/>
    <w:rsid w:val="01581382"/>
    <w:rsid w:val="018B1D7D"/>
    <w:rsid w:val="01A06128"/>
    <w:rsid w:val="01C901A1"/>
    <w:rsid w:val="01D40725"/>
    <w:rsid w:val="02095E20"/>
    <w:rsid w:val="02345C0F"/>
    <w:rsid w:val="02380465"/>
    <w:rsid w:val="023FEF6A"/>
    <w:rsid w:val="024E1C49"/>
    <w:rsid w:val="02604606"/>
    <w:rsid w:val="02941E14"/>
    <w:rsid w:val="02D51B92"/>
    <w:rsid w:val="03010D22"/>
    <w:rsid w:val="03294CE6"/>
    <w:rsid w:val="03295D70"/>
    <w:rsid w:val="032B03AA"/>
    <w:rsid w:val="032F3FB0"/>
    <w:rsid w:val="033D69F6"/>
    <w:rsid w:val="03542396"/>
    <w:rsid w:val="037E2B67"/>
    <w:rsid w:val="03B56F7B"/>
    <w:rsid w:val="03CA4A9C"/>
    <w:rsid w:val="041B0A65"/>
    <w:rsid w:val="04750EFA"/>
    <w:rsid w:val="047665CE"/>
    <w:rsid w:val="047678D3"/>
    <w:rsid w:val="049869DF"/>
    <w:rsid w:val="04CD092F"/>
    <w:rsid w:val="04E836BF"/>
    <w:rsid w:val="0500243F"/>
    <w:rsid w:val="056326DA"/>
    <w:rsid w:val="059662E2"/>
    <w:rsid w:val="05B1203A"/>
    <w:rsid w:val="06033DBD"/>
    <w:rsid w:val="06224621"/>
    <w:rsid w:val="0624301F"/>
    <w:rsid w:val="06482436"/>
    <w:rsid w:val="0671239A"/>
    <w:rsid w:val="06B07C43"/>
    <w:rsid w:val="06B43D3B"/>
    <w:rsid w:val="06E104DC"/>
    <w:rsid w:val="06EB776D"/>
    <w:rsid w:val="0731147F"/>
    <w:rsid w:val="073E101F"/>
    <w:rsid w:val="0768187A"/>
    <w:rsid w:val="076D28B2"/>
    <w:rsid w:val="078B3153"/>
    <w:rsid w:val="078D6808"/>
    <w:rsid w:val="07992EBD"/>
    <w:rsid w:val="07AF1DAE"/>
    <w:rsid w:val="07C24B61"/>
    <w:rsid w:val="07C876CD"/>
    <w:rsid w:val="07DE721E"/>
    <w:rsid w:val="07EC2C2B"/>
    <w:rsid w:val="081711E3"/>
    <w:rsid w:val="08391A75"/>
    <w:rsid w:val="08494E34"/>
    <w:rsid w:val="08655064"/>
    <w:rsid w:val="086A0168"/>
    <w:rsid w:val="08971324"/>
    <w:rsid w:val="08EA46D7"/>
    <w:rsid w:val="092A2235"/>
    <w:rsid w:val="09737190"/>
    <w:rsid w:val="09C44E0F"/>
    <w:rsid w:val="0A184F25"/>
    <w:rsid w:val="0A260878"/>
    <w:rsid w:val="0A346E2E"/>
    <w:rsid w:val="0A4B5D00"/>
    <w:rsid w:val="0A5344BA"/>
    <w:rsid w:val="0A6766AF"/>
    <w:rsid w:val="0A701F0D"/>
    <w:rsid w:val="0A852BD8"/>
    <w:rsid w:val="0A9617D5"/>
    <w:rsid w:val="0A9D178C"/>
    <w:rsid w:val="0AAC468F"/>
    <w:rsid w:val="0AC169EC"/>
    <w:rsid w:val="0AC83E19"/>
    <w:rsid w:val="0AE207F3"/>
    <w:rsid w:val="0B1A4C9E"/>
    <w:rsid w:val="0B3041F8"/>
    <w:rsid w:val="0B4E35E4"/>
    <w:rsid w:val="0B607895"/>
    <w:rsid w:val="0B67306F"/>
    <w:rsid w:val="0B8F5F21"/>
    <w:rsid w:val="0BAA07F8"/>
    <w:rsid w:val="0BE65DF4"/>
    <w:rsid w:val="0BFA2E04"/>
    <w:rsid w:val="0C074589"/>
    <w:rsid w:val="0C0777A4"/>
    <w:rsid w:val="0C1C3F67"/>
    <w:rsid w:val="0C2A689B"/>
    <w:rsid w:val="0C3A7B8A"/>
    <w:rsid w:val="0C45039E"/>
    <w:rsid w:val="0C511FC0"/>
    <w:rsid w:val="0C956432"/>
    <w:rsid w:val="0CB356DC"/>
    <w:rsid w:val="0CC3182D"/>
    <w:rsid w:val="0CEC12E3"/>
    <w:rsid w:val="0D024C2F"/>
    <w:rsid w:val="0D12204A"/>
    <w:rsid w:val="0D1B30E3"/>
    <w:rsid w:val="0D28248F"/>
    <w:rsid w:val="0D345D6D"/>
    <w:rsid w:val="0D56313D"/>
    <w:rsid w:val="0D786E25"/>
    <w:rsid w:val="0DB326EE"/>
    <w:rsid w:val="0DCC5911"/>
    <w:rsid w:val="0DCE7264"/>
    <w:rsid w:val="0E1D392E"/>
    <w:rsid w:val="0E3328EC"/>
    <w:rsid w:val="0E58556F"/>
    <w:rsid w:val="0E71704F"/>
    <w:rsid w:val="0E7173A2"/>
    <w:rsid w:val="0EB82814"/>
    <w:rsid w:val="0EBE12D0"/>
    <w:rsid w:val="0EE271CE"/>
    <w:rsid w:val="0EE85525"/>
    <w:rsid w:val="0F0B7279"/>
    <w:rsid w:val="0F2E0BD5"/>
    <w:rsid w:val="0F3454AB"/>
    <w:rsid w:val="0F3C590C"/>
    <w:rsid w:val="0F564A25"/>
    <w:rsid w:val="0F9F7693"/>
    <w:rsid w:val="0FAD15C2"/>
    <w:rsid w:val="0FC539CE"/>
    <w:rsid w:val="0FDA73A1"/>
    <w:rsid w:val="0FF0196A"/>
    <w:rsid w:val="1076786C"/>
    <w:rsid w:val="10D170B5"/>
    <w:rsid w:val="10DA42EE"/>
    <w:rsid w:val="10FB5145"/>
    <w:rsid w:val="110209FE"/>
    <w:rsid w:val="11365752"/>
    <w:rsid w:val="113A6BBA"/>
    <w:rsid w:val="113C1628"/>
    <w:rsid w:val="115219BD"/>
    <w:rsid w:val="11614615"/>
    <w:rsid w:val="11781C6F"/>
    <w:rsid w:val="117B29B9"/>
    <w:rsid w:val="11967E55"/>
    <w:rsid w:val="11A9011A"/>
    <w:rsid w:val="11CC7BA9"/>
    <w:rsid w:val="11EC7128"/>
    <w:rsid w:val="120A2D88"/>
    <w:rsid w:val="125260A5"/>
    <w:rsid w:val="125E5E99"/>
    <w:rsid w:val="12F75ED3"/>
    <w:rsid w:val="131D0AC6"/>
    <w:rsid w:val="13313DF9"/>
    <w:rsid w:val="135C6647"/>
    <w:rsid w:val="1366763A"/>
    <w:rsid w:val="137B7ECD"/>
    <w:rsid w:val="13891885"/>
    <w:rsid w:val="13D73B59"/>
    <w:rsid w:val="13EC3F5B"/>
    <w:rsid w:val="140E0F99"/>
    <w:rsid w:val="143A33DE"/>
    <w:rsid w:val="14432DC0"/>
    <w:rsid w:val="14667CCC"/>
    <w:rsid w:val="146962BE"/>
    <w:rsid w:val="14A723DA"/>
    <w:rsid w:val="14AB122D"/>
    <w:rsid w:val="14AC0C27"/>
    <w:rsid w:val="14BB0146"/>
    <w:rsid w:val="14F27922"/>
    <w:rsid w:val="14F90608"/>
    <w:rsid w:val="150051B7"/>
    <w:rsid w:val="151F3817"/>
    <w:rsid w:val="15281012"/>
    <w:rsid w:val="155679FC"/>
    <w:rsid w:val="155C2A2A"/>
    <w:rsid w:val="15895EC6"/>
    <w:rsid w:val="15957341"/>
    <w:rsid w:val="15DA2C2F"/>
    <w:rsid w:val="15E763F1"/>
    <w:rsid w:val="160B51EB"/>
    <w:rsid w:val="163216E5"/>
    <w:rsid w:val="16322A61"/>
    <w:rsid w:val="166074CF"/>
    <w:rsid w:val="16724385"/>
    <w:rsid w:val="16806165"/>
    <w:rsid w:val="16922E00"/>
    <w:rsid w:val="169F1963"/>
    <w:rsid w:val="16D059F9"/>
    <w:rsid w:val="16D063D7"/>
    <w:rsid w:val="16EA5466"/>
    <w:rsid w:val="17093E3E"/>
    <w:rsid w:val="171E7F88"/>
    <w:rsid w:val="171F4E51"/>
    <w:rsid w:val="1730359D"/>
    <w:rsid w:val="175C3B50"/>
    <w:rsid w:val="179010B4"/>
    <w:rsid w:val="17A306B5"/>
    <w:rsid w:val="17A31B95"/>
    <w:rsid w:val="17B03722"/>
    <w:rsid w:val="17E010C2"/>
    <w:rsid w:val="18080F1C"/>
    <w:rsid w:val="1865722D"/>
    <w:rsid w:val="186A0B1C"/>
    <w:rsid w:val="18735801"/>
    <w:rsid w:val="18771F0A"/>
    <w:rsid w:val="187D0551"/>
    <w:rsid w:val="189D2F93"/>
    <w:rsid w:val="18B6361D"/>
    <w:rsid w:val="18D92132"/>
    <w:rsid w:val="18E81879"/>
    <w:rsid w:val="18F77D70"/>
    <w:rsid w:val="19020C0B"/>
    <w:rsid w:val="1940466F"/>
    <w:rsid w:val="19444E7F"/>
    <w:rsid w:val="199E0F13"/>
    <w:rsid w:val="19B25871"/>
    <w:rsid w:val="19B25CF0"/>
    <w:rsid w:val="19E818A0"/>
    <w:rsid w:val="1A636DEF"/>
    <w:rsid w:val="1A9E62E4"/>
    <w:rsid w:val="1AB2048F"/>
    <w:rsid w:val="1AB4284F"/>
    <w:rsid w:val="1AC2469F"/>
    <w:rsid w:val="1AD94183"/>
    <w:rsid w:val="1AE402F9"/>
    <w:rsid w:val="1AE74CC7"/>
    <w:rsid w:val="1AFC4046"/>
    <w:rsid w:val="1B010DD9"/>
    <w:rsid w:val="1B0B77EF"/>
    <w:rsid w:val="1B191A0B"/>
    <w:rsid w:val="1B423185"/>
    <w:rsid w:val="1B4B6052"/>
    <w:rsid w:val="1B5E2EB1"/>
    <w:rsid w:val="1B73519C"/>
    <w:rsid w:val="1B825F57"/>
    <w:rsid w:val="1BF4231A"/>
    <w:rsid w:val="1C0B6445"/>
    <w:rsid w:val="1C1D15B8"/>
    <w:rsid w:val="1C2F1CC9"/>
    <w:rsid w:val="1C317102"/>
    <w:rsid w:val="1C630B1D"/>
    <w:rsid w:val="1C836361"/>
    <w:rsid w:val="1CD60BFD"/>
    <w:rsid w:val="1D010575"/>
    <w:rsid w:val="1D0A0E86"/>
    <w:rsid w:val="1D0B31A8"/>
    <w:rsid w:val="1D1917E1"/>
    <w:rsid w:val="1D2D7843"/>
    <w:rsid w:val="1D3B5FC4"/>
    <w:rsid w:val="1D5D408E"/>
    <w:rsid w:val="1D792862"/>
    <w:rsid w:val="1D924BBF"/>
    <w:rsid w:val="1DD92D2D"/>
    <w:rsid w:val="1DDF0F87"/>
    <w:rsid w:val="1E1046B9"/>
    <w:rsid w:val="1E502A69"/>
    <w:rsid w:val="1E7D7EF2"/>
    <w:rsid w:val="1E8EF4BC"/>
    <w:rsid w:val="1EA232DE"/>
    <w:rsid w:val="1EAC464F"/>
    <w:rsid w:val="1ED330D2"/>
    <w:rsid w:val="1EEF63C6"/>
    <w:rsid w:val="1EF302F1"/>
    <w:rsid w:val="1F002102"/>
    <w:rsid w:val="1F4F15DD"/>
    <w:rsid w:val="1F5573F2"/>
    <w:rsid w:val="1F79664A"/>
    <w:rsid w:val="1FAB3DD0"/>
    <w:rsid w:val="1FCD6933"/>
    <w:rsid w:val="200B7434"/>
    <w:rsid w:val="2010061E"/>
    <w:rsid w:val="201C32D6"/>
    <w:rsid w:val="2028357B"/>
    <w:rsid w:val="202E0A8E"/>
    <w:rsid w:val="205067D8"/>
    <w:rsid w:val="2066788B"/>
    <w:rsid w:val="208C5578"/>
    <w:rsid w:val="20906700"/>
    <w:rsid w:val="20944476"/>
    <w:rsid w:val="20995C76"/>
    <w:rsid w:val="20A12D3B"/>
    <w:rsid w:val="20BF30DD"/>
    <w:rsid w:val="20D0351D"/>
    <w:rsid w:val="21066A5F"/>
    <w:rsid w:val="21181965"/>
    <w:rsid w:val="2122221F"/>
    <w:rsid w:val="21273848"/>
    <w:rsid w:val="213265D5"/>
    <w:rsid w:val="213843FA"/>
    <w:rsid w:val="214166E3"/>
    <w:rsid w:val="21625A6F"/>
    <w:rsid w:val="21855FAA"/>
    <w:rsid w:val="21BA1B37"/>
    <w:rsid w:val="21BE40CD"/>
    <w:rsid w:val="21C0176E"/>
    <w:rsid w:val="21CD4944"/>
    <w:rsid w:val="21DF189B"/>
    <w:rsid w:val="21E2216A"/>
    <w:rsid w:val="22547E7D"/>
    <w:rsid w:val="228026A7"/>
    <w:rsid w:val="229B2E44"/>
    <w:rsid w:val="22B346DB"/>
    <w:rsid w:val="22D54A6B"/>
    <w:rsid w:val="23234FAA"/>
    <w:rsid w:val="232B2B18"/>
    <w:rsid w:val="233C3269"/>
    <w:rsid w:val="238268AD"/>
    <w:rsid w:val="23914D68"/>
    <w:rsid w:val="23993E44"/>
    <w:rsid w:val="23BE0CF5"/>
    <w:rsid w:val="23BE5DF9"/>
    <w:rsid w:val="23CA34A0"/>
    <w:rsid w:val="24336494"/>
    <w:rsid w:val="243700D6"/>
    <w:rsid w:val="24486A01"/>
    <w:rsid w:val="24551B60"/>
    <w:rsid w:val="246C2373"/>
    <w:rsid w:val="24701DEC"/>
    <w:rsid w:val="24940E97"/>
    <w:rsid w:val="249A3483"/>
    <w:rsid w:val="249C1ECC"/>
    <w:rsid w:val="24AC2CED"/>
    <w:rsid w:val="24B569F7"/>
    <w:rsid w:val="24F66C29"/>
    <w:rsid w:val="24FB50A0"/>
    <w:rsid w:val="254F540A"/>
    <w:rsid w:val="255434C5"/>
    <w:rsid w:val="25580C9E"/>
    <w:rsid w:val="2564491D"/>
    <w:rsid w:val="25A15670"/>
    <w:rsid w:val="25AF3585"/>
    <w:rsid w:val="25C97279"/>
    <w:rsid w:val="25E113EC"/>
    <w:rsid w:val="25F32882"/>
    <w:rsid w:val="260669A3"/>
    <w:rsid w:val="262C0812"/>
    <w:rsid w:val="26307F8F"/>
    <w:rsid w:val="263140CA"/>
    <w:rsid w:val="263951EE"/>
    <w:rsid w:val="26653259"/>
    <w:rsid w:val="267854E5"/>
    <w:rsid w:val="269C60F7"/>
    <w:rsid w:val="269E7A7C"/>
    <w:rsid w:val="26B94FF3"/>
    <w:rsid w:val="26EA03F9"/>
    <w:rsid w:val="26F05D70"/>
    <w:rsid w:val="26FC1914"/>
    <w:rsid w:val="279E71F3"/>
    <w:rsid w:val="27A843BF"/>
    <w:rsid w:val="27E464C3"/>
    <w:rsid w:val="27E910AC"/>
    <w:rsid w:val="282F1977"/>
    <w:rsid w:val="282F2A46"/>
    <w:rsid w:val="2833632A"/>
    <w:rsid w:val="28405BB5"/>
    <w:rsid w:val="28431162"/>
    <w:rsid w:val="286200A6"/>
    <w:rsid w:val="287C5D62"/>
    <w:rsid w:val="28A0483A"/>
    <w:rsid w:val="28C05AEF"/>
    <w:rsid w:val="28D74F4E"/>
    <w:rsid w:val="290F369C"/>
    <w:rsid w:val="291B3A7F"/>
    <w:rsid w:val="29267E3C"/>
    <w:rsid w:val="293164A9"/>
    <w:rsid w:val="295121A9"/>
    <w:rsid w:val="295835B7"/>
    <w:rsid w:val="29636355"/>
    <w:rsid w:val="299A1E4A"/>
    <w:rsid w:val="29B53680"/>
    <w:rsid w:val="29CC6825"/>
    <w:rsid w:val="29EC1600"/>
    <w:rsid w:val="2A0C4F4A"/>
    <w:rsid w:val="2A281D7C"/>
    <w:rsid w:val="2A45524C"/>
    <w:rsid w:val="2A6D05AD"/>
    <w:rsid w:val="2A92773C"/>
    <w:rsid w:val="2AB40D52"/>
    <w:rsid w:val="2AC34F8C"/>
    <w:rsid w:val="2ACB35CE"/>
    <w:rsid w:val="2ADD2B17"/>
    <w:rsid w:val="2AFE23B7"/>
    <w:rsid w:val="2B1908BE"/>
    <w:rsid w:val="2B253984"/>
    <w:rsid w:val="2B727682"/>
    <w:rsid w:val="2B9577F4"/>
    <w:rsid w:val="2B9E3452"/>
    <w:rsid w:val="2BB63891"/>
    <w:rsid w:val="2BBE6DB4"/>
    <w:rsid w:val="2BE31115"/>
    <w:rsid w:val="2C026E71"/>
    <w:rsid w:val="2C066D40"/>
    <w:rsid w:val="2C2F6CC5"/>
    <w:rsid w:val="2C444745"/>
    <w:rsid w:val="2C6B2637"/>
    <w:rsid w:val="2C812F9A"/>
    <w:rsid w:val="2C8404E8"/>
    <w:rsid w:val="2CC93F9C"/>
    <w:rsid w:val="2CEA730C"/>
    <w:rsid w:val="2D073A4F"/>
    <w:rsid w:val="2D2623AD"/>
    <w:rsid w:val="2D3D1CAD"/>
    <w:rsid w:val="2D467E5C"/>
    <w:rsid w:val="2D7261C3"/>
    <w:rsid w:val="2D776454"/>
    <w:rsid w:val="2D782234"/>
    <w:rsid w:val="2D7E74E5"/>
    <w:rsid w:val="2D9751F3"/>
    <w:rsid w:val="2DB36189"/>
    <w:rsid w:val="2DDA1BF0"/>
    <w:rsid w:val="2E0E4E35"/>
    <w:rsid w:val="2E1E7787"/>
    <w:rsid w:val="2E901143"/>
    <w:rsid w:val="2EA4496D"/>
    <w:rsid w:val="2EA56E35"/>
    <w:rsid w:val="2ECA747A"/>
    <w:rsid w:val="2ECE3813"/>
    <w:rsid w:val="2ED32A02"/>
    <w:rsid w:val="2EEB7730"/>
    <w:rsid w:val="2EFF17D1"/>
    <w:rsid w:val="2F2525D7"/>
    <w:rsid w:val="2F344F3F"/>
    <w:rsid w:val="2F4C051F"/>
    <w:rsid w:val="2F4C4F8C"/>
    <w:rsid w:val="2F740752"/>
    <w:rsid w:val="2F8535F0"/>
    <w:rsid w:val="2FA92457"/>
    <w:rsid w:val="2FD4628A"/>
    <w:rsid w:val="2FE46E29"/>
    <w:rsid w:val="2FEB14C9"/>
    <w:rsid w:val="300347F0"/>
    <w:rsid w:val="30170D3F"/>
    <w:rsid w:val="302C0736"/>
    <w:rsid w:val="303E59B5"/>
    <w:rsid w:val="30422C9D"/>
    <w:rsid w:val="30532C89"/>
    <w:rsid w:val="308E2E9C"/>
    <w:rsid w:val="309F6039"/>
    <w:rsid w:val="310E1ED0"/>
    <w:rsid w:val="31132910"/>
    <w:rsid w:val="31180A1F"/>
    <w:rsid w:val="312824B9"/>
    <w:rsid w:val="31436989"/>
    <w:rsid w:val="31536AD9"/>
    <w:rsid w:val="31841037"/>
    <w:rsid w:val="31BF5D2C"/>
    <w:rsid w:val="31EF4A34"/>
    <w:rsid w:val="31F1336E"/>
    <w:rsid w:val="31F83313"/>
    <w:rsid w:val="31F8762B"/>
    <w:rsid w:val="326136CC"/>
    <w:rsid w:val="32897912"/>
    <w:rsid w:val="32A23467"/>
    <w:rsid w:val="32E03BDC"/>
    <w:rsid w:val="331F27E8"/>
    <w:rsid w:val="33377124"/>
    <w:rsid w:val="33476306"/>
    <w:rsid w:val="33491AA6"/>
    <w:rsid w:val="334E3FB1"/>
    <w:rsid w:val="336D4FD3"/>
    <w:rsid w:val="33AB0D7B"/>
    <w:rsid w:val="33B864AF"/>
    <w:rsid w:val="33BE1416"/>
    <w:rsid w:val="33DD77C9"/>
    <w:rsid w:val="33DF2FEE"/>
    <w:rsid w:val="33FE227E"/>
    <w:rsid w:val="34324D15"/>
    <w:rsid w:val="34634F0C"/>
    <w:rsid w:val="349134BA"/>
    <w:rsid w:val="349473BB"/>
    <w:rsid w:val="34AE1AED"/>
    <w:rsid w:val="34B27580"/>
    <w:rsid w:val="34B86896"/>
    <w:rsid w:val="34BA1658"/>
    <w:rsid w:val="34CA00E8"/>
    <w:rsid w:val="3514040E"/>
    <w:rsid w:val="351A75D6"/>
    <w:rsid w:val="352670DE"/>
    <w:rsid w:val="353C140A"/>
    <w:rsid w:val="3547294A"/>
    <w:rsid w:val="354803BC"/>
    <w:rsid w:val="35560454"/>
    <w:rsid w:val="356C24C4"/>
    <w:rsid w:val="35934D80"/>
    <w:rsid w:val="35943A4E"/>
    <w:rsid w:val="35B018F6"/>
    <w:rsid w:val="35B2692B"/>
    <w:rsid w:val="35C7294F"/>
    <w:rsid w:val="35CD752C"/>
    <w:rsid w:val="35FD2FFB"/>
    <w:rsid w:val="363A05FC"/>
    <w:rsid w:val="36406A01"/>
    <w:rsid w:val="365A7DE3"/>
    <w:rsid w:val="366014A2"/>
    <w:rsid w:val="366318CF"/>
    <w:rsid w:val="36766E21"/>
    <w:rsid w:val="36950FBD"/>
    <w:rsid w:val="369C240F"/>
    <w:rsid w:val="36B427C0"/>
    <w:rsid w:val="36CF5BB1"/>
    <w:rsid w:val="36E310FD"/>
    <w:rsid w:val="371C4BFF"/>
    <w:rsid w:val="371F033D"/>
    <w:rsid w:val="37A77696"/>
    <w:rsid w:val="37D35CA7"/>
    <w:rsid w:val="37DA1830"/>
    <w:rsid w:val="37EA25B2"/>
    <w:rsid w:val="381074A3"/>
    <w:rsid w:val="382A33BD"/>
    <w:rsid w:val="382A633D"/>
    <w:rsid w:val="386447B5"/>
    <w:rsid w:val="38731D6E"/>
    <w:rsid w:val="38756853"/>
    <w:rsid w:val="38897A39"/>
    <w:rsid w:val="389F0D87"/>
    <w:rsid w:val="38C61663"/>
    <w:rsid w:val="38D41721"/>
    <w:rsid w:val="38D52B6B"/>
    <w:rsid w:val="38D62960"/>
    <w:rsid w:val="38F126CB"/>
    <w:rsid w:val="390E689F"/>
    <w:rsid w:val="39111DB4"/>
    <w:rsid w:val="39475874"/>
    <w:rsid w:val="394C6CAD"/>
    <w:rsid w:val="39642A9D"/>
    <w:rsid w:val="39B30B81"/>
    <w:rsid w:val="39BB580B"/>
    <w:rsid w:val="39CAD0A9"/>
    <w:rsid w:val="3A1525B8"/>
    <w:rsid w:val="3A4B17A5"/>
    <w:rsid w:val="3A4E4CC9"/>
    <w:rsid w:val="3A512D35"/>
    <w:rsid w:val="3A5F7FC3"/>
    <w:rsid w:val="3A654F9A"/>
    <w:rsid w:val="3A924A33"/>
    <w:rsid w:val="3A960061"/>
    <w:rsid w:val="3ACA58E5"/>
    <w:rsid w:val="3AF542DF"/>
    <w:rsid w:val="3B021405"/>
    <w:rsid w:val="3B0B1E52"/>
    <w:rsid w:val="3B106D64"/>
    <w:rsid w:val="3B563116"/>
    <w:rsid w:val="3B5E37F2"/>
    <w:rsid w:val="3B6C5D3A"/>
    <w:rsid w:val="3B7C5965"/>
    <w:rsid w:val="3B8435E2"/>
    <w:rsid w:val="3B922B4A"/>
    <w:rsid w:val="3BC36384"/>
    <w:rsid w:val="3BF1098B"/>
    <w:rsid w:val="3BF7AB29"/>
    <w:rsid w:val="3C0015B6"/>
    <w:rsid w:val="3C495B41"/>
    <w:rsid w:val="3C4F122C"/>
    <w:rsid w:val="3C7B1161"/>
    <w:rsid w:val="3C7E28AD"/>
    <w:rsid w:val="3CB22D7B"/>
    <w:rsid w:val="3CB274A9"/>
    <w:rsid w:val="3CBD5F8E"/>
    <w:rsid w:val="3CCF022F"/>
    <w:rsid w:val="3CD718AA"/>
    <w:rsid w:val="3CDD46D6"/>
    <w:rsid w:val="3CE66BCE"/>
    <w:rsid w:val="3CF2360A"/>
    <w:rsid w:val="3CF35416"/>
    <w:rsid w:val="3CFF77CB"/>
    <w:rsid w:val="3D5C53E6"/>
    <w:rsid w:val="3DA470C0"/>
    <w:rsid w:val="3DBF5E41"/>
    <w:rsid w:val="3E304E4E"/>
    <w:rsid w:val="3E4D64A9"/>
    <w:rsid w:val="3E764C79"/>
    <w:rsid w:val="3E850D9F"/>
    <w:rsid w:val="3E9B54D2"/>
    <w:rsid w:val="3EA42AF4"/>
    <w:rsid w:val="3F004CA8"/>
    <w:rsid w:val="3F022049"/>
    <w:rsid w:val="3F0B1507"/>
    <w:rsid w:val="3F212D1C"/>
    <w:rsid w:val="3F5335B0"/>
    <w:rsid w:val="3F84587D"/>
    <w:rsid w:val="3F8459E8"/>
    <w:rsid w:val="3F9C60E7"/>
    <w:rsid w:val="3FA93B90"/>
    <w:rsid w:val="3FD31D82"/>
    <w:rsid w:val="401D28BB"/>
    <w:rsid w:val="402913AD"/>
    <w:rsid w:val="40333E4B"/>
    <w:rsid w:val="4042224F"/>
    <w:rsid w:val="4044340A"/>
    <w:rsid w:val="40495DFF"/>
    <w:rsid w:val="40687B3F"/>
    <w:rsid w:val="406961D3"/>
    <w:rsid w:val="40AC2B09"/>
    <w:rsid w:val="40AF7D31"/>
    <w:rsid w:val="40B01FE0"/>
    <w:rsid w:val="40C64016"/>
    <w:rsid w:val="40EA07A3"/>
    <w:rsid w:val="40EA7508"/>
    <w:rsid w:val="41150A6D"/>
    <w:rsid w:val="41375C29"/>
    <w:rsid w:val="413A30A7"/>
    <w:rsid w:val="41570C8F"/>
    <w:rsid w:val="416A4A30"/>
    <w:rsid w:val="419F292A"/>
    <w:rsid w:val="41B0093E"/>
    <w:rsid w:val="42325D3F"/>
    <w:rsid w:val="426C699A"/>
    <w:rsid w:val="42942A17"/>
    <w:rsid w:val="42EA4097"/>
    <w:rsid w:val="43025D56"/>
    <w:rsid w:val="433371AF"/>
    <w:rsid w:val="43523DC4"/>
    <w:rsid w:val="43C85B0A"/>
    <w:rsid w:val="43D555FF"/>
    <w:rsid w:val="43D65787"/>
    <w:rsid w:val="43D73A2F"/>
    <w:rsid w:val="43E228BD"/>
    <w:rsid w:val="43F036EE"/>
    <w:rsid w:val="440062D4"/>
    <w:rsid w:val="44164A5C"/>
    <w:rsid w:val="445A4FAA"/>
    <w:rsid w:val="44693B5C"/>
    <w:rsid w:val="44AC7321"/>
    <w:rsid w:val="44BB2CD2"/>
    <w:rsid w:val="45331A53"/>
    <w:rsid w:val="45390C72"/>
    <w:rsid w:val="453B2488"/>
    <w:rsid w:val="454C5B47"/>
    <w:rsid w:val="454E7F1F"/>
    <w:rsid w:val="455410FD"/>
    <w:rsid w:val="457559B9"/>
    <w:rsid w:val="458E3B2C"/>
    <w:rsid w:val="45DD6B66"/>
    <w:rsid w:val="45E46E44"/>
    <w:rsid w:val="46166234"/>
    <w:rsid w:val="463D1DED"/>
    <w:rsid w:val="46906A76"/>
    <w:rsid w:val="46A8181B"/>
    <w:rsid w:val="46E53A1A"/>
    <w:rsid w:val="47611E4F"/>
    <w:rsid w:val="477300A6"/>
    <w:rsid w:val="479334DC"/>
    <w:rsid w:val="47BC7378"/>
    <w:rsid w:val="47D15AF5"/>
    <w:rsid w:val="47DC26E0"/>
    <w:rsid w:val="47DD6325"/>
    <w:rsid w:val="48510049"/>
    <w:rsid w:val="4857239F"/>
    <w:rsid w:val="487716D6"/>
    <w:rsid w:val="48CE5ED6"/>
    <w:rsid w:val="48DD4A1A"/>
    <w:rsid w:val="48ED7461"/>
    <w:rsid w:val="49045F3B"/>
    <w:rsid w:val="49226A06"/>
    <w:rsid w:val="49320965"/>
    <w:rsid w:val="49343CE3"/>
    <w:rsid w:val="49383D0D"/>
    <w:rsid w:val="4940230C"/>
    <w:rsid w:val="49484333"/>
    <w:rsid w:val="495D7415"/>
    <w:rsid w:val="496F35AE"/>
    <w:rsid w:val="49760DD2"/>
    <w:rsid w:val="49943779"/>
    <w:rsid w:val="49A402E9"/>
    <w:rsid w:val="49EB15F3"/>
    <w:rsid w:val="49F63603"/>
    <w:rsid w:val="4A510295"/>
    <w:rsid w:val="4A785D70"/>
    <w:rsid w:val="4A7E2B26"/>
    <w:rsid w:val="4A850B95"/>
    <w:rsid w:val="4A970F3D"/>
    <w:rsid w:val="4AC45B10"/>
    <w:rsid w:val="4AE63524"/>
    <w:rsid w:val="4B255AB1"/>
    <w:rsid w:val="4B2B3929"/>
    <w:rsid w:val="4B511371"/>
    <w:rsid w:val="4B6F694C"/>
    <w:rsid w:val="4BA9280D"/>
    <w:rsid w:val="4BA9394F"/>
    <w:rsid w:val="4BB275BF"/>
    <w:rsid w:val="4BC33909"/>
    <w:rsid w:val="4BC72FCF"/>
    <w:rsid w:val="4BF86C6F"/>
    <w:rsid w:val="4C0741DA"/>
    <w:rsid w:val="4C0E6287"/>
    <w:rsid w:val="4C2E492A"/>
    <w:rsid w:val="4C481290"/>
    <w:rsid w:val="4C4A3527"/>
    <w:rsid w:val="4C4F6AC2"/>
    <w:rsid w:val="4C83437C"/>
    <w:rsid w:val="4CA82AE3"/>
    <w:rsid w:val="4CE44007"/>
    <w:rsid w:val="4D154848"/>
    <w:rsid w:val="4D2453E6"/>
    <w:rsid w:val="4D5213E4"/>
    <w:rsid w:val="4D7C44EC"/>
    <w:rsid w:val="4D8E6D7B"/>
    <w:rsid w:val="4DC82688"/>
    <w:rsid w:val="4DD524EA"/>
    <w:rsid w:val="4E8B1E12"/>
    <w:rsid w:val="4E9D6532"/>
    <w:rsid w:val="4EFD6647"/>
    <w:rsid w:val="4F127306"/>
    <w:rsid w:val="4F15796C"/>
    <w:rsid w:val="4F244AC7"/>
    <w:rsid w:val="4F3605B7"/>
    <w:rsid w:val="4F553EFF"/>
    <w:rsid w:val="4F9671EF"/>
    <w:rsid w:val="4F992280"/>
    <w:rsid w:val="4FC5352D"/>
    <w:rsid w:val="4FE90329"/>
    <w:rsid w:val="4FF210FB"/>
    <w:rsid w:val="50235261"/>
    <w:rsid w:val="503111D0"/>
    <w:rsid w:val="50367EF2"/>
    <w:rsid w:val="50431DDF"/>
    <w:rsid w:val="5060304C"/>
    <w:rsid w:val="5086682B"/>
    <w:rsid w:val="50A33261"/>
    <w:rsid w:val="50C02F04"/>
    <w:rsid w:val="50D65854"/>
    <w:rsid w:val="50EA5985"/>
    <w:rsid w:val="50EE4E6D"/>
    <w:rsid w:val="510258D9"/>
    <w:rsid w:val="51081D45"/>
    <w:rsid w:val="514F4A5B"/>
    <w:rsid w:val="51964F16"/>
    <w:rsid w:val="51A16A34"/>
    <w:rsid w:val="51B37ED1"/>
    <w:rsid w:val="51CB36BA"/>
    <w:rsid w:val="52173E55"/>
    <w:rsid w:val="52407083"/>
    <w:rsid w:val="529831E5"/>
    <w:rsid w:val="52A36FA3"/>
    <w:rsid w:val="52BF03EA"/>
    <w:rsid w:val="52C01722"/>
    <w:rsid w:val="52C6716B"/>
    <w:rsid w:val="52CF05DB"/>
    <w:rsid w:val="52F82643"/>
    <w:rsid w:val="52FF0427"/>
    <w:rsid w:val="53194663"/>
    <w:rsid w:val="533C5323"/>
    <w:rsid w:val="534B47C5"/>
    <w:rsid w:val="53BB6724"/>
    <w:rsid w:val="53E508C6"/>
    <w:rsid w:val="53F73946"/>
    <w:rsid w:val="541A3344"/>
    <w:rsid w:val="5422307A"/>
    <w:rsid w:val="542318D8"/>
    <w:rsid w:val="543028D1"/>
    <w:rsid w:val="5439457B"/>
    <w:rsid w:val="545B590E"/>
    <w:rsid w:val="546F0026"/>
    <w:rsid w:val="547C44B5"/>
    <w:rsid w:val="54815C8D"/>
    <w:rsid w:val="549078B3"/>
    <w:rsid w:val="54946AB9"/>
    <w:rsid w:val="54A342E6"/>
    <w:rsid w:val="54AA1E56"/>
    <w:rsid w:val="54B86B27"/>
    <w:rsid w:val="54D423C9"/>
    <w:rsid w:val="54D57048"/>
    <w:rsid w:val="54E45B41"/>
    <w:rsid w:val="55271749"/>
    <w:rsid w:val="55345E4A"/>
    <w:rsid w:val="55535ED8"/>
    <w:rsid w:val="556842BB"/>
    <w:rsid w:val="556A1333"/>
    <w:rsid w:val="55AB2E37"/>
    <w:rsid w:val="55C54076"/>
    <w:rsid w:val="55F43034"/>
    <w:rsid w:val="56187267"/>
    <w:rsid w:val="562A3035"/>
    <w:rsid w:val="564F5B2A"/>
    <w:rsid w:val="56533BF3"/>
    <w:rsid w:val="566B176B"/>
    <w:rsid w:val="56B00F0F"/>
    <w:rsid w:val="56DB6758"/>
    <w:rsid w:val="56F13A1F"/>
    <w:rsid w:val="570A2411"/>
    <w:rsid w:val="57336E13"/>
    <w:rsid w:val="577C037B"/>
    <w:rsid w:val="579876DC"/>
    <w:rsid w:val="579E4FE4"/>
    <w:rsid w:val="57B70730"/>
    <w:rsid w:val="57D912C4"/>
    <w:rsid w:val="57EA1C17"/>
    <w:rsid w:val="57FF756F"/>
    <w:rsid w:val="580829CD"/>
    <w:rsid w:val="583938B0"/>
    <w:rsid w:val="584A233D"/>
    <w:rsid w:val="58501654"/>
    <w:rsid w:val="5863530E"/>
    <w:rsid w:val="58651B37"/>
    <w:rsid w:val="58781D9A"/>
    <w:rsid w:val="589E610E"/>
    <w:rsid w:val="58E1406B"/>
    <w:rsid w:val="58E37BA2"/>
    <w:rsid w:val="58EA5F3F"/>
    <w:rsid w:val="59090974"/>
    <w:rsid w:val="590D1DF9"/>
    <w:rsid w:val="59145347"/>
    <w:rsid w:val="59157566"/>
    <w:rsid w:val="591B41E6"/>
    <w:rsid w:val="593D6E6C"/>
    <w:rsid w:val="594244E5"/>
    <w:rsid w:val="596C2A61"/>
    <w:rsid w:val="597B1175"/>
    <w:rsid w:val="59AD1D31"/>
    <w:rsid w:val="59D10BED"/>
    <w:rsid w:val="59D36626"/>
    <w:rsid w:val="59E303F0"/>
    <w:rsid w:val="59EA1B83"/>
    <w:rsid w:val="5A1571DD"/>
    <w:rsid w:val="5A260153"/>
    <w:rsid w:val="5A2B3678"/>
    <w:rsid w:val="5A5C4C66"/>
    <w:rsid w:val="5A804B5B"/>
    <w:rsid w:val="5AC129EF"/>
    <w:rsid w:val="5AD7118D"/>
    <w:rsid w:val="5AD960D5"/>
    <w:rsid w:val="5ADE1B0D"/>
    <w:rsid w:val="5AFA24ED"/>
    <w:rsid w:val="5B0E7850"/>
    <w:rsid w:val="5B21162A"/>
    <w:rsid w:val="5B2E398E"/>
    <w:rsid w:val="5B304098"/>
    <w:rsid w:val="5B351ABB"/>
    <w:rsid w:val="5B761A84"/>
    <w:rsid w:val="5B8B515E"/>
    <w:rsid w:val="5B917B28"/>
    <w:rsid w:val="5BAE481F"/>
    <w:rsid w:val="5BB75B82"/>
    <w:rsid w:val="5BD43C60"/>
    <w:rsid w:val="5BD451BD"/>
    <w:rsid w:val="5BD462C2"/>
    <w:rsid w:val="5BEF4F47"/>
    <w:rsid w:val="5BF01C38"/>
    <w:rsid w:val="5C143DAB"/>
    <w:rsid w:val="5C172FBA"/>
    <w:rsid w:val="5C1812C0"/>
    <w:rsid w:val="5C1D436E"/>
    <w:rsid w:val="5C3204BC"/>
    <w:rsid w:val="5C38391D"/>
    <w:rsid w:val="5C426374"/>
    <w:rsid w:val="5C993CA2"/>
    <w:rsid w:val="5CA42280"/>
    <w:rsid w:val="5CB5145A"/>
    <w:rsid w:val="5CB713CC"/>
    <w:rsid w:val="5D4D56DA"/>
    <w:rsid w:val="5DDE1ACA"/>
    <w:rsid w:val="5DE5477B"/>
    <w:rsid w:val="5DF72805"/>
    <w:rsid w:val="5E265DEE"/>
    <w:rsid w:val="5E295146"/>
    <w:rsid w:val="5E3124BD"/>
    <w:rsid w:val="5E3B66CA"/>
    <w:rsid w:val="5E5C45B3"/>
    <w:rsid w:val="5E5F1E1F"/>
    <w:rsid w:val="5EAA4A39"/>
    <w:rsid w:val="5EAF5B86"/>
    <w:rsid w:val="5EEF6991"/>
    <w:rsid w:val="5EF23EE8"/>
    <w:rsid w:val="5EFA55C1"/>
    <w:rsid w:val="5EFA7CCD"/>
    <w:rsid w:val="5F1B2CDF"/>
    <w:rsid w:val="5F2D4F70"/>
    <w:rsid w:val="5F3B74A2"/>
    <w:rsid w:val="5F637D2F"/>
    <w:rsid w:val="5F881C77"/>
    <w:rsid w:val="5FCC5B31"/>
    <w:rsid w:val="5FFFA96A"/>
    <w:rsid w:val="600B6E62"/>
    <w:rsid w:val="604008D3"/>
    <w:rsid w:val="604F12F6"/>
    <w:rsid w:val="60553DB8"/>
    <w:rsid w:val="60896303"/>
    <w:rsid w:val="608C4842"/>
    <w:rsid w:val="60C364C4"/>
    <w:rsid w:val="60CB090D"/>
    <w:rsid w:val="60E71377"/>
    <w:rsid w:val="614038BA"/>
    <w:rsid w:val="61573ED9"/>
    <w:rsid w:val="6158030E"/>
    <w:rsid w:val="618B1AD4"/>
    <w:rsid w:val="61906BE0"/>
    <w:rsid w:val="61A87F15"/>
    <w:rsid w:val="61F2446A"/>
    <w:rsid w:val="61FD0E22"/>
    <w:rsid w:val="61FD7596"/>
    <w:rsid w:val="622D15EE"/>
    <w:rsid w:val="62587B5C"/>
    <w:rsid w:val="626223DA"/>
    <w:rsid w:val="628E16DA"/>
    <w:rsid w:val="62976520"/>
    <w:rsid w:val="62DD77C0"/>
    <w:rsid w:val="62F43E72"/>
    <w:rsid w:val="62F569D7"/>
    <w:rsid w:val="62F907EA"/>
    <w:rsid w:val="634828BA"/>
    <w:rsid w:val="634C21F2"/>
    <w:rsid w:val="63D26477"/>
    <w:rsid w:val="63D370A6"/>
    <w:rsid w:val="63E52449"/>
    <w:rsid w:val="63F00E6C"/>
    <w:rsid w:val="640D4647"/>
    <w:rsid w:val="641A0D96"/>
    <w:rsid w:val="64477400"/>
    <w:rsid w:val="64491258"/>
    <w:rsid w:val="644D60AC"/>
    <w:rsid w:val="645A6E63"/>
    <w:rsid w:val="647558BF"/>
    <w:rsid w:val="6481764F"/>
    <w:rsid w:val="649467B0"/>
    <w:rsid w:val="64954921"/>
    <w:rsid w:val="64D56159"/>
    <w:rsid w:val="64D854B8"/>
    <w:rsid w:val="64E16774"/>
    <w:rsid w:val="64ED1273"/>
    <w:rsid w:val="651E708C"/>
    <w:rsid w:val="653B7602"/>
    <w:rsid w:val="654076EC"/>
    <w:rsid w:val="65574E47"/>
    <w:rsid w:val="655D1F30"/>
    <w:rsid w:val="6566441C"/>
    <w:rsid w:val="656C5B97"/>
    <w:rsid w:val="656D5A1D"/>
    <w:rsid w:val="65B72FB4"/>
    <w:rsid w:val="65D874ED"/>
    <w:rsid w:val="65DD1ED5"/>
    <w:rsid w:val="65E75B44"/>
    <w:rsid w:val="6624206B"/>
    <w:rsid w:val="6642143C"/>
    <w:rsid w:val="665B13C5"/>
    <w:rsid w:val="66B30568"/>
    <w:rsid w:val="66ED4352"/>
    <w:rsid w:val="66F84133"/>
    <w:rsid w:val="66FF2669"/>
    <w:rsid w:val="67026B9F"/>
    <w:rsid w:val="670F53A1"/>
    <w:rsid w:val="671B1104"/>
    <w:rsid w:val="672238D8"/>
    <w:rsid w:val="6726505A"/>
    <w:rsid w:val="675FB79F"/>
    <w:rsid w:val="676E2090"/>
    <w:rsid w:val="67950DCF"/>
    <w:rsid w:val="67951345"/>
    <w:rsid w:val="67E70585"/>
    <w:rsid w:val="67EB1F53"/>
    <w:rsid w:val="67FA67AE"/>
    <w:rsid w:val="6819065B"/>
    <w:rsid w:val="68314D7E"/>
    <w:rsid w:val="686B57BA"/>
    <w:rsid w:val="68742182"/>
    <w:rsid w:val="68853EFE"/>
    <w:rsid w:val="689067FA"/>
    <w:rsid w:val="68975749"/>
    <w:rsid w:val="68CD2799"/>
    <w:rsid w:val="69552530"/>
    <w:rsid w:val="698379D1"/>
    <w:rsid w:val="69CB7660"/>
    <w:rsid w:val="6A0F4F53"/>
    <w:rsid w:val="6A113B89"/>
    <w:rsid w:val="6A2E798E"/>
    <w:rsid w:val="6A392864"/>
    <w:rsid w:val="6A3E6605"/>
    <w:rsid w:val="6A5357C2"/>
    <w:rsid w:val="6A5400BE"/>
    <w:rsid w:val="6A6B1E68"/>
    <w:rsid w:val="6A873B01"/>
    <w:rsid w:val="6ACA3980"/>
    <w:rsid w:val="6B1F3D3B"/>
    <w:rsid w:val="6B311331"/>
    <w:rsid w:val="6B47519F"/>
    <w:rsid w:val="6B5A6E2D"/>
    <w:rsid w:val="6B5C30F2"/>
    <w:rsid w:val="6BAC0DAC"/>
    <w:rsid w:val="6BAC47D7"/>
    <w:rsid w:val="6BD32BDA"/>
    <w:rsid w:val="6BEFC8F0"/>
    <w:rsid w:val="6BF8364A"/>
    <w:rsid w:val="6C0512FC"/>
    <w:rsid w:val="6C1D0840"/>
    <w:rsid w:val="6C4A6E80"/>
    <w:rsid w:val="6C8960A3"/>
    <w:rsid w:val="6C901B69"/>
    <w:rsid w:val="6C901E89"/>
    <w:rsid w:val="6CBE332D"/>
    <w:rsid w:val="6CD940F9"/>
    <w:rsid w:val="6CDD5127"/>
    <w:rsid w:val="6CDF61DC"/>
    <w:rsid w:val="6CE64069"/>
    <w:rsid w:val="6D4A0EB4"/>
    <w:rsid w:val="6D5C3E02"/>
    <w:rsid w:val="6D703CD5"/>
    <w:rsid w:val="6D866588"/>
    <w:rsid w:val="6D9F0914"/>
    <w:rsid w:val="6DB25791"/>
    <w:rsid w:val="6DC02D4B"/>
    <w:rsid w:val="6DC56975"/>
    <w:rsid w:val="6DD56F42"/>
    <w:rsid w:val="6DF507DF"/>
    <w:rsid w:val="6E0D7A82"/>
    <w:rsid w:val="6E1632E5"/>
    <w:rsid w:val="6E590D98"/>
    <w:rsid w:val="6ED73C06"/>
    <w:rsid w:val="6EE04D35"/>
    <w:rsid w:val="6F193334"/>
    <w:rsid w:val="6F2E65CD"/>
    <w:rsid w:val="6F3B7F09"/>
    <w:rsid w:val="6F3C288E"/>
    <w:rsid w:val="6F812B02"/>
    <w:rsid w:val="6FFF6723"/>
    <w:rsid w:val="702150C1"/>
    <w:rsid w:val="70556126"/>
    <w:rsid w:val="70661D48"/>
    <w:rsid w:val="70A41E4A"/>
    <w:rsid w:val="70BD4A19"/>
    <w:rsid w:val="70C86C1F"/>
    <w:rsid w:val="70D638A5"/>
    <w:rsid w:val="70FD3989"/>
    <w:rsid w:val="713D310E"/>
    <w:rsid w:val="718F47A1"/>
    <w:rsid w:val="71C52BA4"/>
    <w:rsid w:val="72333D84"/>
    <w:rsid w:val="727C1001"/>
    <w:rsid w:val="72E30206"/>
    <w:rsid w:val="72E817D6"/>
    <w:rsid w:val="72F42B57"/>
    <w:rsid w:val="730065DA"/>
    <w:rsid w:val="73171DE8"/>
    <w:rsid w:val="737704B6"/>
    <w:rsid w:val="73EA2BB4"/>
    <w:rsid w:val="73F66817"/>
    <w:rsid w:val="741246D7"/>
    <w:rsid w:val="74640D85"/>
    <w:rsid w:val="747C4C73"/>
    <w:rsid w:val="74A868DA"/>
    <w:rsid w:val="74D40670"/>
    <w:rsid w:val="74F27E04"/>
    <w:rsid w:val="75045B10"/>
    <w:rsid w:val="752531C9"/>
    <w:rsid w:val="752957D6"/>
    <w:rsid w:val="753349CF"/>
    <w:rsid w:val="75381003"/>
    <w:rsid w:val="7573643C"/>
    <w:rsid w:val="758518F0"/>
    <w:rsid w:val="75A57E9D"/>
    <w:rsid w:val="75E61424"/>
    <w:rsid w:val="75ED5D32"/>
    <w:rsid w:val="762B48DE"/>
    <w:rsid w:val="76484B73"/>
    <w:rsid w:val="764D1ECA"/>
    <w:rsid w:val="76664D73"/>
    <w:rsid w:val="76E15BD2"/>
    <w:rsid w:val="76E96C0C"/>
    <w:rsid w:val="76EF6EBD"/>
    <w:rsid w:val="76F623B1"/>
    <w:rsid w:val="7706418A"/>
    <w:rsid w:val="77093CF3"/>
    <w:rsid w:val="771114D8"/>
    <w:rsid w:val="775310AA"/>
    <w:rsid w:val="77CD299B"/>
    <w:rsid w:val="77D74931"/>
    <w:rsid w:val="77EDAB47"/>
    <w:rsid w:val="77F3A8AF"/>
    <w:rsid w:val="77F7B1AC"/>
    <w:rsid w:val="77F94577"/>
    <w:rsid w:val="780026F1"/>
    <w:rsid w:val="78260129"/>
    <w:rsid w:val="78537E3E"/>
    <w:rsid w:val="787532AD"/>
    <w:rsid w:val="787F3678"/>
    <w:rsid w:val="78C8198A"/>
    <w:rsid w:val="78F366A1"/>
    <w:rsid w:val="78FF6981"/>
    <w:rsid w:val="791B6E36"/>
    <w:rsid w:val="791F59FA"/>
    <w:rsid w:val="795C11A1"/>
    <w:rsid w:val="795E0BA9"/>
    <w:rsid w:val="7974771E"/>
    <w:rsid w:val="79883B22"/>
    <w:rsid w:val="79973769"/>
    <w:rsid w:val="79AC21FE"/>
    <w:rsid w:val="79B70E83"/>
    <w:rsid w:val="79C17A1C"/>
    <w:rsid w:val="79DD6C32"/>
    <w:rsid w:val="79EA14D3"/>
    <w:rsid w:val="7A2E0E3D"/>
    <w:rsid w:val="7A3E010D"/>
    <w:rsid w:val="7A634F0F"/>
    <w:rsid w:val="7A6F3A22"/>
    <w:rsid w:val="7A737479"/>
    <w:rsid w:val="7AB901A0"/>
    <w:rsid w:val="7AD67928"/>
    <w:rsid w:val="7B0C0CDF"/>
    <w:rsid w:val="7B1328AB"/>
    <w:rsid w:val="7B4D145D"/>
    <w:rsid w:val="7B623910"/>
    <w:rsid w:val="7BA31B33"/>
    <w:rsid w:val="7BB3322A"/>
    <w:rsid w:val="7BBA2D51"/>
    <w:rsid w:val="7BBE1091"/>
    <w:rsid w:val="7BFF5D56"/>
    <w:rsid w:val="7C11714A"/>
    <w:rsid w:val="7C393448"/>
    <w:rsid w:val="7C700E7C"/>
    <w:rsid w:val="7C741FFA"/>
    <w:rsid w:val="7CB650A7"/>
    <w:rsid w:val="7CBB01A1"/>
    <w:rsid w:val="7CC7751F"/>
    <w:rsid w:val="7CCA2165"/>
    <w:rsid w:val="7CCB5D73"/>
    <w:rsid w:val="7CEC69AD"/>
    <w:rsid w:val="7CFF4724"/>
    <w:rsid w:val="7D0160A8"/>
    <w:rsid w:val="7D0D09C9"/>
    <w:rsid w:val="7D0F35BE"/>
    <w:rsid w:val="7D6273C4"/>
    <w:rsid w:val="7D6B2CF5"/>
    <w:rsid w:val="7D8D5C57"/>
    <w:rsid w:val="7D904FF7"/>
    <w:rsid w:val="7DAB25AE"/>
    <w:rsid w:val="7DD745E9"/>
    <w:rsid w:val="7DDB1B00"/>
    <w:rsid w:val="7E1E0F61"/>
    <w:rsid w:val="7E241953"/>
    <w:rsid w:val="7E26223F"/>
    <w:rsid w:val="7E3A7951"/>
    <w:rsid w:val="7E6A7B68"/>
    <w:rsid w:val="7E6BC591"/>
    <w:rsid w:val="7E886A86"/>
    <w:rsid w:val="7E8F5479"/>
    <w:rsid w:val="7EB11EEF"/>
    <w:rsid w:val="7EB82636"/>
    <w:rsid w:val="7EDA4F01"/>
    <w:rsid w:val="7EE6724D"/>
    <w:rsid w:val="7EF739F9"/>
    <w:rsid w:val="7F0F39F3"/>
    <w:rsid w:val="7F214842"/>
    <w:rsid w:val="7F2168FD"/>
    <w:rsid w:val="7F2F03F6"/>
    <w:rsid w:val="7F390824"/>
    <w:rsid w:val="7F3DB1AB"/>
    <w:rsid w:val="7F5FC4EC"/>
    <w:rsid w:val="7F9107F1"/>
    <w:rsid w:val="7FA40928"/>
    <w:rsid w:val="7FC1621E"/>
    <w:rsid w:val="7FC81373"/>
    <w:rsid w:val="7FDBAE4D"/>
    <w:rsid w:val="7FEF7EC8"/>
    <w:rsid w:val="7FFF0780"/>
    <w:rsid w:val="7FFF3231"/>
    <w:rsid w:val="9DFFC3DD"/>
    <w:rsid w:val="ACBFA803"/>
    <w:rsid w:val="BA7B23C6"/>
    <w:rsid w:val="BBDEF0E5"/>
    <w:rsid w:val="BD0A3D66"/>
    <w:rsid w:val="BF6DE5C1"/>
    <w:rsid w:val="CD3EDDE9"/>
    <w:rsid w:val="D92F739C"/>
    <w:rsid w:val="DC6BF391"/>
    <w:rsid w:val="E97D786B"/>
    <w:rsid w:val="E9FCB894"/>
    <w:rsid w:val="EBFEC042"/>
    <w:rsid w:val="EFFFF110"/>
    <w:rsid w:val="F38D895D"/>
    <w:rsid w:val="F73EE747"/>
    <w:rsid w:val="F77E5F01"/>
    <w:rsid w:val="F7EED081"/>
    <w:rsid w:val="F9BF55DD"/>
    <w:rsid w:val="F9CF8CB2"/>
    <w:rsid w:val="FAF41D82"/>
    <w:rsid w:val="FB7E255A"/>
    <w:rsid w:val="FBEF80C2"/>
    <w:rsid w:val="FCF7FD11"/>
    <w:rsid w:val="FDB7575F"/>
    <w:rsid w:val="FE1B39B2"/>
    <w:rsid w:val="FFFF204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line="578" w:lineRule="auto"/>
      <w:outlineLvl w:val="0"/>
    </w:pPr>
    <w:rPr>
      <w:b/>
      <w:bCs/>
      <w:kern w:val="44"/>
      <w:sz w:val="44"/>
      <w:szCs w:val="44"/>
    </w:rPr>
  </w:style>
  <w:style w:type="paragraph" w:styleId="5">
    <w:name w:val="heading 2"/>
    <w:basedOn w:val="1"/>
    <w:next w:val="1"/>
    <w:autoRedefine/>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76" w:lineRule="auto"/>
      <w:outlineLvl w:val="3"/>
    </w:pPr>
    <w:rPr>
      <w:rFonts w:ascii="Arial" w:hAnsi="Arial" w:eastAsia="黑体"/>
      <w:b/>
      <w:bCs/>
      <w:sz w:val="28"/>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style>
  <w:style w:type="paragraph" w:styleId="3">
    <w:name w:val="Body Text"/>
    <w:basedOn w:val="1"/>
    <w:next w:val="1"/>
    <w:autoRedefine/>
    <w:qFormat/>
    <w:uiPriority w:val="0"/>
    <w:pPr>
      <w:spacing w:after="120"/>
    </w:pPr>
  </w:style>
  <w:style w:type="paragraph" w:styleId="8">
    <w:name w:val="Normal Indent"/>
    <w:basedOn w:val="1"/>
    <w:link w:val="52"/>
    <w:autoRedefine/>
    <w:qFormat/>
    <w:uiPriority w:val="0"/>
    <w:pPr>
      <w:ind w:firstLine="420"/>
    </w:pPr>
    <w:rPr>
      <w:szCs w:val="20"/>
    </w:rPr>
  </w:style>
  <w:style w:type="paragraph" w:styleId="9">
    <w:name w:val="caption"/>
    <w:basedOn w:val="1"/>
    <w:next w:val="1"/>
    <w:autoRedefine/>
    <w:qFormat/>
    <w:uiPriority w:val="0"/>
    <w:pPr>
      <w:spacing w:before="152" w:after="160"/>
    </w:pPr>
    <w:rPr>
      <w:rFonts w:ascii="Arial" w:hAnsi="Arial" w:eastAsia="黑体" w:cs="Arial"/>
      <w:sz w:val="20"/>
      <w:szCs w:val="20"/>
    </w:rPr>
  </w:style>
  <w:style w:type="paragraph" w:styleId="10">
    <w:name w:val="annotation text"/>
    <w:basedOn w:val="1"/>
    <w:autoRedefine/>
    <w:semiHidden/>
    <w:qFormat/>
    <w:uiPriority w:val="0"/>
    <w:pPr>
      <w:jc w:val="left"/>
    </w:pPr>
  </w:style>
  <w:style w:type="paragraph" w:styleId="11">
    <w:name w:val="Body Text 3"/>
    <w:basedOn w:val="1"/>
    <w:autoRedefine/>
    <w:qFormat/>
    <w:uiPriority w:val="0"/>
    <w:rPr>
      <w:sz w:val="16"/>
      <w:szCs w:val="16"/>
    </w:rPr>
  </w:style>
  <w:style w:type="paragraph" w:styleId="12">
    <w:name w:val="Body Text Indent"/>
    <w:basedOn w:val="1"/>
    <w:autoRedefine/>
    <w:qFormat/>
    <w:uiPriority w:val="0"/>
    <w:pPr>
      <w:spacing w:line="360" w:lineRule="auto"/>
      <w:ind w:firstLine="600" w:firstLineChars="200"/>
    </w:pPr>
    <w:rPr>
      <w:rFonts w:ascii="仿宋_GB2312" w:hAnsi="宋体" w:eastAsia="仿宋_GB2312"/>
      <w:sz w:val="30"/>
    </w:rPr>
  </w:style>
  <w:style w:type="paragraph" w:styleId="13">
    <w:name w:val="List 2"/>
    <w:basedOn w:val="1"/>
    <w:autoRedefine/>
    <w:qFormat/>
    <w:uiPriority w:val="0"/>
    <w:pPr>
      <w:ind w:left="100" w:leftChars="200" w:hanging="200" w:hangingChars="200"/>
    </w:pPr>
  </w:style>
  <w:style w:type="paragraph" w:styleId="14">
    <w:name w:val="Block Text"/>
    <w:basedOn w:val="1"/>
    <w:autoRedefine/>
    <w:unhideWhenUsed/>
    <w:qFormat/>
    <w:uiPriority w:val="99"/>
    <w:pPr>
      <w:ind w:left="-718" w:leftChars="-342" w:right="-512" w:rightChars="-244" w:firstLine="560" w:firstLineChars="200"/>
    </w:pPr>
    <w:rPr>
      <w:sz w:val="28"/>
    </w:rPr>
  </w:style>
  <w:style w:type="paragraph" w:styleId="15">
    <w:name w:val="Plain Text"/>
    <w:basedOn w:val="1"/>
    <w:next w:val="16"/>
    <w:link w:val="53"/>
    <w:autoRedefine/>
    <w:qFormat/>
    <w:uiPriority w:val="0"/>
    <w:pPr>
      <w:spacing w:beforeLines="50" w:afterLines="50" w:line="400" w:lineRule="exact"/>
    </w:pPr>
    <w:rPr>
      <w:rFonts w:ascii="宋体" w:hAnsi="Courier New"/>
      <w:sz w:val="24"/>
    </w:rPr>
  </w:style>
  <w:style w:type="paragraph" w:styleId="16">
    <w:name w:val="Date"/>
    <w:basedOn w:val="1"/>
    <w:next w:val="1"/>
    <w:link w:val="54"/>
    <w:autoRedefine/>
    <w:qFormat/>
    <w:uiPriority w:val="0"/>
    <w:pPr>
      <w:ind w:left="100" w:leftChars="2500"/>
    </w:pPr>
    <w:rPr>
      <w:rFonts w:ascii="仿宋_GB2312" w:hAnsi="宋体" w:eastAsia="仿宋_GB2312"/>
      <w:sz w:val="30"/>
    </w:rPr>
  </w:style>
  <w:style w:type="paragraph" w:styleId="17">
    <w:name w:val="Body Text Indent 2"/>
    <w:basedOn w:val="1"/>
    <w:autoRedefine/>
    <w:qFormat/>
    <w:uiPriority w:val="0"/>
    <w:pPr>
      <w:spacing w:after="120" w:line="480" w:lineRule="auto"/>
      <w:ind w:left="420" w:leftChars="200"/>
    </w:pPr>
  </w:style>
  <w:style w:type="paragraph" w:styleId="18">
    <w:name w:val="Balloon Text"/>
    <w:basedOn w:val="1"/>
    <w:autoRedefine/>
    <w:semiHidden/>
    <w:qFormat/>
    <w:uiPriority w:val="0"/>
    <w:rPr>
      <w:sz w:val="18"/>
      <w:szCs w:val="18"/>
    </w:rPr>
  </w:style>
  <w:style w:type="paragraph" w:styleId="19">
    <w:name w:val="footer"/>
    <w:basedOn w:val="1"/>
    <w:link w:val="55"/>
    <w:autoRedefine/>
    <w:qFormat/>
    <w:uiPriority w:val="99"/>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0"/>
  </w:style>
  <w:style w:type="paragraph" w:styleId="22">
    <w:name w:val="toc 4"/>
    <w:basedOn w:val="1"/>
    <w:next w:val="1"/>
    <w:autoRedefine/>
    <w:qFormat/>
    <w:uiPriority w:val="39"/>
    <w:pPr>
      <w:ind w:left="420"/>
    </w:pPr>
    <w:rPr>
      <w:rFonts w:ascii="Calibri" w:hAnsi="Calibri" w:cs="Calibri"/>
      <w:sz w:val="20"/>
      <w:szCs w:val="20"/>
    </w:rPr>
  </w:style>
  <w:style w:type="paragraph" w:styleId="23">
    <w:name w:val="toc 6"/>
    <w:basedOn w:val="1"/>
    <w:next w:val="1"/>
    <w:autoRedefine/>
    <w:qFormat/>
    <w:uiPriority w:val="0"/>
    <w:pPr>
      <w:spacing w:line="360" w:lineRule="auto"/>
      <w:ind w:left="1200" w:firstLine="200" w:firstLineChars="200"/>
      <w:jc w:val="left"/>
    </w:pPr>
    <w:rPr>
      <w:rFonts w:ascii="Calibri" w:hAnsi="Calibri" w:cs="Calibri"/>
      <w:sz w:val="18"/>
      <w:szCs w:val="18"/>
    </w:rPr>
  </w:style>
  <w:style w:type="paragraph" w:styleId="24">
    <w:name w:val="Body Text Indent 3"/>
    <w:basedOn w:val="1"/>
    <w:link w:val="56"/>
    <w:autoRedefine/>
    <w:qFormat/>
    <w:uiPriority w:val="0"/>
    <w:pPr>
      <w:spacing w:after="120"/>
      <w:ind w:left="420" w:leftChars="200"/>
    </w:pPr>
    <w:rPr>
      <w:sz w:val="16"/>
      <w:szCs w:val="16"/>
    </w:rPr>
  </w:style>
  <w:style w:type="paragraph" w:styleId="25">
    <w:name w:val="toc 2"/>
    <w:basedOn w:val="1"/>
    <w:next w:val="1"/>
    <w:autoRedefine/>
    <w:qFormat/>
    <w:uiPriority w:val="0"/>
    <w:pPr>
      <w:ind w:left="420" w:leftChars="200"/>
    </w:pPr>
  </w:style>
  <w:style w:type="paragraph" w:styleId="26">
    <w:name w:val="List 4"/>
    <w:basedOn w:val="1"/>
    <w:autoRedefine/>
    <w:qFormat/>
    <w:uiPriority w:val="0"/>
    <w:pPr>
      <w:ind w:left="100" w:leftChars="600" w:hanging="200" w:hangingChars="200"/>
    </w:p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0"/>
    <w:pPr>
      <w:spacing w:before="100" w:beforeAutospacing="1" w:after="100" w:afterAutospacing="1"/>
      <w:jc w:val="left"/>
    </w:pPr>
    <w:rPr>
      <w:kern w:val="0"/>
      <w:sz w:val="24"/>
    </w:rPr>
  </w:style>
  <w:style w:type="paragraph" w:styleId="29">
    <w:name w:val="Title"/>
    <w:basedOn w:val="1"/>
    <w:next w:val="1"/>
    <w:autoRedefine/>
    <w:qFormat/>
    <w:uiPriority w:val="0"/>
    <w:pPr>
      <w:spacing w:before="240" w:after="60"/>
      <w:jc w:val="center"/>
      <w:outlineLvl w:val="0"/>
    </w:pPr>
    <w:rPr>
      <w:rFonts w:ascii="Cambria" w:hAnsi="Cambria"/>
      <w:b/>
      <w:bCs/>
      <w:sz w:val="32"/>
      <w:szCs w:val="32"/>
    </w:rPr>
  </w:style>
  <w:style w:type="paragraph" w:styleId="30">
    <w:name w:val="annotation subject"/>
    <w:basedOn w:val="10"/>
    <w:next w:val="10"/>
    <w:autoRedefine/>
    <w:semiHidden/>
    <w:qFormat/>
    <w:uiPriority w:val="0"/>
    <w:rPr>
      <w:b/>
      <w:bCs/>
    </w:rPr>
  </w:style>
  <w:style w:type="paragraph" w:styleId="31">
    <w:name w:val="Body Text First Indent 2"/>
    <w:basedOn w:val="12"/>
    <w:autoRedefine/>
    <w:qFormat/>
    <w:uiPriority w:val="99"/>
    <w:pPr>
      <w:spacing w:beforeLines="50" w:afterLines="50" w:line="240" w:lineRule="auto"/>
      <w:ind w:firstLine="420"/>
    </w:pPr>
    <w:rPr>
      <w:rFonts w:eastAsia="宋体"/>
      <w:sz w:val="21"/>
      <w:szCs w:val="20"/>
    </w:rPr>
  </w:style>
  <w:style w:type="table" w:styleId="33">
    <w:name w:val="Table Grid"/>
    <w:basedOn w:val="32"/>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autoRedefine/>
    <w:qFormat/>
    <w:uiPriority w:val="0"/>
    <w:rPr>
      <w:b/>
    </w:rPr>
  </w:style>
  <w:style w:type="character" w:styleId="36">
    <w:name w:val="page number"/>
    <w:autoRedefine/>
    <w:qFormat/>
    <w:uiPriority w:val="0"/>
  </w:style>
  <w:style w:type="character" w:styleId="37">
    <w:name w:val="Hyperlink"/>
    <w:basedOn w:val="34"/>
    <w:autoRedefine/>
    <w:qFormat/>
    <w:uiPriority w:val="0"/>
    <w:rPr>
      <w:color w:val="0000FF"/>
      <w:u w:val="single"/>
    </w:rPr>
  </w:style>
  <w:style w:type="character" w:styleId="38">
    <w:name w:val="annotation reference"/>
    <w:autoRedefine/>
    <w:semiHidden/>
    <w:qFormat/>
    <w:uiPriority w:val="0"/>
    <w:rPr>
      <w:sz w:val="21"/>
      <w:szCs w:val="21"/>
    </w:rPr>
  </w:style>
  <w:style w:type="paragraph" w:customStyle="1" w:styleId="39">
    <w:name w:val="章正文"/>
    <w:basedOn w:val="1"/>
    <w:qFormat/>
    <w:uiPriority w:val="0"/>
    <w:pPr>
      <w:spacing w:beforeLines="50" w:line="300" w:lineRule="auto"/>
      <w:ind w:firstLine="480"/>
    </w:pPr>
    <w:rPr>
      <w:rFonts w:ascii="Helvetica" w:hAnsi="Helvetica"/>
      <w:kern w:val="0"/>
      <w:sz w:val="24"/>
    </w:rPr>
  </w:style>
  <w:style w:type="paragraph" w:customStyle="1" w:styleId="40">
    <w:name w:val="表格文字"/>
    <w:basedOn w:val="1"/>
    <w:next w:val="3"/>
    <w:qFormat/>
    <w:uiPriority w:val="0"/>
    <w:pPr>
      <w:adjustRightInd w:val="0"/>
      <w:spacing w:line="420" w:lineRule="atLeast"/>
      <w:jc w:val="left"/>
      <w:textAlignment w:val="baseline"/>
    </w:pPr>
    <w:rPr>
      <w:kern w:val="0"/>
    </w:rPr>
  </w:style>
  <w:style w:type="paragraph" w:customStyle="1" w:styleId="41">
    <w:name w:val="正文2"/>
    <w:basedOn w:val="1"/>
    <w:qFormat/>
    <w:uiPriority w:val="0"/>
    <w:pPr>
      <w:spacing w:before="156" w:line="360" w:lineRule="auto"/>
      <w:ind w:firstLine="510" w:firstLineChars="200"/>
    </w:pPr>
    <w:rPr>
      <w:szCs w:val="20"/>
    </w:rPr>
  </w:style>
  <w:style w:type="paragraph" w:customStyle="1" w:styleId="42">
    <w:name w:val="正文 A"/>
    <w:basedOn w:val="1"/>
    <w:qFormat/>
    <w:uiPriority w:val="0"/>
    <w:rPr>
      <w:rFonts w:eastAsia="Arial Unicode MS" w:cs="Arial Unicode MS"/>
      <w:color w:val="000000"/>
      <w:szCs w:val="21"/>
    </w:rPr>
  </w:style>
  <w:style w:type="paragraph" w:customStyle="1" w:styleId="4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正文段"/>
    <w:basedOn w:val="1"/>
    <w:qFormat/>
    <w:uiPriority w:val="99"/>
    <w:pPr>
      <w:widowControl/>
      <w:snapToGrid w:val="0"/>
      <w:spacing w:afterLines="50"/>
      <w:ind w:firstLine="200" w:firstLineChars="200"/>
    </w:pPr>
    <w:rPr>
      <w:kern w:val="0"/>
      <w:sz w:val="24"/>
      <w:szCs w:val="20"/>
    </w:rPr>
  </w:style>
  <w:style w:type="paragraph" w:customStyle="1" w:styleId="45">
    <w:name w:val="列出段落1"/>
    <w:basedOn w:val="1"/>
    <w:qFormat/>
    <w:uiPriority w:val="34"/>
    <w:pPr>
      <w:ind w:firstLine="420" w:firstLineChars="200"/>
    </w:pPr>
    <w:rPr>
      <w:sz w:val="28"/>
      <w:szCs w:val="20"/>
    </w:rPr>
  </w:style>
  <w:style w:type="paragraph" w:customStyle="1" w:styleId="46">
    <w:name w:val="pa-122"/>
    <w:basedOn w:val="1"/>
    <w:qFormat/>
    <w:uiPriority w:val="0"/>
    <w:pPr>
      <w:widowControl/>
      <w:spacing w:before="150" w:after="150"/>
      <w:jc w:val="left"/>
    </w:pPr>
    <w:rPr>
      <w:rFonts w:ascii="宋体" w:hAnsi="宋体" w:cs="宋体"/>
      <w:kern w:val="0"/>
      <w:sz w:val="24"/>
    </w:rPr>
  </w:style>
  <w:style w:type="paragraph" w:customStyle="1" w:styleId="47">
    <w:name w:val="_Style 1"/>
    <w:basedOn w:val="1"/>
    <w:qFormat/>
    <w:uiPriority w:val="0"/>
    <w:pPr>
      <w:ind w:firstLine="420" w:firstLineChars="200"/>
    </w:pPr>
    <w:rPr>
      <w:rFonts w:ascii="Calibri" w:hAnsi="Calibri"/>
      <w:szCs w:val="22"/>
    </w:rPr>
  </w:style>
  <w:style w:type="paragraph" w:customStyle="1" w:styleId="48">
    <w:name w:val="_Style 42"/>
    <w:basedOn w:val="1"/>
    <w:next w:val="1"/>
    <w:autoRedefine/>
    <w:qFormat/>
    <w:uiPriority w:val="0"/>
    <w:pPr>
      <w:wordWrap w:val="0"/>
      <w:spacing w:before="360" w:after="360"/>
      <w:ind w:left="950" w:right="950"/>
      <w:jc w:val="center"/>
    </w:pPr>
    <w:rPr>
      <w:i/>
    </w:rPr>
  </w:style>
  <w:style w:type="paragraph" w:customStyle="1" w:styleId="49">
    <w:name w:val="Default"/>
    <w:next w:val="48"/>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1">
    <w:name w:val="_Style 46"/>
    <w:basedOn w:val="1"/>
    <w:qFormat/>
    <w:uiPriority w:val="34"/>
    <w:pPr>
      <w:ind w:firstLine="420" w:firstLineChars="200"/>
    </w:pPr>
  </w:style>
  <w:style w:type="character" w:customStyle="1" w:styleId="52">
    <w:name w:val="正文缩进 Char"/>
    <w:link w:val="8"/>
    <w:qFormat/>
    <w:uiPriority w:val="0"/>
    <w:rPr>
      <w:rFonts w:eastAsia="宋体"/>
      <w:kern w:val="2"/>
      <w:sz w:val="21"/>
      <w:lang w:val="en-US" w:eastAsia="zh-CN" w:bidi="ar-SA"/>
    </w:rPr>
  </w:style>
  <w:style w:type="character" w:customStyle="1" w:styleId="53">
    <w:name w:val="纯文本 Char"/>
    <w:link w:val="15"/>
    <w:qFormat/>
    <w:uiPriority w:val="0"/>
    <w:rPr>
      <w:rFonts w:ascii="宋体" w:hAnsi="Courier New" w:eastAsia="宋体"/>
      <w:kern w:val="2"/>
      <w:sz w:val="24"/>
      <w:szCs w:val="24"/>
      <w:lang w:val="en-US" w:eastAsia="zh-CN" w:bidi="ar-SA"/>
    </w:rPr>
  </w:style>
  <w:style w:type="character" w:customStyle="1" w:styleId="54">
    <w:name w:val="日期 Char"/>
    <w:link w:val="16"/>
    <w:qFormat/>
    <w:uiPriority w:val="0"/>
    <w:rPr>
      <w:rFonts w:ascii="仿宋_GB2312" w:hAnsi="宋体" w:eastAsia="仿宋_GB2312"/>
      <w:kern w:val="2"/>
      <w:sz w:val="30"/>
      <w:szCs w:val="24"/>
    </w:rPr>
  </w:style>
  <w:style w:type="character" w:customStyle="1" w:styleId="55">
    <w:name w:val="页脚 Char"/>
    <w:link w:val="19"/>
    <w:qFormat/>
    <w:uiPriority w:val="99"/>
    <w:rPr>
      <w:kern w:val="2"/>
      <w:sz w:val="18"/>
      <w:szCs w:val="18"/>
    </w:rPr>
  </w:style>
  <w:style w:type="character" w:customStyle="1" w:styleId="56">
    <w:name w:val="正文文本缩进 3 Char"/>
    <w:link w:val="24"/>
    <w:qFormat/>
    <w:uiPriority w:val="0"/>
    <w:rPr>
      <w:kern w:val="2"/>
      <w:sz w:val="16"/>
      <w:szCs w:val="16"/>
    </w:rPr>
  </w:style>
  <w:style w:type="character" w:customStyle="1" w:styleId="57">
    <w:name w:val="font11"/>
    <w:basedOn w:val="34"/>
    <w:autoRedefine/>
    <w:qFormat/>
    <w:uiPriority w:val="0"/>
    <w:rPr>
      <w:rFonts w:hint="eastAsia" w:ascii="宋体" w:hAnsi="宋体" w:eastAsia="宋体" w:cs="宋体"/>
      <w:color w:val="000000"/>
      <w:sz w:val="20"/>
      <w:szCs w:val="20"/>
      <w:u w:val="none"/>
    </w:rPr>
  </w:style>
  <w:style w:type="character" w:customStyle="1" w:styleId="58">
    <w:name w:val="15"/>
    <w:qFormat/>
    <w:uiPriority w:val="0"/>
    <w:rPr>
      <w:rFonts w:hint="default" w:ascii="Times New Roman" w:hAnsi="Times New Roman" w:cs="Times New Roman"/>
    </w:rPr>
  </w:style>
  <w:style w:type="character" w:customStyle="1" w:styleId="59">
    <w:name w:val="newsitemtext1"/>
    <w:qFormat/>
    <w:uiPriority w:val="0"/>
    <w:rPr>
      <w:color w:val="000000"/>
      <w:spacing w:val="320"/>
      <w:sz w:val="21"/>
      <w:szCs w:val="21"/>
    </w:rPr>
  </w:style>
  <w:style w:type="character" w:customStyle="1" w:styleId="60">
    <w:name w:val="ca-4"/>
    <w:qFormat/>
    <w:uiPriority w:val="0"/>
  </w:style>
  <w:style w:type="character" w:customStyle="1" w:styleId="61">
    <w:name w:val="font31"/>
    <w:autoRedefine/>
    <w:qFormat/>
    <w:uiPriority w:val="0"/>
    <w:rPr>
      <w:rFonts w:hint="eastAsia" w:ascii="宋体" w:hAnsi="宋体" w:eastAsia="宋体" w:cs="宋体"/>
      <w:b/>
      <w:bCs/>
      <w:color w:val="000000"/>
      <w:sz w:val="20"/>
      <w:szCs w:val="20"/>
      <w:u w:val="none"/>
    </w:rPr>
  </w:style>
  <w:style w:type="character" w:customStyle="1" w:styleId="62">
    <w:name w:val="font01"/>
    <w:basedOn w:val="34"/>
    <w:autoRedefine/>
    <w:qFormat/>
    <w:uiPriority w:val="0"/>
    <w:rPr>
      <w:rFonts w:ascii="Wingdings 2" w:hAnsi="Wingdings 2" w:eastAsia="Wingdings 2" w:cs="Wingdings 2"/>
      <w:color w:val="000000"/>
      <w:sz w:val="21"/>
      <w:szCs w:val="21"/>
      <w:u w:val="none"/>
    </w:rPr>
  </w:style>
  <w:style w:type="character" w:customStyle="1" w:styleId="63">
    <w:name w:val="纯文本 Char1"/>
    <w:qFormat/>
    <w:uiPriority w:val="0"/>
    <w:rPr>
      <w:rFonts w:ascii="宋体" w:hAnsi="Courier New" w:eastAsia="宋体"/>
      <w:kern w:val="2"/>
      <w:sz w:val="24"/>
      <w:szCs w:val="24"/>
      <w:lang w:val="en-US" w:eastAsia="zh-CN" w:bidi="ar-SA"/>
    </w:rPr>
  </w:style>
  <w:style w:type="paragraph" w:customStyle="1" w:styleId="64">
    <w:name w:val="正文1"/>
    <w:basedOn w:val="1"/>
    <w:qFormat/>
    <w:uiPriority w:val="0"/>
    <w:pPr>
      <w:widowControl/>
    </w:pPr>
    <w:rPr>
      <w:szCs w:val="21"/>
    </w:rPr>
  </w:style>
  <w:style w:type="paragraph" w:customStyle="1" w:styleId="65">
    <w:name w:val="Table Paragraph"/>
    <w:basedOn w:val="1"/>
    <w:autoRedefine/>
    <w:qFormat/>
    <w:uiPriority w:val="1"/>
    <w:rPr>
      <w:rFonts w:ascii="宋体" w:hAnsi="宋体" w:cs="宋体"/>
    </w:rPr>
  </w:style>
  <w:style w:type="paragraph" w:customStyle="1" w:styleId="66">
    <w:name w:val="Normal"/>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67">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70</Pages>
  <Words>43560</Words>
  <Characters>46526</Characters>
  <Lines>316</Lines>
  <Paragraphs>89</Paragraphs>
  <TotalTime>166</TotalTime>
  <ScaleCrop>false</ScaleCrop>
  <LinksUpToDate>false</LinksUpToDate>
  <CharactersWithSpaces>48579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2021-04-13T20:22:00Z</dcterms:created>
  <dc:creator>鹧鸪天</dc:creator>
  <cp:lastModifiedBy>Administrator</cp:lastModifiedBy>
  <cp:lastPrinted>2021-07-21T09:06:00Z</cp:lastPrinted>
  <dcterms:modified xsi:type="dcterms:W3CDTF">2024-03-29T06:13:07Z</dcterms:modified>
  <dc:title>2018-2019年度安吉县县级以上公路日常养护服务政府采购项目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4D98581FA5B841A3B8038FF6B0271748</vt:lpwstr>
  </property>
</Properties>
</file>