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before="0" w:beforeLines="0" w:line="240" w:lineRule="auto"/>
        <w:jc w:val="left"/>
        <w:rPr>
          <w:rFonts w:hint="eastAsia"/>
          <w:highlight w:val="none"/>
          <w:lang w:eastAsia="zh-CN"/>
        </w:rPr>
      </w:pPr>
    </w:p>
    <w:p>
      <w:pPr>
        <w:shd w:val="clear"/>
        <w:spacing w:before="156" w:beforeLines="50" w:line="700" w:lineRule="exact"/>
        <w:jc w:val="center"/>
        <w:rPr>
          <w:rFonts w:hint="eastAsia"/>
          <w:color w:val="auto"/>
          <w:sz w:val="52"/>
          <w:szCs w:val="52"/>
          <w:highlight w:val="none"/>
          <w:lang w:eastAsia="zh-CN"/>
        </w:rPr>
      </w:pPr>
      <w:r>
        <w:rPr>
          <w:rStyle w:val="57"/>
          <w:rFonts w:hint="eastAsia" w:ascii="宋体" w:hAnsi="宋体" w:cs="宋体"/>
          <w:color w:val="auto"/>
          <w:spacing w:val="0"/>
          <w:sz w:val="52"/>
          <w:szCs w:val="52"/>
          <w:highlight w:val="none"/>
          <w:lang w:eastAsia="zh-CN"/>
        </w:rPr>
        <w:t>安吉县林业局林长制视频监控服务政府采购项目</w:t>
      </w:r>
    </w:p>
    <w:p>
      <w:pPr>
        <w:shd w:val="clear"/>
        <w:spacing w:before="0" w:beforeLines="0" w:line="240" w:lineRule="auto"/>
        <w:jc w:val="left"/>
        <w:rPr>
          <w:rFonts w:hint="eastAsia"/>
          <w:highlight w:val="none"/>
        </w:rPr>
      </w:pPr>
    </w:p>
    <w:p>
      <w:pPr>
        <w:shd w:val="clear"/>
        <w:tabs>
          <w:tab w:val="left" w:pos="7692"/>
        </w:tabs>
        <w:spacing w:before="0" w:beforeLines="0" w:line="240" w:lineRule="auto"/>
        <w:jc w:val="left"/>
        <w:rPr>
          <w:rFonts w:hint="eastAsia" w:eastAsia="宋体"/>
          <w:highlight w:val="none"/>
          <w:lang w:eastAsia="zh-CN"/>
        </w:rPr>
      </w:pPr>
      <w:r>
        <w:rPr>
          <w:rFonts w:hint="eastAsia"/>
          <w:highlight w:val="none"/>
          <w:lang w:eastAsia="zh-CN"/>
        </w:rPr>
        <w:tab/>
      </w:r>
    </w:p>
    <w:p>
      <w:pPr>
        <w:shd w:val="clear"/>
        <w:spacing w:before="156" w:beforeLines="50" w:line="700" w:lineRule="exact"/>
        <w:jc w:val="center"/>
        <w:rPr>
          <w:rStyle w:val="57"/>
          <w:rFonts w:hint="eastAsia" w:ascii="宋体" w:hAnsi="宋体" w:cs="宋体"/>
          <w:color w:val="auto"/>
          <w:spacing w:val="0"/>
          <w:sz w:val="72"/>
          <w:szCs w:val="44"/>
          <w:highlight w:val="none"/>
        </w:rPr>
      </w:pPr>
      <w:r>
        <w:rPr>
          <w:rStyle w:val="57"/>
          <w:rFonts w:hint="eastAsia" w:ascii="宋体" w:hAnsi="宋体" w:cs="宋体"/>
          <w:color w:val="auto"/>
          <w:spacing w:val="0"/>
          <w:sz w:val="72"/>
          <w:szCs w:val="44"/>
          <w:highlight w:val="none"/>
        </w:rPr>
        <w:t>公</w:t>
      </w:r>
    </w:p>
    <w:p>
      <w:pPr>
        <w:shd w:val="clear"/>
        <w:spacing w:before="156" w:beforeLines="50" w:line="800" w:lineRule="exact"/>
        <w:jc w:val="center"/>
        <w:rPr>
          <w:rStyle w:val="57"/>
          <w:rFonts w:hint="eastAsia" w:ascii="宋体" w:hAnsi="宋体" w:cs="宋体"/>
          <w:color w:val="auto"/>
          <w:spacing w:val="0"/>
          <w:sz w:val="72"/>
          <w:szCs w:val="44"/>
          <w:highlight w:val="none"/>
        </w:rPr>
      </w:pPr>
      <w:r>
        <w:rPr>
          <w:rStyle w:val="57"/>
          <w:rFonts w:hint="eastAsia" w:ascii="宋体" w:hAnsi="宋体" w:cs="宋体"/>
          <w:color w:val="auto"/>
          <w:spacing w:val="0"/>
          <w:sz w:val="72"/>
          <w:szCs w:val="44"/>
          <w:highlight w:val="none"/>
        </w:rPr>
        <w:t>开</w:t>
      </w:r>
    </w:p>
    <w:p>
      <w:pPr>
        <w:shd w:val="clear"/>
        <w:spacing w:before="156" w:beforeLines="50" w:line="800" w:lineRule="exact"/>
        <w:jc w:val="center"/>
        <w:rPr>
          <w:rStyle w:val="57"/>
          <w:rFonts w:hint="eastAsia" w:ascii="宋体" w:hAnsi="宋体" w:cs="宋体"/>
          <w:color w:val="auto"/>
          <w:spacing w:val="0"/>
          <w:sz w:val="72"/>
          <w:szCs w:val="44"/>
          <w:highlight w:val="none"/>
        </w:rPr>
      </w:pPr>
      <w:r>
        <w:rPr>
          <w:rStyle w:val="57"/>
          <w:rFonts w:hint="eastAsia" w:ascii="宋体" w:hAnsi="宋体" w:cs="宋体"/>
          <w:color w:val="auto"/>
          <w:spacing w:val="0"/>
          <w:sz w:val="72"/>
          <w:szCs w:val="44"/>
          <w:highlight w:val="none"/>
        </w:rPr>
        <w:t>招</w:t>
      </w:r>
    </w:p>
    <w:p>
      <w:pPr>
        <w:shd w:val="clear"/>
        <w:spacing w:before="156" w:beforeLines="50" w:line="800" w:lineRule="exact"/>
        <w:jc w:val="center"/>
        <w:rPr>
          <w:rStyle w:val="57"/>
          <w:rFonts w:hint="eastAsia" w:ascii="宋体" w:hAnsi="宋体" w:cs="宋体"/>
          <w:color w:val="auto"/>
          <w:spacing w:val="0"/>
          <w:sz w:val="72"/>
          <w:szCs w:val="44"/>
          <w:highlight w:val="none"/>
        </w:rPr>
      </w:pPr>
      <w:r>
        <w:rPr>
          <w:rStyle w:val="57"/>
          <w:rFonts w:hint="eastAsia" w:ascii="宋体" w:hAnsi="宋体" w:cs="宋体"/>
          <w:color w:val="auto"/>
          <w:spacing w:val="0"/>
          <w:sz w:val="72"/>
          <w:szCs w:val="44"/>
          <w:highlight w:val="none"/>
        </w:rPr>
        <w:t>标</w:t>
      </w:r>
    </w:p>
    <w:p>
      <w:pPr>
        <w:shd w:val="clear"/>
        <w:spacing w:before="156" w:beforeLines="50" w:line="800" w:lineRule="exact"/>
        <w:jc w:val="center"/>
        <w:rPr>
          <w:rStyle w:val="57"/>
          <w:rFonts w:hint="eastAsia" w:ascii="宋体" w:hAnsi="宋体" w:cs="宋体"/>
          <w:color w:val="auto"/>
          <w:spacing w:val="0"/>
          <w:sz w:val="72"/>
          <w:szCs w:val="72"/>
          <w:highlight w:val="none"/>
        </w:rPr>
      </w:pPr>
      <w:r>
        <w:rPr>
          <w:rStyle w:val="57"/>
          <w:rFonts w:hint="eastAsia" w:ascii="宋体" w:hAnsi="宋体" w:cs="宋体"/>
          <w:color w:val="auto"/>
          <w:spacing w:val="0"/>
          <w:sz w:val="72"/>
          <w:szCs w:val="72"/>
          <w:highlight w:val="none"/>
        </w:rPr>
        <w:t>采</w:t>
      </w:r>
    </w:p>
    <w:p>
      <w:pPr>
        <w:shd w:val="clear"/>
        <w:spacing w:before="156" w:beforeLines="50" w:line="800" w:lineRule="exact"/>
        <w:jc w:val="center"/>
        <w:rPr>
          <w:rStyle w:val="57"/>
          <w:rFonts w:hint="eastAsia" w:ascii="宋体" w:hAnsi="宋体" w:cs="宋体"/>
          <w:color w:val="auto"/>
          <w:spacing w:val="0"/>
          <w:sz w:val="72"/>
          <w:szCs w:val="72"/>
          <w:highlight w:val="none"/>
        </w:rPr>
      </w:pPr>
      <w:r>
        <w:rPr>
          <w:rStyle w:val="57"/>
          <w:rFonts w:hint="eastAsia" w:ascii="宋体" w:hAnsi="宋体" w:cs="宋体"/>
          <w:color w:val="auto"/>
          <w:spacing w:val="0"/>
          <w:sz w:val="72"/>
          <w:szCs w:val="72"/>
          <w:highlight w:val="none"/>
        </w:rPr>
        <w:t>购</w:t>
      </w:r>
    </w:p>
    <w:p>
      <w:pPr>
        <w:shd w:val="clear"/>
        <w:spacing w:before="156" w:beforeLines="50" w:line="800" w:lineRule="exact"/>
        <w:jc w:val="center"/>
        <w:rPr>
          <w:rStyle w:val="57"/>
          <w:rFonts w:hint="eastAsia" w:ascii="宋体" w:hAnsi="宋体" w:cs="宋体"/>
          <w:color w:val="auto"/>
          <w:spacing w:val="0"/>
          <w:sz w:val="72"/>
          <w:szCs w:val="72"/>
          <w:highlight w:val="none"/>
        </w:rPr>
      </w:pPr>
      <w:r>
        <w:rPr>
          <w:rStyle w:val="57"/>
          <w:rFonts w:hint="eastAsia" w:ascii="宋体" w:hAnsi="宋体" w:cs="宋体"/>
          <w:color w:val="auto"/>
          <w:spacing w:val="0"/>
          <w:sz w:val="72"/>
          <w:szCs w:val="72"/>
          <w:highlight w:val="none"/>
        </w:rPr>
        <w:t>文</w:t>
      </w:r>
    </w:p>
    <w:p>
      <w:pPr>
        <w:shd w:val="clear"/>
        <w:spacing w:before="156" w:beforeLines="50" w:line="800" w:lineRule="exact"/>
        <w:jc w:val="center"/>
        <w:rPr>
          <w:rStyle w:val="57"/>
          <w:rFonts w:hint="eastAsia" w:ascii="宋体" w:hAnsi="宋体" w:cs="宋体"/>
          <w:color w:val="auto"/>
          <w:spacing w:val="0"/>
          <w:sz w:val="72"/>
          <w:szCs w:val="72"/>
          <w:highlight w:val="none"/>
        </w:rPr>
      </w:pPr>
      <w:r>
        <w:rPr>
          <w:rStyle w:val="57"/>
          <w:rFonts w:hint="eastAsia" w:ascii="宋体" w:hAnsi="宋体" w:cs="宋体"/>
          <w:color w:val="auto"/>
          <w:spacing w:val="0"/>
          <w:sz w:val="72"/>
          <w:szCs w:val="72"/>
          <w:highlight w:val="none"/>
        </w:rPr>
        <w:t>件</w:t>
      </w:r>
    </w:p>
    <w:p>
      <w:pPr>
        <w:pStyle w:val="15"/>
        <w:shd w:val="clear"/>
        <w:snapToGrid w:val="0"/>
        <w:spacing w:beforeLines="0" w:afterLines="0" w:line="300" w:lineRule="exact"/>
        <w:rPr>
          <w:rFonts w:hint="eastAsia" w:hAnsi="宋体" w:cs="宋体"/>
          <w:color w:val="auto"/>
          <w:highlight w:val="none"/>
        </w:rPr>
      </w:pPr>
    </w:p>
    <w:p>
      <w:pPr>
        <w:pStyle w:val="15"/>
        <w:shd w:val="clear"/>
        <w:snapToGrid w:val="0"/>
        <w:spacing w:beforeLines="0" w:afterLines="0" w:line="300" w:lineRule="exact"/>
        <w:rPr>
          <w:rFonts w:hint="eastAsia" w:hAnsi="宋体" w:eastAsia="宋体" w:cs="宋体"/>
          <w:color w:val="auto"/>
          <w:highlight w:val="none"/>
          <w:lang w:eastAsia="zh-CN"/>
        </w:rPr>
      </w:pPr>
      <w:r>
        <w:rPr>
          <w:rFonts w:hint="eastAsia" w:hAnsi="宋体" w:cs="宋体"/>
          <w:color w:val="auto"/>
          <w:highlight w:val="none"/>
        </w:rPr>
        <w:t>项目编号：</w:t>
      </w:r>
      <w:r>
        <w:rPr>
          <w:rFonts w:hint="eastAsia" w:hAnsi="宋体" w:cs="宋体"/>
          <w:color w:val="auto"/>
          <w:highlight w:val="none"/>
          <w:lang w:eastAsia="zh-CN"/>
        </w:rPr>
        <w:t>JCGK2024-008</w:t>
      </w:r>
    </w:p>
    <w:p>
      <w:pPr>
        <w:pStyle w:val="15"/>
        <w:shd w:val="clear"/>
        <w:snapToGrid w:val="0"/>
        <w:spacing w:beforeLines="0" w:afterLines="0" w:line="300" w:lineRule="exact"/>
        <w:rPr>
          <w:rFonts w:hint="eastAsia" w:hAnsi="宋体" w:eastAsia="宋体" w:cs="宋体"/>
          <w:color w:val="auto"/>
          <w:highlight w:val="none"/>
          <w:lang w:eastAsia="zh-CN"/>
        </w:rPr>
      </w:pPr>
      <w:r>
        <w:rPr>
          <w:rFonts w:hint="eastAsia" w:hAnsi="宋体" w:cs="宋体"/>
          <w:color w:val="auto"/>
          <w:highlight w:val="none"/>
        </w:rPr>
        <w:t>项目名称：</w:t>
      </w:r>
      <w:r>
        <w:rPr>
          <w:rFonts w:hint="eastAsia" w:hAnsi="宋体" w:cs="宋体"/>
          <w:color w:val="auto"/>
          <w:highlight w:val="none"/>
          <w:lang w:eastAsia="zh-CN"/>
        </w:rPr>
        <w:t>安吉县林业局林长制视频监控服务政府采购项目</w:t>
      </w:r>
    </w:p>
    <w:p>
      <w:pPr>
        <w:pStyle w:val="15"/>
        <w:shd w:val="clear"/>
        <w:snapToGrid w:val="0"/>
        <w:spacing w:beforeLines="0" w:afterLines="0" w:line="300" w:lineRule="exact"/>
        <w:rPr>
          <w:rFonts w:hint="eastAsia" w:hAnsi="宋体" w:eastAsia="宋体" w:cs="宋体"/>
          <w:color w:val="auto"/>
          <w:highlight w:val="none"/>
          <w:lang w:eastAsia="zh-CN"/>
        </w:rPr>
      </w:pPr>
      <w:r>
        <w:rPr>
          <w:rFonts w:hint="eastAsia" w:hAnsi="宋体" w:cs="宋体"/>
          <w:color w:val="auto"/>
          <w:highlight w:val="none"/>
        </w:rPr>
        <w:t>采购单位：</w:t>
      </w:r>
      <w:r>
        <w:rPr>
          <w:rFonts w:hint="eastAsia" w:hAnsi="宋体" w:cs="宋体"/>
          <w:color w:val="auto"/>
          <w:highlight w:val="none"/>
          <w:lang w:eastAsia="zh-CN"/>
        </w:rPr>
        <w:t>安吉县林业局</w:t>
      </w:r>
    </w:p>
    <w:p>
      <w:pPr>
        <w:pStyle w:val="15"/>
        <w:shd w:val="clear"/>
        <w:snapToGrid w:val="0"/>
        <w:spacing w:beforeLines="0" w:afterLines="0" w:line="300" w:lineRule="exact"/>
        <w:rPr>
          <w:rFonts w:hint="eastAsia" w:hAnsi="宋体" w:cs="宋体"/>
          <w:color w:val="auto"/>
          <w:highlight w:val="none"/>
        </w:rPr>
      </w:pPr>
      <w:r>
        <w:rPr>
          <w:rFonts w:hint="eastAsia" w:hAnsi="宋体" w:cs="宋体"/>
          <w:color w:val="auto"/>
          <w:highlight w:val="none"/>
        </w:rPr>
        <w:t>采购代理机构：安吉精诚采购代理有限公司</w:t>
      </w:r>
    </w:p>
    <w:p>
      <w:pPr>
        <w:pStyle w:val="15"/>
        <w:shd w:val="clear"/>
        <w:snapToGrid w:val="0"/>
        <w:spacing w:beforeLines="0" w:afterLines="0" w:line="300" w:lineRule="exact"/>
        <w:rPr>
          <w:rFonts w:hint="eastAsia" w:hAnsi="宋体" w:cs="宋体"/>
          <w:color w:val="auto"/>
          <w:highlight w:val="none"/>
        </w:rPr>
      </w:pPr>
      <w:r>
        <w:rPr>
          <w:rFonts w:hint="eastAsia" w:hAnsi="宋体" w:cs="宋体"/>
          <w:color w:val="auto"/>
          <w:highlight w:val="none"/>
        </w:rPr>
        <w:t>采购类型：分散采购委托代理</w:t>
      </w:r>
    </w:p>
    <w:p>
      <w:pPr>
        <w:pStyle w:val="15"/>
        <w:shd w:val="clear"/>
        <w:snapToGrid w:val="0"/>
        <w:spacing w:beforeLines="0" w:afterLines="0" w:line="300" w:lineRule="exact"/>
        <w:jc w:val="right"/>
        <w:rPr>
          <w:rFonts w:hint="eastAsia" w:hAnsi="宋体" w:cs="宋体"/>
          <w:color w:val="auto"/>
          <w:highlight w:val="none"/>
        </w:rPr>
      </w:pPr>
    </w:p>
    <w:p>
      <w:pPr>
        <w:pStyle w:val="15"/>
        <w:shd w:val="clear"/>
        <w:snapToGrid w:val="0"/>
        <w:spacing w:beforeLines="0" w:afterLines="0" w:line="300" w:lineRule="exact"/>
        <w:jc w:val="right"/>
        <w:rPr>
          <w:rFonts w:hint="eastAsia" w:hAnsi="宋体" w:cs="宋体"/>
          <w:color w:val="auto"/>
          <w:highlight w:val="none"/>
        </w:rPr>
      </w:pPr>
    </w:p>
    <w:p>
      <w:pPr>
        <w:pStyle w:val="15"/>
        <w:shd w:val="clear"/>
        <w:snapToGrid w:val="0"/>
        <w:spacing w:beforeLines="0" w:afterLines="0" w:line="300" w:lineRule="exact"/>
        <w:jc w:val="right"/>
        <w:rPr>
          <w:rFonts w:hint="eastAsia" w:hAnsi="宋体" w:cs="宋体"/>
          <w:b/>
          <w:color w:val="auto"/>
          <w:sz w:val="44"/>
          <w:szCs w:val="44"/>
          <w:highlight w:val="none"/>
        </w:rPr>
      </w:pPr>
      <w:r>
        <w:rPr>
          <w:rFonts w:hint="eastAsia" w:hAnsi="宋体" w:cs="宋体"/>
          <w:color w:val="auto"/>
          <w:highlight w:val="none"/>
        </w:rPr>
        <w:t>202</w:t>
      </w:r>
      <w:r>
        <w:rPr>
          <w:rFonts w:hint="eastAsia" w:hAnsi="宋体" w:cs="宋体"/>
          <w:color w:val="auto"/>
          <w:highlight w:val="none"/>
          <w:lang w:val="en-US" w:eastAsia="zh-CN"/>
        </w:rPr>
        <w:t>4</w:t>
      </w:r>
      <w:r>
        <w:rPr>
          <w:rFonts w:hint="eastAsia" w:hAnsi="宋体" w:cs="宋体"/>
          <w:color w:val="auto"/>
          <w:highlight w:val="none"/>
        </w:rPr>
        <w:t>年</w:t>
      </w:r>
      <w:r>
        <w:rPr>
          <w:rFonts w:hint="eastAsia" w:hAnsi="宋体" w:cs="宋体"/>
          <w:color w:val="auto"/>
          <w:highlight w:val="none"/>
          <w:lang w:val="en-US" w:eastAsia="zh-CN"/>
        </w:rPr>
        <w:t>5</w:t>
      </w:r>
      <w:r>
        <w:rPr>
          <w:rFonts w:hint="eastAsia" w:hAnsi="宋体" w:cs="宋体"/>
          <w:color w:val="auto"/>
          <w:highlight w:val="none"/>
        </w:rPr>
        <w:t>月</w:t>
      </w:r>
    </w:p>
    <w:p>
      <w:pPr>
        <w:pStyle w:val="16"/>
        <w:shd w:val="clear"/>
        <w:ind w:left="0" w:leftChars="0"/>
        <w:rPr>
          <w:rFonts w:hint="eastAsia"/>
          <w:color w:val="auto"/>
          <w:highlight w:val="none"/>
        </w:rPr>
      </w:pPr>
    </w:p>
    <w:p>
      <w:pPr>
        <w:pStyle w:val="15"/>
        <w:shd w:val="clear"/>
        <w:snapToGrid w:val="0"/>
        <w:spacing w:beforeLines="0" w:afterLines="0" w:line="240" w:lineRule="auto"/>
        <w:jc w:val="center"/>
        <w:rPr>
          <w:rFonts w:hint="eastAsia" w:hAnsi="宋体" w:cs="宋体"/>
          <w:b/>
          <w:color w:val="auto"/>
          <w:sz w:val="44"/>
          <w:szCs w:val="44"/>
          <w:highlight w:val="none"/>
        </w:rPr>
      </w:pPr>
      <w:r>
        <w:rPr>
          <w:rFonts w:hint="eastAsia" w:hAnsi="宋体" w:cs="宋体"/>
          <w:b/>
          <w:color w:val="auto"/>
          <w:sz w:val="44"/>
          <w:szCs w:val="44"/>
          <w:highlight w:val="none"/>
        </w:rPr>
        <w:t>目      录</w:t>
      </w:r>
    </w:p>
    <w:p>
      <w:pPr>
        <w:pStyle w:val="21"/>
        <w:shd w:val="clear"/>
        <w:tabs>
          <w:tab w:val="right" w:leader="dot" w:pos="9412"/>
        </w:tabs>
        <w:spacing w:line="560" w:lineRule="exact"/>
        <w:rPr>
          <w:color w:val="auto"/>
          <w:highlight w:val="none"/>
        </w:rPr>
      </w:pPr>
      <w:bookmarkStart w:id="0" w:name="_Toc317341927"/>
      <w:r>
        <w:rPr>
          <w:rFonts w:hint="eastAsia" w:ascii="宋体" w:hAnsi="宋体" w:cs="宋体"/>
          <w:color w:val="auto"/>
          <w:sz w:val="24"/>
          <w:highlight w:val="none"/>
        </w:rPr>
        <w:fldChar w:fldCharType="begin"/>
      </w:r>
      <w:r>
        <w:rPr>
          <w:rStyle w:val="57"/>
          <w:rFonts w:hint="eastAsia" w:ascii="宋体" w:hAnsi="宋体" w:cs="宋体"/>
          <w:color w:val="auto"/>
          <w:spacing w:val="0"/>
          <w:sz w:val="24"/>
          <w:szCs w:val="24"/>
          <w:highlight w:val="none"/>
        </w:rPr>
        <w:instrText xml:space="preserve"> TOC \o "1-2" \u </w:instrText>
      </w:r>
      <w:r>
        <w:rPr>
          <w:rFonts w:hint="eastAsia" w:ascii="宋体" w:hAnsi="宋体" w:cs="宋体"/>
          <w:color w:val="auto"/>
          <w:sz w:val="24"/>
          <w:highlight w:val="none"/>
        </w:rPr>
        <w:fldChar w:fldCharType="separate"/>
      </w:r>
      <w:r>
        <w:rPr>
          <w:rFonts w:hint="eastAsia" w:ascii="宋体" w:hAnsi="宋体" w:cs="宋体"/>
          <w:snapToGrid w:val="0"/>
          <w:color w:val="auto"/>
          <w:szCs w:val="36"/>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_Toc22016 \h </w:instrText>
      </w:r>
      <w:r>
        <w:rPr>
          <w:color w:val="auto"/>
          <w:highlight w:val="none"/>
        </w:rPr>
        <w:fldChar w:fldCharType="separate"/>
      </w:r>
      <w:r>
        <w:rPr>
          <w:color w:val="auto"/>
          <w:highlight w:val="none"/>
        </w:rPr>
        <w:t>3</w:t>
      </w:r>
      <w:r>
        <w:rPr>
          <w:color w:val="auto"/>
          <w:highlight w:val="none"/>
        </w:rPr>
        <w:fldChar w:fldCharType="end"/>
      </w:r>
    </w:p>
    <w:p>
      <w:pPr>
        <w:pStyle w:val="21"/>
        <w:shd w:val="clear"/>
        <w:tabs>
          <w:tab w:val="right" w:leader="dot" w:pos="9412"/>
        </w:tabs>
        <w:spacing w:line="560" w:lineRule="exact"/>
        <w:rPr>
          <w:color w:val="auto"/>
          <w:highlight w:val="none"/>
        </w:rPr>
      </w:pPr>
      <w:r>
        <w:rPr>
          <w:rFonts w:hint="eastAsia" w:ascii="宋体" w:hAnsi="宋体" w:cs="宋体"/>
          <w:snapToGrid w:val="0"/>
          <w:color w:val="auto"/>
          <w:szCs w:val="36"/>
          <w:highlight w:val="none"/>
        </w:rPr>
        <w:t>第二章  招标需求</w:t>
      </w:r>
      <w:r>
        <w:rPr>
          <w:color w:val="auto"/>
          <w:highlight w:val="none"/>
        </w:rPr>
        <w:tab/>
      </w:r>
      <w:r>
        <w:rPr>
          <w:color w:val="auto"/>
          <w:highlight w:val="none"/>
        </w:rPr>
        <w:fldChar w:fldCharType="begin"/>
      </w:r>
      <w:r>
        <w:rPr>
          <w:color w:val="auto"/>
          <w:highlight w:val="none"/>
        </w:rPr>
        <w:instrText xml:space="preserve"> PAGEREF _Toc24817 \h </w:instrText>
      </w:r>
      <w:r>
        <w:rPr>
          <w:color w:val="auto"/>
          <w:highlight w:val="none"/>
        </w:rPr>
        <w:fldChar w:fldCharType="separate"/>
      </w:r>
      <w:r>
        <w:rPr>
          <w:color w:val="auto"/>
          <w:highlight w:val="none"/>
        </w:rPr>
        <w:t>6</w:t>
      </w:r>
      <w:r>
        <w:rPr>
          <w:color w:val="auto"/>
          <w:highlight w:val="none"/>
        </w:rPr>
        <w:fldChar w:fldCharType="end"/>
      </w:r>
    </w:p>
    <w:p>
      <w:pPr>
        <w:pStyle w:val="21"/>
        <w:shd w:val="clear"/>
        <w:tabs>
          <w:tab w:val="right" w:leader="dot" w:pos="9412"/>
        </w:tabs>
        <w:spacing w:line="560" w:lineRule="exact"/>
        <w:rPr>
          <w:color w:val="auto"/>
          <w:highlight w:val="none"/>
        </w:rPr>
      </w:pPr>
      <w:r>
        <w:rPr>
          <w:rFonts w:hint="eastAsia" w:ascii="宋体" w:hAnsi="宋体" w:cs="宋体"/>
          <w:snapToGrid w:val="0"/>
          <w:color w:val="auto"/>
          <w:szCs w:val="36"/>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_Toc29848 \h </w:instrText>
      </w:r>
      <w:r>
        <w:rPr>
          <w:color w:val="auto"/>
          <w:highlight w:val="none"/>
        </w:rPr>
        <w:fldChar w:fldCharType="separate"/>
      </w:r>
      <w:r>
        <w:rPr>
          <w:color w:val="auto"/>
          <w:highlight w:val="none"/>
        </w:rPr>
        <w:t>7</w:t>
      </w:r>
      <w:r>
        <w:rPr>
          <w:color w:val="auto"/>
          <w:highlight w:val="none"/>
        </w:rPr>
        <w:fldChar w:fldCharType="end"/>
      </w:r>
    </w:p>
    <w:p>
      <w:pPr>
        <w:pStyle w:val="21"/>
        <w:shd w:val="clear"/>
        <w:tabs>
          <w:tab w:val="right" w:leader="dot" w:pos="9412"/>
        </w:tabs>
        <w:spacing w:line="560" w:lineRule="exact"/>
        <w:rPr>
          <w:color w:val="auto"/>
          <w:highlight w:val="none"/>
        </w:rPr>
      </w:pPr>
      <w:r>
        <w:rPr>
          <w:rFonts w:hint="eastAsia" w:ascii="宋体" w:hAnsi="宋体" w:cs="宋体"/>
          <w:snapToGrid w:val="0"/>
          <w:color w:val="auto"/>
          <w:szCs w:val="36"/>
          <w:highlight w:val="none"/>
        </w:rPr>
        <w:t>第四章  评标办法及标准</w:t>
      </w:r>
      <w:r>
        <w:rPr>
          <w:color w:val="auto"/>
          <w:highlight w:val="none"/>
        </w:rPr>
        <w:tab/>
      </w:r>
      <w:r>
        <w:rPr>
          <w:color w:val="auto"/>
          <w:highlight w:val="none"/>
        </w:rPr>
        <w:fldChar w:fldCharType="begin"/>
      </w:r>
      <w:r>
        <w:rPr>
          <w:color w:val="auto"/>
          <w:highlight w:val="none"/>
        </w:rPr>
        <w:instrText xml:space="preserve"> PAGEREF _Toc27963 \h </w:instrText>
      </w:r>
      <w:r>
        <w:rPr>
          <w:color w:val="auto"/>
          <w:highlight w:val="none"/>
        </w:rPr>
        <w:fldChar w:fldCharType="separate"/>
      </w:r>
      <w:r>
        <w:rPr>
          <w:color w:val="auto"/>
          <w:highlight w:val="none"/>
        </w:rPr>
        <w:t>24</w:t>
      </w:r>
      <w:r>
        <w:rPr>
          <w:color w:val="auto"/>
          <w:highlight w:val="none"/>
        </w:rPr>
        <w:fldChar w:fldCharType="end"/>
      </w:r>
    </w:p>
    <w:p>
      <w:pPr>
        <w:pStyle w:val="21"/>
        <w:shd w:val="clear"/>
        <w:tabs>
          <w:tab w:val="right" w:leader="dot" w:pos="9412"/>
        </w:tabs>
        <w:spacing w:line="560" w:lineRule="exact"/>
        <w:rPr>
          <w:color w:val="auto"/>
          <w:highlight w:val="none"/>
        </w:rPr>
      </w:pPr>
      <w:r>
        <w:rPr>
          <w:rFonts w:hint="eastAsia" w:ascii="宋体" w:hAnsi="宋体" w:cs="宋体"/>
          <w:snapToGrid w:val="0"/>
          <w:color w:val="auto"/>
          <w:szCs w:val="36"/>
          <w:highlight w:val="none"/>
        </w:rPr>
        <w:t>第五章 合同主要条款</w:t>
      </w:r>
      <w:r>
        <w:rPr>
          <w:color w:val="auto"/>
          <w:highlight w:val="none"/>
        </w:rPr>
        <w:tab/>
      </w:r>
      <w:r>
        <w:rPr>
          <w:color w:val="auto"/>
          <w:highlight w:val="none"/>
        </w:rPr>
        <w:fldChar w:fldCharType="begin"/>
      </w:r>
      <w:r>
        <w:rPr>
          <w:color w:val="auto"/>
          <w:highlight w:val="none"/>
        </w:rPr>
        <w:instrText xml:space="preserve"> PAGEREF _Toc5807 \h </w:instrText>
      </w:r>
      <w:r>
        <w:rPr>
          <w:color w:val="auto"/>
          <w:highlight w:val="none"/>
        </w:rPr>
        <w:fldChar w:fldCharType="separate"/>
      </w:r>
      <w:r>
        <w:rPr>
          <w:color w:val="auto"/>
          <w:highlight w:val="none"/>
        </w:rPr>
        <w:t>28</w:t>
      </w:r>
      <w:r>
        <w:rPr>
          <w:color w:val="auto"/>
          <w:highlight w:val="none"/>
        </w:rPr>
        <w:fldChar w:fldCharType="end"/>
      </w:r>
    </w:p>
    <w:p>
      <w:pPr>
        <w:pStyle w:val="21"/>
        <w:shd w:val="clear"/>
        <w:tabs>
          <w:tab w:val="right" w:leader="dot" w:pos="9412"/>
        </w:tabs>
        <w:spacing w:line="560" w:lineRule="exact"/>
        <w:rPr>
          <w:color w:val="auto"/>
          <w:highlight w:val="none"/>
        </w:rPr>
      </w:pPr>
      <w:r>
        <w:rPr>
          <w:rFonts w:hint="eastAsia" w:ascii="宋体" w:hAnsi="宋体" w:cs="宋体"/>
          <w:snapToGrid w:val="0"/>
          <w:color w:val="auto"/>
          <w:szCs w:val="36"/>
          <w:highlight w:val="none"/>
        </w:rPr>
        <w:t>第六章  投标文件的格式</w:t>
      </w:r>
      <w:r>
        <w:rPr>
          <w:color w:val="auto"/>
          <w:highlight w:val="none"/>
        </w:rPr>
        <w:tab/>
      </w:r>
      <w:r>
        <w:rPr>
          <w:color w:val="auto"/>
          <w:highlight w:val="none"/>
        </w:rPr>
        <w:fldChar w:fldCharType="begin"/>
      </w:r>
      <w:r>
        <w:rPr>
          <w:color w:val="auto"/>
          <w:highlight w:val="none"/>
        </w:rPr>
        <w:instrText xml:space="preserve"> PAGEREF _Toc18881 \h </w:instrText>
      </w:r>
      <w:r>
        <w:rPr>
          <w:color w:val="auto"/>
          <w:highlight w:val="none"/>
        </w:rPr>
        <w:fldChar w:fldCharType="separate"/>
      </w:r>
      <w:r>
        <w:rPr>
          <w:color w:val="auto"/>
          <w:highlight w:val="none"/>
        </w:rPr>
        <w:t>31</w:t>
      </w:r>
      <w:r>
        <w:rPr>
          <w:color w:val="auto"/>
          <w:highlight w:val="none"/>
        </w:rPr>
        <w:fldChar w:fldCharType="end"/>
      </w:r>
    </w:p>
    <w:p>
      <w:pPr>
        <w:pStyle w:val="4"/>
        <w:shd w:val="clear"/>
        <w:spacing w:before="0" w:after="0" w:line="380" w:lineRule="exact"/>
        <w:jc w:val="center"/>
        <w:rPr>
          <w:rFonts w:hint="eastAsia" w:ascii="宋体" w:hAnsi="宋体" w:cs="宋体"/>
          <w:b w:val="0"/>
          <w:bCs w:val="0"/>
          <w:color w:val="auto"/>
          <w:kern w:val="2"/>
          <w:sz w:val="24"/>
          <w:szCs w:val="24"/>
          <w:highlight w:val="none"/>
        </w:rPr>
      </w:pPr>
      <w:r>
        <w:rPr>
          <w:rFonts w:hint="eastAsia" w:ascii="宋体" w:hAnsi="宋体" w:cs="宋体"/>
          <w:bCs w:val="0"/>
          <w:color w:val="auto"/>
          <w:kern w:val="2"/>
          <w:szCs w:val="24"/>
          <w:highlight w:val="none"/>
        </w:rPr>
        <w:fldChar w:fldCharType="end"/>
      </w:r>
    </w:p>
    <w:p>
      <w:pPr>
        <w:shd w:val="clear"/>
        <w:rPr>
          <w:rFonts w:hint="eastAsia" w:ascii="宋体" w:hAnsi="宋体" w:cs="宋体"/>
          <w:color w:val="auto"/>
          <w:highlight w:val="none"/>
        </w:rPr>
      </w:pPr>
    </w:p>
    <w:p>
      <w:pPr>
        <w:shd w:val="clear"/>
        <w:rPr>
          <w:rFonts w:hint="eastAsia" w:ascii="宋体" w:hAnsi="宋体" w:cs="宋体"/>
          <w:color w:val="auto"/>
          <w:highlight w:val="none"/>
        </w:rPr>
      </w:pPr>
    </w:p>
    <w:p>
      <w:pPr>
        <w:shd w:val="clear"/>
        <w:rPr>
          <w:rFonts w:hint="eastAsia" w:ascii="宋体" w:hAnsi="宋体" w:cs="宋体"/>
          <w:color w:val="auto"/>
          <w:highlight w:val="none"/>
        </w:rPr>
      </w:pPr>
    </w:p>
    <w:p>
      <w:pPr>
        <w:pStyle w:val="4"/>
        <w:shd w:val="clear"/>
        <w:rPr>
          <w:rFonts w:hint="eastAsia"/>
          <w:color w:val="auto"/>
          <w:highlight w:val="none"/>
        </w:rPr>
      </w:pPr>
    </w:p>
    <w:p>
      <w:pPr>
        <w:shd w:val="clear"/>
        <w:rPr>
          <w:rFonts w:hint="eastAsia"/>
          <w:color w:val="auto"/>
          <w:highlight w:val="none"/>
        </w:rPr>
      </w:pPr>
    </w:p>
    <w:p>
      <w:pPr>
        <w:shd w:val="clear"/>
        <w:rPr>
          <w:rFonts w:hint="eastAsia" w:ascii="宋体" w:hAnsi="宋体" w:cs="宋体"/>
          <w:color w:val="auto"/>
          <w:highlight w:val="none"/>
        </w:rPr>
      </w:pPr>
    </w:p>
    <w:p>
      <w:pPr>
        <w:shd w:val="clear"/>
        <w:rPr>
          <w:rFonts w:hint="eastAsia" w:ascii="宋体" w:hAnsi="宋体" w:cs="宋体"/>
          <w:color w:val="auto"/>
          <w:highlight w:val="none"/>
        </w:rPr>
      </w:pPr>
    </w:p>
    <w:p>
      <w:pPr>
        <w:pStyle w:val="31"/>
        <w:shd w:val="clear"/>
        <w:rPr>
          <w:rFonts w:hint="eastAsia" w:ascii="宋体" w:hAnsi="宋体" w:cs="宋体"/>
          <w:color w:val="auto"/>
          <w:highlight w:val="none"/>
        </w:rPr>
      </w:pPr>
    </w:p>
    <w:p>
      <w:pPr>
        <w:pStyle w:val="23"/>
        <w:shd w:val="clear"/>
        <w:rPr>
          <w:rFonts w:hint="eastAsia" w:ascii="宋体" w:hAnsi="宋体" w:cs="宋体"/>
          <w:color w:val="auto"/>
          <w:highlight w:val="none"/>
        </w:rPr>
      </w:pPr>
    </w:p>
    <w:p>
      <w:pPr>
        <w:shd w:val="clear"/>
        <w:rPr>
          <w:rFonts w:hint="eastAsia" w:ascii="宋体" w:hAnsi="宋体" w:cs="宋体"/>
          <w:color w:val="auto"/>
          <w:highlight w:val="none"/>
        </w:rPr>
      </w:pPr>
    </w:p>
    <w:p>
      <w:pPr>
        <w:pStyle w:val="31"/>
        <w:shd w:val="clear"/>
        <w:rPr>
          <w:rFonts w:hint="eastAsia" w:ascii="宋体" w:hAnsi="宋体" w:cs="宋体"/>
          <w:color w:val="auto"/>
          <w:highlight w:val="none"/>
        </w:rPr>
      </w:pPr>
    </w:p>
    <w:p>
      <w:pPr>
        <w:pStyle w:val="23"/>
        <w:shd w:val="clear"/>
        <w:rPr>
          <w:rFonts w:hint="eastAsia" w:ascii="宋体" w:hAnsi="宋体" w:cs="宋体"/>
          <w:color w:val="auto"/>
          <w:highlight w:val="none"/>
        </w:rPr>
      </w:pPr>
    </w:p>
    <w:p>
      <w:pPr>
        <w:shd w:val="clear"/>
        <w:rPr>
          <w:rFonts w:hint="eastAsia" w:ascii="宋体" w:hAnsi="宋体" w:cs="宋体"/>
          <w:color w:val="auto"/>
          <w:highlight w:val="none"/>
        </w:rPr>
      </w:pPr>
    </w:p>
    <w:p>
      <w:pPr>
        <w:pStyle w:val="31"/>
        <w:shd w:val="clear"/>
        <w:rPr>
          <w:rFonts w:hint="eastAsia" w:ascii="宋体" w:hAnsi="宋体" w:cs="宋体"/>
          <w:color w:val="auto"/>
          <w:highlight w:val="none"/>
        </w:rPr>
      </w:pPr>
    </w:p>
    <w:p>
      <w:pPr>
        <w:pStyle w:val="23"/>
        <w:shd w:val="clear"/>
        <w:rPr>
          <w:rFonts w:hint="eastAsia" w:ascii="宋体" w:hAnsi="宋体" w:cs="宋体"/>
          <w:color w:val="auto"/>
          <w:highlight w:val="none"/>
        </w:rPr>
      </w:pPr>
    </w:p>
    <w:p>
      <w:pPr>
        <w:shd w:val="clear"/>
        <w:rPr>
          <w:rFonts w:hint="eastAsia" w:ascii="宋体" w:hAnsi="宋体" w:cs="宋体"/>
          <w:color w:val="auto"/>
          <w:highlight w:val="none"/>
        </w:rPr>
      </w:pPr>
    </w:p>
    <w:p>
      <w:pPr>
        <w:pStyle w:val="31"/>
        <w:shd w:val="clear"/>
        <w:rPr>
          <w:rFonts w:hint="eastAsia" w:ascii="宋体" w:hAnsi="宋体" w:cs="宋体"/>
          <w:color w:val="auto"/>
          <w:highlight w:val="none"/>
        </w:rPr>
      </w:pPr>
    </w:p>
    <w:p>
      <w:pPr>
        <w:pStyle w:val="23"/>
        <w:shd w:val="clear"/>
        <w:rPr>
          <w:rFonts w:hint="eastAsia" w:ascii="宋体" w:hAnsi="宋体" w:cs="宋体"/>
          <w:color w:val="auto"/>
          <w:highlight w:val="none"/>
        </w:rPr>
      </w:pPr>
    </w:p>
    <w:p>
      <w:pPr>
        <w:shd w:val="clear"/>
        <w:rPr>
          <w:rFonts w:hint="eastAsia" w:ascii="宋体" w:hAnsi="宋体" w:cs="宋体"/>
          <w:color w:val="auto"/>
          <w:highlight w:val="none"/>
        </w:rPr>
      </w:pPr>
    </w:p>
    <w:p>
      <w:pPr>
        <w:pStyle w:val="31"/>
        <w:shd w:val="clear"/>
        <w:rPr>
          <w:rFonts w:hint="eastAsia"/>
          <w:highlight w:val="none"/>
        </w:rPr>
      </w:pPr>
    </w:p>
    <w:p>
      <w:pPr>
        <w:shd w:val="clear"/>
        <w:rPr>
          <w:rFonts w:hint="eastAsia" w:ascii="宋体" w:hAnsi="宋体" w:cs="宋体"/>
          <w:color w:val="auto"/>
          <w:highlight w:val="none"/>
        </w:rPr>
      </w:pPr>
    </w:p>
    <w:p>
      <w:pPr>
        <w:shd w:val="clear"/>
        <w:rPr>
          <w:rFonts w:hint="eastAsia" w:ascii="宋体" w:hAnsi="宋体" w:cs="宋体"/>
          <w:color w:val="auto"/>
          <w:highlight w:val="none"/>
        </w:rPr>
      </w:pPr>
    </w:p>
    <w:p>
      <w:pPr>
        <w:shd w:val="clear"/>
        <w:rPr>
          <w:rFonts w:hint="eastAsia" w:ascii="宋体" w:hAnsi="宋体" w:cs="宋体"/>
          <w:color w:val="auto"/>
          <w:highlight w:val="none"/>
        </w:rPr>
      </w:pPr>
    </w:p>
    <w:p>
      <w:pPr>
        <w:pStyle w:val="4"/>
        <w:shd w:val="clear"/>
        <w:spacing w:before="0" w:after="0" w:line="240" w:lineRule="auto"/>
        <w:jc w:val="center"/>
        <w:rPr>
          <w:rFonts w:hint="eastAsia" w:ascii="宋体" w:hAnsi="宋体" w:cs="宋体"/>
          <w:b w:val="0"/>
          <w:bCs w:val="0"/>
          <w:color w:val="auto"/>
          <w:kern w:val="2"/>
          <w:sz w:val="36"/>
          <w:szCs w:val="36"/>
          <w:highlight w:val="none"/>
        </w:rPr>
      </w:pPr>
      <w:bookmarkStart w:id="1" w:name="_Toc31677"/>
      <w:bookmarkStart w:id="2" w:name="_Toc16068"/>
      <w:bookmarkStart w:id="3" w:name="_Toc22016"/>
      <w:bookmarkStart w:id="4" w:name="_Toc26811"/>
      <w:r>
        <w:rPr>
          <w:rFonts w:hint="eastAsia" w:ascii="宋体" w:hAnsi="宋体" w:cs="宋体"/>
          <w:snapToGrid w:val="0"/>
          <w:color w:val="auto"/>
          <w:sz w:val="36"/>
          <w:szCs w:val="36"/>
          <w:highlight w:val="none"/>
        </w:rPr>
        <w:t>第一章 招标公告</w:t>
      </w:r>
      <w:bookmarkEnd w:id="0"/>
      <w:bookmarkEnd w:id="1"/>
      <w:bookmarkEnd w:id="2"/>
      <w:bookmarkEnd w:id="3"/>
      <w:bookmarkEnd w:id="4"/>
    </w:p>
    <w:tbl>
      <w:tblPr>
        <w:tblStyle w:val="34"/>
        <w:tblpPr w:leftFromText="180" w:rightFromText="180" w:vertAnchor="text" w:tblpX="210" w:tblpY="2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189" w:type="dxa"/>
            <w:noWrap w:val="0"/>
            <w:vAlign w:val="top"/>
          </w:tcPr>
          <w:p>
            <w:pPr>
              <w:shd w:val="clear"/>
              <w:spacing w:line="400" w:lineRule="exact"/>
              <w:ind w:firstLine="422" w:firstLineChars="200"/>
              <w:rPr>
                <w:rFonts w:hint="eastAsia" w:ascii="宋体" w:hAnsi="宋体" w:cs="宋体"/>
                <w:color w:val="auto"/>
                <w:szCs w:val="21"/>
                <w:highlight w:val="none"/>
              </w:rPr>
            </w:pPr>
            <w:bookmarkStart w:id="5" w:name="OLE_LINK3"/>
            <w:bookmarkStart w:id="6" w:name="_Toc317341935"/>
            <w:bookmarkStart w:id="7" w:name="_Toc222632752"/>
            <w:r>
              <w:rPr>
                <w:rFonts w:hint="eastAsia" w:ascii="宋体" w:hAnsi="宋体" w:cs="宋体"/>
                <w:b/>
                <w:bCs/>
                <w:color w:val="auto"/>
                <w:szCs w:val="21"/>
                <w:highlight w:val="none"/>
              </w:rPr>
              <w:t>项目概况</w:t>
            </w:r>
          </w:p>
          <w:p>
            <w:pPr>
              <w:shd w:val="clea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安吉县林业局林长制视频监控服务政府采购项目</w:t>
            </w:r>
            <w:r>
              <w:rPr>
                <w:rFonts w:hint="eastAsia" w:ascii="宋体" w:hAnsi="宋体" w:cs="宋体"/>
                <w:color w:val="auto"/>
                <w:szCs w:val="21"/>
                <w:highlight w:val="none"/>
              </w:rPr>
              <w:t xml:space="preserve">的潜在投标人应在政府采购云平台http://www.zcygov.cn（以下简称“政采云平台”）；获取（下载）招标文件，并于 </w:t>
            </w:r>
            <w:r>
              <w:rPr>
                <w:rFonts w:hint="eastAsia" w:ascii="宋体" w:hAnsi="宋体" w:cs="宋体"/>
                <w:color w:val="auto"/>
                <w:szCs w:val="21"/>
                <w:highlight w:val="none"/>
                <w:lang w:eastAsia="zh-CN"/>
              </w:rPr>
              <w:t>2024年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09：00</w:t>
            </w:r>
            <w:r>
              <w:rPr>
                <w:rFonts w:hint="eastAsia" w:ascii="宋体" w:hAnsi="宋体" w:cs="宋体"/>
                <w:color w:val="auto"/>
                <w:szCs w:val="21"/>
                <w:highlight w:val="none"/>
              </w:rPr>
              <w:t xml:space="preserve">（北京时间）前递交（上传）投标文件。 </w:t>
            </w:r>
          </w:p>
        </w:tc>
      </w:tr>
    </w:tbl>
    <w:p>
      <w:pPr>
        <w:shd w:val="clea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一、项目基本情况  </w:t>
      </w:r>
    </w:p>
    <w:p>
      <w:pPr>
        <w:shd w:val="clea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项目编号：</w:t>
      </w:r>
      <w:r>
        <w:rPr>
          <w:rFonts w:hint="eastAsia" w:ascii="宋体" w:hAnsi="宋体" w:cs="宋体"/>
          <w:color w:val="auto"/>
          <w:szCs w:val="21"/>
          <w:highlight w:val="none"/>
          <w:lang w:eastAsia="zh-CN"/>
        </w:rPr>
        <w:t>JCGK2024-008</w:t>
      </w:r>
    </w:p>
    <w:p>
      <w:pPr>
        <w:shd w:val="clea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项目名称：</w:t>
      </w:r>
      <w:r>
        <w:rPr>
          <w:rFonts w:hint="eastAsia" w:ascii="宋体" w:hAnsi="宋体" w:cs="宋体"/>
          <w:color w:val="auto"/>
          <w:szCs w:val="21"/>
          <w:highlight w:val="none"/>
          <w:lang w:eastAsia="zh-CN"/>
        </w:rPr>
        <w:t>安吉县林业局林长制视频监控服务政府采购项目</w:t>
      </w:r>
    </w:p>
    <w:p>
      <w:pPr>
        <w:shd w:val="clear"/>
        <w:spacing w:line="400" w:lineRule="exact"/>
        <w:ind w:firstLine="840" w:firstLineChars="400"/>
        <w:rPr>
          <w:rFonts w:hint="default" w:ascii="宋体" w:hAnsi="宋体" w:cs="宋体"/>
          <w:color w:val="auto"/>
          <w:szCs w:val="21"/>
          <w:highlight w:val="none"/>
          <w:lang w:val="en-US"/>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808250</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最高限价（元）：</w:t>
      </w:r>
      <w:r>
        <w:rPr>
          <w:rFonts w:hint="eastAsia" w:ascii="宋体" w:hAnsi="宋体" w:cs="宋体"/>
          <w:color w:val="auto"/>
          <w:szCs w:val="21"/>
          <w:highlight w:val="none"/>
          <w:lang w:val="en-US" w:eastAsia="zh-CN"/>
        </w:rPr>
        <w:t>808250</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采购需求：</w:t>
      </w:r>
    </w:p>
    <w:p>
      <w:pPr>
        <w:shd w:val="clear"/>
        <w:spacing w:line="400" w:lineRule="exact"/>
        <w:ind w:firstLine="420" w:firstLineChars="200"/>
        <w:rPr>
          <w:rFonts w:hint="eastAsia" w:ascii="宋体" w:hAnsi="宋体" w:cs="宋体"/>
          <w:szCs w:val="21"/>
          <w:highlight w:val="none"/>
        </w:rPr>
      </w:pPr>
      <w:r>
        <w:rPr>
          <w:rFonts w:hint="eastAsia" w:ascii="宋体" w:hAnsi="宋体" w:cs="宋体"/>
          <w:color w:val="auto"/>
          <w:szCs w:val="21"/>
          <w:highlight w:val="none"/>
        </w:rPr>
        <w:t xml:space="preserve">    </w:t>
      </w:r>
      <w:r>
        <w:rPr>
          <w:rFonts w:hint="eastAsia" w:ascii="宋体" w:hAnsi="宋体" w:cs="宋体"/>
          <w:szCs w:val="21"/>
          <w:highlight w:val="none"/>
        </w:rPr>
        <w:t>标项一</w:t>
      </w:r>
    </w:p>
    <w:p>
      <w:pPr>
        <w:shd w:val="clear"/>
        <w:spacing w:line="400" w:lineRule="exact"/>
        <w:ind w:firstLine="840" w:firstLineChars="400"/>
        <w:rPr>
          <w:rFonts w:hint="eastAsia" w:ascii="宋体" w:hAnsi="宋体" w:eastAsia="宋体" w:cs="宋体"/>
          <w:color w:val="auto"/>
          <w:szCs w:val="21"/>
          <w:highlight w:val="none"/>
          <w:lang w:eastAsia="zh-CN"/>
        </w:rPr>
      </w:pPr>
      <w:r>
        <w:rPr>
          <w:rFonts w:hint="eastAsia" w:ascii="宋体" w:hAnsi="宋体" w:cs="宋体"/>
          <w:szCs w:val="21"/>
          <w:highlight w:val="none"/>
        </w:rPr>
        <w:t>标项名称:</w:t>
      </w:r>
      <w:r>
        <w:rPr>
          <w:rFonts w:hint="eastAsia" w:ascii="宋体" w:hAnsi="宋体" w:cs="宋体"/>
          <w:color w:val="auto"/>
          <w:szCs w:val="21"/>
          <w:highlight w:val="none"/>
          <w:lang w:eastAsia="zh-CN"/>
        </w:rPr>
        <w:t>安吉县林业局数字林业建设监控设备运维及链路租赁服务</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数量: </w:t>
      </w:r>
      <w:r>
        <w:rPr>
          <w:rFonts w:hint="eastAsia" w:ascii="宋体" w:hAnsi="宋体" w:cs="宋体"/>
          <w:color w:val="auto"/>
          <w:szCs w:val="21"/>
          <w:highlight w:val="none"/>
          <w:lang w:val="en-US" w:eastAsia="zh-CN"/>
        </w:rPr>
        <w:t>3年</w:t>
      </w:r>
      <w:r>
        <w:rPr>
          <w:rFonts w:hint="eastAsia" w:ascii="宋体" w:hAnsi="宋体" w:cs="宋体"/>
          <w:color w:val="auto"/>
          <w:szCs w:val="21"/>
          <w:highlight w:val="none"/>
        </w:rPr>
        <w:t xml:space="preserve"> </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预算金额（元）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808250</w:t>
      </w:r>
    </w:p>
    <w:p>
      <w:pPr>
        <w:shd w:val="clear"/>
        <w:spacing w:line="400" w:lineRule="exact"/>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 xml:space="preserve">    简要规格描述或项目基本概况介绍、用途：</w:t>
      </w:r>
      <w:r>
        <w:rPr>
          <w:rFonts w:hint="eastAsia" w:ascii="宋体" w:hAnsi="宋体" w:cs="宋体"/>
          <w:color w:val="auto"/>
          <w:szCs w:val="21"/>
          <w:highlight w:val="none"/>
          <w:lang w:eastAsia="zh-CN"/>
        </w:rPr>
        <w:t>包括</w:t>
      </w:r>
      <w:r>
        <w:rPr>
          <w:rFonts w:hint="eastAsia" w:ascii="宋体" w:hAnsi="宋体" w:cs="宋体"/>
          <w:color w:val="auto"/>
          <w:szCs w:val="21"/>
          <w:highlight w:val="none"/>
        </w:rPr>
        <w:t>监控</w:t>
      </w:r>
      <w:r>
        <w:rPr>
          <w:rFonts w:hint="eastAsia" w:ascii="宋体" w:hAnsi="宋体" w:cs="宋体"/>
          <w:color w:val="auto"/>
          <w:szCs w:val="21"/>
          <w:highlight w:val="none"/>
          <w:lang w:val="en-US" w:eastAsia="zh-CN"/>
        </w:rPr>
        <w:t>设备和链路</w:t>
      </w:r>
      <w:r>
        <w:rPr>
          <w:rFonts w:hint="eastAsia" w:ascii="宋体" w:hAnsi="宋体" w:cs="宋体"/>
          <w:color w:val="auto"/>
          <w:szCs w:val="21"/>
          <w:highlight w:val="none"/>
          <w:lang w:eastAsia="zh-CN"/>
        </w:rPr>
        <w:t>的</w:t>
      </w:r>
      <w:r>
        <w:rPr>
          <w:rFonts w:hint="eastAsia" w:ascii="宋体" w:hAnsi="宋体" w:cs="宋体"/>
          <w:color w:val="auto"/>
          <w:szCs w:val="21"/>
          <w:highlight w:val="none"/>
        </w:rPr>
        <w:t>租赁</w:t>
      </w:r>
      <w:r>
        <w:rPr>
          <w:rFonts w:hint="eastAsia" w:ascii="宋体" w:hAnsi="宋体" w:cs="宋体"/>
          <w:color w:val="auto"/>
          <w:szCs w:val="21"/>
          <w:highlight w:val="none"/>
          <w:lang w:val="en-US" w:eastAsia="zh-CN"/>
        </w:rPr>
        <w:t>运维以及预警系统平台软件建设</w:t>
      </w:r>
      <w:r>
        <w:rPr>
          <w:rFonts w:hint="eastAsia" w:ascii="宋体" w:hAnsi="宋体" w:cs="宋体"/>
          <w:color w:val="auto"/>
          <w:szCs w:val="21"/>
          <w:highlight w:val="none"/>
          <w:lang w:eastAsia="zh-CN"/>
        </w:rPr>
        <w:t>等内容，</w:t>
      </w:r>
      <w:r>
        <w:rPr>
          <w:rFonts w:hint="eastAsia" w:ascii="宋体" w:hAnsi="宋体" w:cs="宋体"/>
          <w:color w:val="auto"/>
          <w:szCs w:val="21"/>
          <w:highlight w:val="none"/>
        </w:rPr>
        <w:t>详见招标文件。</w:t>
      </w:r>
    </w:p>
    <w:p>
      <w:pPr>
        <w:shd w:val="clear"/>
        <w:spacing w:line="400" w:lineRule="exact"/>
        <w:ind w:firstLine="840" w:firstLineChars="400"/>
        <w:rPr>
          <w:rFonts w:ascii="宋体" w:hAnsi="宋体" w:cs="宋体"/>
          <w:color w:val="auto"/>
          <w:szCs w:val="21"/>
          <w:highlight w:val="none"/>
        </w:rPr>
      </w:pPr>
      <w:r>
        <w:rPr>
          <w:rFonts w:hint="eastAsia" w:ascii="宋体" w:hAnsi="宋体" w:cs="宋体"/>
          <w:color w:val="auto"/>
          <w:szCs w:val="21"/>
          <w:highlight w:val="none"/>
        </w:rPr>
        <w:t>备注：投标报价不得超预算，否则投标无效。</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合同履约期限：标项1，</w:t>
      </w:r>
      <w:r>
        <w:rPr>
          <w:rFonts w:hint="eastAsia" w:ascii="宋体" w:hAnsi="宋体" w:cs="宋体"/>
          <w:kern w:val="0"/>
          <w:szCs w:val="21"/>
          <w:highlight w:val="none"/>
          <w:lang w:val="en-US" w:eastAsia="zh-CN"/>
        </w:rPr>
        <w:t>本项目租赁服务期三年，自合同签订之日起算</w:t>
      </w:r>
      <w:r>
        <w:rPr>
          <w:rFonts w:hint="eastAsia" w:ascii="宋体" w:hAnsi="宋体" w:eastAsia="宋体" w:cs="宋体"/>
          <w:kern w:val="0"/>
          <w:szCs w:val="21"/>
          <w:highlight w:val="none"/>
          <w:lang w:val="en-US" w:eastAsia="zh-CN"/>
        </w:rPr>
        <w:t>。</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本项目（否）接受联合体投标。</w:t>
      </w:r>
    </w:p>
    <w:p>
      <w:pPr>
        <w:shd w:val="clea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二、申请人的资格要求：</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1.满足《中华人民共和国政府采购法》第二十二条规定；未被“信用中国”（www.creditchina.gov.cn)、中国政府采购网（www.ccgp.gov.cn）列入失信被执行人、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w:t>
      </w:r>
    </w:p>
    <w:p>
      <w:pPr>
        <w:shd w:val="clear"/>
        <w:spacing w:line="400" w:lineRule="exact"/>
        <w:ind w:firstLine="420" w:firstLineChars="200"/>
        <w:rPr>
          <w:rFonts w:hint="eastAsia"/>
          <w:color w:val="auto"/>
          <w:highlight w:val="none"/>
        </w:rPr>
      </w:pPr>
      <w:r>
        <w:rPr>
          <w:rFonts w:hint="eastAsia" w:ascii="宋体" w:hAnsi="宋体" w:cs="宋体"/>
          <w:color w:val="auto"/>
          <w:szCs w:val="21"/>
          <w:highlight w:val="none"/>
        </w:rPr>
        <w:t xml:space="preserve">    2.落实政府采购政策需满足的资格要求：</w:t>
      </w:r>
      <w:r>
        <w:rPr>
          <w:rFonts w:hint="eastAsia" w:ascii="宋体" w:hAnsi="宋体" w:eastAsia="宋体" w:cs="宋体"/>
          <w:b/>
          <w:bCs/>
          <w:sz w:val="21"/>
          <w:szCs w:val="21"/>
          <w:highlight w:val="none"/>
        </w:rPr>
        <w:t>本项目为专门面向中小企业采购，提供服务的供应商非中小企业的，资格审查不通过；符合上述条件的中小微型企业应按照磋商文件附件的格式要求在资格文件中提供《中小企业声明函》</w:t>
      </w:r>
      <w:r>
        <w:rPr>
          <w:rFonts w:hint="eastAsia" w:ascii="宋体" w:hAnsi="宋体" w:cs="宋体"/>
          <w:color w:val="auto"/>
          <w:szCs w:val="21"/>
          <w:highlight w:val="none"/>
        </w:rPr>
        <w:t>；</w:t>
      </w:r>
    </w:p>
    <w:p>
      <w:pPr>
        <w:shd w:val="clear"/>
        <w:spacing w:line="400" w:lineRule="exact"/>
        <w:ind w:firstLine="420" w:firstLineChars="200"/>
        <w:rPr>
          <w:rFonts w:hint="eastAsia" w:ascii="宋体" w:hAnsi="宋体" w:cs="宋体"/>
          <w:color w:val="auto"/>
          <w:kern w:val="0"/>
          <w:szCs w:val="21"/>
          <w:highlight w:val="none"/>
          <w:lang w:bidi="ar"/>
        </w:rPr>
      </w:pPr>
      <w:r>
        <w:rPr>
          <w:rFonts w:hint="eastAsia" w:ascii="宋体" w:hAnsi="宋体" w:cs="宋体"/>
          <w:color w:val="auto"/>
          <w:szCs w:val="21"/>
          <w:highlight w:val="none"/>
        </w:rPr>
        <w:t xml:space="preserve">    3.本项目的特定资格要求：</w:t>
      </w:r>
      <w:r>
        <w:rPr>
          <w:rFonts w:hint="eastAsia" w:ascii="宋体" w:hAnsi="宋体" w:cs="宋体"/>
          <w:color w:val="auto"/>
          <w:szCs w:val="21"/>
          <w:highlight w:val="none"/>
          <w:lang w:val="en-US" w:eastAsia="zh-CN"/>
        </w:rPr>
        <w:t>无</w:t>
      </w:r>
      <w:r>
        <w:rPr>
          <w:rFonts w:hint="eastAsia" w:ascii="宋体" w:hAnsi="宋体" w:cs="宋体"/>
          <w:color w:val="auto"/>
          <w:kern w:val="0"/>
          <w:szCs w:val="21"/>
          <w:highlight w:val="none"/>
          <w:lang w:bidi="ar"/>
        </w:rPr>
        <w:t>。</w:t>
      </w:r>
    </w:p>
    <w:p>
      <w:pPr>
        <w:shd w:val="clear"/>
        <w:adjustRightInd w:val="0"/>
        <w:snapToGrid w:val="0"/>
        <w:spacing w:line="380" w:lineRule="exact"/>
        <w:ind w:firstLine="840" w:firstLineChars="400"/>
        <w:rPr>
          <w:rFonts w:hint="eastAsia" w:eastAsia="宋体"/>
          <w:highlight w:val="none"/>
          <w:lang w:eastAsia="zh-CN"/>
        </w:rPr>
      </w:pPr>
      <w:r>
        <w:rPr>
          <w:rFonts w:hint="eastAsia" w:ascii="宋体" w:hAnsi="宋体" w:cs="宋体"/>
          <w:bCs/>
          <w:szCs w:val="21"/>
          <w:highlight w:val="none"/>
          <w:lang w:val="en-US" w:eastAsia="zh-CN"/>
        </w:rPr>
        <w:t>4.</w:t>
      </w:r>
      <w:r>
        <w:rPr>
          <w:rFonts w:hint="eastAsia" w:ascii="宋体" w:hAnsi="宋体" w:cs="宋体"/>
          <w:bCs/>
          <w:szCs w:val="21"/>
          <w:highlight w:val="none"/>
        </w:rPr>
        <w:t>若为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独立参加招标活动</w:t>
      </w:r>
      <w:r>
        <w:rPr>
          <w:rFonts w:hint="eastAsia" w:ascii="宋体" w:hAnsi="宋体" w:cs="宋体"/>
          <w:bCs/>
          <w:szCs w:val="21"/>
          <w:highlight w:val="none"/>
          <w:lang w:eastAsia="zh-CN"/>
        </w:rPr>
        <w:t>。</w:t>
      </w:r>
    </w:p>
    <w:p>
      <w:pPr>
        <w:shd w:val="clea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三、获取招标文件 </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时间：/至</w:t>
      </w:r>
      <w:r>
        <w:rPr>
          <w:rFonts w:hint="eastAsia" w:ascii="宋体" w:hAnsi="宋体" w:cs="宋体"/>
          <w:color w:val="auto"/>
          <w:szCs w:val="21"/>
          <w:highlight w:val="none"/>
          <w:lang w:eastAsia="zh-CN"/>
        </w:rPr>
        <w:t>2024年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lang w:eastAsia="zh-CN"/>
        </w:rPr>
        <w:t>日</w:t>
      </w:r>
      <w:r>
        <w:rPr>
          <w:rFonts w:hint="eastAsia" w:ascii="宋体" w:hAnsi="宋体" w:cs="宋体"/>
          <w:color w:val="auto"/>
          <w:szCs w:val="21"/>
          <w:highlight w:val="none"/>
        </w:rPr>
        <w:t xml:space="preserve"> ，每天上午00:00至12:00 ，下午12:00至23:59（北京时间，线上获取法定节假日均可，线下获取文件法定节假日除外）</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地点（网址）：政府采购云平台http://www.zcygov.cn（以下简称“政采云平台”）； </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方式：供应商登录政采云平台https://www.zcygov.cn/在线申请获取采购文件（进入“项目采购”应用，在获取采购文件菜单中选择项目，申请获取采购文件）</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售价（元）：0 </w:t>
      </w:r>
    </w:p>
    <w:p>
      <w:pPr>
        <w:shd w:val="clea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四、提交投标文件截止时间、开标时间和地点</w:t>
      </w:r>
    </w:p>
    <w:p>
      <w:pPr>
        <w:shd w:val="clea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 xml:space="preserve">    提交投标文件截止时间：</w:t>
      </w:r>
      <w:r>
        <w:rPr>
          <w:rFonts w:hint="eastAsia" w:ascii="宋体" w:hAnsi="宋体" w:cs="宋体"/>
          <w:color w:val="auto"/>
          <w:szCs w:val="21"/>
          <w:highlight w:val="none"/>
          <w:lang w:eastAsia="zh-CN"/>
        </w:rPr>
        <w:t>2024年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09：00</w:t>
      </w:r>
      <w:r>
        <w:rPr>
          <w:rFonts w:hint="eastAsia" w:ascii="宋体" w:hAnsi="宋体" w:cs="宋体"/>
          <w:color w:val="auto"/>
          <w:szCs w:val="21"/>
          <w:highlight w:val="none"/>
        </w:rPr>
        <w:t>（北京时间）</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投标地点（网址）：通过“政府采购云平台（www.zcygov.cn）”实行在线投标及开标。 </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开标时间：</w:t>
      </w:r>
      <w:r>
        <w:rPr>
          <w:rFonts w:hint="eastAsia" w:ascii="宋体" w:hAnsi="宋体" w:cs="宋体"/>
          <w:color w:val="auto"/>
          <w:szCs w:val="21"/>
          <w:highlight w:val="none"/>
          <w:lang w:eastAsia="zh-CN"/>
        </w:rPr>
        <w:t>2024年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09：00</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开标地点（网址）：通过“政府采购云平台（www.zcygov.cn）”实行在线投标及开标。</w:t>
      </w:r>
    </w:p>
    <w:p>
      <w:pPr>
        <w:shd w:val="clea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五、公告期限 </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自本公告发布之日起5个工作日。</w:t>
      </w:r>
    </w:p>
    <w:p>
      <w:pPr>
        <w:shd w:val="clea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六、其他补充事宜</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1.《浙江省财政厅关于进一步加大政府采购支持中小企业力度助力扎实稳住经济的通知》 （浙财采监（2022）8号）、《浙江省财政厅关于进一步促进政府采购公平竞争打造最优营商环境的通知》（浙财采监（2021）22号）已分别于2022年1月29日和2022年2月1日开始实施，此前有关规定与上述文件内容不一致的，按上述文件要求执行。</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4.其他事项：1）、本项目执行的政府采购政策： 《政府采购促进中小企业发展管理办法》（财库﹝2020﹞46 号）； 《财政部、司法部关于政府采购支持监狱企业发展有关问题的通知》（财库〔2014〕68号）； 《国务院办公厅关于建立政府强制采购节能产品制度的通知》（国办发〔2007〕51号）； 《财政部、国家环保总局关于环境标志产品政府采购实施的意见》（财库[2006]90号）； 财政部民政部中国残疾人联合会《关于促进残疾人就业政府采购政策的通知》（财库〔2017〕141号）。 2）、资格审查： 本项目采用资格后审。3）本次采购有关信息发布媒介 浙江政府采购网 http://zfcg.czt.zj.gov.cn 安吉县公共资源交易网 http：//www.ajztb.com 4）采购代理费用 由中标人支付。5）本采购项目中标单位与采购单位签订的政府采购合同适用于浙江省政府采购贷款政策，简称“政采贷”，具体内容可参阅《安吉财政“政采贷”办理指引》。网址：</w:t>
      </w:r>
      <w:r>
        <w:rPr>
          <w:rFonts w:hint="eastAsia" w:ascii="宋体" w:hAnsi="宋体" w:cs="宋体"/>
          <w:color w:val="auto"/>
          <w:szCs w:val="21"/>
          <w:highlight w:val="none"/>
          <w:lang w:val="en-US" w:eastAsia="zh-CN"/>
        </w:rPr>
        <w:fldChar w:fldCharType="begin"/>
      </w:r>
      <w:r>
        <w:rPr>
          <w:rFonts w:hint="eastAsia" w:ascii="宋体" w:hAnsi="宋体" w:cs="宋体"/>
          <w:color w:val="auto"/>
          <w:szCs w:val="21"/>
          <w:highlight w:val="none"/>
          <w:lang w:val="en-US" w:eastAsia="zh-CN"/>
        </w:rPr>
        <w:instrText xml:space="preserve"> HYPERLINK "http://www.anji.gov.cn/hzgov/front/s553/zwgk/gggs/20231228/i3691136.html" </w:instrText>
      </w:r>
      <w:r>
        <w:rPr>
          <w:rFonts w:hint="eastAsia" w:ascii="宋体" w:hAnsi="宋体" w:cs="宋体"/>
          <w:color w:val="auto"/>
          <w:szCs w:val="21"/>
          <w:highlight w:val="none"/>
          <w:lang w:val="en-US" w:eastAsia="zh-CN"/>
        </w:rPr>
        <w:fldChar w:fldCharType="separate"/>
      </w:r>
      <w:r>
        <w:rPr>
          <w:rFonts w:hint="eastAsia" w:ascii="宋体" w:hAnsi="宋体" w:cs="宋体"/>
          <w:color w:val="auto"/>
          <w:szCs w:val="21"/>
          <w:highlight w:val="none"/>
          <w:lang w:val="en-US" w:eastAsia="zh-CN"/>
        </w:rPr>
        <w:t>http://www.anji.gov.cn/hzgov/front/s553/zwgk/gggs/20231228/i3691136.html</w:t>
      </w:r>
      <w:r>
        <w:rPr>
          <w:rFonts w:hint="eastAsia" w:ascii="宋体" w:hAnsi="宋体" w:cs="宋体"/>
          <w:color w:val="auto"/>
          <w:szCs w:val="21"/>
          <w:highlight w:val="none"/>
          <w:lang w:val="en-US" w:eastAsia="zh-CN"/>
        </w:rPr>
        <w:fldChar w:fldCharType="end"/>
      </w:r>
      <w:r>
        <w:rPr>
          <w:rFonts w:hint="eastAsia" w:ascii="宋体" w:hAnsi="宋体" w:cs="宋体"/>
          <w:color w:val="auto"/>
          <w:szCs w:val="21"/>
          <w:highlight w:val="none"/>
        </w:rPr>
        <w:t>。</w:t>
      </w:r>
    </w:p>
    <w:p>
      <w:pPr>
        <w:shd w:val="clea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七、对本次采购提出询问、质疑、投诉，请按以下方式联系</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1.采购人信息</w:t>
      </w:r>
    </w:p>
    <w:p>
      <w:pPr>
        <w:shd w:val="clea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名    称：</w:t>
      </w:r>
      <w:r>
        <w:rPr>
          <w:rFonts w:hint="eastAsia" w:ascii="宋体" w:hAnsi="宋体" w:cs="宋体"/>
          <w:color w:val="auto"/>
          <w:szCs w:val="21"/>
          <w:highlight w:val="none"/>
          <w:lang w:eastAsia="zh-CN"/>
        </w:rPr>
        <w:t>安吉县林业局</w:t>
      </w:r>
    </w:p>
    <w:p>
      <w:pPr>
        <w:shd w:val="clea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地    址：安吉县安吉大道168号</w:t>
      </w:r>
      <w:r>
        <w:rPr>
          <w:rFonts w:hint="eastAsia" w:ascii="宋体" w:hAnsi="宋体" w:cs="宋体"/>
          <w:color w:val="auto"/>
          <w:szCs w:val="21"/>
          <w:highlight w:val="none"/>
          <w:lang w:val="en-US" w:eastAsia="zh-CN"/>
        </w:rPr>
        <w:t xml:space="preserve">  </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传    真：/</w:t>
      </w:r>
      <w:bookmarkStart w:id="204" w:name="_GoBack"/>
      <w:bookmarkEnd w:id="204"/>
    </w:p>
    <w:p>
      <w:pPr>
        <w:shd w:val="clea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项目联系人（询问）：李晓</w:t>
      </w:r>
      <w:r>
        <w:rPr>
          <w:rFonts w:hint="eastAsia" w:ascii="宋体" w:hAnsi="宋体" w:cs="宋体"/>
          <w:color w:val="auto"/>
          <w:szCs w:val="21"/>
          <w:highlight w:val="none"/>
          <w:lang w:val="en-US" w:eastAsia="zh-CN"/>
        </w:rPr>
        <w:t xml:space="preserve">  </w:t>
      </w:r>
    </w:p>
    <w:p>
      <w:pPr>
        <w:shd w:val="clea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项目联系方式（询问）：0572-5036921</w:t>
      </w:r>
      <w:r>
        <w:rPr>
          <w:rFonts w:hint="eastAsia" w:ascii="宋体" w:hAnsi="宋体" w:cs="宋体"/>
          <w:color w:val="auto"/>
          <w:szCs w:val="21"/>
          <w:highlight w:val="none"/>
          <w:lang w:val="en-US" w:eastAsia="zh-CN"/>
        </w:rPr>
        <w:t xml:space="preserve">  </w:t>
      </w:r>
    </w:p>
    <w:p>
      <w:pPr>
        <w:shd w:val="clea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质疑联系人：</w:t>
      </w:r>
      <w:r>
        <w:rPr>
          <w:rFonts w:hint="eastAsia" w:ascii="宋体" w:hAnsi="宋体" w:cs="宋体"/>
          <w:color w:val="auto"/>
          <w:szCs w:val="21"/>
          <w:highlight w:val="none"/>
          <w:lang w:val="en-US" w:eastAsia="zh-CN"/>
        </w:rPr>
        <w:t xml:space="preserve">王璐 </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质疑联系方式：18757265838</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p>
    <w:p>
      <w:pPr>
        <w:shd w:val="clear"/>
        <w:spacing w:line="400" w:lineRule="exact"/>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名    称：安吉精诚采购代理有限公司</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地    址：安吉县昌硕街道云鸿东路68-70号（云鸿铭楼）</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传    真：0572-5028961</w:t>
      </w:r>
    </w:p>
    <w:p>
      <w:pPr>
        <w:shd w:val="clea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    项目联系人（询问）：</w:t>
      </w:r>
      <w:r>
        <w:rPr>
          <w:rFonts w:hint="eastAsia" w:ascii="宋体" w:hAnsi="宋体" w:cs="宋体"/>
          <w:color w:val="auto"/>
          <w:szCs w:val="21"/>
          <w:highlight w:val="none"/>
          <w:lang w:val="en-US" w:eastAsia="zh-CN"/>
        </w:rPr>
        <w:t>程国嫒/王欢扬</w:t>
      </w:r>
    </w:p>
    <w:p>
      <w:pPr>
        <w:shd w:val="clea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    项目联系方式（询问）：0572-502</w:t>
      </w:r>
      <w:r>
        <w:rPr>
          <w:rFonts w:hint="eastAsia" w:ascii="宋体" w:hAnsi="宋体" w:cs="宋体"/>
          <w:color w:val="auto"/>
          <w:szCs w:val="21"/>
          <w:highlight w:val="none"/>
          <w:lang w:val="en-US" w:eastAsia="zh-CN"/>
        </w:rPr>
        <w:t>1169/5028961</w:t>
      </w:r>
    </w:p>
    <w:p>
      <w:pPr>
        <w:shd w:val="clea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质疑联系人：</w:t>
      </w:r>
      <w:r>
        <w:rPr>
          <w:rFonts w:hint="eastAsia" w:ascii="宋体" w:hAnsi="宋体" w:cs="宋体"/>
          <w:color w:val="auto"/>
          <w:szCs w:val="21"/>
          <w:highlight w:val="none"/>
          <w:lang w:eastAsia="zh-CN"/>
        </w:rPr>
        <w:t>丁卫飞</w:t>
      </w:r>
    </w:p>
    <w:p>
      <w:pPr>
        <w:shd w:val="clea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质疑联系方式：</w:t>
      </w:r>
      <w:r>
        <w:rPr>
          <w:rFonts w:hint="eastAsia" w:ascii="宋体" w:hAnsi="宋体" w:cs="宋体"/>
          <w:color w:val="auto"/>
          <w:szCs w:val="21"/>
          <w:highlight w:val="none"/>
          <w:lang w:eastAsia="zh-CN"/>
        </w:rPr>
        <w:t>0572-5236715</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3.同级政府采购监督管理部门</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名    称：安吉县财政局</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地    址：安吉县凤凰路凤凰五区188号</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传    真：/ </w:t>
      </w:r>
    </w:p>
    <w:p>
      <w:pPr>
        <w:shd w:val="clea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    联系人 ：</w:t>
      </w:r>
      <w:r>
        <w:rPr>
          <w:rFonts w:hint="eastAsia" w:ascii="宋体" w:hAnsi="宋体" w:cs="宋体"/>
          <w:color w:val="auto"/>
          <w:szCs w:val="21"/>
          <w:highlight w:val="none"/>
          <w:lang w:val="en-US" w:eastAsia="zh-CN"/>
        </w:rPr>
        <w:t>采监科王庭</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监督投诉电话：0572-5807951</w:t>
      </w:r>
    </w:p>
    <w:p>
      <w:pPr>
        <w:shd w:val="clear"/>
        <w:rPr>
          <w:rFonts w:hint="eastAsia"/>
          <w:color w:val="auto"/>
          <w:highlight w:val="none"/>
        </w:rPr>
      </w:pPr>
    </w:p>
    <w:p>
      <w:pPr>
        <w:shd w:val="clear"/>
        <w:rPr>
          <w:rFonts w:hint="eastAsia"/>
          <w:color w:val="auto"/>
          <w:highlight w:val="none"/>
        </w:rPr>
      </w:pPr>
    </w:p>
    <w:p>
      <w:pPr>
        <w:shd w:val="clear"/>
        <w:spacing w:line="360" w:lineRule="exact"/>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 xml:space="preserve">                  </w:t>
      </w:r>
      <w:bookmarkEnd w:id="5"/>
      <w:r>
        <w:rPr>
          <w:rFonts w:hint="eastAsia" w:ascii="宋体" w:hAnsi="宋体" w:cs="宋体"/>
          <w:color w:val="auto"/>
          <w:szCs w:val="21"/>
          <w:highlight w:val="none"/>
        </w:rPr>
        <w:t xml:space="preserve">   </w:t>
      </w:r>
    </w:p>
    <w:p>
      <w:pPr>
        <w:shd w:val="clear"/>
        <w:spacing w:line="360" w:lineRule="exact"/>
        <w:ind w:firstLine="420" w:firstLineChars="200"/>
        <w:jc w:val="right"/>
        <w:rPr>
          <w:rFonts w:hint="eastAsia" w:ascii="宋体" w:hAnsi="宋体" w:cs="宋体"/>
          <w:color w:val="auto"/>
          <w:szCs w:val="21"/>
          <w:highlight w:val="none"/>
          <w:lang w:eastAsia="zh-CN"/>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安吉县林业局</w:t>
      </w:r>
    </w:p>
    <w:p>
      <w:pPr>
        <w:shd w:val="clear"/>
        <w:spacing w:line="360" w:lineRule="exact"/>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安吉精诚采购代理有限公司</w:t>
      </w:r>
    </w:p>
    <w:p>
      <w:pPr>
        <w:shd w:val="clear"/>
        <w:spacing w:line="340" w:lineRule="exact"/>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 xml:space="preserve">     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日</w:t>
      </w:r>
    </w:p>
    <w:p>
      <w:pPr>
        <w:shd w:val="clear"/>
        <w:spacing w:line="340" w:lineRule="exact"/>
        <w:ind w:firstLine="420" w:firstLineChars="200"/>
        <w:jc w:val="right"/>
        <w:rPr>
          <w:rFonts w:hint="eastAsia" w:ascii="宋体" w:hAnsi="宋体" w:cs="宋体"/>
          <w:color w:val="auto"/>
          <w:szCs w:val="21"/>
          <w:highlight w:val="none"/>
        </w:rPr>
      </w:pPr>
    </w:p>
    <w:p>
      <w:pPr>
        <w:pStyle w:val="4"/>
        <w:shd w:val="clear"/>
        <w:spacing w:before="0" w:after="0" w:line="240" w:lineRule="auto"/>
        <w:jc w:val="center"/>
        <w:rPr>
          <w:rFonts w:hint="eastAsia" w:ascii="宋体" w:hAnsi="宋体" w:cs="宋体"/>
          <w:snapToGrid w:val="0"/>
          <w:color w:val="auto"/>
          <w:sz w:val="36"/>
          <w:szCs w:val="36"/>
          <w:highlight w:val="none"/>
        </w:rPr>
      </w:pPr>
      <w:bookmarkStart w:id="8" w:name="_Toc4523"/>
      <w:bookmarkStart w:id="9" w:name="_Toc22570"/>
      <w:bookmarkStart w:id="10" w:name="_Toc31379"/>
      <w:r>
        <w:rPr>
          <w:color w:val="auto"/>
          <w:highlight w:val="none"/>
        </w:rPr>
        <w:br w:type="page"/>
      </w:r>
      <w:bookmarkStart w:id="11" w:name="_Toc24817"/>
      <w:r>
        <w:rPr>
          <w:rFonts w:hint="eastAsia" w:ascii="宋体" w:hAnsi="宋体" w:cs="宋体"/>
          <w:snapToGrid w:val="0"/>
          <w:color w:val="auto"/>
          <w:sz w:val="36"/>
          <w:szCs w:val="36"/>
          <w:highlight w:val="none"/>
        </w:rPr>
        <w:t xml:space="preserve">第二章  </w:t>
      </w:r>
      <w:bookmarkEnd w:id="6"/>
      <w:bookmarkEnd w:id="8"/>
      <w:r>
        <w:rPr>
          <w:rFonts w:hint="eastAsia" w:ascii="宋体" w:hAnsi="宋体" w:cs="宋体"/>
          <w:snapToGrid w:val="0"/>
          <w:color w:val="auto"/>
          <w:sz w:val="36"/>
          <w:szCs w:val="36"/>
          <w:highlight w:val="none"/>
        </w:rPr>
        <w:t>招标需求</w:t>
      </w:r>
      <w:bookmarkEnd w:id="9"/>
      <w:bookmarkEnd w:id="10"/>
      <w:bookmarkEnd w:id="11"/>
      <w:bookmarkStart w:id="12" w:name="_Toc435954913"/>
      <w:bookmarkStart w:id="13" w:name="_Toc317341936"/>
    </w:p>
    <w:bookmarkEnd w:id="12"/>
    <w:p>
      <w:pPr>
        <w:pStyle w:val="5"/>
        <w:keepNext w:val="0"/>
        <w:keepLines w:val="0"/>
        <w:shd w:val="clear"/>
        <w:spacing w:before="0" w:after="0" w:line="500" w:lineRule="exact"/>
        <w:rPr>
          <w:rFonts w:hint="eastAsia" w:ascii="宋体" w:hAnsi="宋体" w:eastAsia="宋体" w:cs="宋体"/>
          <w:bCs w:val="0"/>
          <w:color w:val="auto"/>
          <w:sz w:val="28"/>
          <w:szCs w:val="28"/>
          <w:highlight w:val="none"/>
        </w:rPr>
      </w:pPr>
      <w:bookmarkStart w:id="14" w:name="_Toc32753"/>
      <w:bookmarkStart w:id="15" w:name="_Toc10242"/>
      <w:bookmarkStart w:id="16" w:name="_Toc406664504"/>
      <w:bookmarkStart w:id="17" w:name="_Toc18981"/>
      <w:r>
        <w:rPr>
          <w:rFonts w:hint="eastAsia" w:ascii="宋体" w:hAnsi="宋体" w:eastAsia="宋体" w:cs="宋体"/>
          <w:bCs w:val="0"/>
          <w:color w:val="auto"/>
          <w:sz w:val="28"/>
          <w:szCs w:val="28"/>
          <w:highlight w:val="none"/>
        </w:rPr>
        <w:t>一、项目概况</w:t>
      </w:r>
      <w:bookmarkEnd w:id="14"/>
      <w:bookmarkEnd w:id="15"/>
      <w:bookmarkEnd w:id="16"/>
      <w:bookmarkEnd w:id="17"/>
    </w:p>
    <w:p>
      <w:pPr>
        <w:shd w:val="clear"/>
        <w:spacing w:line="42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JCGK2024-008</w:t>
      </w:r>
    </w:p>
    <w:p>
      <w:pPr>
        <w:shd w:val="clear"/>
        <w:spacing w:line="420" w:lineRule="exact"/>
        <w:ind w:firstLine="420" w:firstLineChars="200"/>
        <w:rPr>
          <w:rFonts w:hint="eastAsia" w:ascii="宋体" w:hAnsi="宋体" w:eastAsia="宋体" w:cs="宋体"/>
          <w:color w:val="auto"/>
          <w:szCs w:val="21"/>
          <w:highlight w:val="none"/>
          <w:lang w:eastAsia="zh-CN"/>
        </w:rPr>
      </w:pPr>
      <w:bookmarkStart w:id="18" w:name="_Toc293916283"/>
      <w:bookmarkStart w:id="19" w:name="_Toc293915932"/>
      <w:bookmarkStart w:id="20" w:name="_Toc293916181"/>
      <w:bookmarkStart w:id="21" w:name="_Toc293916801"/>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安吉县林业局林长制视频监控服务政府采购项目</w:t>
      </w:r>
    </w:p>
    <w:p>
      <w:pPr>
        <w:shd w:val="clear"/>
        <w:spacing w:line="420" w:lineRule="exact"/>
        <w:ind w:firstLine="420" w:firstLineChars="200"/>
        <w:rPr>
          <w:rFonts w:hint="eastAsia" w:ascii="宋体" w:hAnsi="宋体" w:eastAsia="宋体" w:cs="宋体"/>
          <w:color w:val="auto"/>
          <w:szCs w:val="28"/>
          <w:highlight w:val="none"/>
          <w:lang w:eastAsia="zh-CN"/>
        </w:rPr>
      </w:pPr>
      <w:r>
        <w:rPr>
          <w:rFonts w:hint="eastAsia" w:ascii="宋体" w:hAnsi="宋体" w:cs="宋体"/>
          <w:color w:val="auto"/>
          <w:szCs w:val="21"/>
          <w:highlight w:val="none"/>
        </w:rPr>
        <w:t>3、采购单位名称：</w:t>
      </w:r>
      <w:bookmarkEnd w:id="18"/>
      <w:bookmarkEnd w:id="19"/>
      <w:bookmarkEnd w:id="20"/>
      <w:bookmarkEnd w:id="21"/>
      <w:r>
        <w:rPr>
          <w:rFonts w:hint="eastAsia" w:ascii="宋体" w:hAnsi="宋体" w:cs="宋体"/>
          <w:color w:val="auto"/>
          <w:szCs w:val="28"/>
          <w:highlight w:val="none"/>
          <w:lang w:eastAsia="zh-CN"/>
        </w:rPr>
        <w:t>安吉县林业局</w:t>
      </w:r>
    </w:p>
    <w:p>
      <w:pPr>
        <w:numPr>
          <w:ilvl w:val="0"/>
          <w:numId w:val="0"/>
        </w:numPr>
        <w:shd w:val="clear"/>
        <w:spacing w:line="420" w:lineRule="exact"/>
        <w:ind w:firstLine="420" w:firstLineChars="200"/>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4、项目背景：安吉现有林业用地202.9万亩，占全县土地总面积的71.7%，森林面积198.7万亩，森林覆盖率70.2%，有国家级自然保护区、国家级森林自然公园、省级森林自然公园、省级湿地自然公园等优越的自然资源。</w:t>
      </w:r>
    </w:p>
    <w:p>
      <w:pPr>
        <w:numPr>
          <w:ilvl w:val="0"/>
          <w:numId w:val="0"/>
        </w:numPr>
        <w:shd w:val="clear"/>
        <w:spacing w:line="420" w:lineRule="exact"/>
        <w:ind w:firstLine="420" w:firstLineChars="200"/>
        <w:rPr>
          <w:rFonts w:hint="default"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安吉县林业发展"十四五"规划》提出强化数字林业建设，建立全县林业标准化数据库，持续推进“一张图”、“一张网”、“一个平台”等数字化林业的建设和应用，运用数字化技术、数字化思维、数字化认知，加快各类数据融合，加强一体化与智能化建设。</w:t>
      </w:r>
    </w:p>
    <w:p>
      <w:pPr>
        <w:numPr>
          <w:ilvl w:val="0"/>
          <w:numId w:val="0"/>
        </w:numPr>
        <w:shd w:val="clear"/>
        <w:spacing w:line="420" w:lineRule="exact"/>
        <w:ind w:firstLine="420" w:firstLineChars="200"/>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lang w:val="en-US" w:eastAsia="zh-CN"/>
        </w:rPr>
        <w:t>5、</w:t>
      </w:r>
      <w:r>
        <w:rPr>
          <w:rFonts w:hint="eastAsia" w:ascii="宋体" w:hAnsi="宋体" w:eastAsia="宋体" w:cs="宋体"/>
          <w:b w:val="0"/>
          <w:color w:val="auto"/>
          <w:szCs w:val="21"/>
          <w:highlight w:val="none"/>
        </w:rPr>
        <w:t>采购项目一览表</w:t>
      </w:r>
    </w:p>
    <w:tbl>
      <w:tblPr>
        <w:tblStyle w:val="34"/>
        <w:tblW w:w="93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95"/>
        <w:gridCol w:w="3647"/>
        <w:gridCol w:w="1168"/>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noWrap w:val="0"/>
            <w:vAlign w:val="center"/>
          </w:tcPr>
          <w:p>
            <w:pPr>
              <w:shd w:val="clear"/>
              <w:spacing w:line="340" w:lineRule="exact"/>
              <w:jc w:val="center"/>
              <w:rPr>
                <w:rFonts w:hint="eastAsia" w:ascii="宋体" w:hAnsi="宋体" w:eastAsia="宋体" w:cs="宋体"/>
                <w:szCs w:val="21"/>
                <w:highlight w:val="none"/>
              </w:rPr>
            </w:pPr>
            <w:bookmarkStart w:id="22" w:name="_Toc19810"/>
            <w:bookmarkStart w:id="23" w:name="_Toc13016"/>
            <w:r>
              <w:rPr>
                <w:rFonts w:hint="eastAsia" w:ascii="宋体" w:hAnsi="宋体" w:eastAsia="宋体" w:cs="宋体"/>
                <w:szCs w:val="21"/>
                <w:highlight w:val="none"/>
              </w:rPr>
              <w:t>序号</w:t>
            </w:r>
          </w:p>
        </w:tc>
        <w:tc>
          <w:tcPr>
            <w:tcW w:w="2295" w:type="dxa"/>
            <w:noWrap w:val="0"/>
            <w:vAlign w:val="center"/>
          </w:tcPr>
          <w:p>
            <w:pPr>
              <w:shd w:val="clea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名称</w:t>
            </w:r>
          </w:p>
        </w:tc>
        <w:tc>
          <w:tcPr>
            <w:tcW w:w="3647" w:type="dxa"/>
            <w:noWrap w:val="0"/>
            <w:vAlign w:val="center"/>
          </w:tcPr>
          <w:p>
            <w:pPr>
              <w:shd w:val="clear"/>
              <w:spacing w:line="34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内容</w:t>
            </w:r>
          </w:p>
        </w:tc>
        <w:tc>
          <w:tcPr>
            <w:tcW w:w="1168" w:type="dxa"/>
            <w:noWrap w:val="0"/>
            <w:vAlign w:val="center"/>
          </w:tcPr>
          <w:p>
            <w:pPr>
              <w:shd w:val="clear"/>
              <w:spacing w:line="34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数量</w:t>
            </w:r>
          </w:p>
        </w:tc>
        <w:tc>
          <w:tcPr>
            <w:tcW w:w="1561" w:type="dxa"/>
            <w:noWrap w:val="0"/>
            <w:vAlign w:val="center"/>
          </w:tcPr>
          <w:p>
            <w:pPr>
              <w:shd w:val="clea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 xml:space="preserve">预算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09" w:type="dxa"/>
            <w:noWrap w:val="0"/>
            <w:vAlign w:val="center"/>
          </w:tcPr>
          <w:p>
            <w:pPr>
              <w:shd w:val="clear"/>
              <w:adjustRightInd w:val="0"/>
              <w:snapToGrid w:val="0"/>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2295" w:type="dxa"/>
            <w:noWrap w:val="0"/>
            <w:vAlign w:val="center"/>
          </w:tcPr>
          <w:p>
            <w:pPr>
              <w:shd w:val="clear"/>
              <w:adjustRightInd w:val="0"/>
              <w:snapToGrid w:val="0"/>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安吉县林业局数字林业建设监控设备及链路租赁运维服务</w:t>
            </w:r>
          </w:p>
        </w:tc>
        <w:tc>
          <w:tcPr>
            <w:tcW w:w="3647" w:type="dxa"/>
            <w:noWrap w:val="0"/>
            <w:vAlign w:val="center"/>
          </w:tcPr>
          <w:p>
            <w:pPr>
              <w:shd w:val="clear"/>
              <w:adjustRightInd w:val="0"/>
              <w:snapToGrid w:val="0"/>
              <w:spacing w:line="340" w:lineRule="exact"/>
              <w:jc w:val="center"/>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包括</w:t>
            </w:r>
            <w:r>
              <w:rPr>
                <w:rFonts w:hint="eastAsia" w:ascii="宋体" w:hAnsi="宋体" w:eastAsia="宋体" w:cs="宋体"/>
                <w:szCs w:val="21"/>
                <w:highlight w:val="none"/>
                <w:lang w:eastAsia="zh-CN"/>
              </w:rPr>
              <w:t>监控设备及链路租赁运维服务、预警系统平台软件</w:t>
            </w:r>
            <w:r>
              <w:rPr>
                <w:rFonts w:hint="eastAsia" w:ascii="宋体" w:hAnsi="宋体" w:eastAsia="宋体" w:cs="宋体"/>
                <w:szCs w:val="21"/>
                <w:highlight w:val="none"/>
                <w:lang w:val="en-US" w:eastAsia="zh-CN"/>
              </w:rPr>
              <w:t>建设等内容。</w:t>
            </w:r>
          </w:p>
        </w:tc>
        <w:tc>
          <w:tcPr>
            <w:tcW w:w="1168" w:type="dxa"/>
            <w:noWrap w:val="0"/>
            <w:vAlign w:val="center"/>
          </w:tcPr>
          <w:p>
            <w:pPr>
              <w:shd w:val="clear"/>
              <w:adjustRightInd w:val="0"/>
              <w:snapToGrid w:val="0"/>
              <w:spacing w:line="340" w:lineRule="exact"/>
              <w:jc w:val="center"/>
              <w:rPr>
                <w:rFonts w:hint="default"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1项</w:t>
            </w:r>
          </w:p>
        </w:tc>
        <w:tc>
          <w:tcPr>
            <w:tcW w:w="1561" w:type="dxa"/>
            <w:noWrap w:val="0"/>
            <w:vAlign w:val="center"/>
          </w:tcPr>
          <w:p>
            <w:pPr>
              <w:shd w:val="clear"/>
              <w:adjustRightInd w:val="0"/>
              <w:snapToGrid w:val="0"/>
              <w:spacing w:line="34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808250</w:t>
            </w:r>
            <w:r>
              <w:rPr>
                <w:rFonts w:hint="eastAsia" w:ascii="宋体" w:hAnsi="宋体" w:cs="宋体"/>
                <w:szCs w:val="21"/>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09" w:type="dxa"/>
            <w:noWrap w:val="0"/>
            <w:vAlign w:val="center"/>
          </w:tcPr>
          <w:p>
            <w:pPr>
              <w:shd w:val="clear"/>
              <w:autoSpaceDE w:val="0"/>
              <w:autoSpaceDN w:val="0"/>
              <w:adjustRightInd w:val="0"/>
              <w:spacing w:line="340" w:lineRule="exact"/>
              <w:ind w:left="420" w:leftChars="50" w:hanging="315" w:hangingChars="150"/>
              <w:rPr>
                <w:rFonts w:hint="eastAsia" w:ascii="宋体" w:hAnsi="宋体" w:eastAsia="宋体" w:cs="宋体"/>
                <w:szCs w:val="21"/>
                <w:highlight w:val="none"/>
              </w:rPr>
            </w:pPr>
            <w:r>
              <w:rPr>
                <w:rFonts w:hint="eastAsia" w:ascii="宋体" w:hAnsi="宋体" w:eastAsia="宋体" w:cs="宋体"/>
                <w:szCs w:val="21"/>
                <w:highlight w:val="none"/>
              </w:rPr>
              <w:t xml:space="preserve">注 </w:t>
            </w:r>
          </w:p>
        </w:tc>
        <w:tc>
          <w:tcPr>
            <w:tcW w:w="8671" w:type="dxa"/>
            <w:gridSpan w:val="4"/>
            <w:noWrap w:val="0"/>
            <w:vAlign w:val="center"/>
          </w:tcPr>
          <w:p>
            <w:pPr>
              <w:shd w:val="clear"/>
              <w:autoSpaceDE w:val="0"/>
              <w:autoSpaceDN w:val="0"/>
              <w:adjustRightInd w:val="0"/>
              <w:spacing w:line="340" w:lineRule="exact"/>
              <w:rPr>
                <w:rFonts w:hint="eastAsia"/>
                <w:highlight w:val="none"/>
              </w:rPr>
            </w:pPr>
            <w:r>
              <w:rPr>
                <w:rFonts w:hint="eastAsia"/>
                <w:highlight w:val="none"/>
              </w:rPr>
              <w:t>1、本项目</w:t>
            </w:r>
            <w:r>
              <w:rPr>
                <w:rFonts w:hint="eastAsia" w:ascii="宋体" w:hAnsi="宋体" w:cs="宋体"/>
                <w:kern w:val="0"/>
                <w:szCs w:val="21"/>
                <w:highlight w:val="none"/>
                <w:lang w:val="en-US" w:eastAsia="zh-CN"/>
              </w:rPr>
              <w:t>租赁服务期三年，自合同签订之日起算</w:t>
            </w:r>
            <w:r>
              <w:rPr>
                <w:rFonts w:hint="eastAsia"/>
                <w:highlight w:val="none"/>
              </w:rPr>
              <w:t>。</w:t>
            </w:r>
          </w:p>
          <w:p>
            <w:pPr>
              <w:shd w:val="clear"/>
              <w:autoSpaceDE w:val="0"/>
              <w:autoSpaceDN w:val="0"/>
              <w:adjustRightInd w:val="0"/>
              <w:spacing w:line="340" w:lineRule="exact"/>
              <w:rPr>
                <w:rFonts w:hint="eastAsia"/>
                <w:highlight w:val="none"/>
                <w:lang w:eastAsia="zh-CN"/>
              </w:rPr>
            </w:pPr>
            <w:r>
              <w:rPr>
                <w:rFonts w:hint="eastAsia"/>
                <w:highlight w:val="none"/>
              </w:rPr>
              <w:t>2、</w:t>
            </w:r>
            <w:r>
              <w:rPr>
                <w:rFonts w:hint="eastAsia"/>
                <w:highlight w:val="none"/>
                <w:lang w:val="en-US" w:eastAsia="zh-CN"/>
              </w:rPr>
              <w:t>三年总</w:t>
            </w:r>
            <w:r>
              <w:rPr>
                <w:rFonts w:hint="eastAsia"/>
                <w:highlight w:val="none"/>
              </w:rPr>
              <w:t>预算</w:t>
            </w:r>
            <w:r>
              <w:rPr>
                <w:rFonts w:hint="eastAsia"/>
                <w:highlight w:val="none"/>
                <w:lang w:val="en-US" w:eastAsia="zh-CN"/>
              </w:rPr>
              <w:t>为808250元</w:t>
            </w:r>
            <w:r>
              <w:rPr>
                <w:rFonts w:hint="eastAsia"/>
                <w:highlight w:val="none"/>
              </w:rPr>
              <w:t>，各投标人投标报价不得超预算，否则投标无效</w:t>
            </w:r>
            <w:r>
              <w:rPr>
                <w:rFonts w:hint="eastAsia"/>
                <w:highlight w:val="none"/>
                <w:lang w:eastAsia="zh-CN"/>
              </w:rPr>
              <w:t>。</w:t>
            </w:r>
          </w:p>
          <w:p>
            <w:pPr>
              <w:shd w:val="clear"/>
              <w:autoSpaceDE w:val="0"/>
              <w:autoSpaceDN w:val="0"/>
              <w:adjustRightInd w:val="0"/>
              <w:spacing w:line="340" w:lineRule="exact"/>
              <w:rPr>
                <w:rFonts w:hint="eastAsia"/>
                <w:highlight w:val="none"/>
                <w:lang w:val="en-US" w:eastAsia="zh-CN"/>
              </w:rPr>
            </w:pPr>
            <w:r>
              <w:rPr>
                <w:rFonts w:hint="eastAsia"/>
                <w:highlight w:val="none"/>
                <w:lang w:val="en-US" w:eastAsia="zh-CN"/>
              </w:rPr>
              <w:t>3、投标报价需包含项目的设备租赁费、维护费、网络传输费、链路扩容费及存储费及保证本项目正常运行的平台、链路、维护、存储、电费及配套所需的全部费用。</w:t>
            </w:r>
          </w:p>
          <w:p>
            <w:pPr>
              <w:pStyle w:val="31"/>
              <w:shd w:val="clear"/>
              <w:ind w:firstLine="0" w:firstLineChars="0"/>
              <w:rPr>
                <w:rFonts w:hint="default"/>
                <w:highlight w:val="none"/>
                <w:lang w:val="en-US"/>
              </w:rPr>
            </w:pPr>
            <w:r>
              <w:rPr>
                <w:rFonts w:hint="eastAsia" w:ascii="宋体" w:hAnsi="宋体" w:eastAsia="宋体" w:cs="宋体"/>
                <w:szCs w:val="21"/>
                <w:highlight w:val="none"/>
                <w:lang w:val="en-US" w:eastAsia="zh-CN"/>
              </w:rPr>
              <w:t>4、监控系统建成后须同时接入政务外网和大数据局政务云。</w:t>
            </w:r>
          </w:p>
        </w:tc>
      </w:tr>
    </w:tbl>
    <w:p>
      <w:pPr>
        <w:pStyle w:val="5"/>
        <w:numPr>
          <w:ilvl w:val="0"/>
          <w:numId w:val="2"/>
        </w:numPr>
        <w:shd w:val="clear"/>
        <w:spacing w:line="500" w:lineRule="exact"/>
        <w:rPr>
          <w:rFonts w:hint="eastAsia" w:ascii="宋体" w:hAnsi="宋体" w:eastAsia="宋体" w:cs="宋体"/>
          <w:bCs w:val="0"/>
          <w:color w:val="auto"/>
          <w:sz w:val="28"/>
          <w:szCs w:val="28"/>
          <w:highlight w:val="none"/>
          <w:lang w:val="en-US" w:eastAsia="zh-CN"/>
        </w:rPr>
      </w:pPr>
      <w:r>
        <w:rPr>
          <w:rFonts w:hint="eastAsia" w:ascii="宋体" w:hAnsi="宋体" w:eastAsia="宋体" w:cs="宋体"/>
          <w:bCs w:val="0"/>
          <w:color w:val="auto"/>
          <w:sz w:val="28"/>
          <w:szCs w:val="28"/>
          <w:highlight w:val="none"/>
          <w:lang w:val="en-US" w:eastAsia="zh-CN"/>
        </w:rPr>
        <w:t>采购内容</w:t>
      </w:r>
    </w:p>
    <w:p>
      <w:pPr>
        <w:pStyle w:val="5"/>
        <w:numPr>
          <w:ilvl w:val="0"/>
          <w:numId w:val="0"/>
        </w:numPr>
        <w:shd w:val="clear"/>
        <w:spacing w:line="500" w:lineRule="exact"/>
        <w:rPr>
          <w:rFonts w:hint="default" w:ascii="宋体" w:hAnsi="宋体" w:eastAsia="宋体" w:cs="宋体"/>
          <w:color w:val="auto"/>
          <w:sz w:val="28"/>
          <w:szCs w:val="28"/>
          <w:highlight w:val="none"/>
          <w:lang w:val="en-US" w:eastAsia="zh-CN"/>
        </w:rPr>
      </w:pPr>
      <w:r>
        <w:rPr>
          <w:rFonts w:hint="eastAsia" w:ascii="宋体" w:hAnsi="宋体" w:eastAsia="宋体" w:cs="宋体"/>
          <w:bCs w:val="0"/>
          <w:color w:val="auto"/>
          <w:sz w:val="24"/>
          <w:szCs w:val="24"/>
          <w:highlight w:val="none"/>
          <w:lang w:val="en-US" w:eastAsia="zh-CN"/>
        </w:rPr>
        <w:t>1.采购清单</w:t>
      </w:r>
    </w:p>
    <w:tbl>
      <w:tblPr>
        <w:tblStyle w:val="34"/>
        <w:tblW w:w="9434" w:type="dxa"/>
        <w:tblInd w:w="98" w:type="dxa"/>
        <w:tblLayout w:type="fixed"/>
        <w:tblCellMar>
          <w:top w:w="0" w:type="dxa"/>
          <w:left w:w="108" w:type="dxa"/>
          <w:bottom w:w="0" w:type="dxa"/>
          <w:right w:w="108" w:type="dxa"/>
        </w:tblCellMar>
      </w:tblPr>
      <w:tblGrid>
        <w:gridCol w:w="960"/>
        <w:gridCol w:w="2190"/>
        <w:gridCol w:w="4754"/>
        <w:gridCol w:w="735"/>
        <w:gridCol w:w="795"/>
      </w:tblGrid>
      <w:tr>
        <w:tblPrEx>
          <w:tblCellMar>
            <w:top w:w="0" w:type="dxa"/>
            <w:left w:w="108" w:type="dxa"/>
            <w:bottom w:w="0" w:type="dxa"/>
            <w:right w:w="108" w:type="dxa"/>
          </w:tblCellMar>
        </w:tblPrEx>
        <w:trPr>
          <w:trHeight w:val="577"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jc w:val="center"/>
              <w:textAlignment w:val="center"/>
              <w:rPr>
                <w:rFonts w:hint="eastAsia" w:ascii="宋体" w:hAnsi="宋体" w:eastAsia="宋体" w:cs="宋体"/>
                <w:b/>
                <w:bCs/>
                <w:color w:val="000000"/>
                <w:sz w:val="21"/>
                <w:szCs w:val="21"/>
                <w:highlight w:val="none"/>
              </w:rPr>
            </w:pPr>
            <w:r>
              <w:rPr>
                <w:rStyle w:val="55"/>
                <w:rFonts w:hint="eastAsia" w:ascii="宋体" w:hAnsi="宋体" w:eastAsia="宋体" w:cs="宋体"/>
                <w:sz w:val="21"/>
                <w:szCs w:val="21"/>
                <w:highlight w:val="none"/>
                <w:lang w:bidi="ar"/>
              </w:rPr>
              <w:t>序号</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服务名称</w:t>
            </w:r>
          </w:p>
        </w:tc>
        <w:tc>
          <w:tcPr>
            <w:tcW w:w="4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技术参数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jc w:val="center"/>
              <w:textAlignment w:val="center"/>
              <w:rPr>
                <w:rFonts w:hint="eastAsia" w:ascii="宋体" w:hAnsi="宋体" w:eastAsia="宋体" w:cs="宋体"/>
                <w:b/>
                <w:bCs/>
                <w:color w:val="000000"/>
                <w:sz w:val="21"/>
                <w:szCs w:val="21"/>
                <w:highlight w:val="none"/>
              </w:rPr>
            </w:pPr>
            <w:r>
              <w:rPr>
                <w:rStyle w:val="55"/>
                <w:rFonts w:hint="eastAsia" w:ascii="宋体" w:hAnsi="宋体" w:eastAsia="宋体" w:cs="宋体"/>
                <w:sz w:val="21"/>
                <w:szCs w:val="21"/>
                <w:highlight w:val="none"/>
                <w:lang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jc w:val="center"/>
              <w:textAlignment w:val="center"/>
              <w:rPr>
                <w:rFonts w:hint="eastAsia" w:ascii="宋体" w:hAnsi="宋体" w:eastAsia="宋体" w:cs="宋体"/>
                <w:b/>
                <w:bCs/>
                <w:color w:val="000000"/>
                <w:sz w:val="21"/>
                <w:szCs w:val="21"/>
                <w:highlight w:val="none"/>
              </w:rPr>
            </w:pPr>
            <w:r>
              <w:rPr>
                <w:rStyle w:val="55"/>
                <w:rFonts w:hint="eastAsia" w:ascii="宋体" w:hAnsi="宋体" w:eastAsia="宋体" w:cs="宋体"/>
                <w:sz w:val="21"/>
                <w:szCs w:val="21"/>
                <w:highlight w:val="none"/>
                <w:lang w:bidi="ar"/>
              </w:rPr>
              <w:t>数量</w:t>
            </w:r>
          </w:p>
        </w:tc>
      </w:tr>
      <w:tr>
        <w:tblPrEx>
          <w:tblCellMar>
            <w:top w:w="0" w:type="dxa"/>
            <w:left w:w="108" w:type="dxa"/>
            <w:bottom w:w="0" w:type="dxa"/>
            <w:right w:w="108" w:type="dxa"/>
          </w:tblCellMar>
        </w:tblPrEx>
        <w:trPr>
          <w:trHeight w:val="6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hd w:val="clear"/>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一、</w:t>
            </w:r>
          </w:p>
        </w:tc>
        <w:tc>
          <w:tcPr>
            <w:tcW w:w="8474" w:type="dxa"/>
            <w:gridSpan w:val="4"/>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hd w:val="clear"/>
              <w:jc w:val="left"/>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信息化服务-软件</w:t>
            </w:r>
          </w:p>
        </w:tc>
      </w:tr>
      <w:tr>
        <w:tblPrEx>
          <w:tblCellMar>
            <w:top w:w="0" w:type="dxa"/>
            <w:left w:w="108" w:type="dxa"/>
            <w:bottom w:w="0" w:type="dxa"/>
            <w:right w:w="108" w:type="dxa"/>
          </w:tblCellMar>
        </w:tblPrEx>
        <w:trPr>
          <w:trHeight w:val="787"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预警系统平台软件</w:t>
            </w:r>
          </w:p>
        </w:tc>
        <w:tc>
          <w:tcPr>
            <w:tcW w:w="4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1.用户管理：软件平台应具备基础的安全性，在用户登录时进行账号验证；系统具有账号注销，退出系统等功能；</w:t>
            </w:r>
          </w:p>
          <w:p>
            <w:pPr>
              <w:widowControl/>
              <w:shd w:val="clear"/>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★2.地图展示：能够在地图上直观展示监控设备，且支持实时展示相关设备的状态，支持二维、三维、矢量地图切换，支持点击展示边界，点位范围；（提供软件功能界面截图）</w:t>
            </w:r>
          </w:p>
          <w:p>
            <w:pPr>
              <w:widowControl/>
              <w:shd w:val="clear"/>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3.点位列表：软件平台点位表单可实现展开、收缩；展示各个点位具体名称及所属区域；点位监控范围；</w:t>
            </w:r>
          </w:p>
          <w:p>
            <w:pPr>
              <w:widowControl/>
              <w:shd w:val="clear"/>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4.预警记录：软件平台应可以记录当日或当月的预警总量，根据各类场景分类记录发生的数量；</w:t>
            </w:r>
          </w:p>
          <w:p>
            <w:pPr>
              <w:widowControl/>
              <w:shd w:val="clear"/>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 系统应对每日发生的预警数量进行统计，并以蓝色、黄色、红色等不同颜色来标注预警量的多少。（提供软件功能界面截图）</w:t>
            </w:r>
          </w:p>
          <w:p>
            <w:pPr>
              <w:widowControl/>
              <w:shd w:val="clear"/>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自动预警（移动端）：当出现“疑似林地占用、破坏”时，应推送告警信息，以便提醒用户。当点击屏幕中告警的信息，可以查看单个摄像头大图影像及告警详情，告警的大图中应自动框出疑似目标，同时在地图上展示具体告警的定位信息；（提供软件功能界面截图）</w:t>
            </w:r>
          </w:p>
          <w:p>
            <w:pPr>
              <w:widowControl/>
              <w:shd w:val="clear"/>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★7.事件调度处理功能：在事件详情中支持点击调度一键推送信息给所选择的调度人员进行处理事件；（提供软件功能界面截图）</w:t>
            </w:r>
          </w:p>
          <w:p>
            <w:pPr>
              <w:widowControl/>
              <w:shd w:val="clear"/>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8.事件处置反馈功能：系统业务流程应具备现场处置反馈功能，当被调度人或收到预警信息的负责人支持点击处理来进行反馈处理详情；</w:t>
            </w:r>
          </w:p>
          <w:p>
            <w:pPr>
              <w:widowControl/>
              <w:shd w:val="clear"/>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★9.一键导航：软件系统应可以根据预警事件定位，调用常见地图导航软件一键导航至事件现场位置。（提供软件功能界面截图）</w:t>
            </w:r>
          </w:p>
          <w:p>
            <w:pPr>
              <w:widowControl/>
              <w:shd w:val="clear"/>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10.告警信息：系统针对推送的告警信息，应包含告警类型、告警时间、点位名称、定位、所属管理区域等信息，同时支持告警信息调度；</w:t>
            </w:r>
          </w:p>
          <w:p>
            <w:pPr>
              <w:widowControl/>
              <w:shd w:val="clear"/>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11.告警历史：系统需将所发出的告警记录入库备案，包含报警时间、地点、对应责任人、处理状态等信息；记录一个事件的全过程信息，并自动形成一组告警视频及告警历史图片，且每张图片逐渐放大；</w:t>
            </w:r>
          </w:p>
          <w:p>
            <w:pPr>
              <w:widowControl/>
              <w:shd w:val="clear"/>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12.态势分析：系统应根据某一段时间、某一个监控点位等多维度进行查询统计，同时统计预警时间占比、预警事件趋势、预警事件分布、点位报警占比、点位报警排名、反馈事件占比；</w:t>
            </w:r>
          </w:p>
          <w:p>
            <w:pPr>
              <w:widowControl/>
              <w:shd w:val="clear"/>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13.多种预警推送：识别预警后可以在系统、微信公众号上多种方式进行推送提示；</w:t>
            </w:r>
          </w:p>
          <w:p>
            <w:pPr>
              <w:widowControl/>
              <w:shd w:val="clear"/>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14.报表导出：系统应可以根据搜索栏中查询条件检索出来的预警信息列表，将预警信息导出为Excel表格。导出字段包含：点位名称、报警次数、未反馈数、反馈数、图片反馈数、反馈率、与上期报警对比；</w:t>
            </w:r>
          </w:p>
          <w:p>
            <w:pPr>
              <w:widowControl/>
              <w:shd w:val="clear"/>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15.平台具备移动执法终端巡逻任务布置保存、任务派发处置类软件著作权；</w:t>
            </w:r>
          </w:p>
          <w:p>
            <w:pPr>
              <w:widowControl/>
              <w:shd w:val="clear"/>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16.业务数据、案件信息统计分析可视化展示类软件著作权；</w:t>
            </w:r>
          </w:p>
          <w:p>
            <w:pPr>
              <w:widowControl/>
              <w:shd w:val="clear"/>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17.平台具备前端感知设备视频数据接入管理、汇聚管理、播放管理类软件著作权；</w:t>
            </w:r>
          </w:p>
          <w:p>
            <w:pPr>
              <w:widowControl/>
              <w:shd w:val="clear"/>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18.平台具备地图资源智慧管理类软件著作权；</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r>
      <w:tr>
        <w:tblPrEx>
          <w:tblCellMar>
            <w:top w:w="0" w:type="dxa"/>
            <w:left w:w="108" w:type="dxa"/>
            <w:bottom w:w="0" w:type="dxa"/>
            <w:right w:w="108" w:type="dxa"/>
          </w:tblCellMar>
        </w:tblPrEx>
        <w:trPr>
          <w:trHeight w:val="112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算法服务-林地占用</w:t>
            </w:r>
          </w:p>
        </w:tc>
        <w:tc>
          <w:tcPr>
            <w:tcW w:w="4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林地占用算法：林地占用等场景自动录像取证。自动预警。</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点/3年</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29</w:t>
            </w:r>
          </w:p>
        </w:tc>
      </w:tr>
      <w:tr>
        <w:tblPrEx>
          <w:tblCellMar>
            <w:top w:w="0" w:type="dxa"/>
            <w:left w:w="108" w:type="dxa"/>
            <w:bottom w:w="0" w:type="dxa"/>
            <w:right w:w="108" w:type="dxa"/>
          </w:tblCellMar>
        </w:tblPrEx>
        <w:trPr>
          <w:trHeight w:val="13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算法服务-林地破坏</w:t>
            </w:r>
          </w:p>
        </w:tc>
        <w:tc>
          <w:tcPr>
            <w:tcW w:w="4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森林防火算法：基于人工智能算法，对场景基本信息进行结构化，破坏林地的工程车辆识别，砍伐树木的运输车辆识别等。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点/3年</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29</w:t>
            </w:r>
          </w:p>
        </w:tc>
      </w:tr>
      <w:tr>
        <w:tblPrEx>
          <w:tblCellMar>
            <w:top w:w="0" w:type="dxa"/>
            <w:left w:w="108" w:type="dxa"/>
            <w:bottom w:w="0" w:type="dxa"/>
            <w:right w:w="108" w:type="dxa"/>
          </w:tblCellMar>
        </w:tblPrEx>
        <w:trPr>
          <w:trHeight w:val="555" w:hRule="atLeast"/>
        </w:trPr>
        <w:tc>
          <w:tcPr>
            <w:tcW w:w="96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shd w:val="clear"/>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二、</w:t>
            </w:r>
          </w:p>
        </w:tc>
        <w:tc>
          <w:tcPr>
            <w:tcW w:w="8474"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shd w:val="clear"/>
              <w:jc w:val="left"/>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信息化服务-其他</w:t>
            </w:r>
          </w:p>
        </w:tc>
      </w:tr>
      <w:tr>
        <w:tblPrEx>
          <w:tblCellMar>
            <w:top w:w="0" w:type="dxa"/>
            <w:left w:w="108" w:type="dxa"/>
            <w:bottom w:w="0" w:type="dxa"/>
            <w:right w:w="108" w:type="dxa"/>
          </w:tblCellMar>
        </w:tblPrEx>
        <w:trPr>
          <w:trHeight w:val="43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高位监控技术服务费用</w:t>
            </w:r>
          </w:p>
        </w:tc>
        <w:tc>
          <w:tcPr>
            <w:tcW w:w="47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hd w:val="clear"/>
              <w:tabs>
                <w:tab w:val="left" w:pos="560"/>
              </w:tabs>
              <w:spacing w:after="0" w:line="0" w:lineRule="atLeas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像素</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eastAsia="zh-CN"/>
              </w:rPr>
              <w:t>400万；</w:t>
            </w:r>
          </w:p>
          <w:p>
            <w:pPr>
              <w:pStyle w:val="12"/>
              <w:shd w:val="clear"/>
              <w:tabs>
                <w:tab w:val="left" w:pos="560"/>
              </w:tabs>
              <w:spacing w:after="0" w:line="0" w:lineRule="atLeas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镜头焦距：</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7.4mm~333mm；</w:t>
            </w:r>
          </w:p>
          <w:p>
            <w:pPr>
              <w:pStyle w:val="12"/>
              <w:shd w:val="clear"/>
              <w:tabs>
                <w:tab w:val="left" w:pos="560"/>
              </w:tabs>
              <w:spacing w:after="0" w:line="0" w:lineRule="atLeas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光学变倍</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eastAsia="zh-CN"/>
              </w:rPr>
              <w:t>45倍；</w:t>
            </w:r>
          </w:p>
          <w:p>
            <w:pPr>
              <w:pStyle w:val="12"/>
              <w:shd w:val="clear"/>
              <w:tabs>
                <w:tab w:val="left" w:pos="560"/>
              </w:tabs>
              <w:spacing w:after="0" w:line="0" w:lineRule="atLeas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rPr>
              <w:t>红外补光距离：</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25</w:t>
            </w:r>
            <w:r>
              <w:rPr>
                <w:rFonts w:hint="eastAsia" w:ascii="宋体" w:hAnsi="宋体" w:eastAsia="宋体" w:cs="宋体"/>
                <w:color w:val="000000"/>
                <w:kern w:val="0"/>
                <w:sz w:val="21"/>
                <w:szCs w:val="21"/>
                <w:highlight w:val="none"/>
                <w:lang w:val="en-US" w:eastAsia="zh-CN"/>
              </w:rPr>
              <w:t>0m；</w:t>
            </w:r>
          </w:p>
          <w:p>
            <w:pPr>
              <w:pStyle w:val="12"/>
              <w:shd w:val="clear"/>
              <w:tabs>
                <w:tab w:val="left" w:pos="560"/>
              </w:tabs>
              <w:spacing w:after="0" w:line="0" w:lineRule="atLeas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rPr>
              <w:t>与预警系统平台软件无缝对接；</w:t>
            </w:r>
          </w:p>
          <w:p>
            <w:pPr>
              <w:pStyle w:val="12"/>
              <w:shd w:val="clear"/>
              <w:tabs>
                <w:tab w:val="left" w:pos="560"/>
              </w:tabs>
              <w:spacing w:after="0" w:line="0" w:lineRule="atLeas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6.最低照度：彩色：0.00049Lux@F1.19 黑白：0.00001Lux@F1.19 0Lux（红外灯开启）；</w:t>
            </w:r>
          </w:p>
          <w:p>
            <w:pPr>
              <w:pStyle w:val="12"/>
              <w:shd w:val="clear"/>
              <w:tabs>
                <w:tab w:val="left" w:pos="560"/>
              </w:tabs>
              <w:spacing w:after="0" w:line="0" w:lineRule="atLeas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7.支持雨刷功能；</w:t>
            </w:r>
          </w:p>
          <w:p>
            <w:pPr>
              <w:pStyle w:val="12"/>
              <w:shd w:val="clear"/>
              <w:tabs>
                <w:tab w:val="left" w:pos="560"/>
              </w:tabs>
              <w:spacing w:after="0" w:line="0" w:lineRule="atLeas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8.旋转范围：水平：0°~360°连续旋转；垂直：-30°~+90°自动翻转180°后连续监视；</w:t>
            </w:r>
          </w:p>
          <w:p>
            <w:pPr>
              <w:pStyle w:val="12"/>
              <w:shd w:val="clear"/>
              <w:tabs>
                <w:tab w:val="left" w:pos="560"/>
              </w:tabs>
              <w:spacing w:after="0" w:line="0" w:lineRule="atLeas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9.支持</w:t>
            </w:r>
            <w:r>
              <w:rPr>
                <w:rFonts w:hint="eastAsia" w:ascii="宋体" w:hAnsi="宋体" w:eastAsia="宋体" w:cs="宋体"/>
                <w:color w:val="000000"/>
                <w:kern w:val="0"/>
                <w:sz w:val="21"/>
                <w:szCs w:val="21"/>
                <w:highlight w:val="none"/>
              </w:rPr>
              <w:t>高效视频编码H.265</w:t>
            </w:r>
            <w:r>
              <w:rPr>
                <w:rFonts w:hint="eastAsia" w:ascii="宋体" w:hAnsi="宋体" w:eastAsia="宋体" w:cs="宋体"/>
                <w:color w:val="000000"/>
                <w:kern w:val="0"/>
                <w:sz w:val="21"/>
                <w:szCs w:val="21"/>
                <w:highlight w:val="none"/>
                <w:lang w:eastAsia="zh-CN"/>
              </w:rPr>
              <w:t>；</w:t>
            </w:r>
          </w:p>
          <w:p>
            <w:pPr>
              <w:pStyle w:val="12"/>
              <w:shd w:val="clear"/>
              <w:tabs>
                <w:tab w:val="left" w:pos="560"/>
              </w:tabs>
              <w:spacing w:after="0" w:line="0" w:lineRule="atLeas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10.防护等级：IP67；TVS 6000V防雷；防浪涌和防突波保护；符合GB/T 17626.5 4级标准；</w:t>
            </w:r>
          </w:p>
          <w:p>
            <w:pPr>
              <w:pStyle w:val="12"/>
              <w:shd w:val="clear"/>
              <w:tabs>
                <w:tab w:val="left" w:pos="560"/>
              </w:tabs>
              <w:spacing w:after="0" w:line="0" w:lineRule="atLeas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11.工作温度：-40℃~+70℃；</w:t>
            </w:r>
          </w:p>
          <w:p>
            <w:pPr>
              <w:pStyle w:val="12"/>
              <w:shd w:val="clear"/>
              <w:tabs>
                <w:tab w:val="left" w:pos="560"/>
              </w:tabs>
              <w:spacing w:after="0" w:line="0" w:lineRule="atLeast"/>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highlight w:val="none"/>
                <w:lang w:val="en-US" w:eastAsia="zh-CN"/>
              </w:rPr>
              <w:t>12.供电方式DC48V±25%，默认支持DC48V供电，无需适配器。</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点/3年</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29</w:t>
            </w:r>
          </w:p>
        </w:tc>
      </w:tr>
      <w:tr>
        <w:tblPrEx>
          <w:tblCellMar>
            <w:top w:w="0" w:type="dxa"/>
            <w:left w:w="108" w:type="dxa"/>
            <w:bottom w:w="0" w:type="dxa"/>
            <w:right w:w="108" w:type="dxa"/>
          </w:tblCellMar>
        </w:tblPrEx>
        <w:trPr>
          <w:trHeight w:val="69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链路扩容费（扩容至20M）</w:t>
            </w:r>
          </w:p>
        </w:tc>
        <w:tc>
          <w:tcPr>
            <w:tcW w:w="4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视频前端传输链路（点对点VPN专线）</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条/3年</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29</w:t>
            </w:r>
          </w:p>
        </w:tc>
      </w:tr>
      <w:tr>
        <w:tblPrEx>
          <w:tblCellMar>
            <w:top w:w="0" w:type="dxa"/>
            <w:left w:w="108" w:type="dxa"/>
            <w:bottom w:w="0" w:type="dxa"/>
            <w:right w:w="108" w:type="dxa"/>
          </w:tblCellMar>
        </w:tblPrEx>
        <w:trPr>
          <w:trHeight w:val="71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政务网链路（100M）</w:t>
            </w:r>
          </w:p>
        </w:tc>
        <w:tc>
          <w:tcPr>
            <w:tcW w:w="4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政务网汇聚链路（点对点VPN专线）</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条/3年</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r>
      <w:tr>
        <w:tblPrEx>
          <w:tblCellMar>
            <w:top w:w="0" w:type="dxa"/>
            <w:left w:w="108" w:type="dxa"/>
            <w:bottom w:w="0" w:type="dxa"/>
            <w:right w:w="108" w:type="dxa"/>
          </w:tblCellMar>
        </w:tblPrEx>
        <w:trPr>
          <w:trHeight w:val="1390" w:hRule="atLeast"/>
        </w:trPr>
        <w:tc>
          <w:tcPr>
            <w:tcW w:w="943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320" w:lineRule="exact"/>
              <w:jc w:val="left"/>
              <w:textAlignment w:val="top"/>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注：1、本表格所列的设备参数为项目主要设备参数，但不是最终详尽的参数，投标人有责任对系统完整性负责，由中标人承担相关的一切费用。</w:t>
            </w:r>
          </w:p>
          <w:p>
            <w:pPr>
              <w:widowControl/>
              <w:shd w:val="clear"/>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2、最终各区域点位详见点位规划表，最终以采购人需求设置为准，各投标人在投标报价时应考虑上述情况产生的费用，中标后不作调整。</w:t>
            </w:r>
          </w:p>
        </w:tc>
      </w:tr>
    </w:tbl>
    <w:p>
      <w:pPr>
        <w:shd w:val="clear"/>
        <w:spacing w:line="460" w:lineRule="exact"/>
        <w:jc w:val="left"/>
        <w:rPr>
          <w:rFonts w:hint="eastAsia" w:ascii="宋体" w:hAnsi="宋体" w:eastAsia="宋体" w:cs="宋体"/>
          <w:szCs w:val="21"/>
          <w:highlight w:val="none"/>
          <w:shd w:val="clear" w:color="auto" w:fill="FFFFFF"/>
          <w:lang w:val="en-US" w:eastAsia="zh-CN"/>
        </w:rPr>
      </w:pPr>
    </w:p>
    <w:p>
      <w:pPr>
        <w:numPr>
          <w:ilvl w:val="0"/>
          <w:numId w:val="0"/>
        </w:numPr>
        <w:shd w:val="clear"/>
        <w:rPr>
          <w:rFonts w:hint="eastAsia" w:ascii="宋体" w:hAnsi="宋体" w:eastAsia="宋体" w:cs="宋体"/>
          <w:b/>
          <w:bCs/>
          <w:color w:val="auto"/>
          <w:sz w:val="24"/>
          <w:szCs w:val="20"/>
          <w:highlight w:val="none"/>
          <w:lang w:val="en-US" w:eastAsia="zh-CN"/>
        </w:rPr>
      </w:pPr>
    </w:p>
    <w:p>
      <w:pPr>
        <w:numPr>
          <w:ilvl w:val="0"/>
          <w:numId w:val="3"/>
        </w:numPr>
        <w:shd w:val="clear"/>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网络架构要求</w:t>
      </w:r>
    </w:p>
    <w:p>
      <w:pPr>
        <w:pStyle w:val="2"/>
        <w:numPr>
          <w:ilvl w:val="0"/>
          <w:numId w:val="0"/>
        </w:numPr>
        <w:shd w:val="clear"/>
        <w:ind w:firstLine="420" w:firstLineChars="200"/>
        <w:rPr>
          <w:rFonts w:hint="eastAsia" w:ascii="宋体" w:hAnsi="宋体" w:eastAsia="宋体" w:cs="宋体"/>
          <w:sz w:val="21"/>
          <w:szCs w:val="18"/>
          <w:highlight w:val="none"/>
          <w:lang w:val="en-US" w:eastAsia="zh-CN"/>
        </w:rPr>
      </w:pPr>
      <w:r>
        <w:rPr>
          <w:rFonts w:hint="eastAsia" w:ascii="宋体" w:hAnsi="宋体" w:eastAsia="宋体" w:cs="宋体"/>
          <w:sz w:val="21"/>
          <w:szCs w:val="18"/>
          <w:highlight w:val="none"/>
          <w:lang w:val="en-US" w:eastAsia="zh-CN"/>
        </w:rPr>
        <w:t>构建以光学摄像机设备与人工智能AI平台算法相结合的信息化系统，实现林地占用、破坏智能预警功能，以高位视频监控为基础，发挥人工智能算法自动判定疑似场景、对焦、拉框放大、录像取证并形成预警事件，主动推送预警,实现疑似林地占用、破坏行为的全天候监管，系统需同时接入政务外网和大数据局政务云打通，通过政务外网将预警数据推送到互联网通道实现业务闭环，满足相关网络的安全等级要求，拓扑结构如下：</w:t>
      </w:r>
    </w:p>
    <w:p>
      <w:pPr>
        <w:pStyle w:val="3"/>
        <w:shd w:val="clear"/>
        <w:rPr>
          <w:rFonts w:hint="default"/>
          <w:highlight w:val="none"/>
          <w:lang w:val="en-US" w:eastAsia="zh-CN"/>
        </w:rPr>
      </w:pPr>
      <w:r>
        <w:rPr>
          <w:highlight w:val="none"/>
        </w:rPr>
        <w:drawing>
          <wp:inline distT="0" distB="0" distL="114300" distR="114300">
            <wp:extent cx="5887720" cy="3606800"/>
            <wp:effectExtent l="0" t="0" r="17780" b="1270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5887720" cy="3606800"/>
                    </a:xfrm>
                    <a:prstGeom prst="rect">
                      <a:avLst/>
                    </a:prstGeom>
                    <a:noFill/>
                    <a:ln>
                      <a:noFill/>
                    </a:ln>
                  </pic:spPr>
                </pic:pic>
              </a:graphicData>
            </a:graphic>
          </wp:inline>
        </w:drawing>
      </w:r>
    </w:p>
    <w:p>
      <w:pPr>
        <w:numPr>
          <w:ilvl w:val="0"/>
          <w:numId w:val="0"/>
        </w:numPr>
        <w:shd w:val="clear"/>
        <w:rPr>
          <w:rFonts w:hint="eastAsia" w:cs="Times New Roman"/>
          <w:b/>
          <w:bCs/>
          <w:color w:val="auto"/>
          <w:sz w:val="28"/>
          <w:szCs w:val="21"/>
          <w:highlight w:val="none"/>
          <w:lang w:val="en-US" w:eastAsia="zh-CN"/>
        </w:rPr>
      </w:pPr>
      <w:r>
        <w:rPr>
          <w:rFonts w:hint="eastAsia" w:ascii="宋体" w:hAnsi="宋体" w:eastAsia="宋体" w:cs="宋体"/>
          <w:b/>
          <w:bCs/>
          <w:color w:val="auto"/>
          <w:sz w:val="24"/>
          <w:szCs w:val="20"/>
          <w:highlight w:val="none"/>
          <w:lang w:val="en-US" w:eastAsia="zh-CN"/>
        </w:rPr>
        <w:t>3.点位规划表</w:t>
      </w:r>
    </w:p>
    <w:tbl>
      <w:tblPr>
        <w:tblStyle w:val="34"/>
        <w:tblW w:w="4937" w:type="pct"/>
        <w:tblInd w:w="0" w:type="dxa"/>
        <w:tblLayout w:type="fixed"/>
        <w:tblCellMar>
          <w:top w:w="0" w:type="dxa"/>
          <w:left w:w="108" w:type="dxa"/>
          <w:bottom w:w="0" w:type="dxa"/>
          <w:right w:w="108" w:type="dxa"/>
        </w:tblCellMar>
      </w:tblPr>
      <w:tblGrid>
        <w:gridCol w:w="794"/>
        <w:gridCol w:w="2185"/>
        <w:gridCol w:w="2213"/>
        <w:gridCol w:w="2130"/>
        <w:gridCol w:w="2184"/>
      </w:tblGrid>
      <w:tr>
        <w:tblPrEx>
          <w:tblCellMar>
            <w:top w:w="0" w:type="dxa"/>
            <w:left w:w="108" w:type="dxa"/>
            <w:bottom w:w="0" w:type="dxa"/>
            <w:right w:w="108" w:type="dxa"/>
          </w:tblCellMar>
        </w:tblPrEx>
        <w:trPr>
          <w:trHeight w:val="567" w:hRule="exac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b/>
                <w:bCs/>
                <w:highlight w:val="none"/>
              </w:rPr>
            </w:pPr>
            <w:r>
              <w:rPr>
                <w:rFonts w:hint="eastAsia" w:ascii="宋体" w:hAnsi="宋体" w:eastAsia="宋体" w:cs="宋体"/>
                <w:b/>
                <w:bCs/>
                <w:highlight w:val="none"/>
              </w:rPr>
              <w:t>序号</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b/>
                <w:bCs/>
                <w:highlight w:val="none"/>
              </w:rPr>
            </w:pPr>
            <w:r>
              <w:rPr>
                <w:rFonts w:hint="eastAsia" w:ascii="宋体" w:hAnsi="宋体" w:eastAsia="宋体" w:cs="宋体"/>
                <w:b/>
                <w:bCs/>
                <w:highlight w:val="none"/>
              </w:rPr>
              <w:t>乡镇</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b/>
                <w:bCs/>
                <w:highlight w:val="none"/>
              </w:rPr>
            </w:pPr>
            <w:r>
              <w:rPr>
                <w:rFonts w:hint="eastAsia" w:ascii="宋体" w:hAnsi="宋体" w:eastAsia="宋体" w:cs="宋体"/>
                <w:b/>
                <w:bCs/>
                <w:highlight w:val="none"/>
              </w:rPr>
              <w:t>村</w:t>
            </w:r>
          </w:p>
        </w:tc>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b/>
                <w:bCs/>
                <w:highlight w:val="none"/>
              </w:rPr>
            </w:pPr>
            <w:r>
              <w:rPr>
                <w:rFonts w:hint="eastAsia" w:ascii="宋体" w:hAnsi="宋体" w:eastAsia="宋体" w:cs="宋体"/>
                <w:b/>
                <w:bCs/>
                <w:highlight w:val="none"/>
              </w:rPr>
              <w:t>经 度</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b/>
                <w:bCs/>
                <w:highlight w:val="none"/>
              </w:rPr>
            </w:pPr>
            <w:r>
              <w:rPr>
                <w:rFonts w:hint="eastAsia" w:ascii="宋体" w:hAnsi="宋体" w:eastAsia="宋体" w:cs="宋体"/>
                <w:b/>
                <w:bCs/>
                <w:highlight w:val="none"/>
              </w:rPr>
              <w:t>纬 度</w:t>
            </w:r>
          </w:p>
        </w:tc>
      </w:tr>
      <w:tr>
        <w:tblPrEx>
          <w:tblCellMar>
            <w:top w:w="0" w:type="dxa"/>
            <w:left w:w="108" w:type="dxa"/>
            <w:bottom w:w="0" w:type="dxa"/>
            <w:right w:w="108" w:type="dxa"/>
          </w:tblCellMar>
        </w:tblPrEx>
        <w:trPr>
          <w:trHeight w:val="567" w:hRule="exac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递铺街道</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赤渔村</w:t>
            </w:r>
          </w:p>
        </w:tc>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119.787889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30.629767</w:t>
            </w:r>
          </w:p>
        </w:tc>
      </w:tr>
      <w:tr>
        <w:tblPrEx>
          <w:tblCellMar>
            <w:top w:w="0" w:type="dxa"/>
            <w:left w:w="108" w:type="dxa"/>
            <w:bottom w:w="0" w:type="dxa"/>
            <w:right w:w="108" w:type="dxa"/>
          </w:tblCellMar>
        </w:tblPrEx>
        <w:trPr>
          <w:trHeight w:val="567" w:hRule="exac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2</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递铺街道</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南北庄村</w:t>
            </w:r>
          </w:p>
        </w:tc>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119.779457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30.655247</w:t>
            </w:r>
          </w:p>
        </w:tc>
      </w:tr>
      <w:tr>
        <w:tblPrEx>
          <w:tblCellMar>
            <w:top w:w="0" w:type="dxa"/>
            <w:left w:w="108" w:type="dxa"/>
            <w:bottom w:w="0" w:type="dxa"/>
            <w:right w:w="108" w:type="dxa"/>
          </w:tblCellMar>
        </w:tblPrEx>
        <w:trPr>
          <w:trHeight w:val="567" w:hRule="exac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3</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递铺街道</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义士塔村</w:t>
            </w:r>
          </w:p>
        </w:tc>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119.747294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30.645897</w:t>
            </w:r>
          </w:p>
        </w:tc>
      </w:tr>
      <w:tr>
        <w:tblPrEx>
          <w:tblCellMar>
            <w:top w:w="0" w:type="dxa"/>
            <w:left w:w="108" w:type="dxa"/>
            <w:bottom w:w="0" w:type="dxa"/>
            <w:right w:w="108" w:type="dxa"/>
          </w:tblCellMar>
        </w:tblPrEx>
        <w:trPr>
          <w:trHeight w:val="567" w:hRule="exac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4</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递铺街道</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安乐村</w:t>
            </w:r>
          </w:p>
        </w:tc>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119.721179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30.653162</w:t>
            </w:r>
          </w:p>
        </w:tc>
      </w:tr>
      <w:tr>
        <w:tblPrEx>
          <w:tblCellMar>
            <w:top w:w="0" w:type="dxa"/>
            <w:left w:w="108" w:type="dxa"/>
            <w:bottom w:w="0" w:type="dxa"/>
            <w:right w:w="108" w:type="dxa"/>
          </w:tblCellMar>
        </w:tblPrEx>
        <w:trPr>
          <w:trHeight w:val="567" w:hRule="exac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5</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递铺街道</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大卫里村</w:t>
            </w:r>
          </w:p>
        </w:tc>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119.741142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30.677635</w:t>
            </w:r>
          </w:p>
        </w:tc>
      </w:tr>
      <w:tr>
        <w:tblPrEx>
          <w:tblCellMar>
            <w:top w:w="0" w:type="dxa"/>
            <w:left w:w="108" w:type="dxa"/>
            <w:bottom w:w="0" w:type="dxa"/>
            <w:right w:w="108" w:type="dxa"/>
          </w:tblCellMar>
        </w:tblPrEx>
        <w:trPr>
          <w:trHeight w:val="567" w:hRule="exac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6</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递铺街道</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夏庄村</w:t>
            </w:r>
          </w:p>
        </w:tc>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119.564659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30.625068</w:t>
            </w:r>
          </w:p>
        </w:tc>
      </w:tr>
      <w:tr>
        <w:tblPrEx>
          <w:tblCellMar>
            <w:top w:w="0" w:type="dxa"/>
            <w:left w:w="108" w:type="dxa"/>
            <w:bottom w:w="0" w:type="dxa"/>
            <w:right w:w="108" w:type="dxa"/>
          </w:tblCellMar>
        </w:tblPrEx>
        <w:trPr>
          <w:trHeight w:val="567" w:hRule="exac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7</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递铺街道</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稻好坞村</w:t>
            </w:r>
          </w:p>
        </w:tc>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119.590341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30.621901</w:t>
            </w:r>
          </w:p>
        </w:tc>
      </w:tr>
      <w:tr>
        <w:tblPrEx>
          <w:tblCellMar>
            <w:top w:w="0" w:type="dxa"/>
            <w:left w:w="108" w:type="dxa"/>
            <w:bottom w:w="0" w:type="dxa"/>
            <w:right w:w="108" w:type="dxa"/>
          </w:tblCellMar>
        </w:tblPrEx>
        <w:trPr>
          <w:trHeight w:val="567" w:hRule="exac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8</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递铺街道</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长潭村</w:t>
            </w:r>
          </w:p>
        </w:tc>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119.574224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30.648946</w:t>
            </w:r>
          </w:p>
        </w:tc>
      </w:tr>
      <w:tr>
        <w:tblPrEx>
          <w:tblCellMar>
            <w:top w:w="0" w:type="dxa"/>
            <w:left w:w="108" w:type="dxa"/>
            <w:bottom w:w="0" w:type="dxa"/>
            <w:right w:w="108" w:type="dxa"/>
          </w:tblCellMar>
        </w:tblPrEx>
        <w:trPr>
          <w:trHeight w:val="567" w:hRule="exac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9</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递铺街道</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赤虹桥村</w:t>
            </w:r>
          </w:p>
        </w:tc>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119.629307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30.637574</w:t>
            </w:r>
          </w:p>
        </w:tc>
      </w:tr>
      <w:tr>
        <w:tblPrEx>
          <w:tblCellMar>
            <w:top w:w="0" w:type="dxa"/>
            <w:left w:w="108" w:type="dxa"/>
            <w:bottom w:w="0" w:type="dxa"/>
            <w:right w:w="108" w:type="dxa"/>
          </w:tblCellMar>
        </w:tblPrEx>
        <w:trPr>
          <w:trHeight w:val="567" w:hRule="exac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10</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递铺街道</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康山村</w:t>
            </w:r>
          </w:p>
        </w:tc>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119.606397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30.662775</w:t>
            </w:r>
          </w:p>
        </w:tc>
      </w:tr>
      <w:tr>
        <w:tblPrEx>
          <w:tblCellMar>
            <w:top w:w="0" w:type="dxa"/>
            <w:left w:w="108" w:type="dxa"/>
            <w:bottom w:w="0" w:type="dxa"/>
            <w:right w:w="108" w:type="dxa"/>
          </w:tblCellMar>
        </w:tblPrEx>
        <w:trPr>
          <w:trHeight w:val="567" w:hRule="exac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11</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递铺街道</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丰食溪村</w:t>
            </w:r>
          </w:p>
        </w:tc>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119.638198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30.656809</w:t>
            </w:r>
          </w:p>
        </w:tc>
      </w:tr>
      <w:tr>
        <w:tblPrEx>
          <w:tblCellMar>
            <w:top w:w="0" w:type="dxa"/>
            <w:left w:w="108" w:type="dxa"/>
            <w:bottom w:w="0" w:type="dxa"/>
            <w:right w:w="108" w:type="dxa"/>
          </w:tblCellMar>
        </w:tblPrEx>
        <w:trPr>
          <w:trHeight w:val="567" w:hRule="exac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12</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递铺街道</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马家冲</w:t>
            </w:r>
          </w:p>
        </w:tc>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119.751129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30.699185</w:t>
            </w:r>
          </w:p>
        </w:tc>
      </w:tr>
      <w:tr>
        <w:tblPrEx>
          <w:tblCellMar>
            <w:top w:w="0" w:type="dxa"/>
            <w:left w:w="108" w:type="dxa"/>
            <w:bottom w:w="0" w:type="dxa"/>
            <w:right w:w="108" w:type="dxa"/>
          </w:tblCellMar>
        </w:tblPrEx>
        <w:trPr>
          <w:trHeight w:val="567" w:hRule="exac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13</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递铺街道</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马家村</w:t>
            </w:r>
          </w:p>
        </w:tc>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119.712116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30.702871</w:t>
            </w:r>
          </w:p>
        </w:tc>
      </w:tr>
      <w:tr>
        <w:tblPrEx>
          <w:tblCellMar>
            <w:top w:w="0" w:type="dxa"/>
            <w:left w:w="108" w:type="dxa"/>
            <w:bottom w:w="0" w:type="dxa"/>
            <w:right w:w="108" w:type="dxa"/>
          </w:tblCellMar>
        </w:tblPrEx>
        <w:trPr>
          <w:trHeight w:val="567" w:hRule="exac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14</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递铺街道</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东山垓村</w:t>
            </w:r>
          </w:p>
        </w:tc>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119.664583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30.703894</w:t>
            </w:r>
          </w:p>
        </w:tc>
      </w:tr>
      <w:tr>
        <w:tblPrEx>
          <w:tblCellMar>
            <w:top w:w="0" w:type="dxa"/>
            <w:left w:w="108" w:type="dxa"/>
            <w:bottom w:w="0" w:type="dxa"/>
            <w:right w:w="108" w:type="dxa"/>
          </w:tblCellMar>
        </w:tblPrEx>
        <w:trPr>
          <w:trHeight w:val="567" w:hRule="exac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15</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递铺街道</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东坞村</w:t>
            </w:r>
          </w:p>
        </w:tc>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119.633261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30.704673</w:t>
            </w:r>
          </w:p>
        </w:tc>
      </w:tr>
      <w:tr>
        <w:tblPrEx>
          <w:tblCellMar>
            <w:top w:w="0" w:type="dxa"/>
            <w:left w:w="108" w:type="dxa"/>
            <w:bottom w:w="0" w:type="dxa"/>
            <w:right w:w="108" w:type="dxa"/>
          </w:tblCellMar>
        </w:tblPrEx>
        <w:trPr>
          <w:trHeight w:val="567" w:hRule="exac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16</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递铺街道</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闵子里村</w:t>
            </w:r>
          </w:p>
        </w:tc>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119.669879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30.72107</w:t>
            </w:r>
          </w:p>
        </w:tc>
      </w:tr>
      <w:tr>
        <w:tblPrEx>
          <w:tblCellMar>
            <w:top w:w="0" w:type="dxa"/>
            <w:left w:w="108" w:type="dxa"/>
            <w:bottom w:w="0" w:type="dxa"/>
            <w:right w:w="108" w:type="dxa"/>
          </w:tblCellMar>
        </w:tblPrEx>
        <w:trPr>
          <w:trHeight w:val="567" w:hRule="exac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17</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递铺街道</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鞍山村</w:t>
            </w:r>
          </w:p>
        </w:tc>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119.725116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30.731531</w:t>
            </w:r>
          </w:p>
        </w:tc>
      </w:tr>
      <w:tr>
        <w:tblPrEx>
          <w:tblCellMar>
            <w:top w:w="0" w:type="dxa"/>
            <w:left w:w="108" w:type="dxa"/>
            <w:bottom w:w="0" w:type="dxa"/>
            <w:right w:w="108" w:type="dxa"/>
          </w:tblCellMar>
        </w:tblPrEx>
        <w:trPr>
          <w:trHeight w:val="567" w:hRule="exac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18</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递铺街道</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兰田村</w:t>
            </w:r>
          </w:p>
        </w:tc>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119.682576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30.750691</w:t>
            </w:r>
          </w:p>
        </w:tc>
      </w:tr>
      <w:tr>
        <w:tblPrEx>
          <w:tblCellMar>
            <w:top w:w="0" w:type="dxa"/>
            <w:left w:w="108" w:type="dxa"/>
            <w:bottom w:w="0" w:type="dxa"/>
            <w:right w:w="108" w:type="dxa"/>
          </w:tblCellMar>
        </w:tblPrEx>
        <w:trPr>
          <w:trHeight w:val="567" w:hRule="exac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19</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递铺街道</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庞家上村</w:t>
            </w:r>
          </w:p>
        </w:tc>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119.681671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30.777361</w:t>
            </w:r>
          </w:p>
        </w:tc>
      </w:tr>
      <w:tr>
        <w:tblPrEx>
          <w:tblCellMar>
            <w:top w:w="0" w:type="dxa"/>
            <w:left w:w="108" w:type="dxa"/>
            <w:bottom w:w="0" w:type="dxa"/>
            <w:right w:w="108" w:type="dxa"/>
          </w:tblCellMar>
        </w:tblPrEx>
        <w:trPr>
          <w:trHeight w:val="567" w:hRule="exac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20</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梅溪镇</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石龙村</w:t>
            </w:r>
          </w:p>
        </w:tc>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119.796589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30.77538</w:t>
            </w:r>
          </w:p>
        </w:tc>
      </w:tr>
      <w:tr>
        <w:tblPrEx>
          <w:tblCellMar>
            <w:top w:w="0" w:type="dxa"/>
            <w:left w:w="108" w:type="dxa"/>
            <w:bottom w:w="0" w:type="dxa"/>
            <w:right w:w="108" w:type="dxa"/>
          </w:tblCellMar>
        </w:tblPrEx>
        <w:trPr>
          <w:trHeight w:val="567" w:hRule="exac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21</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梅溪镇</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苍蒲上村</w:t>
            </w:r>
          </w:p>
        </w:tc>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119.813912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30.650259</w:t>
            </w:r>
          </w:p>
        </w:tc>
      </w:tr>
      <w:tr>
        <w:tblPrEx>
          <w:tblCellMar>
            <w:top w:w="0" w:type="dxa"/>
            <w:left w:w="108" w:type="dxa"/>
            <w:bottom w:w="0" w:type="dxa"/>
            <w:right w:w="108" w:type="dxa"/>
          </w:tblCellMar>
        </w:tblPrEx>
        <w:trPr>
          <w:trHeight w:val="567" w:hRule="exac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22</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梅溪镇</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铜山村</w:t>
            </w:r>
          </w:p>
        </w:tc>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119.802083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30.685972</w:t>
            </w:r>
          </w:p>
        </w:tc>
      </w:tr>
      <w:tr>
        <w:tblPrEx>
          <w:tblCellMar>
            <w:top w:w="0" w:type="dxa"/>
            <w:left w:w="108" w:type="dxa"/>
            <w:bottom w:w="0" w:type="dxa"/>
            <w:right w:w="108" w:type="dxa"/>
          </w:tblCellMar>
        </w:tblPrEx>
        <w:trPr>
          <w:trHeight w:val="567" w:hRule="exac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23</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梅溪镇</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隐将村</w:t>
            </w:r>
          </w:p>
        </w:tc>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119.822176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30.696899</w:t>
            </w:r>
          </w:p>
        </w:tc>
      </w:tr>
      <w:tr>
        <w:tblPrEx>
          <w:tblCellMar>
            <w:top w:w="0" w:type="dxa"/>
            <w:left w:w="108" w:type="dxa"/>
            <w:bottom w:w="0" w:type="dxa"/>
            <w:right w:w="108" w:type="dxa"/>
          </w:tblCellMar>
        </w:tblPrEx>
        <w:trPr>
          <w:trHeight w:val="567" w:hRule="exac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24</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梅溪镇</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上舍村</w:t>
            </w:r>
          </w:p>
        </w:tc>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119.859518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30.707029</w:t>
            </w:r>
          </w:p>
        </w:tc>
      </w:tr>
      <w:tr>
        <w:tblPrEx>
          <w:tblCellMar>
            <w:top w:w="0" w:type="dxa"/>
            <w:left w:w="108" w:type="dxa"/>
            <w:bottom w:w="0" w:type="dxa"/>
            <w:right w:w="108" w:type="dxa"/>
          </w:tblCellMar>
        </w:tblPrEx>
        <w:trPr>
          <w:trHeight w:val="567" w:hRule="exac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25</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梅溪镇</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三山村</w:t>
            </w:r>
          </w:p>
        </w:tc>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119.874562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30.723052</w:t>
            </w:r>
          </w:p>
        </w:tc>
      </w:tr>
      <w:tr>
        <w:tblPrEx>
          <w:tblCellMar>
            <w:top w:w="0" w:type="dxa"/>
            <w:left w:w="108" w:type="dxa"/>
            <w:bottom w:w="0" w:type="dxa"/>
            <w:right w:w="108" w:type="dxa"/>
          </w:tblCellMar>
        </w:tblPrEx>
        <w:trPr>
          <w:trHeight w:val="567" w:hRule="exac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26</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梅溪镇</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大路口村</w:t>
            </w:r>
          </w:p>
        </w:tc>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119.838775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30.734262</w:t>
            </w:r>
          </w:p>
        </w:tc>
      </w:tr>
      <w:tr>
        <w:tblPrEx>
          <w:tblCellMar>
            <w:top w:w="0" w:type="dxa"/>
            <w:left w:w="108" w:type="dxa"/>
            <w:bottom w:w="0" w:type="dxa"/>
            <w:right w:w="108" w:type="dxa"/>
          </w:tblCellMar>
        </w:tblPrEx>
        <w:trPr>
          <w:trHeight w:val="567" w:hRule="exac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27</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梅溪镇</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俞芝岭村</w:t>
            </w:r>
          </w:p>
        </w:tc>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119.783049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30.699561</w:t>
            </w:r>
          </w:p>
        </w:tc>
      </w:tr>
      <w:tr>
        <w:tblPrEx>
          <w:tblCellMar>
            <w:top w:w="0" w:type="dxa"/>
            <w:left w:w="108" w:type="dxa"/>
            <w:bottom w:w="0" w:type="dxa"/>
            <w:right w:w="108" w:type="dxa"/>
          </w:tblCellMar>
        </w:tblPrEx>
        <w:trPr>
          <w:trHeight w:val="567" w:hRule="exac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28</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梅溪镇</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路西村</w:t>
            </w:r>
          </w:p>
        </w:tc>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119.797847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30.722986</w:t>
            </w:r>
          </w:p>
        </w:tc>
      </w:tr>
      <w:tr>
        <w:tblPrEx>
          <w:tblCellMar>
            <w:top w:w="0" w:type="dxa"/>
            <w:left w:w="108" w:type="dxa"/>
            <w:bottom w:w="0" w:type="dxa"/>
            <w:right w:w="108" w:type="dxa"/>
          </w:tblCellMar>
        </w:tblPrEx>
        <w:trPr>
          <w:trHeight w:val="567" w:hRule="exac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29</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梅溪镇</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干溪桥村</w:t>
            </w:r>
          </w:p>
        </w:tc>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119.816334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7"/>
              <w:shd w:val="clear"/>
              <w:rPr>
                <w:rFonts w:hint="eastAsia" w:ascii="宋体" w:hAnsi="宋体" w:eastAsia="宋体" w:cs="宋体"/>
                <w:highlight w:val="none"/>
              </w:rPr>
            </w:pPr>
            <w:r>
              <w:rPr>
                <w:rFonts w:hint="eastAsia" w:ascii="宋体" w:hAnsi="宋体" w:eastAsia="宋体" w:cs="宋体"/>
                <w:highlight w:val="none"/>
              </w:rPr>
              <w:t>30.739294</w:t>
            </w:r>
          </w:p>
        </w:tc>
      </w:tr>
    </w:tbl>
    <w:p>
      <w:pPr>
        <w:pStyle w:val="2"/>
        <w:numPr>
          <w:ilvl w:val="0"/>
          <w:numId w:val="0"/>
        </w:numPr>
        <w:shd w:val="clear"/>
        <w:rPr>
          <w:rFonts w:hint="eastAsia" w:ascii="宋体" w:hAnsi="宋体" w:eastAsia="宋体" w:cs="宋体"/>
          <w:b/>
          <w:bCs/>
          <w:sz w:val="21"/>
          <w:szCs w:val="15"/>
          <w:highlight w:val="none"/>
        </w:rPr>
      </w:pPr>
    </w:p>
    <w:p>
      <w:pPr>
        <w:pStyle w:val="2"/>
        <w:numPr>
          <w:ilvl w:val="0"/>
          <w:numId w:val="0"/>
        </w:numPr>
        <w:shd w:val="clear"/>
        <w:rPr>
          <w:rFonts w:hint="default"/>
          <w:highlight w:val="none"/>
          <w:lang w:val="en-US" w:eastAsia="zh-CN"/>
        </w:rPr>
      </w:pPr>
      <w:r>
        <w:rPr>
          <w:rFonts w:hint="eastAsia" w:ascii="宋体" w:hAnsi="宋体" w:eastAsia="宋体" w:cs="宋体"/>
          <w:b/>
          <w:bCs/>
          <w:sz w:val="21"/>
          <w:szCs w:val="15"/>
          <w:highlight w:val="none"/>
        </w:rPr>
        <w:t>▲</w:t>
      </w:r>
      <w:r>
        <w:rPr>
          <w:rFonts w:hint="eastAsia" w:ascii="宋体" w:hAnsi="宋体" w:eastAsia="宋体" w:cs="宋体"/>
          <w:b/>
          <w:bCs/>
          <w:sz w:val="21"/>
          <w:szCs w:val="18"/>
          <w:highlight w:val="none"/>
          <w:lang w:val="en-US" w:eastAsia="zh-CN"/>
        </w:rPr>
        <w:t>注：为了保证整个系统的整体覆盖效率，本项目要求70%以上前端设备需挂高在30米及以上的塔杆上。为保障监控视野投标单位应根据现场查勘结果，经采购人确认，可自行调整具体点位并安装，设备挂载参考以上点位，最终以采购人需求设置为准。</w:t>
      </w:r>
    </w:p>
    <w:p>
      <w:pPr>
        <w:numPr>
          <w:ilvl w:val="0"/>
          <w:numId w:val="0"/>
        </w:numPr>
        <w:shd w:val="clear"/>
        <w:rPr>
          <w:rFonts w:hint="eastAsia" w:cs="Times New Roman"/>
          <w:b/>
          <w:bCs/>
          <w:color w:val="auto"/>
          <w:sz w:val="28"/>
          <w:szCs w:val="21"/>
          <w:highlight w:val="none"/>
          <w:lang w:val="en-US" w:eastAsia="zh-CN"/>
        </w:rPr>
      </w:pPr>
    </w:p>
    <w:p>
      <w:pPr>
        <w:numPr>
          <w:ilvl w:val="0"/>
          <w:numId w:val="0"/>
        </w:numPr>
        <w:shd w:val="clear"/>
        <w:rPr>
          <w:rFonts w:hint="default" w:ascii="Times New Roman" w:hAnsi="Times New Roman" w:eastAsia="宋体" w:cs="Times New Roman"/>
          <w:b/>
          <w:bCs/>
          <w:color w:val="auto"/>
          <w:sz w:val="28"/>
          <w:szCs w:val="21"/>
          <w:highlight w:val="none"/>
          <w:lang w:val="en-US" w:eastAsia="zh-CN"/>
        </w:rPr>
      </w:pPr>
      <w:r>
        <w:rPr>
          <w:rFonts w:hint="eastAsia" w:cs="Times New Roman"/>
          <w:b/>
          <w:bCs/>
          <w:color w:val="auto"/>
          <w:sz w:val="28"/>
          <w:szCs w:val="21"/>
          <w:highlight w:val="none"/>
          <w:lang w:val="en-US" w:eastAsia="zh-CN"/>
        </w:rPr>
        <w:t>三、</w:t>
      </w:r>
      <w:r>
        <w:rPr>
          <w:rFonts w:hint="default" w:ascii="Times New Roman" w:hAnsi="Times New Roman" w:eastAsia="宋体" w:cs="Times New Roman"/>
          <w:b/>
          <w:bCs/>
          <w:color w:val="auto"/>
          <w:sz w:val="28"/>
          <w:szCs w:val="21"/>
          <w:highlight w:val="none"/>
          <w:lang w:val="en-US" w:eastAsia="zh-CN"/>
        </w:rPr>
        <w:t>项目要求</w:t>
      </w:r>
    </w:p>
    <w:bookmarkEnd w:id="22"/>
    <w:bookmarkEnd w:id="23"/>
    <w:p>
      <w:pPr>
        <w:shd w:val="clear"/>
        <w:spacing w:line="420" w:lineRule="exact"/>
        <w:jc w:val="left"/>
        <w:rPr>
          <w:rFonts w:hint="eastAsia" w:ascii="宋体" w:hAnsi="宋体" w:cs="宋体"/>
          <w:b/>
          <w:szCs w:val="21"/>
          <w:highlight w:val="none"/>
        </w:rPr>
      </w:pPr>
      <w:r>
        <w:rPr>
          <w:rFonts w:hint="eastAsia" w:ascii="宋体" w:hAnsi="宋体" w:cs="宋体"/>
          <w:b/>
          <w:szCs w:val="21"/>
          <w:highlight w:val="none"/>
        </w:rPr>
        <w:t>1、</w:t>
      </w:r>
      <w:r>
        <w:rPr>
          <w:rFonts w:hint="eastAsia" w:ascii="宋体" w:hAnsi="宋体" w:cs="宋体"/>
          <w:b/>
          <w:szCs w:val="21"/>
          <w:highlight w:val="none"/>
          <w:lang w:eastAsia="zh-CN"/>
        </w:rPr>
        <w:t>建设</w:t>
      </w:r>
      <w:r>
        <w:rPr>
          <w:rFonts w:hint="eastAsia" w:ascii="宋体" w:hAnsi="宋体" w:cs="宋体"/>
          <w:b/>
          <w:szCs w:val="21"/>
          <w:highlight w:val="none"/>
        </w:rPr>
        <w:t>要求</w:t>
      </w:r>
    </w:p>
    <w:p>
      <w:pPr>
        <w:shd w:val="clear"/>
        <w:spacing w:line="420" w:lineRule="exact"/>
        <w:ind w:firstLine="420" w:firstLineChars="200"/>
        <w:jc w:val="left"/>
        <w:rPr>
          <w:rFonts w:hint="eastAsia" w:ascii="宋体" w:hAnsi="宋体" w:eastAsia="宋体" w:cs="宋体"/>
          <w:szCs w:val="21"/>
          <w:highlight w:val="none"/>
          <w:lang w:val="en-US" w:eastAsia="zh-CN"/>
        </w:rPr>
      </w:pPr>
      <w:r>
        <w:rPr>
          <w:rFonts w:hint="eastAsia" w:ascii="宋体" w:hAnsi="宋体" w:cs="宋体"/>
          <w:szCs w:val="21"/>
          <w:highlight w:val="none"/>
        </w:rPr>
        <w:t>1.1本次</w:t>
      </w:r>
      <w:r>
        <w:rPr>
          <w:rFonts w:hint="eastAsia" w:ascii="宋体" w:hAnsi="宋体" w:cs="宋体"/>
          <w:szCs w:val="21"/>
          <w:highlight w:val="none"/>
          <w:lang w:eastAsia="zh-CN"/>
        </w:rPr>
        <w:t>投标</w:t>
      </w:r>
      <w:r>
        <w:rPr>
          <w:rFonts w:hint="eastAsia" w:ascii="宋体" w:hAnsi="宋体" w:cs="宋体"/>
          <w:szCs w:val="21"/>
          <w:highlight w:val="none"/>
        </w:rPr>
        <w:t>报价</w:t>
      </w:r>
      <w:r>
        <w:rPr>
          <w:rFonts w:hint="eastAsia" w:ascii="宋体" w:hAnsi="宋体" w:cs="宋体"/>
          <w:szCs w:val="21"/>
          <w:highlight w:val="none"/>
          <w:lang w:eastAsia="zh-CN"/>
        </w:rPr>
        <w:t>须</w:t>
      </w:r>
      <w:r>
        <w:rPr>
          <w:rFonts w:hint="eastAsia" w:ascii="宋体" w:hAnsi="宋体" w:cs="宋体"/>
          <w:szCs w:val="21"/>
          <w:highlight w:val="none"/>
        </w:rPr>
        <w:t>含项目设备租赁费、维护费、网络传输费、链路扩容费及存储费及保证本项目正常运行的平台、链路、维护、存储、电费及配套所需的全部费用</w:t>
      </w:r>
      <w:r>
        <w:rPr>
          <w:rFonts w:hint="eastAsia" w:ascii="宋体" w:hAnsi="宋体" w:cs="宋体"/>
          <w:szCs w:val="21"/>
          <w:highlight w:val="none"/>
          <w:shd w:val="clear" w:color="auto" w:fill="FFFFFF"/>
          <w:lang w:eastAsia="zh-CN"/>
        </w:rPr>
        <w:t>。</w:t>
      </w:r>
    </w:p>
    <w:p>
      <w:pPr>
        <w:shd w:val="clear"/>
        <w:spacing w:line="420" w:lineRule="exact"/>
        <w:ind w:firstLine="420" w:firstLineChars="200"/>
        <w:jc w:val="left"/>
        <w:rPr>
          <w:rFonts w:hint="eastAsia" w:ascii="宋体" w:hAnsi="宋体" w:eastAsia="宋体" w:cs="宋体"/>
          <w:szCs w:val="21"/>
          <w:highlight w:val="none"/>
          <w:shd w:val="clear" w:color="auto" w:fill="FFFFFF"/>
        </w:rPr>
      </w:pPr>
      <w:r>
        <w:rPr>
          <w:rFonts w:hint="eastAsia" w:ascii="宋体" w:hAnsi="宋体" w:cs="宋体"/>
          <w:color w:val="000000"/>
          <w:szCs w:val="21"/>
          <w:highlight w:val="none"/>
          <w:lang w:val="en-US" w:eastAsia="zh-CN"/>
        </w:rPr>
        <w:t>1.2</w:t>
      </w:r>
      <w:r>
        <w:rPr>
          <w:rFonts w:hint="eastAsia" w:ascii="宋体" w:hAnsi="宋体" w:eastAsia="宋体" w:cs="宋体"/>
          <w:color w:val="000000"/>
          <w:szCs w:val="21"/>
          <w:highlight w:val="none"/>
          <w:lang w:eastAsia="zh-CN"/>
        </w:rPr>
        <w:t>中标人</w:t>
      </w:r>
      <w:r>
        <w:rPr>
          <w:rFonts w:hint="eastAsia" w:ascii="宋体" w:hAnsi="宋体" w:eastAsia="宋体" w:cs="宋体"/>
          <w:color w:val="000000"/>
          <w:szCs w:val="21"/>
          <w:highlight w:val="none"/>
        </w:rPr>
        <w:t>应保证系统建设的所有设备及材料是未使用过的原厂合格正品，并完全符合</w:t>
      </w:r>
      <w:r>
        <w:rPr>
          <w:rFonts w:hint="eastAsia" w:ascii="宋体" w:hAnsi="宋体" w:eastAsia="宋体" w:cs="宋体"/>
          <w:color w:val="000000"/>
          <w:szCs w:val="21"/>
          <w:highlight w:val="none"/>
          <w:lang w:val="en-US" w:eastAsia="zh-CN"/>
        </w:rPr>
        <w:t>采购</w:t>
      </w:r>
      <w:r>
        <w:rPr>
          <w:rFonts w:hint="eastAsia" w:ascii="宋体" w:hAnsi="宋体" w:eastAsia="宋体" w:cs="宋体"/>
          <w:color w:val="000000"/>
          <w:szCs w:val="21"/>
          <w:highlight w:val="none"/>
          <w:lang w:eastAsia="zh-CN"/>
        </w:rPr>
        <w:t>文件</w:t>
      </w:r>
      <w:r>
        <w:rPr>
          <w:rFonts w:hint="eastAsia" w:ascii="宋体" w:hAnsi="宋体" w:eastAsia="宋体" w:cs="宋体"/>
          <w:color w:val="000000"/>
          <w:szCs w:val="21"/>
          <w:highlight w:val="none"/>
        </w:rPr>
        <w:t>规定的质量和性能的要求。</w:t>
      </w:r>
    </w:p>
    <w:p>
      <w:pPr>
        <w:shd w:val="clear"/>
        <w:spacing w:line="420" w:lineRule="exact"/>
        <w:ind w:firstLine="420" w:firstLineChars="200"/>
        <w:jc w:val="left"/>
        <w:rPr>
          <w:rFonts w:hint="default" w:ascii="宋体" w:hAnsi="宋体" w:cs="宋体"/>
          <w:szCs w:val="21"/>
          <w:highlight w:val="none"/>
          <w:lang w:val="en-US"/>
        </w:rPr>
      </w:pPr>
      <w:r>
        <w:rPr>
          <w:rFonts w:hint="eastAsia" w:ascii="宋体" w:hAnsi="宋体" w:cs="宋体"/>
          <w:szCs w:val="21"/>
          <w:highlight w:val="none"/>
        </w:rPr>
        <w:t>▲</w:t>
      </w:r>
      <w:r>
        <w:rPr>
          <w:rFonts w:hint="eastAsia" w:ascii="宋体" w:hAnsi="宋体" w:eastAsia="宋体" w:cs="宋体"/>
          <w:color w:val="000000"/>
          <w:szCs w:val="21"/>
          <w:highlight w:val="none"/>
          <w:lang w:val="en-US" w:eastAsia="zh-CN"/>
        </w:rPr>
        <w:t>1.3本项目的所有软、硬件(如设备杆件、线缆、软件、硬件模块等，包括未列出而系统实施又必需的软件、硬件)需配齐以构成一套完整实用系统，如有任何遗漏，由中标人自行考虑补齐。投标方案中的硬件设备,如需使用特别接头、插座等，由中标人提供。所有费用均考虑投标报价中。</w:t>
      </w:r>
    </w:p>
    <w:p>
      <w:pPr>
        <w:shd w:val="clear"/>
        <w:spacing w:line="420" w:lineRule="exact"/>
        <w:ind w:firstLine="210" w:firstLineChars="100"/>
        <w:jc w:val="left"/>
        <w:rPr>
          <w:rFonts w:hint="eastAsia" w:ascii="宋体" w:hAnsi="宋体" w:cs="宋体"/>
          <w:szCs w:val="21"/>
          <w:highlight w:val="none"/>
        </w:rPr>
      </w:pPr>
      <w:r>
        <w:rPr>
          <w:rFonts w:hint="eastAsia" w:ascii="宋体" w:hAnsi="宋体" w:eastAsia="宋体" w:cs="宋体"/>
          <w:color w:val="000000"/>
          <w:szCs w:val="21"/>
          <w:highlight w:val="none"/>
          <w:lang w:val="en-US" w:eastAsia="zh-CN"/>
        </w:rPr>
        <w:t>1.4</w:t>
      </w:r>
      <w:r>
        <w:rPr>
          <w:rFonts w:hint="eastAsia" w:ascii="宋体" w:hAnsi="宋体" w:eastAsia="宋体" w:cs="宋体"/>
          <w:color w:val="000000"/>
          <w:szCs w:val="21"/>
          <w:highlight w:val="none"/>
        </w:rPr>
        <w:t>所采用的设备能够与采购人现有设备正常连接，设备安装调试完毕后，能在其功能范围内保障用户的系统安全、稳定运行。</w:t>
      </w:r>
    </w:p>
    <w:p>
      <w:pPr>
        <w:shd w:val="clear"/>
        <w:spacing w:line="420" w:lineRule="exact"/>
        <w:ind w:firstLine="210" w:firstLineChars="100"/>
        <w:jc w:val="left"/>
        <w:rPr>
          <w:rFonts w:hint="eastAsia" w:ascii="宋体" w:hAnsi="宋体" w:cs="宋体"/>
          <w:szCs w:val="21"/>
          <w:highlight w:val="none"/>
        </w:rPr>
      </w:pPr>
      <w:r>
        <w:rPr>
          <w:rFonts w:hint="eastAsia" w:ascii="宋体" w:hAnsi="宋体" w:eastAsia="宋体" w:cs="宋体"/>
          <w:color w:val="000000"/>
          <w:szCs w:val="21"/>
          <w:highlight w:val="none"/>
          <w:lang w:val="en-US" w:eastAsia="zh-CN"/>
        </w:rPr>
        <w:t>1.5</w:t>
      </w:r>
      <w:r>
        <w:rPr>
          <w:rFonts w:hint="eastAsia" w:ascii="宋体" w:hAnsi="宋体" w:eastAsia="宋体" w:cs="宋体"/>
          <w:color w:val="000000"/>
          <w:szCs w:val="21"/>
          <w:highlight w:val="none"/>
        </w:rPr>
        <w:t>设备的拆箱、通电、调试等各项工作由</w:t>
      </w:r>
      <w:r>
        <w:rPr>
          <w:rFonts w:hint="eastAsia" w:ascii="宋体" w:hAnsi="宋体" w:eastAsia="宋体" w:cs="宋体"/>
          <w:color w:val="000000"/>
          <w:szCs w:val="21"/>
          <w:highlight w:val="none"/>
          <w:lang w:eastAsia="zh-CN"/>
        </w:rPr>
        <w:t>中标人</w:t>
      </w:r>
      <w:r>
        <w:rPr>
          <w:rFonts w:hint="eastAsia" w:ascii="宋体" w:hAnsi="宋体" w:eastAsia="宋体" w:cs="宋体"/>
          <w:color w:val="000000"/>
          <w:szCs w:val="21"/>
          <w:highlight w:val="none"/>
        </w:rPr>
        <w:t>负责，但必须在采购人指定人员的参与下进行。在实际实施前必须先经采购人同意方可进行。</w:t>
      </w:r>
    </w:p>
    <w:p>
      <w:pPr>
        <w:shd w:val="clear"/>
        <w:spacing w:line="420" w:lineRule="exact"/>
        <w:ind w:firstLine="210" w:firstLineChars="100"/>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1.6</w:t>
      </w:r>
      <w:r>
        <w:rPr>
          <w:rFonts w:hint="eastAsia" w:ascii="宋体" w:hAnsi="宋体" w:eastAsia="宋体" w:cs="宋体"/>
          <w:color w:val="000000"/>
          <w:szCs w:val="21"/>
          <w:highlight w:val="none"/>
        </w:rPr>
        <w:t>应派采购人认可的有经验和能力、具有相应资质的技术人员，负责系统设备安装工作，在设备安装调试期间应充分了解项目进度要求，解决安装中出现的技术问题。</w:t>
      </w:r>
    </w:p>
    <w:p>
      <w:pPr>
        <w:shd w:val="clear"/>
        <w:spacing w:line="420" w:lineRule="exact"/>
        <w:ind w:firstLine="210" w:firstLineChars="100"/>
        <w:jc w:val="left"/>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1.7</w:t>
      </w:r>
      <w:r>
        <w:rPr>
          <w:rFonts w:hint="eastAsia" w:ascii="宋体" w:hAnsi="宋体" w:cs="宋体"/>
          <w:szCs w:val="21"/>
          <w:highlight w:val="none"/>
          <w:lang w:eastAsia="zh-CN"/>
        </w:rPr>
        <w:t>投标人</w:t>
      </w:r>
      <w:r>
        <w:rPr>
          <w:rFonts w:hint="eastAsia" w:ascii="宋体" w:hAnsi="宋体" w:cs="宋体"/>
          <w:szCs w:val="21"/>
          <w:highlight w:val="none"/>
        </w:rPr>
        <w:t>必须承诺</w:t>
      </w:r>
      <w:r>
        <w:rPr>
          <w:rFonts w:hint="eastAsia" w:ascii="宋体" w:hAnsi="宋体" w:cs="宋体"/>
          <w:szCs w:val="21"/>
          <w:highlight w:val="none"/>
          <w:lang w:val="en-US" w:eastAsia="zh-CN"/>
        </w:rPr>
        <w:t>与本项目有关的</w:t>
      </w:r>
      <w:r>
        <w:rPr>
          <w:rFonts w:hint="eastAsia" w:ascii="宋体" w:hAnsi="宋体" w:cs="宋体"/>
          <w:szCs w:val="21"/>
          <w:highlight w:val="none"/>
        </w:rPr>
        <w:t>视频监控网络及所承载的视频监控平台未经公安方</w:t>
      </w:r>
      <w:r>
        <w:rPr>
          <w:rFonts w:hint="eastAsia" w:ascii="宋体" w:hAnsi="宋体" w:cs="宋体"/>
          <w:szCs w:val="21"/>
          <w:highlight w:val="none"/>
          <w:lang w:val="en-US" w:eastAsia="zh-CN"/>
        </w:rPr>
        <w:t>及采购人</w:t>
      </w:r>
      <w:r>
        <w:rPr>
          <w:rFonts w:hint="eastAsia" w:ascii="宋体" w:hAnsi="宋体" w:cs="宋体"/>
          <w:szCs w:val="21"/>
          <w:highlight w:val="none"/>
        </w:rPr>
        <w:t>允许，不得向第三方提供</w:t>
      </w:r>
      <w:r>
        <w:rPr>
          <w:rFonts w:hint="eastAsia" w:ascii="宋体" w:hAnsi="宋体" w:cs="宋体"/>
          <w:szCs w:val="21"/>
          <w:highlight w:val="none"/>
          <w:lang w:val="en-US" w:eastAsia="zh-CN"/>
        </w:rPr>
        <w:t>与本项目有关的</w:t>
      </w:r>
      <w:r>
        <w:rPr>
          <w:rFonts w:hint="eastAsia" w:ascii="宋体" w:hAnsi="宋体" w:cs="宋体"/>
          <w:szCs w:val="21"/>
          <w:highlight w:val="none"/>
        </w:rPr>
        <w:t>视频监控</w:t>
      </w:r>
      <w:r>
        <w:rPr>
          <w:rFonts w:hint="eastAsia" w:ascii="宋体" w:hAnsi="宋体" w:cs="宋体"/>
          <w:szCs w:val="21"/>
          <w:highlight w:val="none"/>
          <w:lang w:val="en-US" w:eastAsia="zh-CN"/>
        </w:rPr>
        <w:t>数据</w:t>
      </w:r>
      <w:r>
        <w:rPr>
          <w:rFonts w:hint="eastAsia" w:ascii="宋体" w:hAnsi="宋体" w:cs="宋体"/>
          <w:szCs w:val="21"/>
          <w:highlight w:val="none"/>
        </w:rPr>
        <w:t>。</w:t>
      </w:r>
    </w:p>
    <w:p>
      <w:pPr>
        <w:shd w:val="clear"/>
        <w:spacing w:line="420" w:lineRule="exact"/>
        <w:ind w:firstLine="210" w:firstLineChars="100"/>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1.8在服务期内，如因前端设备故障问题，导致视频监控无法正常运行，如须更换，由中标人负责。</w:t>
      </w:r>
    </w:p>
    <w:p>
      <w:pPr>
        <w:shd w:val="clear"/>
        <w:spacing w:line="420" w:lineRule="exact"/>
        <w:ind w:firstLine="210" w:firstLineChars="100"/>
        <w:jc w:val="left"/>
        <w:rPr>
          <w:rFonts w:hint="eastAsia" w:ascii="宋体" w:hAnsi="宋体" w:cs="宋体"/>
          <w:b/>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9</w:t>
      </w:r>
      <w:r>
        <w:rPr>
          <w:rFonts w:hint="eastAsia" w:ascii="宋体" w:hAnsi="宋体" w:cs="宋体"/>
          <w:szCs w:val="21"/>
          <w:highlight w:val="none"/>
          <w:lang w:eastAsia="zh-CN"/>
        </w:rPr>
        <w:t>投标人</w:t>
      </w:r>
      <w:r>
        <w:rPr>
          <w:rFonts w:hint="eastAsia" w:ascii="宋体" w:hAnsi="宋体" w:cs="宋体"/>
          <w:szCs w:val="21"/>
          <w:highlight w:val="none"/>
        </w:rPr>
        <w:t>应承诺根据</w:t>
      </w:r>
      <w:r>
        <w:rPr>
          <w:rFonts w:hint="eastAsia" w:ascii="宋体" w:hAnsi="宋体" w:cs="宋体"/>
          <w:szCs w:val="21"/>
          <w:highlight w:val="none"/>
          <w:lang w:val="en-US" w:eastAsia="zh-CN"/>
        </w:rPr>
        <w:t>采购人</w:t>
      </w:r>
      <w:r>
        <w:rPr>
          <w:rFonts w:hint="eastAsia" w:ascii="宋体" w:hAnsi="宋体" w:cs="宋体"/>
          <w:szCs w:val="21"/>
          <w:highlight w:val="none"/>
        </w:rPr>
        <w:t>实际需求，</w:t>
      </w:r>
      <w:r>
        <w:rPr>
          <w:rFonts w:hint="eastAsia" w:ascii="宋体" w:hAnsi="宋体" w:cs="宋体"/>
          <w:szCs w:val="21"/>
          <w:highlight w:val="none"/>
          <w:lang w:val="en-US" w:eastAsia="zh-CN"/>
        </w:rPr>
        <w:t>服务期内可</w:t>
      </w:r>
      <w:r>
        <w:rPr>
          <w:rFonts w:hint="eastAsia" w:ascii="宋体" w:hAnsi="宋体" w:cs="宋体"/>
          <w:szCs w:val="21"/>
          <w:highlight w:val="none"/>
        </w:rPr>
        <w:t>免费对部分点位进行迁移。</w:t>
      </w:r>
    </w:p>
    <w:p>
      <w:pPr>
        <w:shd w:val="clear"/>
        <w:spacing w:line="420" w:lineRule="exact"/>
        <w:jc w:val="left"/>
        <w:rPr>
          <w:rFonts w:hint="eastAsia" w:ascii="宋体" w:hAnsi="宋体" w:cs="宋体"/>
          <w:b/>
          <w:szCs w:val="21"/>
          <w:highlight w:val="none"/>
        </w:rPr>
      </w:pPr>
      <w:r>
        <w:rPr>
          <w:rFonts w:hint="eastAsia" w:ascii="宋体" w:hAnsi="宋体" w:cs="宋体"/>
          <w:b/>
          <w:szCs w:val="21"/>
          <w:highlight w:val="none"/>
        </w:rPr>
        <w:t>2、服务要求</w:t>
      </w:r>
    </w:p>
    <w:p>
      <w:pPr>
        <w:shd w:val="clea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2.1在</w:t>
      </w:r>
      <w:r>
        <w:rPr>
          <w:rFonts w:hint="eastAsia" w:ascii="宋体" w:hAnsi="宋体" w:cs="宋体"/>
          <w:szCs w:val="21"/>
          <w:highlight w:val="none"/>
          <w:lang w:eastAsia="zh-CN"/>
        </w:rPr>
        <w:t>服务期</w:t>
      </w:r>
      <w:r>
        <w:rPr>
          <w:rFonts w:hint="eastAsia" w:ascii="宋体" w:hAnsi="宋体" w:cs="宋体"/>
          <w:szCs w:val="21"/>
          <w:highlight w:val="none"/>
        </w:rPr>
        <w:t>内，</w:t>
      </w:r>
      <w:r>
        <w:rPr>
          <w:rFonts w:hint="eastAsia" w:ascii="宋体" w:hAnsi="宋体" w:cs="宋体"/>
          <w:szCs w:val="21"/>
          <w:highlight w:val="none"/>
          <w:lang w:eastAsia="zh-CN"/>
        </w:rPr>
        <w:t>中标人</w:t>
      </w:r>
      <w:r>
        <w:rPr>
          <w:rFonts w:hint="eastAsia" w:ascii="宋体" w:hAnsi="宋体" w:cs="宋体"/>
          <w:szCs w:val="21"/>
          <w:highlight w:val="none"/>
        </w:rPr>
        <w:t>为确保系统正常运行所产生的任何费用（包括由于质量、工艺或材料的缺陷以及其他系统相关费用），由</w:t>
      </w:r>
      <w:r>
        <w:rPr>
          <w:rFonts w:hint="eastAsia" w:ascii="宋体" w:hAnsi="宋体" w:cs="宋体"/>
          <w:szCs w:val="21"/>
          <w:highlight w:val="none"/>
          <w:lang w:eastAsia="zh-CN"/>
        </w:rPr>
        <w:t>中标人</w:t>
      </w:r>
      <w:r>
        <w:rPr>
          <w:rFonts w:hint="eastAsia" w:ascii="宋体" w:hAnsi="宋体" w:cs="宋体"/>
          <w:szCs w:val="21"/>
          <w:highlight w:val="none"/>
        </w:rPr>
        <w:t>负担。</w:t>
      </w:r>
    </w:p>
    <w:p>
      <w:pPr>
        <w:shd w:val="clea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2.2运行维护包括前端设备维护、光纤线路、系统管理平台等维护服务，</w:t>
      </w:r>
      <w:r>
        <w:rPr>
          <w:rFonts w:hint="eastAsia" w:ascii="宋体" w:hAnsi="宋体" w:cs="宋体"/>
          <w:szCs w:val="21"/>
          <w:highlight w:val="none"/>
          <w:lang w:eastAsia="zh-CN"/>
        </w:rPr>
        <w:t>中标人</w:t>
      </w:r>
      <w:r>
        <w:rPr>
          <w:rFonts w:hint="eastAsia" w:ascii="宋体" w:hAnsi="宋体" w:cs="宋体"/>
          <w:szCs w:val="21"/>
          <w:highlight w:val="none"/>
        </w:rPr>
        <w:t>需要确保系统的正常运行和维护工作，确保前端各点每年正常运行率98%以上、网络正常运行率99%以上。</w:t>
      </w:r>
    </w:p>
    <w:p>
      <w:pPr>
        <w:shd w:val="clea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2.3 必须建立本地化专业运维团队。外业要求配备1组不少于3人及以上日常巡检的维护队伍和相关设备，提供7*24小时服务。</w:t>
      </w:r>
    </w:p>
    <w:p>
      <w:pPr>
        <w:shd w:val="clear"/>
        <w:spacing w:line="420" w:lineRule="exact"/>
        <w:ind w:firstLine="420" w:firstLineChars="200"/>
        <w:jc w:val="left"/>
        <w:rPr>
          <w:rFonts w:hint="eastAsia" w:ascii="宋体" w:hAnsi="宋体" w:eastAsia="宋体" w:cs="宋体"/>
          <w:szCs w:val="21"/>
          <w:highlight w:val="none"/>
        </w:rPr>
      </w:pPr>
      <w:r>
        <w:rPr>
          <w:rFonts w:hint="eastAsia" w:ascii="宋体" w:hAnsi="宋体" w:cs="宋体"/>
          <w:szCs w:val="21"/>
          <w:highlight w:val="none"/>
        </w:rPr>
        <w:t>2.4故障恢复时间：对一般性设备故障在1小时内响应，3小时以内到现场，8小时以内解决问题；不能当场修复的，必须采取提供备品、备件或备机等措施，前端系统24小时内保证系统投入正常使用；网</w:t>
      </w:r>
      <w:r>
        <w:rPr>
          <w:rFonts w:hint="eastAsia" w:ascii="宋体" w:hAnsi="宋体" w:eastAsia="宋体" w:cs="宋体"/>
          <w:szCs w:val="21"/>
          <w:highlight w:val="none"/>
        </w:rPr>
        <w:t>络要求24小时内恢复。</w:t>
      </w:r>
    </w:p>
    <w:p>
      <w:pPr>
        <w:shd w:val="clear"/>
        <w:spacing w:line="4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2.5 </w:t>
      </w:r>
      <w:r>
        <w:rPr>
          <w:rFonts w:hint="eastAsia" w:ascii="宋体" w:hAnsi="宋体" w:eastAsia="宋体" w:cs="宋体"/>
          <w:szCs w:val="21"/>
          <w:highlight w:val="none"/>
          <w:lang w:eastAsia="zh-CN"/>
        </w:rPr>
        <w:t>中标人</w:t>
      </w:r>
      <w:r>
        <w:rPr>
          <w:rFonts w:hint="eastAsia" w:ascii="宋体" w:hAnsi="宋体" w:eastAsia="宋体" w:cs="宋体"/>
          <w:szCs w:val="21"/>
          <w:highlight w:val="none"/>
        </w:rPr>
        <w:t>及其员工对监控系统所有信息数据负有保密责任，本系统产生的任何照片、视频、文字等信息数据产权归采购人所有，不得擅自截留，用作商业开发利用。</w:t>
      </w:r>
    </w:p>
    <w:p>
      <w:pPr>
        <w:shd w:val="clear"/>
        <w:rPr>
          <w:rFonts w:hint="eastAsia"/>
          <w:highlight w:val="none"/>
        </w:rPr>
      </w:pPr>
    </w:p>
    <w:p>
      <w:pPr>
        <w:pStyle w:val="5"/>
        <w:keepNext w:val="0"/>
        <w:keepLines w:val="0"/>
        <w:numPr>
          <w:ilvl w:val="0"/>
          <w:numId w:val="0"/>
        </w:numPr>
        <w:shd w:val="clear"/>
        <w:spacing w:before="0" w:after="0"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四、其他要求</w:t>
      </w:r>
    </w:p>
    <w:p>
      <w:pPr>
        <w:shd w:val="clear"/>
        <w:snapToGrid/>
        <w:spacing w:line="400" w:lineRule="exact"/>
        <w:ind w:firstLine="420" w:firstLineChars="200"/>
        <w:jc w:val="left"/>
        <w:rPr>
          <w:rFonts w:hint="eastAsia" w:ascii="宋体" w:hAnsi="宋体" w:eastAsia="宋体" w:cs="宋体"/>
          <w:snapToGrid/>
          <w:kern w:val="2"/>
          <w:sz w:val="21"/>
          <w:szCs w:val="21"/>
          <w:highlight w:val="none"/>
        </w:rPr>
      </w:pPr>
      <w:r>
        <w:rPr>
          <w:rFonts w:hint="eastAsia" w:ascii="宋体" w:hAnsi="宋体" w:eastAsia="宋体" w:cs="宋体"/>
          <w:snapToGrid/>
          <w:kern w:val="2"/>
          <w:sz w:val="21"/>
          <w:szCs w:val="21"/>
          <w:highlight w:val="none"/>
          <w:lang w:val="en-US" w:eastAsia="zh-CN"/>
        </w:rPr>
        <w:t>1、</w:t>
      </w:r>
      <w:r>
        <w:rPr>
          <w:rFonts w:hint="eastAsia" w:ascii="宋体" w:hAnsi="宋体" w:eastAsia="宋体" w:cs="宋体"/>
          <w:snapToGrid/>
          <w:kern w:val="2"/>
          <w:sz w:val="21"/>
          <w:szCs w:val="21"/>
          <w:highlight w:val="none"/>
        </w:rPr>
        <w:t>投标人须保证本项目不存在任何版权、或著作权、或其他形式的知识产权纠纷。如不符合上述条件，产生的后果由投标人负责。</w:t>
      </w:r>
    </w:p>
    <w:p>
      <w:pPr>
        <w:shd w:val="clear"/>
        <w:snapToGrid/>
        <w:spacing w:line="400" w:lineRule="exact"/>
        <w:ind w:firstLine="420" w:firstLineChars="200"/>
        <w:jc w:val="left"/>
        <w:rPr>
          <w:rFonts w:hint="eastAsia" w:ascii="宋体" w:hAnsi="宋体" w:eastAsia="宋体" w:cs="宋体"/>
          <w:snapToGrid/>
          <w:kern w:val="2"/>
          <w:sz w:val="21"/>
          <w:szCs w:val="21"/>
          <w:highlight w:val="none"/>
        </w:rPr>
      </w:pPr>
      <w:r>
        <w:rPr>
          <w:rFonts w:hint="eastAsia" w:ascii="宋体" w:hAnsi="宋体" w:eastAsia="宋体" w:cs="宋体"/>
          <w:snapToGrid/>
          <w:kern w:val="2"/>
          <w:sz w:val="21"/>
          <w:szCs w:val="21"/>
          <w:highlight w:val="none"/>
          <w:lang w:val="en-US" w:eastAsia="zh-CN"/>
        </w:rPr>
        <w:t>2、</w:t>
      </w:r>
      <w:r>
        <w:rPr>
          <w:rFonts w:hint="eastAsia" w:ascii="宋体" w:hAnsi="宋体" w:eastAsia="宋体" w:cs="宋体"/>
          <w:snapToGrid/>
          <w:kern w:val="2"/>
          <w:sz w:val="21"/>
          <w:szCs w:val="21"/>
          <w:highlight w:val="none"/>
        </w:rPr>
        <w:t>如有初始数据的建立、导入等工作，相关工作由中标人负责完成，费用含入总价。</w:t>
      </w:r>
    </w:p>
    <w:p>
      <w:pPr>
        <w:shd w:val="clear"/>
        <w:tabs>
          <w:tab w:val="left" w:pos="8460"/>
        </w:tabs>
        <w:snapToGrid/>
        <w:spacing w:line="400" w:lineRule="exact"/>
        <w:ind w:firstLine="420" w:firstLineChars="200"/>
        <w:jc w:val="left"/>
        <w:rPr>
          <w:rFonts w:hint="eastAsia" w:ascii="宋体" w:hAnsi="宋体" w:eastAsia="宋体" w:cs="宋体"/>
          <w:snapToGrid/>
          <w:kern w:val="2"/>
          <w:sz w:val="21"/>
          <w:szCs w:val="21"/>
          <w:highlight w:val="none"/>
        </w:rPr>
      </w:pPr>
      <w:r>
        <w:rPr>
          <w:rFonts w:hint="eastAsia" w:ascii="宋体" w:hAnsi="宋体" w:eastAsia="宋体" w:cs="宋体"/>
          <w:snapToGrid/>
          <w:kern w:val="2"/>
          <w:sz w:val="21"/>
          <w:szCs w:val="21"/>
          <w:highlight w:val="none"/>
        </w:rPr>
        <w:t>3</w:t>
      </w:r>
      <w:r>
        <w:rPr>
          <w:rFonts w:hint="eastAsia" w:ascii="宋体" w:hAnsi="宋体" w:eastAsia="宋体" w:cs="宋体"/>
          <w:snapToGrid/>
          <w:kern w:val="2"/>
          <w:sz w:val="21"/>
          <w:szCs w:val="21"/>
          <w:highlight w:val="none"/>
          <w:lang w:eastAsia="zh-CN"/>
        </w:rPr>
        <w:t>、</w:t>
      </w:r>
      <w:r>
        <w:rPr>
          <w:rFonts w:hint="eastAsia" w:ascii="宋体" w:hAnsi="宋体" w:eastAsia="宋体" w:cs="宋体"/>
          <w:snapToGrid/>
          <w:kern w:val="2"/>
          <w:sz w:val="21"/>
          <w:szCs w:val="21"/>
          <w:highlight w:val="none"/>
        </w:rPr>
        <w:t>平台使用过程中如涉及相关软件授权点的，投标人应根据招标人情况，对于各软件模块需要一次提供足够的相关软件授权点，在项目实施过程中不得因为软件授权点增加费用。</w:t>
      </w:r>
    </w:p>
    <w:p>
      <w:pPr>
        <w:shd w:val="clear"/>
        <w:snapToGrid/>
        <w:spacing w:line="400" w:lineRule="exact"/>
        <w:ind w:firstLine="210" w:firstLineChars="100"/>
        <w:jc w:val="left"/>
        <w:rPr>
          <w:rFonts w:hint="eastAsia" w:ascii="宋体" w:hAnsi="宋体" w:eastAsia="宋体" w:cs="宋体"/>
          <w:snapToGrid/>
          <w:kern w:val="2"/>
          <w:sz w:val="21"/>
          <w:szCs w:val="21"/>
          <w:highlight w:val="none"/>
        </w:rPr>
      </w:pPr>
      <w:r>
        <w:rPr>
          <w:rFonts w:hint="eastAsia" w:ascii="宋体" w:hAnsi="宋体" w:eastAsia="宋体" w:cs="宋体"/>
          <w:snapToGrid/>
          <w:kern w:val="2"/>
          <w:sz w:val="21"/>
          <w:szCs w:val="21"/>
          <w:highlight w:val="none"/>
        </w:rPr>
        <w:t>4</w:t>
      </w:r>
      <w:r>
        <w:rPr>
          <w:rFonts w:hint="eastAsia" w:ascii="宋体" w:hAnsi="宋体" w:eastAsia="宋体" w:cs="宋体"/>
          <w:snapToGrid/>
          <w:kern w:val="2"/>
          <w:sz w:val="21"/>
          <w:szCs w:val="21"/>
          <w:highlight w:val="none"/>
          <w:lang w:eastAsia="zh-CN"/>
        </w:rPr>
        <w:t>、</w:t>
      </w:r>
      <w:r>
        <w:rPr>
          <w:rFonts w:hint="eastAsia" w:ascii="宋体" w:hAnsi="宋体" w:eastAsia="宋体" w:cs="宋体"/>
          <w:snapToGrid/>
          <w:kern w:val="2"/>
          <w:sz w:val="21"/>
          <w:szCs w:val="21"/>
          <w:highlight w:val="none"/>
        </w:rPr>
        <w:t>本项目施工安全、用电、质量等必须遵守国家相关标准规范，中标</w:t>
      </w:r>
      <w:r>
        <w:rPr>
          <w:rFonts w:hint="eastAsia" w:ascii="宋体" w:hAnsi="宋体" w:eastAsia="宋体" w:cs="宋体"/>
          <w:snapToGrid/>
          <w:kern w:val="2"/>
          <w:sz w:val="21"/>
          <w:szCs w:val="21"/>
          <w:highlight w:val="none"/>
          <w:lang w:eastAsia="zh-CN"/>
        </w:rPr>
        <w:t>人</w:t>
      </w:r>
      <w:r>
        <w:rPr>
          <w:rFonts w:hint="eastAsia" w:ascii="宋体" w:hAnsi="宋体" w:eastAsia="宋体" w:cs="宋体"/>
          <w:snapToGrid/>
          <w:kern w:val="2"/>
          <w:sz w:val="21"/>
          <w:szCs w:val="21"/>
          <w:highlight w:val="none"/>
        </w:rPr>
        <w:t>应建立《施工安全管理制度》、《施工质量保障制度》，做好安全防护措施和质量检查。并中标</w:t>
      </w:r>
      <w:r>
        <w:rPr>
          <w:rFonts w:hint="eastAsia" w:ascii="宋体" w:hAnsi="宋体" w:eastAsia="宋体" w:cs="宋体"/>
          <w:snapToGrid/>
          <w:kern w:val="2"/>
          <w:sz w:val="21"/>
          <w:szCs w:val="21"/>
          <w:highlight w:val="none"/>
          <w:lang w:eastAsia="zh-CN"/>
        </w:rPr>
        <w:t>人</w:t>
      </w:r>
      <w:r>
        <w:rPr>
          <w:rFonts w:hint="eastAsia" w:ascii="宋体" w:hAnsi="宋体" w:eastAsia="宋体" w:cs="宋体"/>
          <w:snapToGrid/>
          <w:kern w:val="2"/>
          <w:sz w:val="21"/>
          <w:szCs w:val="21"/>
          <w:highlight w:val="none"/>
        </w:rPr>
        <w:t>承担所有安全、用电、质量等事故引起的一切责任和费用，采购人不承担任何法律和经济等责任。</w:t>
      </w:r>
    </w:p>
    <w:p>
      <w:pPr>
        <w:pageBreakBefore w:val="0"/>
        <w:shd w:val="clear"/>
        <w:kinsoku/>
        <w:wordWrap/>
        <w:overflowPunct/>
        <w:topLinePunct w:val="0"/>
        <w:bidi w:val="0"/>
        <w:spacing w:line="240" w:lineRule="auto"/>
        <w:rPr>
          <w:rFonts w:hint="default"/>
          <w:highlight w:val="none"/>
          <w:lang w:eastAsia="zh-Hans"/>
        </w:rPr>
      </w:pPr>
    </w:p>
    <w:p>
      <w:pPr>
        <w:numPr>
          <w:ilvl w:val="0"/>
          <w:numId w:val="0"/>
        </w:numPr>
        <w:shd w:val="clear"/>
        <w:rPr>
          <w:rFonts w:hint="default" w:ascii="Times New Roman" w:hAnsi="Times New Roman" w:cs="Times New Roman"/>
          <w:b/>
          <w:bCs/>
          <w:snapToGrid/>
          <w:sz w:val="28"/>
          <w:szCs w:val="21"/>
          <w:highlight w:val="none"/>
          <w:lang w:eastAsia="zh-CN"/>
        </w:rPr>
      </w:pPr>
      <w:bookmarkStart w:id="24" w:name="_Toc9984"/>
      <w:bookmarkStart w:id="25" w:name="_Toc25128"/>
      <w:bookmarkStart w:id="26" w:name="_Toc29848"/>
      <w:bookmarkStart w:id="27" w:name="_Toc32212"/>
      <w:r>
        <w:rPr>
          <w:rFonts w:hint="eastAsia" w:cs="Times New Roman"/>
          <w:b/>
          <w:bCs/>
          <w:snapToGrid/>
          <w:sz w:val="28"/>
          <w:szCs w:val="21"/>
          <w:highlight w:val="none"/>
          <w:lang w:eastAsia="zh-CN"/>
        </w:rPr>
        <w:t>五、</w:t>
      </w:r>
      <w:r>
        <w:rPr>
          <w:rFonts w:hint="default" w:ascii="Times New Roman" w:hAnsi="Times New Roman" w:cs="Times New Roman"/>
          <w:b/>
          <w:bCs/>
          <w:snapToGrid/>
          <w:color w:val="auto"/>
          <w:sz w:val="28"/>
          <w:szCs w:val="21"/>
          <w:highlight w:val="none"/>
          <w:lang w:eastAsia="zh-CN"/>
        </w:rPr>
        <w:t>验收要求</w:t>
      </w:r>
    </w:p>
    <w:p>
      <w:pPr>
        <w:shd w:val="clear"/>
        <w:tabs>
          <w:tab w:val="left" w:pos="8460"/>
        </w:tabs>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1、按行业标准、规定及技术标准等相关法律性文件进行验收。</w:t>
      </w:r>
    </w:p>
    <w:p>
      <w:pPr>
        <w:shd w:val="clear"/>
        <w:tabs>
          <w:tab w:val="left" w:pos="8460"/>
        </w:tabs>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eastAsia="zh-CN"/>
        </w:rPr>
        <w:t>中标人</w:t>
      </w:r>
      <w:r>
        <w:rPr>
          <w:rFonts w:hint="eastAsia" w:ascii="宋体" w:hAnsi="宋体" w:eastAsia="宋体" w:cs="宋体"/>
          <w:szCs w:val="21"/>
          <w:highlight w:val="none"/>
        </w:rPr>
        <w:t>根据采购要求进行部署</w:t>
      </w:r>
      <w:r>
        <w:rPr>
          <w:rFonts w:hint="eastAsia" w:ascii="宋体" w:hAnsi="宋体" w:eastAsia="宋体" w:cs="宋体"/>
          <w:szCs w:val="21"/>
          <w:highlight w:val="none"/>
          <w:lang w:eastAsia="zh-CN"/>
        </w:rPr>
        <w:t>、</w:t>
      </w:r>
      <w:r>
        <w:rPr>
          <w:rFonts w:hint="eastAsia" w:ascii="宋体" w:hAnsi="宋体" w:eastAsia="宋体" w:cs="宋体"/>
          <w:szCs w:val="21"/>
          <w:highlight w:val="none"/>
        </w:rPr>
        <w:t>安装、调试、测试及试运行，</w:t>
      </w:r>
      <w:r>
        <w:rPr>
          <w:rFonts w:hint="eastAsia" w:ascii="宋体" w:hAnsi="宋体" w:eastAsia="宋体" w:cs="宋体"/>
          <w:szCs w:val="21"/>
          <w:highlight w:val="none"/>
          <w:lang w:val="en-US" w:eastAsia="zh-CN"/>
        </w:rPr>
        <w:t>硬件设备设施的采购及施工安装等，</w:t>
      </w:r>
      <w:r>
        <w:rPr>
          <w:rFonts w:hint="eastAsia" w:ascii="宋体" w:hAnsi="宋体" w:eastAsia="宋体" w:cs="宋体"/>
          <w:szCs w:val="21"/>
          <w:highlight w:val="none"/>
        </w:rPr>
        <w:t>由采购人或采购人聘请技术专家依据验收标准并组织进行使用性能方面的验收，所需检测费用包含在报价中。</w:t>
      </w:r>
    </w:p>
    <w:p>
      <w:pPr>
        <w:shd w:val="clear"/>
        <w:tabs>
          <w:tab w:val="left" w:pos="8460"/>
        </w:tabs>
        <w:spacing w:line="400" w:lineRule="exact"/>
        <w:ind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项目建设</w:t>
      </w:r>
      <w:r>
        <w:rPr>
          <w:rFonts w:hint="eastAsia" w:ascii="宋体" w:hAnsi="宋体" w:eastAsia="宋体" w:cs="宋体"/>
          <w:szCs w:val="21"/>
          <w:highlight w:val="none"/>
        </w:rPr>
        <w:t>验收合格条件</w:t>
      </w:r>
    </w:p>
    <w:p>
      <w:pPr>
        <w:shd w:val="clear"/>
        <w:tabs>
          <w:tab w:val="left" w:pos="8460"/>
        </w:tabs>
        <w:spacing w:line="400" w:lineRule="exact"/>
        <w:ind w:firstLine="210" w:firstLineChars="100"/>
        <w:jc w:val="left"/>
        <w:rPr>
          <w:rFonts w:hint="eastAsia" w:ascii="宋体" w:hAnsi="宋体" w:eastAsia="宋体" w:cs="宋体"/>
          <w:szCs w:val="21"/>
          <w:highlight w:val="none"/>
        </w:rPr>
      </w:pPr>
      <w:r>
        <w:rPr>
          <w:rFonts w:hint="eastAsia" w:ascii="宋体" w:hAnsi="宋体" w:eastAsia="宋体" w:cs="宋体"/>
          <w:szCs w:val="21"/>
          <w:highlight w:val="none"/>
        </w:rPr>
        <w:t>（1）性能测试（设备、软件）和检验时出现的问题已被解决至采购人认可。</w:t>
      </w:r>
    </w:p>
    <w:p>
      <w:pPr>
        <w:shd w:val="clear"/>
        <w:tabs>
          <w:tab w:val="left" w:pos="8460"/>
        </w:tabs>
        <w:spacing w:line="400" w:lineRule="exact"/>
        <w:ind w:firstLine="210" w:firstLineChars="100"/>
        <w:jc w:val="left"/>
        <w:rPr>
          <w:rFonts w:hint="eastAsia" w:ascii="宋体" w:hAnsi="宋体" w:eastAsia="宋体" w:cs="宋体"/>
          <w:szCs w:val="21"/>
          <w:highlight w:val="none"/>
        </w:rPr>
      </w:pPr>
      <w:r>
        <w:rPr>
          <w:rFonts w:hint="eastAsia" w:ascii="宋体" w:hAnsi="宋体" w:eastAsia="宋体" w:cs="宋体"/>
          <w:szCs w:val="21"/>
          <w:highlight w:val="none"/>
        </w:rPr>
        <w:t>（2）已提供需求规格说明书、数据库设计、系统概要设计、详细设计、项目实施过程中衍生的其他相关资料，系统试运行和测试报告、故障诊断与排除手册、系统安装包等。</w:t>
      </w:r>
    </w:p>
    <w:p>
      <w:pPr>
        <w:shd w:val="clear"/>
        <w:tabs>
          <w:tab w:val="left" w:pos="8460"/>
        </w:tabs>
        <w:spacing w:line="400" w:lineRule="exact"/>
        <w:ind w:firstLine="210" w:firstLineChars="100"/>
        <w:jc w:val="left"/>
        <w:rPr>
          <w:rFonts w:hint="eastAsia" w:ascii="宋体" w:hAnsi="宋体" w:eastAsia="宋体" w:cs="宋体"/>
          <w:szCs w:val="21"/>
          <w:highlight w:val="none"/>
        </w:rPr>
      </w:pPr>
      <w:r>
        <w:rPr>
          <w:rFonts w:hint="eastAsia" w:ascii="宋体" w:hAnsi="宋体" w:eastAsia="宋体" w:cs="宋体"/>
          <w:szCs w:val="21"/>
          <w:highlight w:val="none"/>
        </w:rPr>
        <w:t>（3）材料在交付采购人使用前，需经采购人验收合格。</w:t>
      </w:r>
    </w:p>
    <w:p>
      <w:pPr>
        <w:shd w:val="clear"/>
        <w:tabs>
          <w:tab w:val="left" w:pos="8460"/>
        </w:tabs>
        <w:spacing w:line="400" w:lineRule="exact"/>
        <w:ind w:firstLine="210" w:firstLineChars="100"/>
        <w:jc w:val="left"/>
        <w:rPr>
          <w:rFonts w:hint="eastAsia" w:ascii="宋体" w:hAnsi="宋体" w:eastAsia="宋体" w:cs="宋体"/>
          <w:szCs w:val="21"/>
          <w:highlight w:val="none"/>
        </w:rPr>
      </w:pPr>
      <w:r>
        <w:rPr>
          <w:rFonts w:hint="eastAsia" w:ascii="宋体" w:hAnsi="宋体" w:eastAsia="宋体" w:cs="宋体"/>
          <w:szCs w:val="21"/>
          <w:highlight w:val="none"/>
        </w:rPr>
        <w:t>（4）验收时提供完整的材料和技术资料。</w:t>
      </w:r>
    </w:p>
    <w:p>
      <w:pPr>
        <w:shd w:val="clear"/>
        <w:tabs>
          <w:tab w:val="left" w:pos="8460"/>
        </w:tabs>
        <w:spacing w:line="400" w:lineRule="exact"/>
        <w:ind w:firstLine="0" w:firstLineChars="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4、租赁服务年度考核合格条件</w:t>
      </w:r>
    </w:p>
    <w:p>
      <w:pPr>
        <w:shd w:val="clear"/>
        <w:tabs>
          <w:tab w:val="left" w:pos="8460"/>
        </w:tabs>
        <w:spacing w:line="400" w:lineRule="exact"/>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（1）未发生过因系统运行不正常或视频缺失导致采购人单位负面影响或考核失分等情况；</w:t>
      </w:r>
    </w:p>
    <w:p>
      <w:pPr>
        <w:shd w:val="clear"/>
        <w:tabs>
          <w:tab w:val="left" w:pos="8460"/>
        </w:tabs>
        <w:spacing w:line="400" w:lineRule="exact"/>
        <w:ind w:firstLine="210" w:firstLineChars="1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（2）未发生过</w:t>
      </w:r>
      <w:r>
        <w:rPr>
          <w:rFonts w:hint="eastAsia" w:ascii="宋体" w:hAnsi="宋体" w:cs="宋体"/>
          <w:szCs w:val="21"/>
          <w:highlight w:val="none"/>
          <w:lang w:val="en-US" w:eastAsia="zh-CN"/>
        </w:rPr>
        <w:t>采购人</w:t>
      </w:r>
      <w:r>
        <w:rPr>
          <w:rFonts w:hint="eastAsia" w:ascii="宋体" w:hAnsi="宋体" w:eastAsia="宋体" w:cs="宋体"/>
          <w:szCs w:val="21"/>
          <w:highlight w:val="none"/>
          <w:lang w:val="en-US" w:eastAsia="zh-CN"/>
        </w:rPr>
        <w:t>验收监控完好率不达标等情况；</w:t>
      </w:r>
    </w:p>
    <w:p>
      <w:pPr>
        <w:shd w:val="clear"/>
        <w:tabs>
          <w:tab w:val="left" w:pos="8460"/>
        </w:tabs>
        <w:spacing w:line="400" w:lineRule="exact"/>
        <w:ind w:firstLine="210" w:firstLineChars="1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（3）采购人不定期检查合格。</w:t>
      </w:r>
    </w:p>
    <w:p>
      <w:pPr>
        <w:pStyle w:val="23"/>
        <w:shd w:val="clear"/>
        <w:rPr>
          <w:rFonts w:hint="default"/>
          <w:highlight w:val="none"/>
          <w:lang w:val="en-US" w:eastAsia="zh-CN"/>
        </w:rPr>
      </w:pPr>
    </w:p>
    <w:p>
      <w:pPr>
        <w:numPr>
          <w:ilvl w:val="0"/>
          <w:numId w:val="0"/>
        </w:numPr>
        <w:shd w:val="clear"/>
        <w:rPr>
          <w:rFonts w:hint="eastAsia" w:ascii="Times New Roman" w:hAnsi="Times New Roman" w:eastAsia="宋体" w:cs="Times New Roman"/>
          <w:b/>
          <w:bCs/>
          <w:sz w:val="28"/>
          <w:szCs w:val="21"/>
          <w:highlight w:val="none"/>
          <w:lang w:eastAsia="zh-CN"/>
        </w:rPr>
      </w:pPr>
      <w:r>
        <w:rPr>
          <w:rFonts w:hint="eastAsia" w:ascii="Times New Roman" w:hAnsi="Times New Roman" w:eastAsia="宋体" w:cs="Times New Roman"/>
          <w:b/>
          <w:bCs/>
          <w:sz w:val="28"/>
          <w:szCs w:val="21"/>
          <w:highlight w:val="none"/>
          <w:lang w:eastAsia="zh-CN"/>
        </w:rPr>
        <w:t>六、商务要求表</w:t>
      </w:r>
    </w:p>
    <w:tbl>
      <w:tblPr>
        <w:tblStyle w:val="34"/>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310" w:type="dxa"/>
            <w:noWrap w:val="0"/>
            <w:vAlign w:val="center"/>
          </w:tcPr>
          <w:p>
            <w:pPr>
              <w:shd w:val="clear"/>
              <w:spacing w:line="360" w:lineRule="exac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rPr>
              <w:t>售后服务保障要求</w:t>
            </w:r>
          </w:p>
        </w:tc>
        <w:tc>
          <w:tcPr>
            <w:tcW w:w="7677" w:type="dxa"/>
            <w:noWrap w:val="0"/>
            <w:vAlign w:val="top"/>
          </w:tcPr>
          <w:p>
            <w:pPr>
              <w:shd w:val="clear"/>
              <w:spacing w:line="360" w:lineRule="exact"/>
              <w:rPr>
                <w:rFonts w:hint="eastAsia" w:ascii="宋体" w:hAnsi="宋体" w:eastAsia="宋体" w:cs="宋体"/>
                <w:kern w:val="0"/>
                <w:szCs w:val="21"/>
                <w:highlight w:val="none"/>
              </w:rPr>
            </w:pPr>
            <w:r>
              <w:rPr>
                <w:rFonts w:hint="eastAsia" w:ascii="宋体" w:hAnsi="宋体" w:eastAsia="宋体" w:cs="宋体"/>
                <w:kern w:val="0"/>
                <w:szCs w:val="21"/>
                <w:highlight w:val="none"/>
              </w:rPr>
              <w:t>▲1.</w:t>
            </w:r>
            <w:r>
              <w:rPr>
                <w:rFonts w:hint="eastAsia" w:ascii="宋体" w:hAnsi="宋体" w:eastAsia="宋体" w:cs="宋体"/>
                <w:kern w:val="0"/>
                <w:szCs w:val="21"/>
                <w:highlight w:val="none"/>
                <w:lang w:eastAsia="zh-CN"/>
              </w:rPr>
              <w:t>中标人</w:t>
            </w:r>
            <w:r>
              <w:rPr>
                <w:rFonts w:hint="eastAsia" w:ascii="宋体" w:hAnsi="宋体" w:eastAsia="宋体" w:cs="宋体"/>
                <w:kern w:val="0"/>
                <w:szCs w:val="21"/>
                <w:highlight w:val="none"/>
              </w:rPr>
              <w:t>应保证所提供服务满足采购人需求，并完全符合合同规定的要求。</w:t>
            </w:r>
          </w:p>
          <w:p>
            <w:pPr>
              <w:shd w:val="clear"/>
              <w:spacing w:line="360" w:lineRule="exact"/>
              <w:rPr>
                <w:rFonts w:hint="eastAsia" w:ascii="宋体" w:hAnsi="宋体" w:eastAsia="宋体" w:cs="宋体"/>
                <w:kern w:val="0"/>
                <w:szCs w:val="21"/>
                <w:highlight w:val="none"/>
              </w:rPr>
            </w:pPr>
            <w:r>
              <w:rPr>
                <w:rFonts w:hint="eastAsia" w:ascii="宋体" w:hAnsi="宋体" w:eastAsia="宋体" w:cs="宋体"/>
                <w:kern w:val="0"/>
                <w:szCs w:val="21"/>
                <w:highlight w:val="none"/>
              </w:rPr>
              <w:t>2.用户故障的响应、处理等情况：接到用户报修电话，</w:t>
            </w: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小时内到达现场，</w:t>
            </w:r>
            <w:r>
              <w:rPr>
                <w:rFonts w:hint="eastAsia" w:ascii="宋体" w:hAnsi="宋体" w:eastAsia="宋体" w:cs="宋体"/>
                <w:kern w:val="0"/>
                <w:szCs w:val="21"/>
                <w:highlight w:val="none"/>
                <w:lang w:val="en-US" w:eastAsia="zh-CN"/>
              </w:rPr>
              <w:t>8</w:t>
            </w:r>
            <w:r>
              <w:rPr>
                <w:rFonts w:hint="eastAsia" w:ascii="宋体" w:hAnsi="宋体" w:eastAsia="宋体" w:cs="宋体"/>
                <w:kern w:val="0"/>
                <w:szCs w:val="21"/>
                <w:highlight w:val="none"/>
              </w:rPr>
              <w:t>小时以内解决问题。</w:t>
            </w:r>
          </w:p>
          <w:p>
            <w:pPr>
              <w:shd w:val="clear"/>
              <w:spacing w:line="360" w:lineRule="exac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rPr>
              <w:t>3.</w:t>
            </w:r>
            <w:r>
              <w:rPr>
                <w:rFonts w:hint="eastAsia" w:ascii="宋体" w:hAnsi="宋体" w:eastAsia="宋体" w:cs="宋体"/>
                <w:kern w:val="0"/>
                <w:szCs w:val="21"/>
                <w:highlight w:val="none"/>
                <w:lang w:eastAsia="zh-CN"/>
              </w:rPr>
              <w:t>中标人</w:t>
            </w:r>
            <w:r>
              <w:rPr>
                <w:rFonts w:hint="eastAsia" w:ascii="宋体" w:hAnsi="宋体" w:eastAsia="宋体" w:cs="宋体"/>
                <w:kern w:val="0"/>
                <w:szCs w:val="21"/>
                <w:highlight w:val="none"/>
              </w:rPr>
              <w:t>应确保其系统在服务期</w:t>
            </w:r>
            <w:r>
              <w:rPr>
                <w:rFonts w:hint="eastAsia" w:ascii="宋体" w:hAnsi="宋体" w:eastAsia="宋体" w:cs="宋体"/>
                <w:kern w:val="0"/>
                <w:szCs w:val="21"/>
                <w:highlight w:val="none"/>
                <w:lang w:eastAsia="zh-CN"/>
              </w:rPr>
              <w:t>内</w:t>
            </w:r>
            <w:r>
              <w:rPr>
                <w:rFonts w:hint="eastAsia" w:ascii="宋体" w:hAnsi="宋体" w:eastAsia="宋体" w:cs="宋体"/>
                <w:kern w:val="0"/>
                <w:szCs w:val="21"/>
                <w:highlight w:val="none"/>
              </w:rPr>
              <w:t>具有采购文件要求的正常使用的标准。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0" w:type="dxa"/>
            <w:noWrap w:val="0"/>
            <w:vAlign w:val="center"/>
          </w:tcPr>
          <w:p>
            <w:pPr>
              <w:shd w:val="clear"/>
              <w:spacing w:line="360" w:lineRule="exact"/>
              <w:rPr>
                <w:rFonts w:hint="eastAsia" w:ascii="宋体" w:hAnsi="宋体" w:eastAsia="宋体" w:cs="宋体"/>
                <w:kern w:val="0"/>
                <w:szCs w:val="21"/>
                <w:highlight w:val="none"/>
              </w:rPr>
            </w:pPr>
            <w:r>
              <w:rPr>
                <w:rFonts w:hint="eastAsia" w:ascii="宋体" w:hAnsi="宋体" w:eastAsia="宋体" w:cs="宋体"/>
                <w:kern w:val="0"/>
                <w:szCs w:val="21"/>
                <w:highlight w:val="none"/>
              </w:rPr>
              <w:t>建设期及建设地点</w:t>
            </w:r>
          </w:p>
        </w:tc>
        <w:tc>
          <w:tcPr>
            <w:tcW w:w="7677" w:type="dxa"/>
            <w:noWrap w:val="0"/>
            <w:vAlign w:val="top"/>
          </w:tcPr>
          <w:p>
            <w:pPr>
              <w:shd w:val="clear"/>
              <w:spacing w:line="360" w:lineRule="exact"/>
              <w:rPr>
                <w:rFonts w:hint="eastAsia" w:ascii="宋体" w:hAnsi="宋体" w:eastAsia="宋体" w:cs="宋体"/>
                <w:kern w:val="0"/>
                <w:szCs w:val="21"/>
                <w:highlight w:val="none"/>
              </w:rPr>
            </w:pPr>
            <w:r>
              <w:rPr>
                <w:rFonts w:hint="eastAsia" w:ascii="宋体" w:hAnsi="宋体" w:eastAsia="宋体" w:cs="宋体"/>
                <w:kern w:val="0"/>
                <w:szCs w:val="21"/>
                <w:highlight w:val="none"/>
              </w:rPr>
              <w:t>建设地点：采购人指定地点。</w:t>
            </w:r>
          </w:p>
          <w:p>
            <w:pPr>
              <w:shd w:val="clear"/>
              <w:spacing w:line="360" w:lineRule="exact"/>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建设期</w:t>
            </w:r>
            <w:r>
              <w:rPr>
                <w:rFonts w:hint="eastAsia" w:ascii="宋体" w:hAnsi="宋体" w:eastAsia="宋体" w:cs="宋体"/>
                <w:kern w:val="0"/>
                <w:szCs w:val="21"/>
                <w:highlight w:val="none"/>
              </w:rPr>
              <w:t>：须在合同签订后</w:t>
            </w:r>
            <w:r>
              <w:rPr>
                <w:rFonts w:hint="eastAsia" w:ascii="宋体" w:hAnsi="宋体" w:cs="宋体"/>
                <w:kern w:val="0"/>
                <w:szCs w:val="21"/>
                <w:highlight w:val="none"/>
                <w:lang w:val="en-US" w:eastAsia="zh-CN"/>
              </w:rPr>
              <w:t>30</w:t>
            </w:r>
            <w:r>
              <w:rPr>
                <w:rFonts w:hint="eastAsia" w:ascii="宋体" w:hAnsi="宋体" w:eastAsia="宋体" w:cs="宋体"/>
                <w:kern w:val="0"/>
                <w:szCs w:val="21"/>
                <w:highlight w:val="none"/>
              </w:rPr>
              <w:t>个日历日内完成所有项目建设并提交验收。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310" w:type="dxa"/>
            <w:noWrap w:val="0"/>
            <w:vAlign w:val="center"/>
          </w:tcPr>
          <w:p>
            <w:pPr>
              <w:shd w:val="clear"/>
              <w:spacing w:line="360" w:lineRule="exac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服务期</w:t>
            </w:r>
          </w:p>
        </w:tc>
        <w:tc>
          <w:tcPr>
            <w:tcW w:w="7677" w:type="dxa"/>
            <w:noWrap w:val="0"/>
            <w:vAlign w:val="center"/>
          </w:tcPr>
          <w:p>
            <w:pPr>
              <w:shd w:val="clear"/>
              <w:adjustRightInd w:val="0"/>
              <w:snapToGrid w:val="0"/>
              <w:spacing w:line="360" w:lineRule="exact"/>
              <w:rPr>
                <w:rFonts w:hint="eastAsia" w:ascii="宋体" w:hAnsi="宋体" w:eastAsia="宋体" w:cs="宋体"/>
                <w:szCs w:val="21"/>
                <w:highlight w:val="none"/>
                <w:lang w:eastAsia="zh-CN"/>
              </w:rPr>
            </w:pPr>
            <w:r>
              <w:rPr>
                <w:rFonts w:hint="eastAsia"/>
                <w:highlight w:val="none"/>
              </w:rPr>
              <w:t>本项目</w:t>
            </w:r>
            <w:r>
              <w:rPr>
                <w:rFonts w:hint="eastAsia" w:ascii="宋体" w:hAnsi="宋体" w:cs="宋体"/>
                <w:kern w:val="0"/>
                <w:szCs w:val="21"/>
                <w:highlight w:val="none"/>
                <w:lang w:val="en-US" w:eastAsia="zh-CN"/>
              </w:rPr>
              <w:t>租赁服务期三年，自合同签订之日起算</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10" w:type="dxa"/>
            <w:noWrap w:val="0"/>
            <w:vAlign w:val="center"/>
          </w:tcPr>
          <w:p>
            <w:pPr>
              <w:shd w:val="clear"/>
              <w:spacing w:line="360" w:lineRule="exact"/>
              <w:rPr>
                <w:rFonts w:hint="eastAsia" w:ascii="宋体" w:hAnsi="宋体" w:eastAsia="宋体" w:cs="宋体"/>
                <w:kern w:val="0"/>
                <w:szCs w:val="21"/>
                <w:highlight w:val="none"/>
              </w:rPr>
            </w:pPr>
            <w:r>
              <w:rPr>
                <w:rFonts w:hint="eastAsia" w:ascii="宋体" w:hAnsi="宋体" w:eastAsia="宋体" w:cs="宋体"/>
                <w:kern w:val="0"/>
                <w:szCs w:val="21"/>
                <w:highlight w:val="none"/>
              </w:rPr>
              <w:t>付款方式</w:t>
            </w:r>
          </w:p>
        </w:tc>
        <w:tc>
          <w:tcPr>
            <w:tcW w:w="7677" w:type="dxa"/>
            <w:noWrap w:val="0"/>
            <w:vAlign w:val="center"/>
          </w:tcPr>
          <w:p>
            <w:pPr>
              <w:numPr>
                <w:ilvl w:val="0"/>
                <w:numId w:val="0"/>
              </w:numPr>
              <w:shd w:val="clear"/>
              <w:spacing w:line="360" w:lineRule="exact"/>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1、合同签订生效并具备实施条件后的7个工作日内，采购人向中标人支付合同金额40%作为预付款；第一年服务期结束后支付合同金额的20%，第二年支付合同金额的35%，第三年支付合同金额的5%。</w:t>
            </w:r>
          </w:p>
          <w:p>
            <w:pPr>
              <w:shd w:val="clear"/>
              <w:adjustRightInd w:val="0"/>
              <w:snapToGrid w:val="0"/>
              <w:spacing w:line="360" w:lineRule="exact"/>
              <w:rPr>
                <w:rFonts w:hint="eastAsia" w:ascii="宋体" w:hAnsi="宋体" w:eastAsia="宋体" w:cs="宋体"/>
                <w:szCs w:val="21"/>
                <w:highlight w:val="none"/>
              </w:rPr>
            </w:pPr>
            <w:r>
              <w:rPr>
                <w:rFonts w:hint="eastAsia" w:ascii="宋体" w:hAnsi="宋体" w:cs="宋体"/>
                <w:szCs w:val="21"/>
                <w:highlight w:val="none"/>
                <w:lang w:val="en-US" w:eastAsia="zh-CN"/>
              </w:rPr>
              <w:t>2</w:t>
            </w:r>
            <w:r>
              <w:rPr>
                <w:rFonts w:hint="eastAsia" w:ascii="宋体" w:hAnsi="宋体" w:eastAsia="宋体" w:cs="宋体"/>
                <w:szCs w:val="21"/>
                <w:highlight w:val="none"/>
              </w:rPr>
              <w:t>、中标人应凭</w:t>
            </w:r>
            <w:r>
              <w:rPr>
                <w:rFonts w:hint="eastAsia" w:ascii="宋体" w:hAnsi="宋体" w:eastAsia="宋体" w:cs="宋体"/>
                <w:szCs w:val="21"/>
                <w:highlight w:val="none"/>
                <w:lang w:eastAsia="zh-CN"/>
              </w:rPr>
              <w:t>有效的税务</w:t>
            </w:r>
            <w:r>
              <w:rPr>
                <w:rFonts w:hint="eastAsia" w:ascii="宋体" w:hAnsi="宋体" w:eastAsia="宋体" w:cs="宋体"/>
                <w:szCs w:val="21"/>
                <w:highlight w:val="none"/>
              </w:rPr>
              <w:t>发票提请结算，否则采购人有权延期付款，直至收到中标人相应合格单据为止。</w:t>
            </w:r>
          </w:p>
          <w:p>
            <w:pPr>
              <w:shd w:val="clear"/>
              <w:adjustRightInd w:val="0"/>
              <w:snapToGrid w:val="0"/>
              <w:spacing w:line="360" w:lineRule="exact"/>
              <w:rPr>
                <w:rFonts w:hint="eastAsia" w:ascii="宋体" w:hAnsi="宋体" w:eastAsia="宋体" w:cs="宋体"/>
                <w:kern w:val="0"/>
                <w:szCs w:val="21"/>
                <w:highlight w:val="none"/>
              </w:rPr>
            </w:pPr>
            <w:r>
              <w:rPr>
                <w:rFonts w:hint="eastAsia" w:ascii="宋体" w:hAnsi="宋体" w:cs="宋体"/>
                <w:szCs w:val="21"/>
                <w:highlight w:val="none"/>
                <w:lang w:val="en-US" w:eastAsia="zh-CN"/>
              </w:rPr>
              <w:t>3、</w:t>
            </w:r>
            <w:r>
              <w:rPr>
                <w:rFonts w:hint="eastAsia" w:ascii="宋体" w:hAnsi="宋体" w:eastAsia="宋体" w:cs="宋体"/>
                <w:b/>
                <w:bCs/>
                <w:kern w:val="0"/>
                <w:szCs w:val="21"/>
                <w:highlight w:val="none"/>
                <w:lang w:val="en-US" w:eastAsia="zh-CN"/>
              </w:rPr>
              <w:t>在签订合同时，中标人明确表示无需预付款或者主动要求降低预付款比例的，采购单位可不适用前述规定；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0" w:type="dxa"/>
            <w:noWrap w:val="0"/>
            <w:vAlign w:val="center"/>
          </w:tcPr>
          <w:p>
            <w:pPr>
              <w:shd w:val="clear"/>
              <w:spacing w:line="360" w:lineRule="exact"/>
              <w:rPr>
                <w:rFonts w:hint="eastAsia" w:ascii="宋体" w:hAnsi="宋体" w:eastAsia="宋体" w:cs="宋体"/>
                <w:kern w:val="0"/>
                <w:szCs w:val="21"/>
                <w:highlight w:val="none"/>
              </w:rPr>
            </w:pPr>
            <w:r>
              <w:rPr>
                <w:rFonts w:hint="eastAsia" w:ascii="宋体" w:hAnsi="宋体" w:eastAsia="宋体" w:cs="宋体"/>
                <w:kern w:val="0"/>
                <w:szCs w:val="21"/>
                <w:highlight w:val="none"/>
              </w:rPr>
              <w:t>培训</w:t>
            </w:r>
          </w:p>
        </w:tc>
        <w:tc>
          <w:tcPr>
            <w:tcW w:w="7677" w:type="dxa"/>
            <w:noWrap w:val="0"/>
            <w:vAlign w:val="center"/>
          </w:tcPr>
          <w:p>
            <w:pPr>
              <w:shd w:val="clear"/>
              <w:spacing w:line="360" w:lineRule="exact"/>
              <w:rPr>
                <w:rFonts w:hint="eastAsia" w:ascii="宋体" w:hAnsi="宋体" w:eastAsia="宋体" w:cs="宋体"/>
                <w:kern w:val="0"/>
                <w:szCs w:val="21"/>
                <w:highlight w:val="none"/>
              </w:rPr>
            </w:pPr>
            <w:r>
              <w:rPr>
                <w:rFonts w:hint="eastAsia" w:ascii="宋体" w:hAnsi="宋体" w:eastAsia="宋体" w:cs="宋体"/>
                <w:kern w:val="0"/>
                <w:szCs w:val="21"/>
                <w:highlight w:val="none"/>
              </w:rPr>
              <w:t>1、</w:t>
            </w:r>
            <w:r>
              <w:rPr>
                <w:rFonts w:hint="eastAsia" w:ascii="宋体" w:hAnsi="宋体" w:eastAsia="宋体" w:cs="宋体"/>
                <w:kern w:val="0"/>
                <w:szCs w:val="21"/>
                <w:highlight w:val="none"/>
                <w:lang w:eastAsia="zh-CN"/>
              </w:rPr>
              <w:t>中标人须</w:t>
            </w:r>
            <w:r>
              <w:rPr>
                <w:rFonts w:hint="eastAsia" w:ascii="宋体" w:hAnsi="宋体" w:eastAsia="宋体" w:cs="宋体"/>
                <w:kern w:val="0"/>
                <w:szCs w:val="21"/>
                <w:highlight w:val="none"/>
              </w:rPr>
              <w:t>提供称职的指导人员，为采购人确定的培训人员在现场提供操作和维护培训</w:t>
            </w:r>
            <w:r>
              <w:rPr>
                <w:rFonts w:hint="eastAsia" w:ascii="宋体" w:hAnsi="宋体" w:eastAsia="宋体" w:cs="宋体"/>
                <w:kern w:val="0"/>
                <w:szCs w:val="21"/>
                <w:highlight w:val="none"/>
                <w:lang w:eastAsia="zh-CN"/>
              </w:rPr>
              <w:t>。</w:t>
            </w:r>
          </w:p>
          <w:p>
            <w:pPr>
              <w:shd w:val="clear"/>
              <w:spacing w:line="360" w:lineRule="exact"/>
              <w:rPr>
                <w:rFonts w:hint="eastAsia" w:ascii="宋体" w:hAnsi="宋体" w:eastAsia="宋体" w:cs="宋体"/>
                <w:kern w:val="0"/>
                <w:szCs w:val="21"/>
                <w:highlight w:val="none"/>
              </w:rPr>
            </w:pPr>
            <w:r>
              <w:rPr>
                <w:rFonts w:hint="eastAsia" w:ascii="宋体" w:hAnsi="宋体" w:eastAsia="宋体" w:cs="宋体"/>
                <w:kern w:val="0"/>
                <w:szCs w:val="21"/>
                <w:highlight w:val="none"/>
              </w:rPr>
              <w:t>2、</w:t>
            </w:r>
            <w:r>
              <w:rPr>
                <w:rFonts w:hint="eastAsia" w:ascii="宋体" w:hAnsi="宋体" w:eastAsia="宋体" w:cs="宋体"/>
                <w:kern w:val="0"/>
                <w:szCs w:val="21"/>
                <w:highlight w:val="none"/>
                <w:lang w:eastAsia="zh-CN"/>
              </w:rPr>
              <w:t>中标人</w:t>
            </w:r>
            <w:r>
              <w:rPr>
                <w:rFonts w:hint="eastAsia" w:ascii="宋体" w:hAnsi="宋体" w:eastAsia="宋体" w:cs="宋体"/>
                <w:kern w:val="0"/>
                <w:szCs w:val="21"/>
                <w:highlight w:val="none"/>
              </w:rPr>
              <w:t>应对采购人提供全面的技术和维护咨询。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0" w:type="dxa"/>
            <w:noWrap w:val="0"/>
            <w:vAlign w:val="center"/>
          </w:tcPr>
          <w:p>
            <w:pPr>
              <w:shd w:val="clear"/>
              <w:spacing w:line="360" w:lineRule="exact"/>
              <w:rPr>
                <w:rFonts w:hint="eastAsia" w:ascii="宋体" w:hAnsi="宋体" w:eastAsia="宋体" w:cs="宋体"/>
                <w:kern w:val="0"/>
                <w:szCs w:val="21"/>
                <w:highlight w:val="none"/>
              </w:rPr>
            </w:pPr>
            <w:r>
              <w:rPr>
                <w:rFonts w:hint="eastAsia" w:ascii="宋体" w:hAnsi="宋体" w:eastAsia="宋体" w:cs="宋体"/>
                <w:kern w:val="0"/>
                <w:szCs w:val="21"/>
                <w:highlight w:val="none"/>
              </w:rPr>
              <w:t>履约保证金</w:t>
            </w:r>
          </w:p>
        </w:tc>
        <w:tc>
          <w:tcPr>
            <w:tcW w:w="7677" w:type="dxa"/>
            <w:noWrap w:val="0"/>
            <w:vAlign w:val="center"/>
          </w:tcPr>
          <w:p>
            <w:pPr>
              <w:shd w:val="clear"/>
              <w:spacing w:line="360" w:lineRule="exact"/>
              <w:rPr>
                <w:rFonts w:hint="eastAsia" w:ascii="宋体" w:hAnsi="宋体" w:eastAsia="宋体" w:cs="宋体"/>
                <w:kern w:val="0"/>
                <w:szCs w:val="21"/>
                <w:highlight w:val="none"/>
              </w:rPr>
            </w:pPr>
            <w:r>
              <w:rPr>
                <w:rFonts w:hint="eastAsia" w:ascii="宋体" w:hAnsi="宋体"/>
                <w:szCs w:val="21"/>
                <w:lang w:val="en-US" w:eastAsia="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0" w:type="dxa"/>
            <w:noWrap w:val="0"/>
            <w:vAlign w:val="center"/>
          </w:tcPr>
          <w:p>
            <w:pPr>
              <w:shd w:val="clear"/>
              <w:spacing w:line="360" w:lineRule="exac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备品备件</w:t>
            </w:r>
          </w:p>
        </w:tc>
        <w:tc>
          <w:tcPr>
            <w:tcW w:w="7677" w:type="dxa"/>
            <w:noWrap w:val="0"/>
            <w:vAlign w:val="center"/>
          </w:tcPr>
          <w:p>
            <w:pPr>
              <w:widowControl/>
              <w:shd w:val="clear"/>
              <w:autoSpaceDE w:val="0"/>
              <w:autoSpaceDN w:val="0"/>
              <w:adjustRightInd w:val="0"/>
              <w:spacing w:line="360" w:lineRule="exact"/>
              <w:contextualSpacing/>
              <w:textAlignment w:val="bottom"/>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中标人</w:t>
            </w:r>
            <w:r>
              <w:rPr>
                <w:rFonts w:hint="eastAsia" w:ascii="宋体" w:hAnsi="宋体" w:eastAsia="宋体" w:cs="宋体"/>
                <w:kern w:val="0"/>
                <w:szCs w:val="21"/>
                <w:highlight w:val="none"/>
              </w:rPr>
              <w:t xml:space="preserve">对各种型号的设备须提供足够的备件、附件和易损件并保证是原厂生产的产品，以满足设备正常运行的需要。  </w:t>
            </w:r>
          </w:p>
        </w:tc>
      </w:tr>
    </w:tbl>
    <w:p>
      <w:pPr>
        <w:shd w:val="clear"/>
        <w:rPr>
          <w:rFonts w:hint="eastAsia"/>
          <w:highlight w:val="none"/>
          <w:lang w:eastAsia="zh-CN"/>
        </w:rPr>
      </w:pPr>
    </w:p>
    <w:p>
      <w:pPr>
        <w:shd w:val="clear"/>
        <w:rPr>
          <w:rFonts w:hint="eastAsia"/>
          <w:highlight w:val="none"/>
        </w:rPr>
      </w:pPr>
    </w:p>
    <w:p>
      <w:pPr>
        <w:shd w:val="clear"/>
        <w:rPr>
          <w:rFonts w:hint="eastAsia"/>
          <w:highlight w:val="none"/>
        </w:rPr>
      </w:pPr>
    </w:p>
    <w:p>
      <w:pPr>
        <w:shd w:val="clear"/>
        <w:rPr>
          <w:rFonts w:hint="eastAsia" w:ascii="宋体" w:hAnsi="宋体" w:cs="宋体"/>
          <w:b/>
          <w:szCs w:val="21"/>
          <w:highlight w:val="none"/>
        </w:rPr>
      </w:pPr>
      <w:r>
        <w:rPr>
          <w:rFonts w:hint="eastAsia" w:ascii="宋体" w:hAnsi="宋体" w:cs="宋体"/>
          <w:b/>
          <w:szCs w:val="21"/>
          <w:highlight w:val="none"/>
          <w:lang w:eastAsia="zh-CN"/>
        </w:rPr>
        <w:t>注：</w:t>
      </w:r>
      <w:r>
        <w:rPr>
          <w:rFonts w:hint="eastAsia" w:ascii="宋体" w:hAnsi="宋体" w:cs="宋体"/>
          <w:b/>
          <w:szCs w:val="21"/>
          <w:highlight w:val="none"/>
        </w:rPr>
        <w:t>1、本招标文件中带 “▲”的有关技术和商务条款为实质性条款，投标人必须在投标文件中作出实质性响应，否则投标无效</w:t>
      </w:r>
      <w:r>
        <w:rPr>
          <w:rFonts w:hint="eastAsia" w:ascii="宋体" w:hAnsi="宋体" w:cs="宋体"/>
          <w:b/>
          <w:szCs w:val="21"/>
          <w:highlight w:val="none"/>
          <w:lang w:eastAsia="zh-CN"/>
        </w:rPr>
        <w:t>；</w:t>
      </w:r>
      <w:r>
        <w:rPr>
          <w:rFonts w:hint="eastAsia" w:ascii="宋体" w:hAnsi="宋体" w:cs="宋体"/>
          <w:b/>
          <w:szCs w:val="21"/>
          <w:highlight w:val="none"/>
        </w:rPr>
        <w:t>加“★”的技术参数为重要技术参数，任何关于★条款的负偏离将导致技术评分失分。</w:t>
      </w:r>
    </w:p>
    <w:p>
      <w:pPr>
        <w:shd w:val="clear"/>
        <w:rPr>
          <w:rFonts w:hint="eastAsia" w:ascii="宋体" w:hAnsi="宋体" w:eastAsia="宋体" w:cs="宋体"/>
          <w:b/>
          <w:snapToGrid/>
          <w:color w:val="auto"/>
          <w:sz w:val="21"/>
          <w:szCs w:val="21"/>
          <w:highlight w:val="none"/>
        </w:rPr>
      </w:pPr>
      <w:r>
        <w:rPr>
          <w:rFonts w:hint="eastAsia" w:ascii="宋体" w:hAnsi="宋体" w:eastAsia="宋体" w:cs="宋体"/>
          <w:b/>
          <w:szCs w:val="21"/>
          <w:highlight w:val="none"/>
          <w:lang w:val="en-US" w:eastAsia="zh-CN"/>
        </w:rPr>
        <w:t>2</w:t>
      </w:r>
      <w:r>
        <w:rPr>
          <w:rFonts w:hint="eastAsia" w:ascii="宋体" w:hAnsi="宋体" w:eastAsia="宋体" w:cs="宋体"/>
          <w:b/>
          <w:szCs w:val="21"/>
          <w:highlight w:val="none"/>
        </w:rPr>
        <w:t>、本招标文件仅对</w:t>
      </w:r>
      <w:r>
        <w:rPr>
          <w:rFonts w:hint="eastAsia" w:ascii="宋体" w:hAnsi="宋体" w:eastAsia="宋体" w:cs="宋体"/>
          <w:b/>
          <w:szCs w:val="21"/>
          <w:highlight w:val="none"/>
          <w:lang w:eastAsia="zh-CN"/>
        </w:rPr>
        <w:t>本项目</w:t>
      </w:r>
      <w:r>
        <w:rPr>
          <w:rFonts w:hint="eastAsia" w:ascii="宋体" w:hAnsi="宋体" w:eastAsia="宋体" w:cs="宋体"/>
          <w:b/>
          <w:szCs w:val="21"/>
          <w:highlight w:val="none"/>
        </w:rPr>
        <w:t>提出原则性要求，并不是详尽的要求，投标人有责任对技术参数符合现行的相关技术规范、标准负责。</w:t>
      </w:r>
    </w:p>
    <w:p>
      <w:pPr>
        <w:pStyle w:val="4"/>
        <w:shd w:val="clear"/>
        <w:spacing w:before="0" w:after="0" w:line="480" w:lineRule="exact"/>
        <w:jc w:val="center"/>
        <w:rPr>
          <w:rFonts w:hint="eastAsia" w:ascii="宋体" w:hAnsi="宋体" w:cs="宋体"/>
          <w:snapToGrid w:val="0"/>
          <w:color w:val="auto"/>
          <w:sz w:val="36"/>
          <w:szCs w:val="36"/>
          <w:highlight w:val="none"/>
        </w:rPr>
      </w:pPr>
    </w:p>
    <w:p>
      <w:pPr>
        <w:shd w:val="clear"/>
        <w:rPr>
          <w:rFonts w:hint="eastAsia" w:ascii="宋体" w:hAnsi="宋体" w:cs="宋体"/>
          <w:snapToGrid w:val="0"/>
          <w:color w:val="auto"/>
          <w:sz w:val="36"/>
          <w:szCs w:val="36"/>
          <w:highlight w:val="none"/>
        </w:rPr>
      </w:pPr>
    </w:p>
    <w:p>
      <w:pPr>
        <w:pStyle w:val="15"/>
        <w:shd w:val="clear"/>
        <w:rPr>
          <w:rFonts w:hint="eastAsia" w:ascii="宋体" w:hAnsi="宋体" w:cs="宋体"/>
          <w:snapToGrid w:val="0"/>
          <w:color w:val="auto"/>
          <w:sz w:val="36"/>
          <w:szCs w:val="36"/>
          <w:highlight w:val="none"/>
        </w:rPr>
      </w:pPr>
    </w:p>
    <w:p>
      <w:pPr>
        <w:shd w:val="clear"/>
        <w:rPr>
          <w:rFonts w:hint="eastAsia" w:ascii="宋体" w:hAnsi="宋体" w:cs="宋体"/>
          <w:snapToGrid w:val="0"/>
          <w:color w:val="auto"/>
          <w:sz w:val="36"/>
          <w:szCs w:val="36"/>
          <w:highlight w:val="none"/>
        </w:rPr>
      </w:pPr>
    </w:p>
    <w:p>
      <w:pPr>
        <w:pStyle w:val="31"/>
        <w:shd w:val="clear"/>
        <w:rPr>
          <w:rFonts w:hint="eastAsia" w:ascii="宋体" w:hAnsi="宋体" w:cs="宋体"/>
          <w:snapToGrid w:val="0"/>
          <w:color w:val="auto"/>
          <w:sz w:val="36"/>
          <w:szCs w:val="36"/>
          <w:highlight w:val="none"/>
        </w:rPr>
      </w:pPr>
    </w:p>
    <w:p>
      <w:pPr>
        <w:pStyle w:val="23"/>
        <w:shd w:val="clear"/>
        <w:rPr>
          <w:rFonts w:hint="eastAsia" w:ascii="宋体" w:hAnsi="宋体" w:cs="宋体"/>
          <w:snapToGrid w:val="0"/>
          <w:color w:val="auto"/>
          <w:sz w:val="36"/>
          <w:szCs w:val="36"/>
          <w:highlight w:val="none"/>
        </w:rPr>
      </w:pPr>
    </w:p>
    <w:p>
      <w:pPr>
        <w:shd w:val="clear"/>
        <w:rPr>
          <w:rFonts w:hint="eastAsia" w:ascii="宋体" w:hAnsi="宋体" w:cs="宋体"/>
          <w:snapToGrid w:val="0"/>
          <w:color w:val="auto"/>
          <w:sz w:val="36"/>
          <w:szCs w:val="36"/>
          <w:highlight w:val="none"/>
        </w:rPr>
      </w:pPr>
    </w:p>
    <w:p>
      <w:pPr>
        <w:pStyle w:val="31"/>
        <w:shd w:val="clear"/>
        <w:rPr>
          <w:rFonts w:hint="eastAsia" w:ascii="宋体" w:hAnsi="宋体" w:cs="宋体"/>
          <w:snapToGrid w:val="0"/>
          <w:color w:val="auto"/>
          <w:sz w:val="36"/>
          <w:szCs w:val="36"/>
          <w:highlight w:val="none"/>
        </w:rPr>
      </w:pPr>
    </w:p>
    <w:p>
      <w:pPr>
        <w:pStyle w:val="23"/>
        <w:shd w:val="clear"/>
        <w:rPr>
          <w:rFonts w:hint="eastAsia" w:ascii="宋体" w:hAnsi="宋体" w:cs="宋体"/>
          <w:snapToGrid w:val="0"/>
          <w:color w:val="auto"/>
          <w:sz w:val="36"/>
          <w:szCs w:val="36"/>
          <w:highlight w:val="none"/>
        </w:rPr>
      </w:pPr>
    </w:p>
    <w:p>
      <w:pPr>
        <w:shd w:val="clear"/>
        <w:rPr>
          <w:rFonts w:hint="eastAsia" w:ascii="宋体" w:hAnsi="宋体" w:cs="宋体"/>
          <w:snapToGrid w:val="0"/>
          <w:color w:val="auto"/>
          <w:sz w:val="36"/>
          <w:szCs w:val="36"/>
          <w:highlight w:val="none"/>
        </w:rPr>
      </w:pPr>
    </w:p>
    <w:p>
      <w:pPr>
        <w:pStyle w:val="31"/>
        <w:shd w:val="clear"/>
        <w:rPr>
          <w:rFonts w:hint="eastAsia" w:ascii="宋体" w:hAnsi="宋体" w:cs="宋体"/>
          <w:snapToGrid w:val="0"/>
          <w:color w:val="auto"/>
          <w:sz w:val="36"/>
          <w:szCs w:val="36"/>
          <w:highlight w:val="none"/>
        </w:rPr>
      </w:pPr>
    </w:p>
    <w:p>
      <w:pPr>
        <w:pStyle w:val="23"/>
        <w:shd w:val="clear"/>
        <w:rPr>
          <w:rFonts w:hint="eastAsia" w:ascii="宋体" w:hAnsi="宋体" w:cs="宋体"/>
          <w:snapToGrid w:val="0"/>
          <w:color w:val="auto"/>
          <w:sz w:val="36"/>
          <w:szCs w:val="36"/>
          <w:highlight w:val="none"/>
        </w:rPr>
      </w:pPr>
    </w:p>
    <w:p>
      <w:pPr>
        <w:shd w:val="clear"/>
        <w:rPr>
          <w:rFonts w:hint="eastAsia" w:ascii="宋体" w:hAnsi="宋体" w:cs="宋体"/>
          <w:snapToGrid w:val="0"/>
          <w:color w:val="auto"/>
          <w:sz w:val="36"/>
          <w:szCs w:val="36"/>
          <w:highlight w:val="none"/>
        </w:rPr>
      </w:pPr>
    </w:p>
    <w:p>
      <w:pPr>
        <w:pStyle w:val="31"/>
        <w:shd w:val="clear"/>
        <w:rPr>
          <w:rFonts w:hint="eastAsia" w:ascii="宋体" w:hAnsi="宋体" w:cs="宋体"/>
          <w:snapToGrid w:val="0"/>
          <w:color w:val="auto"/>
          <w:sz w:val="36"/>
          <w:szCs w:val="36"/>
          <w:highlight w:val="none"/>
        </w:rPr>
      </w:pPr>
    </w:p>
    <w:p>
      <w:pPr>
        <w:pStyle w:val="23"/>
        <w:shd w:val="clear"/>
        <w:rPr>
          <w:rFonts w:hint="eastAsia" w:ascii="宋体" w:hAnsi="宋体" w:cs="宋体"/>
          <w:snapToGrid w:val="0"/>
          <w:color w:val="auto"/>
          <w:sz w:val="36"/>
          <w:szCs w:val="36"/>
          <w:highlight w:val="none"/>
        </w:rPr>
      </w:pPr>
    </w:p>
    <w:p>
      <w:pPr>
        <w:shd w:val="clear"/>
        <w:rPr>
          <w:rFonts w:hint="eastAsia" w:ascii="宋体" w:hAnsi="宋体" w:cs="宋体"/>
          <w:snapToGrid w:val="0"/>
          <w:color w:val="auto"/>
          <w:sz w:val="36"/>
          <w:szCs w:val="36"/>
          <w:highlight w:val="none"/>
        </w:rPr>
      </w:pPr>
    </w:p>
    <w:p>
      <w:pPr>
        <w:pStyle w:val="31"/>
        <w:shd w:val="clear"/>
        <w:rPr>
          <w:rFonts w:hint="eastAsia"/>
          <w:highlight w:val="none"/>
        </w:rPr>
      </w:pPr>
    </w:p>
    <w:p>
      <w:pPr>
        <w:pStyle w:val="23"/>
        <w:shd w:val="clear"/>
        <w:rPr>
          <w:rFonts w:hint="eastAsia"/>
          <w:highlight w:val="none"/>
        </w:rPr>
      </w:pPr>
    </w:p>
    <w:p>
      <w:pPr>
        <w:shd w:val="clear"/>
        <w:rPr>
          <w:rFonts w:hint="eastAsia"/>
          <w:highlight w:val="none"/>
        </w:rPr>
      </w:pPr>
    </w:p>
    <w:p>
      <w:pPr>
        <w:pStyle w:val="2"/>
        <w:shd w:val="clear"/>
        <w:rPr>
          <w:rFonts w:hint="eastAsia"/>
          <w:highlight w:val="none"/>
        </w:rPr>
      </w:pPr>
    </w:p>
    <w:p>
      <w:pPr>
        <w:pStyle w:val="15"/>
        <w:shd w:val="clear"/>
        <w:rPr>
          <w:rFonts w:hint="eastAsia"/>
          <w:highlight w:val="none"/>
        </w:rPr>
      </w:pPr>
    </w:p>
    <w:p>
      <w:pPr>
        <w:pStyle w:val="4"/>
        <w:shd w:val="clear"/>
        <w:spacing w:before="0" w:after="0" w:line="480" w:lineRule="exact"/>
        <w:jc w:val="center"/>
        <w:rPr>
          <w:rFonts w:hint="eastAsia" w:ascii="宋体" w:hAnsi="宋体" w:cs="宋体"/>
          <w:snapToGrid w:val="0"/>
          <w:color w:val="auto"/>
          <w:sz w:val="36"/>
          <w:szCs w:val="36"/>
          <w:highlight w:val="none"/>
        </w:rPr>
      </w:pPr>
      <w:r>
        <w:rPr>
          <w:rFonts w:hint="eastAsia" w:ascii="宋体" w:hAnsi="宋体" w:cs="宋体"/>
          <w:snapToGrid w:val="0"/>
          <w:color w:val="auto"/>
          <w:sz w:val="36"/>
          <w:szCs w:val="36"/>
          <w:highlight w:val="none"/>
        </w:rPr>
        <w:t>第三章  投标人须知</w:t>
      </w:r>
      <w:bookmarkEnd w:id="7"/>
      <w:bookmarkEnd w:id="13"/>
      <w:bookmarkEnd w:id="24"/>
      <w:bookmarkEnd w:id="25"/>
      <w:bookmarkEnd w:id="26"/>
      <w:bookmarkEnd w:id="27"/>
    </w:p>
    <w:p>
      <w:pPr>
        <w:pStyle w:val="5"/>
        <w:shd w:val="clear"/>
        <w:spacing w:before="0" w:after="0" w:line="480" w:lineRule="exact"/>
        <w:rPr>
          <w:rFonts w:hint="eastAsia" w:ascii="宋体" w:hAnsi="宋体" w:eastAsia="宋体" w:cs="宋体"/>
          <w:color w:val="auto"/>
          <w:sz w:val="24"/>
          <w:szCs w:val="24"/>
          <w:highlight w:val="none"/>
        </w:rPr>
      </w:pPr>
      <w:bookmarkStart w:id="28" w:name="_Toc22877"/>
      <w:bookmarkStart w:id="29" w:name="_Toc222632753"/>
      <w:bookmarkStart w:id="30" w:name="_Toc4375"/>
      <w:bookmarkStart w:id="31" w:name="_Toc317341937"/>
      <w:bookmarkStart w:id="32" w:name="_Toc15132"/>
      <w:bookmarkStart w:id="33" w:name="_Toc31607"/>
      <w:r>
        <w:rPr>
          <w:rFonts w:hint="eastAsia" w:ascii="宋体" w:hAnsi="宋体" w:eastAsia="宋体" w:cs="宋体"/>
          <w:color w:val="auto"/>
          <w:sz w:val="24"/>
          <w:szCs w:val="24"/>
          <w:highlight w:val="none"/>
        </w:rPr>
        <w:t>前   附  表</w:t>
      </w:r>
      <w:bookmarkEnd w:id="28"/>
      <w:bookmarkEnd w:id="29"/>
      <w:bookmarkEnd w:id="30"/>
      <w:bookmarkEnd w:id="31"/>
      <w:bookmarkEnd w:id="32"/>
      <w:bookmarkEnd w:id="33"/>
    </w:p>
    <w:tbl>
      <w:tblPr>
        <w:tblStyle w:val="34"/>
        <w:tblW w:w="0" w:type="auto"/>
        <w:tblInd w:w="0" w:type="dxa"/>
        <w:tblLayout w:type="autofit"/>
        <w:tblCellMar>
          <w:top w:w="0" w:type="dxa"/>
          <w:left w:w="108" w:type="dxa"/>
          <w:bottom w:w="0" w:type="dxa"/>
          <w:right w:w="108" w:type="dxa"/>
        </w:tblCellMar>
      </w:tblPr>
      <w:tblGrid>
        <w:gridCol w:w="574"/>
        <w:gridCol w:w="8614"/>
      </w:tblGrid>
      <w:tr>
        <w:tblPrEx>
          <w:tblCellMar>
            <w:top w:w="0" w:type="dxa"/>
            <w:left w:w="108" w:type="dxa"/>
            <w:bottom w:w="0" w:type="dxa"/>
            <w:right w:w="108" w:type="dxa"/>
          </w:tblCellMar>
        </w:tblPrEx>
        <w:trPr>
          <w:trHeight w:val="757" w:hRule="atLeast"/>
        </w:trPr>
        <w:tc>
          <w:tcPr>
            <w:tcW w:w="5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right="-359"/>
              <w:rPr>
                <w:rFonts w:hint="eastAsia" w:ascii="宋体" w:hAnsi="宋体" w:cs="宋体"/>
                <w:color w:val="auto"/>
                <w:szCs w:val="21"/>
                <w:highlight w:val="none"/>
                <w:lang w:val="zh-CN"/>
              </w:rPr>
            </w:pPr>
            <w:r>
              <w:rPr>
                <w:rFonts w:hint="eastAsia" w:ascii="宋体" w:hAnsi="宋体" w:cs="宋体"/>
                <w:color w:val="auto"/>
                <w:szCs w:val="21"/>
                <w:highlight w:val="none"/>
                <w:cs/>
                <w:lang w:val="zh-CN"/>
              </w:rPr>
              <w:t>序号</w:t>
            </w:r>
          </w:p>
        </w:tc>
        <w:tc>
          <w:tcPr>
            <w:tcW w:w="86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left="71" w:right="-263" w:firstLine="105"/>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内容及相关规定</w:t>
            </w:r>
          </w:p>
        </w:tc>
      </w:tr>
      <w:tr>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right="-359" w:firstLine="105"/>
              <w:rPr>
                <w:rFonts w:hint="eastAsia" w:ascii="宋体" w:hAnsi="宋体" w:cs="宋体"/>
                <w:color w:val="auto"/>
                <w:szCs w:val="21"/>
                <w:highlight w:val="none"/>
                <w:lang w:val="zh-CN"/>
              </w:rPr>
            </w:pPr>
            <w:r>
              <w:rPr>
                <w:rFonts w:hint="eastAsia" w:ascii="宋体" w:hAnsi="宋体" w:cs="宋体"/>
                <w:color w:val="auto"/>
                <w:szCs w:val="21"/>
                <w:highlight w:val="none"/>
                <w:lang w:val="zh-CN"/>
              </w:rPr>
              <w:t>1</w:t>
            </w:r>
          </w:p>
        </w:tc>
        <w:tc>
          <w:tcPr>
            <w:tcW w:w="8614" w:type="dxa"/>
            <w:tcBorders>
              <w:top w:val="single" w:color="auto" w:sz="6" w:space="0"/>
              <w:left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bidi w:val="0"/>
              <w:adjustRightInd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安吉县林业局林长制视频监控服务政府采购项目</w:t>
            </w:r>
          </w:p>
          <w:p>
            <w:pPr>
              <w:keepNext w:val="0"/>
              <w:keepLines w:val="0"/>
              <w:pageBreakBefore w:val="0"/>
              <w:widowControl w:val="0"/>
              <w:shd w:val="clear"/>
              <w:kinsoku/>
              <w:wordWrap/>
              <w:overflowPunct/>
              <w:topLinePunct w:val="0"/>
              <w:bidi w:val="0"/>
              <w:adjustRightInd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JCGK2024-008</w:t>
            </w:r>
          </w:p>
          <w:p>
            <w:pPr>
              <w:keepNext w:val="0"/>
              <w:keepLines w:val="0"/>
              <w:pageBreakBefore w:val="0"/>
              <w:widowControl w:val="0"/>
              <w:shd w:val="clear"/>
              <w:kinsoku/>
              <w:wordWrap/>
              <w:overflowPunct/>
              <w:topLinePunct w:val="0"/>
              <w:bidi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项目内容：详见招标文件第二章</w:t>
            </w:r>
          </w:p>
        </w:tc>
      </w:tr>
      <w:tr>
        <w:tblPrEx>
          <w:tblCellMar>
            <w:top w:w="0" w:type="dxa"/>
            <w:left w:w="108" w:type="dxa"/>
            <w:bottom w:w="0" w:type="dxa"/>
            <w:right w:w="108" w:type="dxa"/>
          </w:tblCellMar>
        </w:tblPrEx>
        <w:trPr>
          <w:trHeight w:val="840" w:hRule="atLeast"/>
        </w:trPr>
        <w:tc>
          <w:tcPr>
            <w:tcW w:w="574" w:type="dxa"/>
            <w:tcBorders>
              <w:top w:val="single" w:color="auto" w:sz="6" w:space="0"/>
              <w:left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right="-359" w:firstLine="105"/>
              <w:rPr>
                <w:rFonts w:hint="eastAsia" w:ascii="宋体" w:hAnsi="宋体" w:cs="宋体"/>
                <w:color w:val="auto"/>
                <w:szCs w:val="21"/>
                <w:highlight w:val="none"/>
              </w:rPr>
            </w:pPr>
            <w:r>
              <w:rPr>
                <w:rFonts w:hint="eastAsia" w:ascii="宋体" w:hAnsi="宋体" w:cs="宋体"/>
                <w:color w:val="auto"/>
                <w:szCs w:val="21"/>
                <w:highlight w:val="none"/>
              </w:rPr>
              <w:t>2</w:t>
            </w:r>
          </w:p>
        </w:tc>
        <w:tc>
          <w:tcPr>
            <w:tcW w:w="8614" w:type="dxa"/>
            <w:tcBorders>
              <w:top w:val="single" w:color="auto" w:sz="6" w:space="0"/>
              <w:left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bidi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采购资金来源：</w:t>
            </w:r>
            <w:r>
              <w:rPr>
                <w:rFonts w:hint="eastAsia" w:ascii="宋体" w:hAnsi="宋体" w:cs="宋体"/>
                <w:color w:val="auto"/>
                <w:szCs w:val="21"/>
                <w:highlight w:val="none"/>
                <w:lang w:val="en-US" w:eastAsia="zh-CN"/>
              </w:rPr>
              <w:t>预算内</w:t>
            </w:r>
            <w:r>
              <w:rPr>
                <w:rFonts w:hint="eastAsia" w:ascii="宋体" w:hAnsi="宋体" w:cs="宋体"/>
                <w:color w:val="auto"/>
                <w:szCs w:val="21"/>
                <w:highlight w:val="none"/>
              </w:rPr>
              <w:t>资金，已落实。</w:t>
            </w:r>
          </w:p>
          <w:p>
            <w:pPr>
              <w:keepNext w:val="0"/>
              <w:keepLines w:val="0"/>
              <w:pageBreakBefore w:val="0"/>
              <w:widowControl w:val="0"/>
              <w:shd w:val="clear"/>
              <w:kinsoku/>
              <w:wordWrap/>
              <w:overflowPunct/>
              <w:topLinePunct w:val="0"/>
              <w:bidi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付款方式：</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支付。</w:t>
            </w:r>
          </w:p>
        </w:tc>
      </w:tr>
      <w:tr>
        <w:tblPrEx>
          <w:tblCellMar>
            <w:top w:w="0" w:type="dxa"/>
            <w:left w:w="108" w:type="dxa"/>
            <w:bottom w:w="0" w:type="dxa"/>
            <w:right w:w="108" w:type="dxa"/>
          </w:tblCellMar>
        </w:tblPrEx>
        <w:trPr>
          <w:trHeight w:val="555" w:hRule="atLeast"/>
        </w:trPr>
        <w:tc>
          <w:tcPr>
            <w:tcW w:w="5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right="-359" w:firstLine="105"/>
              <w:rPr>
                <w:rFonts w:hint="eastAsia" w:ascii="宋体" w:hAnsi="宋体" w:cs="宋体"/>
                <w:color w:val="auto"/>
                <w:szCs w:val="21"/>
                <w:highlight w:val="none"/>
                <w:lang w:val="zh-CN"/>
              </w:rPr>
            </w:pPr>
            <w:r>
              <w:rPr>
                <w:rFonts w:hint="eastAsia" w:ascii="宋体" w:hAnsi="宋体" w:cs="宋体"/>
                <w:color w:val="auto"/>
                <w:szCs w:val="21"/>
                <w:highlight w:val="none"/>
              </w:rPr>
              <w:t>3</w:t>
            </w:r>
          </w:p>
        </w:tc>
        <w:tc>
          <w:tcPr>
            <w:tcW w:w="86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right="69"/>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投标人资格要求：见招标公告第五条</w:t>
            </w:r>
          </w:p>
        </w:tc>
      </w:tr>
      <w:tr>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right="-359" w:firstLine="105"/>
              <w:rPr>
                <w:rFonts w:hint="eastAsia" w:ascii="宋体" w:hAnsi="宋体" w:cs="宋体"/>
                <w:color w:val="auto"/>
                <w:szCs w:val="21"/>
                <w:highlight w:val="none"/>
                <w:lang w:val="zh-CN"/>
              </w:rPr>
            </w:pPr>
            <w:r>
              <w:rPr>
                <w:rFonts w:hint="eastAsia" w:ascii="宋体" w:hAnsi="宋体" w:cs="宋体"/>
                <w:color w:val="auto"/>
                <w:szCs w:val="21"/>
                <w:highlight w:val="none"/>
              </w:rPr>
              <w:t>4</w:t>
            </w:r>
          </w:p>
        </w:tc>
        <w:tc>
          <w:tcPr>
            <w:tcW w:w="86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投标有效期：</w:t>
            </w:r>
          </w:p>
          <w:p>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自投标截止日起90天。</w:t>
            </w:r>
          </w:p>
          <w:p>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bidi="ar"/>
              </w:rPr>
              <w:t>投标截止后，在投标有效期内，投标人不能撤销投标文件。投标人强行撤销投标文件的，应按预算金额的2%赔偿对招标代理机构造成的损失。</w:t>
            </w:r>
          </w:p>
        </w:tc>
      </w:tr>
      <w:tr>
        <w:tblPrEx>
          <w:tblCellMar>
            <w:top w:w="0" w:type="dxa"/>
            <w:left w:w="108" w:type="dxa"/>
            <w:bottom w:w="0" w:type="dxa"/>
            <w:right w:w="108" w:type="dxa"/>
          </w:tblCellMar>
        </w:tblPrEx>
        <w:trPr>
          <w:trHeight w:val="525" w:hRule="atLeast"/>
        </w:trPr>
        <w:tc>
          <w:tcPr>
            <w:tcW w:w="5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right="-359" w:firstLine="105"/>
              <w:rPr>
                <w:rFonts w:hint="eastAsia" w:ascii="宋体" w:hAnsi="宋体" w:cs="宋体"/>
                <w:color w:val="auto"/>
                <w:szCs w:val="21"/>
                <w:highlight w:val="none"/>
                <w:lang w:val="zh-CN"/>
              </w:rPr>
            </w:pPr>
            <w:r>
              <w:rPr>
                <w:rFonts w:hint="eastAsia" w:ascii="宋体" w:hAnsi="宋体" w:cs="宋体"/>
                <w:color w:val="auto"/>
                <w:szCs w:val="21"/>
                <w:highlight w:val="none"/>
              </w:rPr>
              <w:t>5</w:t>
            </w:r>
          </w:p>
        </w:tc>
        <w:tc>
          <w:tcPr>
            <w:tcW w:w="86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snapToGrid w:val="0"/>
              <w:spacing w:line="360" w:lineRule="exact"/>
              <w:ind w:left="1"/>
              <w:textAlignment w:val="bottom"/>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投标保证金：</w:t>
            </w:r>
            <w:r>
              <w:rPr>
                <w:rFonts w:hint="eastAsia" w:ascii="宋体" w:hAnsi="宋体" w:cs="宋体"/>
                <w:color w:val="auto"/>
                <w:szCs w:val="21"/>
                <w:highlight w:val="none"/>
              </w:rPr>
              <w:t>无。</w:t>
            </w:r>
          </w:p>
        </w:tc>
      </w:tr>
      <w:tr>
        <w:tblPrEx>
          <w:tblCellMar>
            <w:top w:w="0" w:type="dxa"/>
            <w:left w:w="108" w:type="dxa"/>
            <w:bottom w:w="0" w:type="dxa"/>
            <w:right w:w="108" w:type="dxa"/>
          </w:tblCellMar>
        </w:tblPrEx>
        <w:trPr>
          <w:trHeight w:val="1942" w:hRule="atLeast"/>
        </w:trPr>
        <w:tc>
          <w:tcPr>
            <w:tcW w:w="5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right="-359" w:firstLine="105"/>
              <w:rPr>
                <w:rFonts w:hint="eastAsia" w:ascii="宋体" w:hAnsi="宋体" w:cs="宋体"/>
                <w:color w:val="auto"/>
                <w:szCs w:val="21"/>
                <w:highlight w:val="none"/>
              </w:rPr>
            </w:pPr>
            <w:r>
              <w:rPr>
                <w:rFonts w:hint="eastAsia" w:ascii="宋体" w:hAnsi="宋体" w:cs="宋体"/>
                <w:color w:val="auto"/>
                <w:szCs w:val="21"/>
                <w:highlight w:val="none"/>
              </w:rPr>
              <w:t>6</w:t>
            </w:r>
          </w:p>
        </w:tc>
        <w:tc>
          <w:tcPr>
            <w:tcW w:w="86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napToGrid w:val="0"/>
              <w:spacing w:line="36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投标报价及费用：</w:t>
            </w:r>
          </w:p>
          <w:p>
            <w:pPr>
              <w:pStyle w:val="8"/>
              <w:keepNext w:val="0"/>
              <w:keepLines w:val="0"/>
              <w:pageBreakBefore w:val="0"/>
              <w:widowControl w:val="0"/>
              <w:shd w:val="clear"/>
              <w:kinsoku/>
              <w:wordWrap/>
              <w:overflowPunct/>
              <w:topLinePunct w:val="0"/>
              <w:bidi w:val="0"/>
              <w:spacing w:line="360" w:lineRule="exact"/>
              <w:ind w:firstLine="0"/>
              <w:rPr>
                <w:rFonts w:hint="eastAsia" w:ascii="宋体" w:hAnsi="宋体" w:cs="宋体"/>
                <w:color w:val="auto"/>
                <w:szCs w:val="21"/>
                <w:highlight w:val="none"/>
              </w:rPr>
            </w:pPr>
            <w:r>
              <w:rPr>
                <w:rFonts w:hint="eastAsia" w:ascii="宋体" w:hAnsi="宋体" w:cs="宋体"/>
                <w:color w:val="auto"/>
                <w:szCs w:val="21"/>
                <w:highlight w:val="none"/>
              </w:rPr>
              <w:t>1、本项目投标应以人民币报价；</w:t>
            </w:r>
          </w:p>
          <w:p>
            <w:pPr>
              <w:pStyle w:val="8"/>
              <w:keepNext w:val="0"/>
              <w:keepLines w:val="0"/>
              <w:pageBreakBefore w:val="0"/>
              <w:widowControl w:val="0"/>
              <w:shd w:val="clear"/>
              <w:kinsoku/>
              <w:wordWrap/>
              <w:overflowPunct/>
              <w:topLinePunct w:val="0"/>
              <w:bidi w:val="0"/>
              <w:spacing w:line="360" w:lineRule="exact"/>
              <w:ind w:firstLine="0"/>
              <w:rPr>
                <w:rFonts w:hint="eastAsia" w:ascii="宋体" w:hAnsi="宋体" w:cs="宋体"/>
                <w:color w:val="auto"/>
                <w:szCs w:val="21"/>
                <w:highlight w:val="none"/>
              </w:rPr>
            </w:pPr>
            <w:r>
              <w:rPr>
                <w:rFonts w:hint="eastAsia" w:ascii="宋体" w:hAnsi="宋体" w:cs="宋体"/>
                <w:color w:val="auto"/>
                <w:szCs w:val="21"/>
                <w:highlight w:val="none"/>
              </w:rPr>
              <w:t>2、不论投标结果如何，投标人均应自行承担所有与投标有关的全部费用；</w:t>
            </w:r>
          </w:p>
          <w:p>
            <w:pPr>
              <w:pStyle w:val="8"/>
              <w:keepNext w:val="0"/>
              <w:keepLines w:val="0"/>
              <w:pageBreakBefore w:val="0"/>
              <w:widowControl w:val="0"/>
              <w:shd w:val="clear"/>
              <w:kinsoku/>
              <w:wordWrap/>
              <w:overflowPunct/>
              <w:topLinePunct w:val="0"/>
              <w:bidi w:val="0"/>
              <w:spacing w:line="360" w:lineRule="exact"/>
              <w:ind w:firstLine="0"/>
              <w:rPr>
                <w:rFonts w:hint="eastAsia" w:ascii="宋体" w:hAnsi="宋体" w:cs="宋体"/>
                <w:color w:val="auto"/>
                <w:szCs w:val="21"/>
                <w:highlight w:val="none"/>
              </w:rPr>
            </w:pPr>
            <w:r>
              <w:rPr>
                <w:rFonts w:hint="eastAsia" w:ascii="宋体" w:hAnsi="宋体" w:cs="宋体"/>
                <w:color w:val="auto"/>
                <w:szCs w:val="21"/>
                <w:highlight w:val="none"/>
              </w:rPr>
              <w:t>3、采购代理费用由中标人支付（收费标准为：收费额按照</w:t>
            </w:r>
            <w:r>
              <w:rPr>
                <w:rFonts w:hint="eastAsia" w:ascii="宋体" w:hAnsi="宋体" w:cs="宋体"/>
                <w:color w:val="auto"/>
                <w:szCs w:val="21"/>
                <w:highlight w:val="none"/>
                <w:lang w:val="en-US" w:eastAsia="zh-CN"/>
              </w:rPr>
              <w:t>3年</w:t>
            </w:r>
            <w:r>
              <w:rPr>
                <w:rFonts w:hint="eastAsia" w:ascii="宋体" w:hAnsi="宋体" w:cs="宋体"/>
                <w:color w:val="auto"/>
                <w:szCs w:val="21"/>
                <w:highlight w:val="none"/>
                <w:lang w:eastAsia="zh-CN"/>
              </w:rPr>
              <w:t>总价</w:t>
            </w:r>
            <w:r>
              <w:rPr>
                <w:rFonts w:hint="eastAsia" w:ascii="宋体" w:hAnsi="宋体" w:cs="宋体"/>
                <w:color w:val="auto"/>
                <w:szCs w:val="21"/>
                <w:highlight w:val="none"/>
              </w:rPr>
              <w:t>计算，100万（含）以内的按1.5%，100-500万（含）的按0.8%，</w:t>
            </w:r>
            <w:r>
              <w:rPr>
                <w:rFonts w:hint="eastAsia" w:ascii="宋体" w:hAnsi="宋体" w:cs="宋体"/>
                <w:color w:val="auto"/>
                <w:szCs w:val="21"/>
                <w:highlight w:val="none"/>
                <w:lang w:val="en-US" w:eastAsia="zh-CN"/>
              </w:rPr>
              <w:t>500万-1000万（含）的按0.45%，</w:t>
            </w:r>
            <w:r>
              <w:rPr>
                <w:rFonts w:hint="eastAsia" w:ascii="宋体" w:hAnsi="宋体" w:cs="宋体"/>
                <w:color w:val="auto"/>
                <w:szCs w:val="21"/>
                <w:highlight w:val="none"/>
              </w:rPr>
              <w:t>差额定律累进法</w:t>
            </w:r>
            <w:r>
              <w:rPr>
                <w:rFonts w:hint="eastAsia" w:ascii="宋体" w:hAnsi="宋体" w:cs="宋体"/>
                <w:color w:val="auto"/>
                <w:szCs w:val="21"/>
                <w:highlight w:val="none"/>
                <w:lang w:eastAsia="zh-CN"/>
              </w:rPr>
              <w:t>后计收</w:t>
            </w:r>
            <w:r>
              <w:rPr>
                <w:rFonts w:hint="eastAsia" w:ascii="宋体" w:hAnsi="宋体" w:cs="宋体"/>
                <w:color w:val="auto"/>
                <w:szCs w:val="21"/>
                <w:highlight w:val="none"/>
              </w:rPr>
              <w:t>。结算方式时间为：中标人领取中标通知书时以转账、银行汇票或现金缴入代理公司账户为准）。帐户名称：安吉精诚采购代理有限公司，开户银行：浙江安吉农村商业银行营业部，帐号：201000283159854</w:t>
            </w:r>
          </w:p>
        </w:tc>
      </w:tr>
      <w:tr>
        <w:tblPrEx>
          <w:tblCellMar>
            <w:top w:w="0" w:type="dxa"/>
            <w:left w:w="108" w:type="dxa"/>
            <w:bottom w:w="0" w:type="dxa"/>
            <w:right w:w="108" w:type="dxa"/>
          </w:tblCellMar>
        </w:tblPrEx>
        <w:trPr>
          <w:trHeight w:val="519" w:hRule="atLeast"/>
        </w:trPr>
        <w:tc>
          <w:tcPr>
            <w:tcW w:w="5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right="-359" w:firstLine="105"/>
              <w:rPr>
                <w:rFonts w:hint="eastAsia" w:ascii="宋体" w:hAnsi="宋体" w:cs="宋体"/>
                <w:color w:val="auto"/>
                <w:szCs w:val="21"/>
                <w:highlight w:val="none"/>
              </w:rPr>
            </w:pPr>
            <w:r>
              <w:rPr>
                <w:rFonts w:hint="eastAsia" w:ascii="宋体" w:hAnsi="宋体" w:cs="宋体"/>
                <w:color w:val="auto"/>
                <w:szCs w:val="21"/>
                <w:highlight w:val="none"/>
              </w:rPr>
              <w:t>7</w:t>
            </w:r>
          </w:p>
        </w:tc>
        <w:tc>
          <w:tcPr>
            <w:tcW w:w="86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left="71" w:right="69"/>
              <w:rPr>
                <w:rFonts w:hint="eastAsia" w:ascii="宋体" w:hAnsi="宋体" w:cs="宋体"/>
                <w:color w:val="auto"/>
                <w:szCs w:val="21"/>
                <w:highlight w:val="none"/>
                <w:u w:val="single"/>
              </w:rPr>
            </w:pPr>
            <w:r>
              <w:rPr>
                <w:rFonts w:hint="eastAsia" w:ascii="宋体" w:hAnsi="宋体" w:cs="宋体"/>
                <w:color w:val="auto"/>
                <w:szCs w:val="21"/>
                <w:highlight w:val="none"/>
                <w:lang w:val="zh-CN"/>
              </w:rPr>
              <w:t>本项目投标报价上限：</w:t>
            </w:r>
          </w:p>
          <w:p>
            <w:pPr>
              <w:keepNext w:val="0"/>
              <w:keepLines w:val="0"/>
              <w:pageBreakBefore w:val="0"/>
              <w:widowControl w:val="0"/>
              <w:shd w:val="clear"/>
              <w:kinsoku/>
              <w:wordWrap/>
              <w:overflowPunct/>
              <w:topLinePunct w:val="0"/>
              <w:autoSpaceDE w:val="0"/>
              <w:autoSpaceDN w:val="0"/>
              <w:bidi w:val="0"/>
              <w:adjustRightInd w:val="0"/>
              <w:spacing w:line="360" w:lineRule="exact"/>
              <w:ind w:left="71" w:right="69"/>
              <w:rPr>
                <w:rFonts w:hint="eastAsia" w:ascii="宋体" w:hAnsi="宋体" w:cs="宋体"/>
                <w:color w:val="auto"/>
                <w:szCs w:val="21"/>
                <w:highlight w:val="none"/>
              </w:rPr>
            </w:pPr>
            <w:r>
              <w:rPr>
                <w:rFonts w:hint="eastAsia" w:ascii="宋体" w:hAnsi="宋体" w:cs="宋体"/>
                <w:color w:val="auto"/>
                <w:szCs w:val="21"/>
                <w:highlight w:val="none"/>
              </w:rPr>
              <w:t>报价不得超预算，否则投标无效。</w:t>
            </w:r>
          </w:p>
        </w:tc>
      </w:tr>
      <w:tr>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right="-359" w:firstLine="105"/>
              <w:rPr>
                <w:rFonts w:hint="eastAsia" w:ascii="宋体" w:hAnsi="宋体" w:cs="宋体"/>
                <w:color w:val="auto"/>
                <w:szCs w:val="21"/>
                <w:highlight w:val="none"/>
              </w:rPr>
            </w:pPr>
            <w:r>
              <w:rPr>
                <w:rFonts w:hint="eastAsia" w:ascii="宋体" w:hAnsi="宋体" w:cs="宋体"/>
                <w:color w:val="auto"/>
                <w:szCs w:val="21"/>
                <w:highlight w:val="none"/>
              </w:rPr>
              <w:t>8</w:t>
            </w:r>
          </w:p>
        </w:tc>
        <w:tc>
          <w:tcPr>
            <w:tcW w:w="8614" w:type="dxa"/>
            <w:tcBorders>
              <w:top w:val="single" w:color="auto" w:sz="6" w:space="0"/>
              <w:left w:val="single" w:color="auto" w:sz="6" w:space="0"/>
              <w:bottom w:val="single" w:color="auto" w:sz="6" w:space="0"/>
              <w:right w:val="single" w:color="auto" w:sz="6" w:space="0"/>
            </w:tcBorders>
            <w:noWrap w:val="0"/>
            <w:vAlign w:val="center"/>
          </w:tcPr>
          <w:p>
            <w:pPr>
              <w:pStyle w:val="8"/>
              <w:keepNext w:val="0"/>
              <w:keepLines w:val="0"/>
              <w:pageBreakBefore w:val="0"/>
              <w:widowControl w:val="0"/>
              <w:shd w:val="clear"/>
              <w:kinsoku/>
              <w:wordWrap/>
              <w:overflowPunct/>
              <w:topLinePunct w:val="0"/>
              <w:bidi w:val="0"/>
              <w:spacing w:line="360" w:lineRule="exact"/>
              <w:ind w:firstLine="0"/>
              <w:rPr>
                <w:rFonts w:hint="eastAsia" w:ascii="宋体" w:hAnsi="宋体" w:cs="宋体"/>
                <w:color w:val="auto"/>
                <w:szCs w:val="21"/>
                <w:highlight w:val="none"/>
              </w:rPr>
            </w:pPr>
            <w:r>
              <w:rPr>
                <w:rFonts w:hint="eastAsia" w:ascii="宋体" w:hAnsi="宋体" w:cs="宋体"/>
                <w:color w:val="auto"/>
                <w:szCs w:val="21"/>
                <w:highlight w:val="none"/>
              </w:rPr>
              <w:t>现场踏勘：</w:t>
            </w:r>
          </w:p>
          <w:p>
            <w:pPr>
              <w:pStyle w:val="8"/>
              <w:keepNext w:val="0"/>
              <w:keepLines w:val="0"/>
              <w:pageBreakBefore w:val="0"/>
              <w:widowControl w:val="0"/>
              <w:shd w:val="clear"/>
              <w:kinsoku/>
              <w:wordWrap/>
              <w:overflowPunct/>
              <w:topLinePunct w:val="0"/>
              <w:bidi w:val="0"/>
              <w:spacing w:line="360" w:lineRule="exact"/>
              <w:ind w:firstLine="0"/>
              <w:rPr>
                <w:rFonts w:hint="eastAsia" w:ascii="宋体" w:hAnsi="宋体" w:cs="宋体"/>
                <w:color w:val="auto"/>
                <w:szCs w:val="21"/>
                <w:highlight w:val="none"/>
              </w:rPr>
            </w:pPr>
            <w:r>
              <w:rPr>
                <w:rFonts w:hint="eastAsia" w:ascii="宋体" w:hAnsi="宋体" w:cs="宋体"/>
                <w:color w:val="auto"/>
                <w:szCs w:val="21"/>
                <w:highlight w:val="none"/>
              </w:rPr>
              <w:t>不集中组织，投标人可自行前往，踏勘现场所发生的费用由投标人自己承担。</w:t>
            </w:r>
          </w:p>
        </w:tc>
      </w:tr>
      <w:tr>
        <w:tblPrEx>
          <w:tblCellMar>
            <w:top w:w="0" w:type="dxa"/>
            <w:left w:w="108" w:type="dxa"/>
            <w:bottom w:w="0" w:type="dxa"/>
            <w:right w:w="108" w:type="dxa"/>
          </w:tblCellMar>
        </w:tblPrEx>
        <w:trPr>
          <w:trHeight w:val="477" w:hRule="atLeast"/>
        </w:trPr>
        <w:tc>
          <w:tcPr>
            <w:tcW w:w="5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right="-359" w:firstLine="105"/>
              <w:rPr>
                <w:rFonts w:hint="eastAsia" w:ascii="宋体" w:hAnsi="宋体" w:cs="宋体"/>
                <w:color w:val="auto"/>
                <w:szCs w:val="21"/>
                <w:highlight w:val="none"/>
              </w:rPr>
            </w:pPr>
            <w:r>
              <w:rPr>
                <w:rFonts w:hint="eastAsia" w:ascii="宋体" w:hAnsi="宋体" w:cs="宋体"/>
                <w:color w:val="auto"/>
                <w:szCs w:val="21"/>
                <w:highlight w:val="none"/>
              </w:rPr>
              <w:t>9</w:t>
            </w:r>
          </w:p>
        </w:tc>
        <w:tc>
          <w:tcPr>
            <w:tcW w:w="86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bidi w:val="0"/>
              <w:spacing w:line="36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答疑与澄清：</w:t>
            </w:r>
          </w:p>
          <w:p>
            <w:pPr>
              <w:keepNext w:val="0"/>
              <w:keepLines w:val="0"/>
              <w:pageBreakBefore w:val="0"/>
              <w:widowControl w:val="0"/>
              <w:shd w:val="clear"/>
              <w:kinsoku/>
              <w:wordWrap/>
              <w:overflowPunct/>
              <w:topLinePunct w:val="0"/>
              <w:bidi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1）投标人认为招标文件使自己的权益受到损害的，可以自获取招标文件之日或者招标文件公告期限届满之日（公告期限届满后获取招标文件的，以公告期限届满之日为准）起7个工作日内，以书面形式向采购人和招标代理机构提出质疑。质疑投标人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val="0"/>
              <w:shd w:val="clear"/>
              <w:kinsoku/>
              <w:wordWrap/>
              <w:overflowPunct/>
              <w:topLinePunct w:val="0"/>
              <w:bidi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2）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pPr>
              <w:keepNext w:val="0"/>
              <w:keepLines w:val="0"/>
              <w:pageBreakBefore w:val="0"/>
              <w:widowControl w:val="0"/>
              <w:shd w:val="clear"/>
              <w:kinsoku/>
              <w:wordWrap/>
              <w:overflowPunct/>
              <w:topLinePunct w:val="0"/>
              <w:bidi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zh-CN"/>
              </w:rPr>
              <w:t>质疑受理：投标人应将书面质疑函邮寄至</w:t>
            </w:r>
            <w:r>
              <w:rPr>
                <w:rFonts w:hint="eastAsia" w:ascii="宋体" w:hAnsi="宋体" w:cs="宋体"/>
                <w:color w:val="auto"/>
                <w:szCs w:val="21"/>
                <w:highlight w:val="none"/>
              </w:rPr>
              <w:t xml:space="preserve">浙江省安吉县昌硕街道云鸿东路68-70号（云鸿铭楼）安吉精诚采购代理有限公司，联系人 </w:t>
            </w:r>
            <w:r>
              <w:rPr>
                <w:rFonts w:hint="eastAsia" w:ascii="宋体" w:hAnsi="宋体" w:cs="宋体"/>
                <w:color w:val="auto"/>
                <w:szCs w:val="21"/>
                <w:highlight w:val="none"/>
                <w:lang w:eastAsia="zh-CN"/>
              </w:rPr>
              <w:t>丁卫飞</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0572-5236715</w:t>
            </w:r>
            <w:r>
              <w:rPr>
                <w:rFonts w:hint="eastAsia" w:ascii="宋体" w:hAnsi="宋体" w:cs="宋体"/>
                <w:color w:val="auto"/>
                <w:szCs w:val="21"/>
                <w:highlight w:val="none"/>
              </w:rPr>
              <w:t>，同时将质疑函扫描件以电子邮件形式发送至电子邮箱</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fldChar w:fldCharType="begin"/>
            </w:r>
            <w:r>
              <w:rPr>
                <w:rFonts w:ascii="宋体" w:hAnsi="宋体" w:cs="宋体"/>
                <w:color w:val="auto"/>
                <w:szCs w:val="21"/>
                <w:highlight w:val="none"/>
                <w:u w:val="single"/>
              </w:rPr>
              <w:instrText xml:space="preserve"> HYPERLINK "mailto:</w:instrText>
            </w:r>
            <w:r>
              <w:rPr>
                <w:rFonts w:hint="eastAsia" w:ascii="宋体" w:hAnsi="宋体" w:cs="宋体"/>
                <w:color w:val="auto"/>
                <w:szCs w:val="21"/>
                <w:highlight w:val="none"/>
                <w:u w:val="single"/>
              </w:rPr>
              <w:instrText xml:space="preserve">379797688@qq.com</w:instrText>
            </w:r>
            <w:r>
              <w:rPr>
                <w:rFonts w:ascii="宋体" w:hAnsi="宋体" w:cs="宋体"/>
                <w:color w:val="auto"/>
                <w:szCs w:val="21"/>
                <w:highlight w:val="none"/>
                <w:u w:val="single"/>
              </w:rPr>
              <w:instrText xml:space="preserve">" </w:instrText>
            </w:r>
            <w:r>
              <w:rPr>
                <w:rFonts w:ascii="宋体" w:hAnsi="宋体" w:cs="宋体"/>
                <w:color w:val="auto"/>
                <w:szCs w:val="21"/>
                <w:highlight w:val="none"/>
                <w:u w:val="single"/>
              </w:rPr>
              <w:fldChar w:fldCharType="separate"/>
            </w:r>
            <w:r>
              <w:rPr>
                <w:rFonts w:hint="eastAsia" w:ascii="宋体" w:hAnsi="宋体" w:cs="宋体"/>
                <w:color w:val="auto"/>
                <w:szCs w:val="21"/>
                <w:highlight w:val="none"/>
                <w:u w:val="single"/>
              </w:rPr>
              <w:t>34895112</w:t>
            </w:r>
            <w:r>
              <w:rPr>
                <w:rStyle w:val="40"/>
                <w:rFonts w:hint="eastAsia" w:ascii="宋体" w:hAnsi="宋体" w:cs="宋体"/>
                <w:color w:val="auto"/>
                <w:szCs w:val="21"/>
                <w:highlight w:val="none"/>
              </w:rPr>
              <w:t>@qq.com</w:t>
            </w:r>
            <w:r>
              <w:rPr>
                <w:rFonts w:ascii="宋体" w:hAnsi="宋体" w:cs="宋体"/>
                <w:color w:val="auto"/>
                <w:szCs w:val="21"/>
                <w:highlight w:val="none"/>
                <w:u w:val="single"/>
              </w:rPr>
              <w:fldChar w:fldCharType="end"/>
            </w:r>
            <w:r>
              <w:rPr>
                <w:rFonts w:hint="eastAsia" w:ascii="宋体" w:hAnsi="宋体" w:cs="宋体"/>
                <w:color w:val="auto"/>
                <w:szCs w:val="21"/>
                <w:highlight w:val="none"/>
                <w:u w:val="single"/>
              </w:rPr>
              <w:t>。</w:t>
            </w:r>
          </w:p>
        </w:tc>
      </w:tr>
      <w:tr>
        <w:tblPrEx>
          <w:tblCellMar>
            <w:top w:w="0" w:type="dxa"/>
            <w:left w:w="108" w:type="dxa"/>
            <w:bottom w:w="0" w:type="dxa"/>
            <w:right w:w="108" w:type="dxa"/>
          </w:tblCellMar>
        </w:tblPrEx>
        <w:trPr>
          <w:trHeight w:val="4760" w:hRule="atLeast"/>
        </w:trPr>
        <w:tc>
          <w:tcPr>
            <w:tcW w:w="5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right="-359" w:firstLine="105"/>
              <w:rPr>
                <w:rFonts w:hint="eastAsia" w:ascii="宋体" w:hAnsi="宋体" w:cs="宋体"/>
                <w:color w:val="auto"/>
                <w:szCs w:val="21"/>
                <w:highlight w:val="none"/>
              </w:rPr>
            </w:pPr>
            <w:r>
              <w:rPr>
                <w:rFonts w:hint="eastAsia" w:ascii="宋体" w:hAnsi="宋体" w:cs="宋体"/>
                <w:color w:val="auto"/>
                <w:szCs w:val="21"/>
                <w:highlight w:val="none"/>
              </w:rPr>
              <w:t>10</w:t>
            </w:r>
          </w:p>
        </w:tc>
        <w:tc>
          <w:tcPr>
            <w:tcW w:w="86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highlight w:val="none"/>
              </w:rPr>
            </w:pPr>
            <w:r>
              <w:rPr>
                <w:rFonts w:hint="eastAsia"/>
                <w:highlight w:val="none"/>
              </w:rPr>
              <w:t>投标文件的制作及组成：</w:t>
            </w:r>
          </w:p>
          <w:p>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highlight w:val="none"/>
                <w:lang w:val="zh-CN"/>
              </w:rPr>
            </w:pPr>
            <w:r>
              <w:rPr>
                <w:rFonts w:hint="eastAsia"/>
                <w:highlight w:val="none"/>
              </w:rPr>
              <w:t>(1)</w:t>
            </w:r>
            <w:r>
              <w:rPr>
                <w:rFonts w:hint="eastAsia"/>
                <w:highlight w:val="none"/>
                <w:lang w:val="zh-CN"/>
              </w:rPr>
              <w:t>投标文件组成：</w:t>
            </w:r>
          </w:p>
          <w:p>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highlight w:val="none"/>
                <w:lang w:val="zh-CN"/>
              </w:rPr>
            </w:pPr>
            <w:r>
              <w:rPr>
                <w:rFonts w:hint="eastAsia"/>
                <w:highlight w:val="none"/>
                <w:lang w:val="zh-CN"/>
              </w:rPr>
              <w:t>资格证明文件、报价文件、技术资信文件。</w:t>
            </w:r>
          </w:p>
          <w:p>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highlight w:val="none"/>
              </w:rPr>
            </w:pPr>
            <w:r>
              <w:rPr>
                <w:rFonts w:hint="eastAsia"/>
                <w:highlight w:val="none"/>
              </w:rPr>
              <w:t>(2)投标文件编制：</w:t>
            </w:r>
          </w:p>
          <w:p>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highlight w:val="none"/>
              </w:rPr>
            </w:pPr>
            <w:r>
              <w:rPr>
                <w:rFonts w:hint="eastAsia"/>
                <w:highlight w:val="none"/>
              </w:rPr>
              <w:t>投标人应先安装“政采云电子交易客户端”，并按照本招标文件和“政采云平台”的要求，通过“政采云电子交易客户端”编制并加密投标文件。</w:t>
            </w:r>
          </w:p>
          <w:p>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highlight w:val="none"/>
              </w:rPr>
            </w:pPr>
            <w:r>
              <w:rPr>
                <w:rFonts w:hint="eastAsia"/>
                <w:highlight w:val="none"/>
              </w:rPr>
              <w:t>(3)投标文件的形式：</w:t>
            </w:r>
          </w:p>
          <w:p>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highlight w:val="none"/>
              </w:rPr>
            </w:pPr>
            <w:r>
              <w:rPr>
                <w:rFonts w:hint="eastAsia"/>
                <w:highlight w:val="none"/>
              </w:rPr>
              <w:t>☑电子投标文件（包括“电子加密投标文件”和“备份投标文件”，在投标文件编制完成后同时生成）。</w:t>
            </w:r>
          </w:p>
          <w:p>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highlight w:val="none"/>
              </w:rPr>
            </w:pPr>
            <w:r>
              <w:rPr>
                <w:rFonts w:hint="eastAsia"/>
                <w:highlight w:val="none"/>
              </w:rPr>
              <w:t>“电子加密投标文件”是指通过“政采云电子交易客户端”完成投标文件编制后生成并加密的数据电文形式的投标文件；“备份投标文件”是指与“电子加密投标文件”同时生成的数据电文形式的电子文件，其他方式编制的备份投标文件无效。</w:t>
            </w:r>
          </w:p>
          <w:p>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highlight w:val="none"/>
              </w:rPr>
            </w:pPr>
            <w:r>
              <w:rPr>
                <w:rFonts w:hint="eastAsia"/>
                <w:highlight w:val="none"/>
              </w:rPr>
              <w:t>(4)投标文件份数：</w:t>
            </w:r>
          </w:p>
          <w:p>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highlight w:val="none"/>
              </w:rPr>
            </w:pPr>
            <w:r>
              <w:rPr>
                <w:rFonts w:hint="eastAsia"/>
                <w:highlight w:val="none"/>
              </w:rPr>
              <w:t>“电子加密投标文件”(必须提交）：在线上传递交一份。</w:t>
            </w:r>
          </w:p>
          <w:p>
            <w:pPr>
              <w:keepNext w:val="0"/>
              <w:keepLines w:val="0"/>
              <w:pageBreakBefore w:val="0"/>
              <w:widowControl/>
              <w:shd w:val="clear"/>
              <w:kinsoku/>
              <w:wordWrap/>
              <w:overflowPunct/>
              <w:topLinePunct w:val="0"/>
              <w:autoSpaceDE w:val="0"/>
              <w:autoSpaceDN w:val="0"/>
              <w:bidi w:val="0"/>
              <w:adjustRightInd w:val="0"/>
              <w:spacing w:line="360" w:lineRule="exact"/>
              <w:jc w:val="left"/>
              <w:rPr>
                <w:rFonts w:hint="eastAsia" w:ascii="Times New Roman" w:hAnsi="Times New Roman" w:eastAsia="宋体" w:cs="Times New Roman"/>
                <w:highlight w:val="none"/>
              </w:rPr>
            </w:pPr>
            <w:r>
              <w:rPr>
                <w:rFonts w:hint="eastAsia"/>
                <w:highlight w:val="none"/>
              </w:rPr>
              <w:t>“备份投标文件”（不强制提交）：密封包装后在投标截止时间前邮寄至安吉县昌硕街道云鸿东路68-70号（云鸿铭楼）安吉精诚采购代理有限公司，联系人</w:t>
            </w:r>
            <w:r>
              <w:rPr>
                <w:rFonts w:hint="eastAsia"/>
                <w:highlight w:val="none"/>
                <w:lang w:val="en-US" w:eastAsia="zh-CN"/>
              </w:rPr>
              <w:t>宋涛</w:t>
            </w:r>
            <w:r>
              <w:rPr>
                <w:rFonts w:hint="eastAsia"/>
                <w:highlight w:val="none"/>
              </w:rPr>
              <w:t>，联系电话</w:t>
            </w:r>
            <w:r>
              <w:rPr>
                <w:rFonts w:hint="eastAsia" w:ascii="Times New Roman" w:hAnsi="Times New Roman" w:eastAsia="宋体" w:cs="Times New Roman"/>
                <w:highlight w:val="none"/>
              </w:rPr>
              <w:t>0572-5028961，数量为U盘一份。</w:t>
            </w:r>
          </w:p>
          <w:p>
            <w:pPr>
              <w:shd w:val="clear"/>
              <w:autoSpaceDE w:val="0"/>
              <w:autoSpaceDN w:val="0"/>
              <w:adjustRightInd w:val="0"/>
              <w:spacing w:line="360" w:lineRule="exact"/>
              <w:jc w:val="left"/>
              <w:rPr>
                <w:rFonts w:hint="eastAsia" w:ascii="Times New Roman" w:hAnsi="Times New Roman" w:eastAsia="宋体" w:cs="Times New Roman"/>
                <w:b w:val="0"/>
                <w:bCs w:val="0"/>
                <w:highlight w:val="none"/>
                <w:lang w:eastAsia="zh-CN"/>
              </w:rPr>
            </w:pPr>
            <w:r>
              <w:rPr>
                <w:rFonts w:hint="eastAsia" w:ascii="Times New Roman" w:hAnsi="Times New Roman" w:eastAsia="宋体" w:cs="Times New Roman"/>
                <w:b w:val="0"/>
                <w:bCs w:val="0"/>
                <w:highlight w:val="none"/>
              </w:rPr>
              <w:t>(5)电子版演示资料一式二份</w:t>
            </w:r>
            <w:r>
              <w:rPr>
                <w:rFonts w:hint="eastAsia" w:ascii="Times New Roman" w:hAnsi="Times New Roman" w:eastAsia="宋体" w:cs="Times New Roman"/>
                <w:b w:val="0"/>
                <w:bCs w:val="0"/>
                <w:highlight w:val="none"/>
                <w:lang w:eastAsia="zh-CN"/>
              </w:rPr>
              <w:t>（如有）</w:t>
            </w:r>
          </w:p>
          <w:p>
            <w:pPr>
              <w:shd w:val="clear"/>
              <w:autoSpaceDE w:val="0"/>
              <w:autoSpaceDN w:val="0"/>
              <w:adjustRightInd w:val="0"/>
              <w:spacing w:line="360" w:lineRule="exact"/>
              <w:jc w:val="left"/>
              <w:rPr>
                <w:highlight w:val="none"/>
              </w:rPr>
            </w:pPr>
            <w:r>
              <w:rPr>
                <w:rFonts w:hint="eastAsia" w:ascii="Times New Roman" w:hAnsi="Times New Roman" w:eastAsia="宋体" w:cs="Times New Roman"/>
                <w:b w:val="0"/>
                <w:bCs w:val="0"/>
                <w:highlight w:val="none"/>
              </w:rPr>
              <w:t>密封包装后在响应文件递交截止时间前邮寄至安吉县昌硕街道云鸿东路68-70号（云鸿铭楼）安吉精诚采购代理有限公司，联系人宋涛，联系电话0572-5028961。</w:t>
            </w:r>
          </w:p>
        </w:tc>
      </w:tr>
      <w:tr>
        <w:tblPrEx>
          <w:tblCellMar>
            <w:top w:w="0" w:type="dxa"/>
            <w:left w:w="108" w:type="dxa"/>
            <w:bottom w:w="0" w:type="dxa"/>
            <w:right w:w="108" w:type="dxa"/>
          </w:tblCellMar>
        </w:tblPrEx>
        <w:trPr>
          <w:trHeight w:val="3765" w:hRule="atLeast"/>
        </w:trPr>
        <w:tc>
          <w:tcPr>
            <w:tcW w:w="5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right="-359" w:firstLine="105"/>
              <w:rPr>
                <w:rFonts w:hint="eastAsia" w:ascii="宋体" w:hAnsi="宋体" w:cs="宋体"/>
                <w:color w:val="auto"/>
                <w:szCs w:val="21"/>
                <w:highlight w:val="none"/>
              </w:rPr>
            </w:pPr>
            <w:r>
              <w:rPr>
                <w:rFonts w:hint="eastAsia" w:ascii="宋体" w:hAnsi="宋体" w:cs="宋体"/>
                <w:color w:val="auto"/>
                <w:szCs w:val="21"/>
                <w:highlight w:val="none"/>
              </w:rPr>
              <w:t>11</w:t>
            </w:r>
          </w:p>
        </w:tc>
        <w:tc>
          <w:tcPr>
            <w:tcW w:w="86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color w:val="auto"/>
                <w:highlight w:val="none"/>
              </w:rPr>
            </w:pPr>
            <w:r>
              <w:rPr>
                <w:rFonts w:hint="eastAsia"/>
                <w:color w:val="auto"/>
                <w:highlight w:val="none"/>
              </w:rPr>
              <w:t>投标文件的上传和递交：</w:t>
            </w:r>
          </w:p>
          <w:p>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color w:val="auto"/>
                <w:highlight w:val="none"/>
              </w:rPr>
            </w:pPr>
            <w:r>
              <w:rPr>
                <w:rFonts w:hint="eastAsia"/>
                <w:color w:val="auto"/>
                <w:highlight w:val="none"/>
              </w:rPr>
              <w:t>（1）“电子加密投标文件”的上传、递交：</w:t>
            </w:r>
          </w:p>
          <w:p>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color w:val="auto"/>
                <w:highlight w:val="none"/>
              </w:rPr>
            </w:pPr>
            <w:r>
              <w:rPr>
                <w:rFonts w:hint="eastAsia"/>
                <w:color w:val="auto"/>
                <w:highlight w:val="none"/>
              </w:rPr>
              <w:t>投标人应在投标截止时间前将“电子加密投标文件”成功上传递交至“政采云平台”，否则投标无效。</w:t>
            </w:r>
          </w:p>
          <w:p>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color w:val="auto"/>
                <w:highlight w:val="none"/>
              </w:rPr>
            </w:pPr>
            <w:r>
              <w:rPr>
                <w:rFonts w:hint="eastAsia"/>
                <w:color w:val="auto"/>
                <w:highlight w:val="none"/>
              </w:rPr>
              <w:t>“电子加密投标文件”成功上传递交后，投标人可自行打印投标文件接收回执。</w:t>
            </w:r>
          </w:p>
          <w:p>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color w:val="auto"/>
                <w:highlight w:val="none"/>
              </w:rPr>
            </w:pPr>
            <w:r>
              <w:rPr>
                <w:rFonts w:hint="eastAsia"/>
                <w:color w:val="auto"/>
                <w:highlight w:val="none"/>
              </w:rPr>
              <w:t>（2）“备份投标文件”的密封包装、递交：</w:t>
            </w:r>
          </w:p>
          <w:p>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color w:val="auto"/>
                <w:highlight w:val="none"/>
              </w:rPr>
            </w:pPr>
            <w:r>
              <w:rPr>
                <w:rFonts w:hint="eastAsia"/>
                <w:color w:val="auto"/>
                <w:highlight w:val="none"/>
              </w:rPr>
              <w:t>投标人在“政采云平台”完成“电子加密投标文件”的上传递交后，还可以在投标截止时间前递交以介质（U盘）存储的 “备份投标文件”（一份）；</w:t>
            </w:r>
          </w:p>
          <w:p>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color w:val="auto"/>
                <w:highlight w:val="none"/>
              </w:rPr>
            </w:pPr>
            <w:r>
              <w:rPr>
                <w:rFonts w:hint="eastAsia"/>
                <w:color w:val="auto"/>
                <w:highlight w:val="none"/>
              </w:rPr>
              <w:t>“备份投标文件”应当密封包装，并在包装上标注投标项目名称、投标单位名称并加盖公章。没有密封包装或者逾期送达的“备份投标文件”无效；</w:t>
            </w:r>
          </w:p>
          <w:p>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color w:val="auto"/>
                <w:highlight w:val="none"/>
              </w:rPr>
            </w:pPr>
            <w:r>
              <w:rPr>
                <w:rFonts w:hint="eastAsia"/>
                <w:color w:val="auto"/>
                <w:highlight w:val="none"/>
              </w:rPr>
              <w:t>通过“政府采购云平台”成功上传递交的“电子加密投标文件”已按时解密的，“备份投标文件”自动失效。投标截止时间前，投标人仅递交了“备份投标文件”而未将“电子加密投标文件”成功上传至“政采云平台”的，投标无效。</w:t>
            </w:r>
          </w:p>
        </w:tc>
      </w:tr>
      <w:tr>
        <w:tblPrEx>
          <w:tblCellMar>
            <w:top w:w="0" w:type="dxa"/>
            <w:left w:w="108" w:type="dxa"/>
            <w:bottom w:w="0" w:type="dxa"/>
            <w:right w:w="108" w:type="dxa"/>
          </w:tblCellMar>
        </w:tblPrEx>
        <w:trPr>
          <w:trHeight w:val="977" w:hRule="atLeast"/>
        </w:trPr>
        <w:tc>
          <w:tcPr>
            <w:tcW w:w="5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right="-359" w:firstLine="105"/>
              <w:rPr>
                <w:rFonts w:hint="eastAsia" w:ascii="宋体" w:hAnsi="宋体" w:cs="宋体"/>
                <w:color w:val="auto"/>
                <w:szCs w:val="21"/>
                <w:highlight w:val="none"/>
              </w:rPr>
            </w:pPr>
            <w:r>
              <w:rPr>
                <w:rFonts w:hint="eastAsia" w:ascii="宋体" w:hAnsi="宋体" w:cs="宋体"/>
                <w:color w:val="auto"/>
                <w:szCs w:val="21"/>
                <w:highlight w:val="none"/>
              </w:rPr>
              <w:t>12</w:t>
            </w:r>
          </w:p>
        </w:tc>
        <w:tc>
          <w:tcPr>
            <w:tcW w:w="86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color w:val="auto"/>
                <w:highlight w:val="none"/>
                <w:lang w:val="zh-CN"/>
              </w:rPr>
            </w:pPr>
            <w:r>
              <w:rPr>
                <w:rFonts w:hint="eastAsia"/>
                <w:color w:val="auto"/>
                <w:highlight w:val="none"/>
                <w:lang w:val="zh-CN"/>
              </w:rPr>
              <w:t>投标文件递交地点及截止时间：</w:t>
            </w:r>
          </w:p>
          <w:p>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color w:val="auto"/>
                <w:highlight w:val="none"/>
                <w:lang w:val="zh-CN"/>
              </w:rPr>
            </w:pPr>
            <w:r>
              <w:rPr>
                <w:rFonts w:hint="eastAsia"/>
                <w:color w:val="auto"/>
                <w:highlight w:val="none"/>
                <w:lang w:val="zh-CN"/>
              </w:rPr>
              <w:t>地点：</w:t>
            </w:r>
            <w:r>
              <w:rPr>
                <w:rFonts w:hint="eastAsia"/>
                <w:color w:val="auto"/>
                <w:highlight w:val="none"/>
              </w:rPr>
              <w:t>通过“政采云平台（www.zcygov.cn）”实行在线投标响应</w:t>
            </w:r>
          </w:p>
          <w:p>
            <w:pPr>
              <w:keepNext w:val="0"/>
              <w:keepLines w:val="0"/>
              <w:pageBreakBefore w:val="0"/>
              <w:widowControl w:val="0"/>
              <w:shd w:val="clear"/>
              <w:kinsoku/>
              <w:wordWrap/>
              <w:overflowPunct/>
              <w:topLinePunct w:val="0"/>
              <w:autoSpaceDE w:val="0"/>
              <w:autoSpaceDN w:val="0"/>
              <w:bidi w:val="0"/>
              <w:adjustRightInd w:val="0"/>
              <w:spacing w:line="360" w:lineRule="exact"/>
              <w:jc w:val="left"/>
              <w:rPr>
                <w:color w:val="auto"/>
                <w:highlight w:val="none"/>
              </w:rPr>
            </w:pPr>
            <w:r>
              <w:rPr>
                <w:rFonts w:hint="eastAsia"/>
                <w:color w:val="auto"/>
                <w:highlight w:val="none"/>
                <w:lang w:val="zh-CN"/>
              </w:rPr>
              <w:t>时间：</w:t>
            </w:r>
            <w:r>
              <w:rPr>
                <w:rFonts w:hint="eastAsia" w:ascii="宋体" w:hAnsi="宋体" w:cs="宋体"/>
                <w:color w:val="auto"/>
                <w:szCs w:val="21"/>
                <w:highlight w:val="none"/>
                <w:lang w:eastAsia="zh-CN"/>
              </w:rPr>
              <w:t>2024年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09：00</w:t>
            </w:r>
            <w:r>
              <w:rPr>
                <w:rFonts w:hint="eastAsia"/>
                <w:color w:val="auto"/>
                <w:highlight w:val="none"/>
              </w:rPr>
              <w:t>时</w:t>
            </w:r>
          </w:p>
        </w:tc>
      </w:tr>
      <w:tr>
        <w:tblPrEx>
          <w:tblCellMar>
            <w:top w:w="0" w:type="dxa"/>
            <w:left w:w="108" w:type="dxa"/>
            <w:bottom w:w="0" w:type="dxa"/>
            <w:right w:w="108" w:type="dxa"/>
          </w:tblCellMar>
        </w:tblPrEx>
        <w:trPr>
          <w:trHeight w:val="269" w:hRule="atLeast"/>
        </w:trPr>
        <w:tc>
          <w:tcPr>
            <w:tcW w:w="5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right="-359" w:firstLine="105"/>
              <w:rPr>
                <w:rFonts w:ascii="宋体" w:hAnsi="宋体" w:cs="宋体"/>
                <w:color w:val="auto"/>
                <w:szCs w:val="21"/>
                <w:highlight w:val="none"/>
              </w:rPr>
            </w:pPr>
            <w:r>
              <w:rPr>
                <w:rFonts w:hint="eastAsia" w:ascii="宋体" w:hAnsi="宋体" w:cs="宋体"/>
                <w:color w:val="auto"/>
                <w:szCs w:val="21"/>
                <w:highlight w:val="none"/>
              </w:rPr>
              <w:t>13</w:t>
            </w:r>
          </w:p>
        </w:tc>
        <w:tc>
          <w:tcPr>
            <w:tcW w:w="86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right="69"/>
              <w:rPr>
                <w:rFonts w:hint="eastAsia" w:ascii="宋体" w:hAnsi="宋体" w:cs="宋体"/>
                <w:color w:val="auto"/>
                <w:szCs w:val="21"/>
                <w:highlight w:val="none"/>
              </w:rPr>
            </w:pPr>
            <w:r>
              <w:rPr>
                <w:rFonts w:hint="eastAsia" w:ascii="宋体" w:hAnsi="宋体" w:cs="宋体"/>
                <w:color w:val="auto"/>
                <w:szCs w:val="21"/>
                <w:highlight w:val="none"/>
                <w:lang w:val="zh-CN"/>
              </w:rPr>
              <w:t>开标会议时间和地点</w:t>
            </w:r>
            <w:r>
              <w:rPr>
                <w:rFonts w:hint="eastAsia" w:ascii="宋体" w:hAnsi="宋体" w:cs="宋体"/>
                <w:color w:val="auto"/>
                <w:szCs w:val="21"/>
                <w:highlight w:val="none"/>
              </w:rPr>
              <w:t>：</w:t>
            </w:r>
          </w:p>
          <w:p>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lang w:val="zh-CN"/>
              </w:rPr>
              <w:t>地点</w:t>
            </w:r>
            <w:r>
              <w:rPr>
                <w:rFonts w:hint="eastAsia" w:ascii="宋体" w:hAnsi="宋体" w:cs="宋体"/>
                <w:color w:val="auto"/>
                <w:szCs w:val="21"/>
                <w:highlight w:val="none"/>
              </w:rPr>
              <w:t>：通过“政采云平台（www.zcygov.cn）”实行在线开标</w:t>
            </w:r>
          </w:p>
          <w:p>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时间：</w:t>
            </w:r>
            <w:r>
              <w:rPr>
                <w:rFonts w:hint="eastAsia" w:ascii="宋体" w:hAnsi="宋体" w:cs="宋体"/>
                <w:color w:val="auto"/>
                <w:szCs w:val="21"/>
                <w:highlight w:val="none"/>
                <w:lang w:eastAsia="zh-CN"/>
              </w:rPr>
              <w:t>2024年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09：00</w:t>
            </w:r>
            <w:r>
              <w:rPr>
                <w:rFonts w:hint="eastAsia" w:ascii="宋体" w:hAnsi="宋体" w:cs="宋体"/>
                <w:color w:val="auto"/>
                <w:szCs w:val="21"/>
                <w:highlight w:val="none"/>
              </w:rPr>
              <w:t>时</w:t>
            </w:r>
          </w:p>
          <w:p>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投标人应准时在线参加。</w:t>
            </w:r>
          </w:p>
        </w:tc>
      </w:tr>
      <w:tr>
        <w:tblPrEx>
          <w:tblCellMar>
            <w:top w:w="0" w:type="dxa"/>
            <w:left w:w="108" w:type="dxa"/>
            <w:bottom w:w="0" w:type="dxa"/>
            <w:right w:w="108" w:type="dxa"/>
          </w:tblCellMar>
        </w:tblPrEx>
        <w:trPr>
          <w:trHeight w:val="2630" w:hRule="atLeast"/>
        </w:trPr>
        <w:tc>
          <w:tcPr>
            <w:tcW w:w="5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right="-359" w:firstLine="105"/>
              <w:rPr>
                <w:rFonts w:hint="eastAsia" w:ascii="宋体" w:hAnsi="宋体" w:cs="宋体"/>
                <w:color w:val="auto"/>
                <w:szCs w:val="21"/>
                <w:highlight w:val="none"/>
              </w:rPr>
            </w:pPr>
            <w:r>
              <w:rPr>
                <w:rFonts w:hint="eastAsia" w:ascii="宋体" w:hAnsi="宋体" w:cs="宋体"/>
                <w:color w:val="auto"/>
                <w:szCs w:val="21"/>
                <w:highlight w:val="none"/>
              </w:rPr>
              <w:t>14</w:t>
            </w:r>
          </w:p>
        </w:tc>
        <w:tc>
          <w:tcPr>
            <w:tcW w:w="86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电子加密投标文件的解密和异常情况处理：</w:t>
            </w:r>
          </w:p>
          <w:p>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（1）开标后，采购组织机构将向各投标人发出“电子加密投标文件”的解密通知，各投标人代表应当在接到解密通知后30分钟内自行完成“电子加密投标文件”的在线解密。</w:t>
            </w:r>
          </w:p>
          <w:p>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2）通过“政采云平台”成功上传递交的“电子加密投标文件”无法按时解密的，投标人如按规定递交了“备份投标文件”的，以“备份投标文件”为依据（由采购组织机构按“政采云平台”操作规范将“备份投标文件”上传至“政采云平台”，上传成功后，“电子加密投标文件”自动失效），否则视为投标文件撤回。</w:t>
            </w:r>
          </w:p>
          <w:p>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（3）投标截止时间前，投标人仅递交了“备份投标文件”而未将电子加密投标文件上传至“政府采购云平台”的，投标无效。</w:t>
            </w:r>
          </w:p>
        </w:tc>
      </w:tr>
      <w:tr>
        <w:tblPrEx>
          <w:tblCellMar>
            <w:top w:w="0" w:type="dxa"/>
            <w:left w:w="108" w:type="dxa"/>
            <w:bottom w:w="0" w:type="dxa"/>
            <w:right w:w="108" w:type="dxa"/>
          </w:tblCellMar>
        </w:tblPrEx>
        <w:trPr>
          <w:trHeight w:val="3005" w:hRule="atLeast"/>
        </w:trPr>
        <w:tc>
          <w:tcPr>
            <w:tcW w:w="5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right="-359" w:firstLine="105"/>
              <w:rPr>
                <w:rFonts w:ascii="宋体" w:hAnsi="宋体" w:cs="宋体"/>
                <w:color w:val="auto"/>
                <w:szCs w:val="21"/>
                <w:highlight w:val="none"/>
              </w:rPr>
            </w:pPr>
            <w:r>
              <w:rPr>
                <w:rFonts w:hint="eastAsia" w:ascii="宋体" w:hAnsi="宋体" w:cs="宋体"/>
                <w:color w:val="auto"/>
                <w:szCs w:val="21"/>
                <w:highlight w:val="none"/>
              </w:rPr>
              <w:t>15</w:t>
            </w:r>
          </w:p>
        </w:tc>
        <w:tc>
          <w:tcPr>
            <w:tcW w:w="8614" w:type="dxa"/>
            <w:tcBorders>
              <w:top w:val="single" w:color="auto" w:sz="6" w:space="0"/>
              <w:left w:val="single" w:color="auto" w:sz="6" w:space="0"/>
              <w:bottom w:val="single" w:color="auto" w:sz="6" w:space="0"/>
              <w:right w:val="single" w:color="auto" w:sz="6" w:space="0"/>
            </w:tcBorders>
            <w:noWrap w:val="0"/>
            <w:vAlign w:val="center"/>
          </w:tcPr>
          <w:p>
            <w:pPr>
              <w:pStyle w:val="6"/>
              <w:keepNext w:val="0"/>
              <w:keepLines w:val="0"/>
              <w:pageBreakBefore w:val="0"/>
              <w:widowControl w:val="0"/>
              <w:numPr>
                <w:ilvl w:val="0"/>
                <w:numId w:val="0"/>
              </w:numPr>
              <w:shd w:val="clear"/>
              <w:tabs>
                <w:tab w:val="clear" w:pos="720"/>
              </w:tabs>
              <w:kinsoku/>
              <w:wordWrap/>
              <w:overflowPunct/>
              <w:topLinePunct w:val="0"/>
              <w:bidi w:val="0"/>
              <w:spacing w:before="0" w:after="0" w:line="360" w:lineRule="exac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可中止电子交易活动的情形</w:t>
            </w:r>
          </w:p>
          <w:p>
            <w:pPr>
              <w:keepNext w:val="0"/>
              <w:keepLines w:val="0"/>
              <w:pageBreakBefore w:val="0"/>
              <w:widowControl w:val="0"/>
              <w:shd w:val="clear"/>
              <w:kinsoku/>
              <w:wordWrap/>
              <w:overflowPunct/>
              <w:topLinePunct w:val="0"/>
              <w:bidi w:val="0"/>
              <w:spacing w:line="360" w:lineRule="exact"/>
              <w:ind w:firstLine="369" w:firstLineChars="176"/>
              <w:rPr>
                <w:rFonts w:hint="eastAsia" w:ascii="宋体" w:hAnsi="宋体" w:cs="宋体"/>
                <w:color w:val="auto"/>
                <w:szCs w:val="21"/>
                <w:highlight w:val="none"/>
              </w:rPr>
            </w:pPr>
            <w:r>
              <w:rPr>
                <w:rFonts w:hint="eastAsia" w:ascii="宋体" w:hAnsi="宋体" w:cs="宋体"/>
                <w:color w:val="auto"/>
                <w:szCs w:val="21"/>
                <w:highlight w:val="none"/>
              </w:rPr>
              <w:t>采购过程中出现以下情形，导致电子交易平台无法正常运行，或者无法保证电子交易的公平、公正和安全时，采购组织机构可中止电子交易活动：</w:t>
            </w:r>
          </w:p>
          <w:p>
            <w:pPr>
              <w:keepNext w:val="0"/>
              <w:keepLines w:val="0"/>
              <w:pageBreakBefore w:val="0"/>
              <w:widowControl w:val="0"/>
              <w:shd w:val="clear"/>
              <w:kinsoku/>
              <w:wordWrap/>
              <w:overflowPunct/>
              <w:topLinePunct w:val="0"/>
              <w:bidi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（1）电子交易平台发生故障而无法登录访问的；</w:t>
            </w:r>
          </w:p>
          <w:p>
            <w:pPr>
              <w:keepNext w:val="0"/>
              <w:keepLines w:val="0"/>
              <w:pageBreakBefore w:val="0"/>
              <w:widowControl w:val="0"/>
              <w:shd w:val="clear"/>
              <w:kinsoku/>
              <w:wordWrap/>
              <w:overflowPunct/>
              <w:topLinePunct w:val="0"/>
              <w:bidi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pPr>
              <w:keepNext w:val="0"/>
              <w:keepLines w:val="0"/>
              <w:pageBreakBefore w:val="0"/>
              <w:widowControl w:val="0"/>
              <w:shd w:val="clear"/>
              <w:kinsoku/>
              <w:wordWrap/>
              <w:overflowPunct/>
              <w:topLinePunct w:val="0"/>
              <w:bidi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pPr>
              <w:keepNext w:val="0"/>
              <w:keepLines w:val="0"/>
              <w:pageBreakBefore w:val="0"/>
              <w:widowControl w:val="0"/>
              <w:shd w:val="clear"/>
              <w:kinsoku/>
              <w:wordWrap/>
              <w:overflowPunct/>
              <w:topLinePunct w:val="0"/>
              <w:bidi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（4）病毒发作导致不能进行正常操作的；</w:t>
            </w:r>
          </w:p>
          <w:p>
            <w:pPr>
              <w:keepNext w:val="0"/>
              <w:keepLines w:val="0"/>
              <w:pageBreakBefore w:val="0"/>
              <w:widowControl w:val="0"/>
              <w:shd w:val="clear"/>
              <w:kinsoku/>
              <w:wordWrap/>
              <w:overflowPunct/>
              <w:topLinePunct w:val="0"/>
              <w:bidi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（5）其他无法保证电子交易的公平、公正和安全的情况。</w:t>
            </w:r>
          </w:p>
          <w:p>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rPr>
              <w:t>出现上述情形，不影响采购公平、公正性的，采购组织机构可以待上述情形消除后继续组织电子交易活动，也可以决定某些环节以纸质形式进行；影响或可能影响采购公平、公正性的，应当重新采购。</w:t>
            </w:r>
          </w:p>
        </w:tc>
      </w:tr>
      <w:tr>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right="-359" w:firstLine="105"/>
              <w:rPr>
                <w:rFonts w:ascii="宋体" w:hAnsi="宋体" w:cs="宋体"/>
                <w:color w:val="auto"/>
                <w:szCs w:val="21"/>
                <w:highlight w:val="none"/>
              </w:rPr>
            </w:pPr>
            <w:r>
              <w:rPr>
                <w:rFonts w:hint="eastAsia" w:ascii="宋体" w:hAnsi="宋体" w:cs="宋体"/>
                <w:color w:val="auto"/>
                <w:szCs w:val="21"/>
                <w:highlight w:val="none"/>
              </w:rPr>
              <w:t>16</w:t>
            </w:r>
          </w:p>
        </w:tc>
        <w:tc>
          <w:tcPr>
            <w:tcW w:w="86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评标办法及标准：</w:t>
            </w:r>
          </w:p>
          <w:p>
            <w:pPr>
              <w:keepNext w:val="0"/>
              <w:keepLines w:val="0"/>
              <w:pageBreakBefore w:val="0"/>
              <w:widowControl w:val="0"/>
              <w:shd w:val="clear"/>
              <w:kinsoku/>
              <w:wordWrap/>
              <w:overflowPunct/>
              <w:topLinePunct w:val="0"/>
              <w:autoSpaceDE w:val="0"/>
              <w:autoSpaceDN w:val="0"/>
              <w:bidi w:val="0"/>
              <w:adjustRightInd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综合评分法，按照招标文件第四章评标办法及标准。</w:t>
            </w:r>
          </w:p>
        </w:tc>
      </w:tr>
      <w:tr>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right="-359" w:firstLine="105"/>
              <w:rPr>
                <w:rFonts w:hint="eastAsia" w:ascii="宋体" w:hAnsi="宋体" w:cs="宋体"/>
                <w:color w:val="auto"/>
                <w:szCs w:val="21"/>
                <w:highlight w:val="none"/>
              </w:rPr>
            </w:pPr>
            <w:r>
              <w:rPr>
                <w:rFonts w:hint="eastAsia" w:ascii="宋体" w:hAnsi="宋体" w:cs="宋体"/>
                <w:color w:val="auto"/>
                <w:szCs w:val="21"/>
                <w:highlight w:val="none"/>
              </w:rPr>
              <w:t>17</w:t>
            </w:r>
          </w:p>
        </w:tc>
        <w:tc>
          <w:tcPr>
            <w:tcW w:w="86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right="69"/>
              <w:rPr>
                <w:rFonts w:hint="eastAsia" w:ascii="宋体" w:hAnsi="宋体" w:cs="宋体"/>
                <w:color w:val="auto"/>
                <w:szCs w:val="21"/>
                <w:highlight w:val="none"/>
              </w:rPr>
            </w:pPr>
            <w:r>
              <w:rPr>
                <w:rFonts w:hint="eastAsia" w:ascii="宋体" w:hAnsi="宋体" w:cs="宋体"/>
                <w:color w:val="auto"/>
                <w:szCs w:val="21"/>
                <w:highlight w:val="none"/>
              </w:rPr>
              <w:t>中标候选人：</w:t>
            </w:r>
          </w:p>
          <w:p>
            <w:pPr>
              <w:keepNext w:val="0"/>
              <w:keepLines w:val="0"/>
              <w:pageBreakBefore w:val="0"/>
              <w:widowControl w:val="0"/>
              <w:shd w:val="clear"/>
              <w:kinsoku/>
              <w:wordWrap/>
              <w:overflowPunct/>
              <w:topLinePunct w:val="0"/>
              <w:autoSpaceDE w:val="0"/>
              <w:autoSpaceDN w:val="0"/>
              <w:bidi w:val="0"/>
              <w:adjustRightInd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经评审排名第一的投标人即为第一中标候选人，排名第二的为第二中标候选人……其他投标人中标候选资格依此类推。</w:t>
            </w:r>
          </w:p>
        </w:tc>
      </w:tr>
      <w:tr>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right="-359" w:firstLine="105"/>
              <w:rPr>
                <w:rFonts w:ascii="宋体" w:hAnsi="宋体" w:cs="宋体"/>
                <w:color w:val="auto"/>
                <w:szCs w:val="21"/>
                <w:highlight w:val="none"/>
              </w:rPr>
            </w:pPr>
            <w:r>
              <w:rPr>
                <w:rFonts w:hint="eastAsia" w:ascii="宋体" w:hAnsi="宋体" w:cs="宋体"/>
                <w:color w:val="auto"/>
                <w:szCs w:val="21"/>
                <w:highlight w:val="none"/>
              </w:rPr>
              <w:t>18</w:t>
            </w:r>
          </w:p>
        </w:tc>
        <w:tc>
          <w:tcPr>
            <w:tcW w:w="86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中标公告及中标通知书：</w:t>
            </w:r>
          </w:p>
          <w:p>
            <w:pPr>
              <w:keepNext w:val="0"/>
              <w:keepLines w:val="0"/>
              <w:pageBreakBefore w:val="0"/>
              <w:widowControl w:val="0"/>
              <w:shd w:val="clear"/>
              <w:kinsoku/>
              <w:wordWrap/>
              <w:overflowPunct/>
              <w:topLinePunct w:val="0"/>
              <w:autoSpaceDE w:val="0"/>
              <w:autoSpaceDN w:val="0"/>
              <w:bidi w:val="0"/>
              <w:adjustRightInd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采购人依法确定中标人2个工作日内，发出中标通知书。</w:t>
            </w:r>
          </w:p>
          <w:p>
            <w:pPr>
              <w:keepNext w:val="0"/>
              <w:keepLines w:val="0"/>
              <w:pageBreakBefore w:val="0"/>
              <w:widowControl w:val="0"/>
              <w:shd w:val="clear"/>
              <w:kinsoku/>
              <w:wordWrap/>
              <w:overflowPunct/>
              <w:topLinePunct w:val="0"/>
              <w:autoSpaceDE w:val="0"/>
              <w:autoSpaceDN w:val="0"/>
              <w:bidi w:val="0"/>
              <w:adjustRightInd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同时中标公告发布于浙江政府采购网(</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w:instrText>
            </w:r>
            <w:r>
              <w:rPr>
                <w:rFonts w:hint="eastAsia" w:ascii="宋体" w:hAnsi="宋体" w:cs="宋体"/>
                <w:color w:val="auto"/>
                <w:szCs w:val="21"/>
                <w:highlight w:val="none"/>
              </w:rPr>
              <w:instrText xml:space="preserve">http://zfcg.czt.zj.gov.cn/</w:instrText>
            </w:r>
            <w:r>
              <w:rPr>
                <w:rFonts w:ascii="宋体" w:hAnsi="宋体" w:cs="宋体"/>
                <w:color w:val="auto"/>
                <w:szCs w:val="21"/>
                <w:highlight w:val="none"/>
              </w:rPr>
              <w:instrText xml:space="preserve">" </w:instrText>
            </w:r>
            <w:r>
              <w:rPr>
                <w:rFonts w:ascii="宋体" w:hAnsi="宋体" w:cs="宋体"/>
                <w:color w:val="auto"/>
                <w:szCs w:val="21"/>
                <w:highlight w:val="none"/>
              </w:rPr>
              <w:fldChar w:fldCharType="separate"/>
            </w:r>
            <w:r>
              <w:rPr>
                <w:rStyle w:val="40"/>
                <w:rFonts w:hint="eastAsia" w:ascii="宋体" w:hAnsi="宋体" w:cs="宋体"/>
                <w:color w:val="auto"/>
                <w:szCs w:val="21"/>
                <w:highlight w:val="none"/>
              </w:rPr>
              <w:t>http://zfcg.czt.zj.gov.cn/</w:t>
            </w:r>
            <w:r>
              <w:rPr>
                <w:rFonts w:ascii="宋体" w:hAnsi="宋体" w:cs="宋体"/>
                <w:color w:val="auto"/>
                <w:szCs w:val="21"/>
                <w:highlight w:val="none"/>
              </w:rPr>
              <w:fldChar w:fldCharType="end"/>
            </w:r>
            <w:r>
              <w:rPr>
                <w:rFonts w:hint="eastAsia" w:ascii="宋体" w:hAnsi="宋体" w:cs="宋体"/>
                <w:color w:val="auto"/>
                <w:szCs w:val="21"/>
                <w:highlight w:val="none"/>
              </w:rPr>
              <w:t>)、安吉县公共资源交易网（http://ggzy.anji.gov.cn/），中标公告期限为1个工作日。</w:t>
            </w:r>
          </w:p>
        </w:tc>
      </w:tr>
      <w:tr>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right="-359" w:firstLine="105"/>
              <w:rPr>
                <w:rFonts w:ascii="宋体" w:hAnsi="宋体" w:cs="宋体"/>
                <w:color w:val="auto"/>
                <w:szCs w:val="21"/>
                <w:highlight w:val="none"/>
              </w:rPr>
            </w:pPr>
            <w:r>
              <w:rPr>
                <w:rFonts w:hint="eastAsia" w:ascii="宋体" w:hAnsi="宋体" w:cs="宋体"/>
                <w:color w:val="auto"/>
                <w:szCs w:val="21"/>
                <w:highlight w:val="none"/>
              </w:rPr>
              <w:t>19</w:t>
            </w:r>
          </w:p>
        </w:tc>
        <w:tc>
          <w:tcPr>
            <w:tcW w:w="86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napToGrid w:val="0"/>
              <w:spacing w:line="360" w:lineRule="exact"/>
              <w:textAlignment w:val="bottom"/>
              <w:rPr>
                <w:rFonts w:hint="eastAsia" w:ascii="宋体" w:hAnsi="宋体" w:cs="宋体"/>
                <w:color w:val="auto"/>
                <w:szCs w:val="21"/>
                <w:highlight w:val="none"/>
                <w:lang w:val="zh-CN"/>
              </w:rPr>
            </w:pPr>
            <w:r>
              <w:rPr>
                <w:rFonts w:hint="eastAsia" w:ascii="宋体" w:hAnsi="宋体" w:cs="宋体"/>
                <w:color w:val="auto"/>
                <w:szCs w:val="21"/>
                <w:highlight w:val="none"/>
                <w:lang w:val="zh-CN"/>
              </w:rPr>
              <w:t>履约保证金：</w:t>
            </w:r>
          </w:p>
          <w:p>
            <w:pPr>
              <w:keepNext w:val="0"/>
              <w:keepLines w:val="0"/>
              <w:pageBreakBefore w:val="0"/>
              <w:widowControl w:val="0"/>
              <w:shd w:val="clear"/>
              <w:kinsoku/>
              <w:wordWrap/>
              <w:overflowPunct/>
              <w:topLinePunct w:val="0"/>
              <w:autoSpaceDE w:val="0"/>
              <w:autoSpaceDN w:val="0"/>
              <w:bidi w:val="0"/>
              <w:adjustRightInd w:val="0"/>
              <w:snapToGrid w:val="0"/>
              <w:spacing w:line="360" w:lineRule="exact"/>
              <w:textAlignment w:val="bottom"/>
              <w:rPr>
                <w:rFonts w:hint="eastAsia" w:ascii="宋体" w:hAnsi="宋体" w:cs="宋体"/>
                <w:color w:val="auto"/>
                <w:szCs w:val="21"/>
                <w:highlight w:val="none"/>
              </w:rPr>
            </w:pPr>
            <w:r>
              <w:rPr>
                <w:rFonts w:hint="eastAsia" w:ascii="宋体" w:hAnsi="宋体"/>
                <w:szCs w:val="21"/>
                <w:lang w:val="en-US" w:eastAsia="zh-CN"/>
              </w:rPr>
              <w:t>不收取</w:t>
            </w:r>
            <w:r>
              <w:rPr>
                <w:rFonts w:hint="eastAsia" w:ascii="宋体" w:hAnsi="宋体"/>
                <w:szCs w:val="21"/>
              </w:rPr>
              <w:t>。</w:t>
            </w:r>
          </w:p>
        </w:tc>
      </w:tr>
      <w:tr>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right="-359" w:firstLine="105"/>
              <w:rPr>
                <w:rFonts w:ascii="宋体" w:hAnsi="宋体" w:cs="宋体"/>
                <w:color w:val="auto"/>
                <w:szCs w:val="21"/>
                <w:highlight w:val="none"/>
              </w:rPr>
            </w:pPr>
            <w:r>
              <w:rPr>
                <w:rFonts w:hint="eastAsia" w:ascii="宋体" w:hAnsi="宋体" w:cs="宋体"/>
                <w:color w:val="auto"/>
                <w:szCs w:val="21"/>
                <w:highlight w:val="none"/>
              </w:rPr>
              <w:t>20</w:t>
            </w:r>
          </w:p>
        </w:tc>
        <w:tc>
          <w:tcPr>
            <w:tcW w:w="86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napToGrid w:val="0"/>
              <w:spacing w:line="360" w:lineRule="exact"/>
              <w:ind w:left="1050" w:hanging="1050" w:hangingChars="500"/>
              <w:textAlignment w:val="bottom"/>
              <w:rPr>
                <w:rFonts w:hint="eastAsia" w:ascii="宋体" w:hAnsi="宋体" w:cs="宋体"/>
                <w:color w:val="auto"/>
                <w:szCs w:val="21"/>
                <w:highlight w:val="none"/>
              </w:rPr>
            </w:pPr>
            <w:r>
              <w:rPr>
                <w:rFonts w:hint="eastAsia" w:ascii="宋体" w:hAnsi="宋体" w:cs="宋体"/>
                <w:color w:val="auto"/>
                <w:szCs w:val="21"/>
                <w:highlight w:val="none"/>
              </w:rPr>
              <w:t>签订合同：</w:t>
            </w:r>
          </w:p>
          <w:p>
            <w:pPr>
              <w:keepNext w:val="0"/>
              <w:keepLines w:val="0"/>
              <w:pageBreakBefore w:val="0"/>
              <w:widowControl w:val="0"/>
              <w:shd w:val="clear"/>
              <w:kinsoku/>
              <w:wordWrap/>
              <w:overflowPunct/>
              <w:topLinePunct w:val="0"/>
              <w:autoSpaceDE w:val="0"/>
              <w:autoSpaceDN w:val="0"/>
              <w:bidi w:val="0"/>
              <w:adjustRightInd w:val="0"/>
              <w:snapToGrid w:val="0"/>
              <w:spacing w:line="360" w:lineRule="exact"/>
              <w:jc w:val="left"/>
              <w:textAlignment w:val="bottom"/>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第四十六条规定，采购人与中标（成交）投标人应当在中标（成交）通知书发出后30天内，按照采购文件确定的事项签订政府采购合同。因本项目工期紧张，采购人要求中标（成交）投标人在中标（成交）通知书发出后5天内前来签订合同。</w:t>
            </w:r>
          </w:p>
        </w:tc>
      </w:tr>
      <w:tr>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right="-359" w:firstLine="105"/>
              <w:rPr>
                <w:rFonts w:ascii="宋体" w:hAnsi="宋体" w:cs="宋体"/>
                <w:color w:val="auto"/>
                <w:szCs w:val="21"/>
                <w:highlight w:val="none"/>
              </w:rPr>
            </w:pPr>
            <w:r>
              <w:rPr>
                <w:rFonts w:hint="eastAsia" w:ascii="宋体" w:hAnsi="宋体" w:cs="宋体"/>
                <w:color w:val="auto"/>
                <w:szCs w:val="21"/>
                <w:highlight w:val="none"/>
              </w:rPr>
              <w:t>21</w:t>
            </w:r>
          </w:p>
        </w:tc>
        <w:tc>
          <w:tcPr>
            <w:tcW w:w="8614" w:type="dxa"/>
            <w:tcBorders>
              <w:top w:val="single" w:color="auto" w:sz="6" w:space="0"/>
              <w:left w:val="single" w:color="auto" w:sz="6" w:space="0"/>
              <w:bottom w:val="single" w:color="auto" w:sz="6" w:space="0"/>
              <w:right w:val="single" w:color="auto" w:sz="6" w:space="0"/>
            </w:tcBorders>
            <w:noWrap w:val="0"/>
            <w:vAlign w:val="center"/>
          </w:tcPr>
          <w:p>
            <w:pPr>
              <w:pStyle w:val="15"/>
              <w:keepNext w:val="0"/>
              <w:keepLines w:val="0"/>
              <w:pageBreakBefore w:val="0"/>
              <w:widowControl w:val="0"/>
              <w:shd w:val="clear"/>
              <w:kinsoku/>
              <w:wordWrap/>
              <w:overflowPunct/>
              <w:topLinePunct w:val="0"/>
              <w:bidi w:val="0"/>
              <w:spacing w:before="0" w:beforeLines="0" w:after="0" w:afterLines="0" w:line="360" w:lineRule="exact"/>
              <w:rPr>
                <w:rFonts w:hint="eastAsia" w:hAnsi="宋体" w:cs="宋体"/>
                <w:color w:val="auto"/>
                <w:sz w:val="21"/>
                <w:szCs w:val="21"/>
                <w:highlight w:val="none"/>
              </w:rPr>
            </w:pPr>
            <w:r>
              <w:rPr>
                <w:rFonts w:hint="eastAsia" w:hAnsi="宋体" w:cs="宋体"/>
                <w:color w:val="auto"/>
                <w:sz w:val="21"/>
                <w:szCs w:val="21"/>
                <w:highlight w:val="none"/>
              </w:rPr>
              <w:t>信用记录查询：依据财库[2016]125号文件执行</w:t>
            </w:r>
          </w:p>
          <w:p>
            <w:pPr>
              <w:pStyle w:val="15"/>
              <w:keepNext w:val="0"/>
              <w:keepLines w:val="0"/>
              <w:pageBreakBefore w:val="0"/>
              <w:widowControl w:val="0"/>
              <w:shd w:val="clear"/>
              <w:kinsoku/>
              <w:wordWrap/>
              <w:overflowPunct/>
              <w:topLinePunct w:val="0"/>
              <w:bidi w:val="0"/>
              <w:spacing w:before="0" w:beforeLines="0" w:after="0" w:afterLines="0" w:line="360" w:lineRule="exact"/>
              <w:rPr>
                <w:rFonts w:hint="eastAsia" w:hAnsi="宋体" w:cs="宋体"/>
                <w:color w:val="auto"/>
                <w:sz w:val="21"/>
                <w:szCs w:val="21"/>
                <w:highlight w:val="none"/>
              </w:rPr>
            </w:pPr>
            <w:r>
              <w:rPr>
                <w:rFonts w:hint="eastAsia" w:hAnsi="宋体" w:cs="宋体"/>
                <w:color w:val="auto"/>
                <w:sz w:val="21"/>
                <w:szCs w:val="21"/>
                <w:highlight w:val="none"/>
              </w:rPr>
              <w:t>查询渠道：信用中国（www.creditchina.gov.cn）、中国政府采购网（www.ccgp.gov.cn）；</w:t>
            </w:r>
          </w:p>
          <w:p>
            <w:pPr>
              <w:pStyle w:val="15"/>
              <w:keepNext w:val="0"/>
              <w:keepLines w:val="0"/>
              <w:pageBreakBefore w:val="0"/>
              <w:widowControl w:val="0"/>
              <w:shd w:val="clear"/>
              <w:kinsoku/>
              <w:wordWrap/>
              <w:overflowPunct/>
              <w:topLinePunct w:val="0"/>
              <w:bidi w:val="0"/>
              <w:spacing w:before="0" w:beforeLines="0" w:after="0" w:afterLines="0" w:line="360" w:lineRule="exact"/>
              <w:rPr>
                <w:rFonts w:hint="eastAsia" w:hAnsi="宋体" w:cs="宋体"/>
                <w:color w:val="auto"/>
                <w:sz w:val="21"/>
                <w:szCs w:val="21"/>
                <w:highlight w:val="none"/>
              </w:rPr>
            </w:pPr>
            <w:r>
              <w:rPr>
                <w:rFonts w:hint="eastAsia" w:hAnsi="宋体" w:cs="宋体"/>
                <w:color w:val="auto"/>
                <w:sz w:val="21"/>
                <w:szCs w:val="21"/>
                <w:highlight w:val="none"/>
              </w:rPr>
              <w:t>时间：提交首次投标文件截止时间前3年内；</w:t>
            </w:r>
          </w:p>
          <w:p>
            <w:pPr>
              <w:keepNext w:val="0"/>
              <w:keepLines w:val="0"/>
              <w:pageBreakBefore w:val="0"/>
              <w:widowControl w:val="0"/>
              <w:shd w:val="clear"/>
              <w:kinsoku/>
              <w:wordWrap/>
              <w:overflowPunct/>
              <w:topLinePunct w:val="0"/>
              <w:bidi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查询记录和证据的留存：网站查询，打印留存。</w:t>
            </w:r>
          </w:p>
          <w:p>
            <w:pPr>
              <w:keepNext w:val="0"/>
              <w:keepLines w:val="0"/>
              <w:pageBreakBefore w:val="0"/>
              <w:widowControl w:val="0"/>
              <w:shd w:val="clear"/>
              <w:kinsoku/>
              <w:wordWrap/>
              <w:overflowPunct/>
              <w:topLinePunct w:val="0"/>
              <w:autoSpaceDE w:val="0"/>
              <w:autoSpaceDN w:val="0"/>
              <w:bidi w:val="0"/>
              <w:adjustRightInd w:val="0"/>
              <w:spacing w:line="360" w:lineRule="exact"/>
              <w:rPr>
                <w:rFonts w:hint="eastAsia" w:ascii="宋体" w:hAnsi="宋体" w:cs="宋体"/>
                <w:color w:val="auto"/>
                <w:kern w:val="0"/>
                <w:szCs w:val="21"/>
                <w:highlight w:val="none"/>
                <w:lang w:val="zh-CN"/>
              </w:rPr>
            </w:pPr>
            <w:r>
              <w:rPr>
                <w:rFonts w:hint="eastAsia" w:ascii="宋体" w:hAnsi="宋体" w:cs="宋体"/>
                <w:color w:val="auto"/>
                <w:szCs w:val="21"/>
                <w:highlight w:val="none"/>
              </w:rPr>
              <w:t>使用规则：被列入失信被执行人、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、政府采购严重违法失信行为记录名单及其它不符合《中华人民共和国政府采购法》第二十二条规定条件的，其投标将被拒绝。</w:t>
            </w:r>
          </w:p>
        </w:tc>
      </w:tr>
      <w:tr>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right="-359" w:firstLine="105"/>
              <w:rPr>
                <w:rFonts w:ascii="宋体" w:hAnsi="宋体" w:cs="宋体"/>
                <w:color w:val="auto"/>
                <w:szCs w:val="21"/>
                <w:highlight w:val="none"/>
              </w:rPr>
            </w:pPr>
            <w:r>
              <w:rPr>
                <w:rFonts w:hint="eastAsia" w:ascii="宋体" w:hAnsi="宋体" w:cs="宋体"/>
                <w:color w:val="auto"/>
                <w:szCs w:val="21"/>
                <w:highlight w:val="none"/>
              </w:rPr>
              <w:t>22</w:t>
            </w:r>
          </w:p>
        </w:tc>
        <w:tc>
          <w:tcPr>
            <w:tcW w:w="86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bidi w:val="0"/>
              <w:snapToGrid w:val="0"/>
              <w:spacing w:line="360" w:lineRule="exact"/>
              <w:rPr>
                <w:rFonts w:hint="eastAsia" w:ascii="Times New Roman" w:hAnsi="Times New Roman" w:eastAsia="宋体" w:cs="Times New Roman"/>
                <w:b/>
                <w:bCs/>
                <w:highlight w:val="none"/>
              </w:rPr>
            </w:pPr>
            <w:r>
              <w:rPr>
                <w:rFonts w:hint="eastAsia" w:ascii="Times New Roman" w:hAnsi="Times New Roman" w:eastAsia="宋体" w:cs="Times New Roman"/>
                <w:b/>
                <w:bCs/>
                <w:highlight w:val="none"/>
              </w:rPr>
              <w:t>政府采购政策执行：本项目中小企业政策执行以下第</w:t>
            </w:r>
            <w:r>
              <w:rPr>
                <w:rFonts w:hint="eastAsia" w:cs="Times New Roman"/>
                <w:b/>
                <w:bCs/>
                <w:highlight w:val="none"/>
                <w:lang w:val="en-US" w:eastAsia="zh-CN"/>
              </w:rPr>
              <w:t>1</w:t>
            </w:r>
            <w:r>
              <w:rPr>
                <w:rFonts w:hint="eastAsia" w:ascii="Times New Roman" w:hAnsi="Times New Roman" w:eastAsia="宋体" w:cs="Times New Roman"/>
                <w:b/>
                <w:bCs/>
                <w:highlight w:val="none"/>
              </w:rPr>
              <w:t>）条</w:t>
            </w:r>
          </w:p>
          <w:p>
            <w:pPr>
              <w:keepNext w:val="0"/>
              <w:keepLines w:val="0"/>
              <w:pageBreakBefore w:val="0"/>
              <w:widowControl w:val="0"/>
              <w:shd w:val="clear"/>
              <w:kinsoku/>
              <w:wordWrap/>
              <w:overflowPunct/>
              <w:topLinePunct w:val="0"/>
              <w:bidi w:val="0"/>
              <w:snapToGrid w:val="0"/>
              <w:spacing w:line="360" w:lineRule="exact"/>
              <w:rPr>
                <w:rFonts w:hint="eastAsia" w:ascii="Times New Roman" w:hAnsi="Times New Roman" w:eastAsia="宋体" w:cs="Times New Roman"/>
                <w:highlight w:val="none"/>
              </w:rPr>
            </w:pPr>
            <w:r>
              <w:rPr>
                <w:rFonts w:hint="eastAsia" w:ascii="Times New Roman" w:hAnsi="Times New Roman" w:eastAsia="宋体" w:cs="Times New Roman"/>
                <w:b/>
                <w:bCs/>
                <w:sz w:val="24"/>
                <w:szCs w:val="32"/>
                <w:highlight w:val="none"/>
              </w:rPr>
              <w:sym w:font="Wingdings" w:char="00FE"/>
            </w:r>
            <w:r>
              <w:rPr>
                <w:rFonts w:hint="eastAsia" w:ascii="Times New Roman" w:hAnsi="Times New Roman" w:eastAsia="宋体" w:cs="Times New Roman"/>
                <w:b/>
                <w:bCs/>
                <w:sz w:val="24"/>
                <w:szCs w:val="32"/>
                <w:highlight w:val="none"/>
              </w:rPr>
              <w:t>1）</w:t>
            </w:r>
            <w:r>
              <w:rPr>
                <w:rFonts w:hint="eastAsia" w:ascii="Times New Roman" w:hAnsi="Times New Roman" w:eastAsia="宋体" w:cs="Times New Roman"/>
                <w:highlight w:val="none"/>
              </w:rPr>
              <w:t>本项目为专门面向中小企业采购，提供服务的供应商非中小企业的，资格审查不通过；符合上述条件的中小微型企业应按照</w:t>
            </w:r>
            <w:r>
              <w:rPr>
                <w:rFonts w:hint="eastAsia" w:ascii="Times New Roman" w:hAnsi="Times New Roman" w:eastAsia="宋体" w:cs="Times New Roman"/>
                <w:highlight w:val="none"/>
                <w:lang w:val="en-US" w:eastAsia="zh-CN"/>
              </w:rPr>
              <w:t>招标</w:t>
            </w:r>
            <w:r>
              <w:rPr>
                <w:rFonts w:hint="eastAsia" w:ascii="Times New Roman" w:hAnsi="Times New Roman" w:eastAsia="宋体" w:cs="Times New Roman"/>
                <w:highlight w:val="none"/>
              </w:rPr>
              <w:t>文件附件的格式要求在资格文件中提供《中小企业声明函》；</w:t>
            </w:r>
          </w:p>
          <w:p>
            <w:pPr>
              <w:keepNext w:val="0"/>
              <w:keepLines w:val="0"/>
              <w:pageBreakBefore w:val="0"/>
              <w:widowControl w:val="0"/>
              <w:shd w:val="clear"/>
              <w:kinsoku/>
              <w:wordWrap/>
              <w:overflowPunct/>
              <w:topLinePunct w:val="0"/>
              <w:bidi w:val="0"/>
              <w:snapToGrid w:val="0"/>
              <w:spacing w:line="360" w:lineRule="exact"/>
              <w:rPr>
                <w:rFonts w:hint="eastAsia" w:ascii="Times New Roman" w:hAnsi="Times New Roman" w:eastAsia="宋体" w:cs="Times New Roman"/>
                <w:highlight w:val="none"/>
              </w:rPr>
            </w:pPr>
            <w:r>
              <w:rPr>
                <w:rFonts w:hint="eastAsia" w:ascii="Times New Roman" w:hAnsi="Times New Roman" w:eastAsia="宋体" w:cs="Times New Roman"/>
                <w:b/>
                <w:bCs/>
                <w:sz w:val="24"/>
                <w:szCs w:val="32"/>
                <w:highlight w:val="none"/>
              </w:rPr>
              <w:sym w:font="Wingdings" w:char="00FD"/>
            </w:r>
            <w:r>
              <w:rPr>
                <w:rFonts w:hint="eastAsia" w:ascii="Times New Roman" w:hAnsi="Times New Roman" w:eastAsia="宋体" w:cs="Times New Roman"/>
                <w:b/>
                <w:bCs/>
                <w:sz w:val="24"/>
                <w:szCs w:val="32"/>
                <w:highlight w:val="none"/>
              </w:rPr>
              <w:t>2）</w:t>
            </w:r>
            <w:r>
              <w:rPr>
                <w:rFonts w:hint="eastAsia" w:ascii="Times New Roman" w:hAnsi="Times New Roman" w:eastAsia="宋体" w:cs="Times New Roman"/>
                <w:highlight w:val="none"/>
              </w:rPr>
              <w:t>符合上述条件的中小微型企业应按照招标文件附件的格式要求提供《中小企业声明函》。符合《关于促进残疾人就业政府采购政策的通知》（财库〔2018〕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keepNext w:val="0"/>
              <w:keepLines w:val="0"/>
              <w:pageBreakBefore w:val="0"/>
              <w:widowControl w:val="0"/>
              <w:shd w:val="clear"/>
              <w:kinsoku/>
              <w:wordWrap/>
              <w:overflowPunct/>
              <w:topLinePunct w:val="0"/>
              <w:bidi w:val="0"/>
              <w:snapToGrid w:val="0"/>
              <w:spacing w:line="360" w:lineRule="exact"/>
              <w:rPr>
                <w:rFonts w:hint="eastAsia" w:ascii="Times New Roman" w:hAnsi="Times New Roman" w:eastAsia="宋体" w:cs="Times New Roman"/>
                <w:highlight w:val="none"/>
              </w:rPr>
            </w:pPr>
            <w:r>
              <w:rPr>
                <w:rFonts w:hint="eastAsia" w:ascii="Times New Roman" w:hAnsi="Times New Roman" w:eastAsia="宋体" w:cs="Times New Roman"/>
                <w:highlight w:val="none"/>
              </w:rPr>
              <w:t>根据财政部发布的《政府采购促进中小企业发展管理办法》（财库﹝2020﹞46 号）规定，对于非专门面向此类企业的项目，对小型和微型企业产品和服务的投标价格给予</w:t>
            </w:r>
            <w:r>
              <w:rPr>
                <w:rFonts w:hint="eastAsia" w:ascii="Times New Roman" w:hAnsi="Times New Roman" w:eastAsia="宋体" w:cs="Times New Roman"/>
                <w:highlight w:val="none"/>
                <w:lang w:val="en-US" w:eastAsia="zh-CN"/>
              </w:rPr>
              <w:t>10</w:t>
            </w:r>
            <w:r>
              <w:rPr>
                <w:rFonts w:hint="eastAsia" w:ascii="Times New Roman" w:hAnsi="Times New Roman" w:eastAsia="宋体" w:cs="Times New Roman"/>
                <w:highlight w:val="none"/>
              </w:rPr>
              <w:t xml:space="preserve"> %的扣除，用扣除后的价格参与评审。</w:t>
            </w:r>
          </w:p>
          <w:p>
            <w:pPr>
              <w:keepNext w:val="0"/>
              <w:keepLines w:val="0"/>
              <w:pageBreakBefore w:val="0"/>
              <w:widowControl w:val="0"/>
              <w:shd w:val="clear"/>
              <w:kinsoku/>
              <w:wordWrap/>
              <w:overflowPunct/>
              <w:topLinePunct w:val="0"/>
              <w:bidi w:val="0"/>
              <w:snapToGrid w:val="0"/>
              <w:spacing w:line="360" w:lineRule="exact"/>
              <w:rPr>
                <w:rFonts w:hint="eastAsia" w:ascii="Times New Roman" w:hAnsi="Times New Roman" w:eastAsia="宋体" w:cs="Times New Roman"/>
                <w:highlight w:val="none"/>
              </w:rPr>
            </w:pPr>
            <w:r>
              <w:rPr>
                <w:rFonts w:hint="eastAsia" w:ascii="Times New Roman" w:hAnsi="Times New Roman" w:eastAsia="宋体" w:cs="Times New Roman"/>
                <w:highlight w:val="none"/>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w:t>
            </w:r>
            <w:r>
              <w:rPr>
                <w:rFonts w:hint="eastAsia" w:ascii="Times New Roman" w:hAnsi="Times New Roman" w:eastAsia="宋体" w:cs="Times New Roman"/>
                <w:highlight w:val="none"/>
                <w:lang w:val="en-US" w:eastAsia="zh-CN"/>
              </w:rPr>
              <w:t>4</w:t>
            </w:r>
            <w:r>
              <w:rPr>
                <w:rFonts w:hint="eastAsia" w:ascii="Times New Roman" w:hAnsi="Times New Roman" w:eastAsia="宋体" w:cs="Times New Roman"/>
                <w:highlight w:val="none"/>
              </w:rPr>
              <w:t>%的投标价格扣除。</w:t>
            </w:r>
          </w:p>
          <w:p>
            <w:pPr>
              <w:keepNext w:val="0"/>
              <w:keepLines w:val="0"/>
              <w:pageBreakBefore w:val="0"/>
              <w:widowControl w:val="0"/>
              <w:shd w:val="clear"/>
              <w:kinsoku/>
              <w:wordWrap/>
              <w:overflowPunct/>
              <w:topLinePunct w:val="0"/>
              <w:bidi w:val="0"/>
              <w:spacing w:line="360" w:lineRule="exact"/>
              <w:rPr>
                <w:rFonts w:hint="eastAsia" w:ascii="Times New Roman" w:hAnsi="Times New Roman" w:eastAsia="宋体" w:cs="Times New Roman"/>
                <w:highlight w:val="none"/>
              </w:rPr>
            </w:pPr>
            <w:r>
              <w:rPr>
                <w:rFonts w:hint="eastAsia" w:ascii="Times New Roman" w:hAnsi="Times New Roman" w:eastAsia="宋体" w:cs="Times New Roman"/>
                <w:highlight w:val="none"/>
              </w:rPr>
              <w:t>联合体各方均为小型、微型企业的，联合体视同为小型、微型企业。</w:t>
            </w:r>
          </w:p>
          <w:p>
            <w:pPr>
              <w:keepNext w:val="0"/>
              <w:keepLines w:val="0"/>
              <w:pageBreakBefore w:val="0"/>
              <w:widowControl w:val="0"/>
              <w:shd w:val="clear"/>
              <w:kinsoku/>
              <w:wordWrap/>
              <w:overflowPunct/>
              <w:topLinePunct w:val="0"/>
              <w:bidi w:val="0"/>
              <w:snapToGrid w:val="0"/>
              <w:spacing w:line="360" w:lineRule="exact"/>
              <w:rPr>
                <w:rFonts w:hint="eastAsia" w:ascii="Times New Roman" w:hAnsi="Times New Roman" w:eastAsia="宋体" w:cs="Times New Roman"/>
                <w:highlight w:val="none"/>
              </w:rPr>
            </w:pPr>
            <w:r>
              <w:rPr>
                <w:rFonts w:hint="eastAsia" w:ascii="Times New Roman" w:hAnsi="Times New Roman" w:eastAsia="宋体" w:cs="Times New Roman"/>
                <w:highlight w:val="none"/>
              </w:rPr>
              <w:t>投标人按照本办法规定提供声明函内容不实的，属于提供虚假材料谋取中标、成交，依照《中华人民共和国政府采购法》等国家有关规定追究相应责任。采购代理机构在中标结果公告中公开中标的《中小企业声明函》。</w:t>
            </w:r>
          </w:p>
          <w:p>
            <w:pPr>
              <w:keepNext w:val="0"/>
              <w:keepLines w:val="0"/>
              <w:pageBreakBefore w:val="0"/>
              <w:widowControl w:val="0"/>
              <w:shd w:val="clear"/>
              <w:kinsoku/>
              <w:wordWrap/>
              <w:overflowPunct/>
              <w:topLinePunct w:val="0"/>
              <w:bidi w:val="0"/>
              <w:snapToGrid w:val="0"/>
              <w:spacing w:line="360" w:lineRule="exact"/>
              <w:rPr>
                <w:rFonts w:hint="eastAsia" w:ascii="Times New Roman" w:hAnsi="Times New Roman" w:eastAsia="宋体" w:cs="Times New Roman"/>
                <w:highlight w:val="none"/>
              </w:rPr>
            </w:pPr>
            <w:r>
              <w:rPr>
                <w:rFonts w:hint="eastAsia" w:ascii="Times New Roman" w:hAnsi="Times New Roman" w:eastAsia="宋体" w:cs="Times New Roman"/>
                <w:highlight w:val="none"/>
              </w:rPr>
              <w:t>根据工信部等部委发布的《关于印发中小企业划型标准规定的通知》（工信部联企业〔2011〕300号），根据具体品目确定相应标准。为本项目提供服务的企业按照《关于印发中小企业划型标准规定的通知》（工信部联企业〔2011〕300 号）的所属行业分类为</w:t>
            </w:r>
            <w:r>
              <w:rPr>
                <w:rFonts w:hint="eastAsia" w:ascii="Times New Roman" w:hAnsi="Times New Roman" w:eastAsia="宋体" w:cs="Times New Roman"/>
                <w:b/>
                <w:bCs/>
                <w:highlight w:val="none"/>
              </w:rPr>
              <w:t>租赁和商务服务业</w:t>
            </w:r>
            <w:r>
              <w:rPr>
                <w:rFonts w:hint="eastAsia" w:ascii="Times New Roman" w:hAnsi="Times New Roman" w:eastAsia="宋体" w:cs="Times New Roman"/>
                <w:highlight w:val="none"/>
              </w:rPr>
              <w:t>。</w:t>
            </w:r>
          </w:p>
          <w:p>
            <w:pPr>
              <w:shd w:val="clear"/>
              <w:snapToGrid w:val="0"/>
              <w:spacing w:line="360" w:lineRule="exact"/>
              <w:rPr>
                <w:rFonts w:hint="eastAsia" w:ascii="Times New Roman" w:hAnsi="Times New Roman" w:eastAsia="宋体" w:cs="Times New Roman"/>
                <w:highlight w:val="none"/>
              </w:rPr>
            </w:pPr>
            <w:r>
              <w:rPr>
                <w:rFonts w:hint="eastAsia" w:ascii="Times New Roman" w:hAnsi="Times New Roman" w:eastAsia="宋体" w:cs="Times New Roman"/>
                <w:b/>
                <w:bCs/>
                <w:szCs w:val="24"/>
                <w:highlight w:val="none"/>
              </w:rPr>
              <w:t>特别提醒：投标人按照本办法规定提供声明函内容不实的，属于提供虚假材料谋取中标、成交，依照《中华人民共和国政府采购法》等国家有关规定追究相应责任。采购代理机构在中标结果公告中公开中标人的《中小企业声明函》。</w:t>
            </w:r>
          </w:p>
        </w:tc>
      </w:tr>
      <w:tr>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right="-359" w:firstLine="10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23</w:t>
            </w:r>
          </w:p>
        </w:tc>
        <w:tc>
          <w:tcPr>
            <w:tcW w:w="8614" w:type="dxa"/>
            <w:tcBorders>
              <w:top w:val="single" w:color="auto" w:sz="6" w:space="0"/>
              <w:left w:val="single" w:color="auto" w:sz="6" w:space="0"/>
              <w:bottom w:val="single" w:color="auto" w:sz="6" w:space="0"/>
              <w:right w:val="single" w:color="auto" w:sz="6" w:space="0"/>
            </w:tcBorders>
            <w:noWrap w:val="0"/>
            <w:vAlign w:val="center"/>
          </w:tcPr>
          <w:p>
            <w:pPr>
              <w:shd w:val="clear"/>
              <w:snapToGrid w:val="0"/>
              <w:spacing w:line="360" w:lineRule="exact"/>
              <w:ind w:left="0"/>
              <w:rPr>
                <w:rFonts w:hint="eastAsia" w:ascii="Times New Roman" w:hAnsi="Times New Roman" w:eastAsia="宋体" w:cs="Times New Roman"/>
                <w:szCs w:val="24"/>
                <w:highlight w:val="none"/>
                <w:shd w:val="clear" w:color="auto" w:fill="auto"/>
              </w:rPr>
            </w:pPr>
            <w:r>
              <w:rPr>
                <w:rFonts w:hint="eastAsia" w:ascii="Times New Roman" w:hAnsi="Times New Roman" w:eastAsia="宋体" w:cs="Times New Roman"/>
                <w:szCs w:val="24"/>
                <w:highlight w:val="none"/>
                <w:shd w:val="clear" w:color="auto" w:fill="auto"/>
              </w:rPr>
              <w:t>政府采购政策执行：</w:t>
            </w:r>
          </w:p>
          <w:p>
            <w:pPr>
              <w:shd w:val="clear"/>
              <w:snapToGrid w:val="0"/>
              <w:spacing w:line="360" w:lineRule="exact"/>
              <w:ind w:left="0"/>
              <w:rPr>
                <w:rFonts w:hint="eastAsia" w:ascii="Times New Roman" w:hAnsi="Times New Roman" w:eastAsia="宋体" w:cs="Times New Roman"/>
                <w:sz w:val="21"/>
                <w:szCs w:val="24"/>
                <w:highlight w:val="none"/>
                <w:shd w:val="clear" w:color="auto" w:fill="auto"/>
              </w:rPr>
            </w:pPr>
            <w:r>
              <w:rPr>
                <w:rFonts w:hint="eastAsia" w:ascii="Times New Roman" w:hAnsi="Times New Roman" w:eastAsia="宋体" w:cs="Times New Roman"/>
                <w:sz w:val="21"/>
                <w:szCs w:val="24"/>
                <w:highlight w:val="none"/>
                <w:shd w:val="clear" w:color="auto" w:fill="auto"/>
                <w:lang w:eastAsia="zh-CN"/>
              </w:rPr>
              <w:t>（</w:t>
            </w:r>
            <w:r>
              <w:rPr>
                <w:rFonts w:hint="eastAsia" w:ascii="Times New Roman" w:hAnsi="Times New Roman" w:eastAsia="宋体" w:cs="Times New Roman"/>
                <w:sz w:val="21"/>
                <w:szCs w:val="24"/>
                <w:highlight w:val="none"/>
                <w:shd w:val="clear" w:color="auto" w:fill="auto"/>
                <w:lang w:val="en-US" w:eastAsia="zh-CN"/>
              </w:rPr>
              <w:t>1</w:t>
            </w:r>
            <w:r>
              <w:rPr>
                <w:rFonts w:hint="eastAsia" w:ascii="Times New Roman" w:hAnsi="Times New Roman" w:eastAsia="宋体" w:cs="Times New Roman"/>
                <w:sz w:val="21"/>
                <w:szCs w:val="24"/>
                <w:highlight w:val="none"/>
                <w:shd w:val="clear" w:color="auto" w:fill="auto"/>
                <w:lang w:eastAsia="zh-CN"/>
              </w:rPr>
              <w:t>）</w:t>
            </w:r>
            <w:r>
              <w:rPr>
                <w:rFonts w:hint="eastAsia" w:ascii="Times New Roman" w:hAnsi="Times New Roman" w:eastAsia="宋体" w:cs="Times New Roman"/>
                <w:sz w:val="21"/>
                <w:szCs w:val="24"/>
                <w:highlight w:val="none"/>
                <w:shd w:val="clear" w:color="auto" w:fill="auto"/>
              </w:rPr>
              <w:t>采购本国生产的货物、工程和服务</w:t>
            </w:r>
            <w:r>
              <w:rPr>
                <w:rFonts w:hint="eastAsia" w:ascii="Times New Roman" w:hAnsi="Times New Roman" w:eastAsia="宋体" w:cs="Times New Roman"/>
                <w:sz w:val="21"/>
                <w:szCs w:val="24"/>
                <w:highlight w:val="none"/>
                <w:shd w:val="clear" w:color="auto" w:fill="auto"/>
                <w:lang w:eastAsia="zh-CN"/>
              </w:rPr>
              <w:t>（</w:t>
            </w:r>
            <w:r>
              <w:rPr>
                <w:rFonts w:hint="eastAsia" w:ascii="Times New Roman" w:hAnsi="Times New Roman" w:eastAsia="宋体" w:cs="Times New Roman"/>
                <w:sz w:val="21"/>
                <w:szCs w:val="24"/>
                <w:highlight w:val="none"/>
                <w:shd w:val="clear" w:color="auto" w:fill="auto"/>
                <w:lang w:val="en-US" w:eastAsia="zh-CN"/>
              </w:rPr>
              <w:t>经审批允许</w:t>
            </w:r>
            <w:r>
              <w:rPr>
                <w:rFonts w:hint="eastAsia" w:ascii="Times New Roman" w:hAnsi="Times New Roman" w:eastAsia="宋体" w:cs="Times New Roman"/>
                <w:sz w:val="21"/>
                <w:szCs w:val="24"/>
                <w:highlight w:val="none"/>
                <w:shd w:val="clear" w:color="auto" w:fill="auto"/>
              </w:rPr>
              <w:t>进口产品</w:t>
            </w:r>
            <w:r>
              <w:rPr>
                <w:rFonts w:hint="eastAsia" w:ascii="Times New Roman" w:hAnsi="Times New Roman" w:eastAsia="宋体" w:cs="Times New Roman"/>
                <w:sz w:val="21"/>
                <w:szCs w:val="24"/>
                <w:highlight w:val="none"/>
                <w:shd w:val="clear" w:color="auto" w:fill="auto"/>
                <w:lang w:val="en-US" w:eastAsia="zh-CN"/>
              </w:rPr>
              <w:t>投标的除外）</w:t>
            </w:r>
          </w:p>
          <w:p>
            <w:pPr>
              <w:shd w:val="clear"/>
              <w:snapToGrid w:val="0"/>
              <w:spacing w:line="360" w:lineRule="exact"/>
              <w:ind w:left="0"/>
              <w:rPr>
                <w:rFonts w:hint="eastAsia" w:ascii="Times New Roman" w:hAnsi="Times New Roman" w:eastAsia="宋体" w:cs="Times New Roman"/>
                <w:szCs w:val="24"/>
                <w:highlight w:val="none"/>
                <w:shd w:val="clear" w:color="auto" w:fill="auto"/>
              </w:rPr>
            </w:pPr>
            <w:r>
              <w:rPr>
                <w:rFonts w:hint="eastAsia" w:ascii="Times New Roman" w:hAnsi="Times New Roman" w:eastAsia="宋体" w:cs="Times New Roman"/>
                <w:sz w:val="21"/>
                <w:szCs w:val="24"/>
                <w:highlight w:val="none"/>
                <w:shd w:val="clear" w:color="auto" w:fill="auto"/>
                <w:lang w:val="en-US" w:eastAsia="zh-CN"/>
              </w:rPr>
              <w:t>（2）</w:t>
            </w:r>
            <w:r>
              <w:rPr>
                <w:rFonts w:hint="eastAsia" w:ascii="Times New Roman" w:hAnsi="Times New Roman" w:eastAsia="宋体" w:cs="Times New Roman"/>
                <w:sz w:val="21"/>
                <w:szCs w:val="24"/>
                <w:highlight w:val="none"/>
                <w:shd w:val="clear" w:color="auto" w:fill="auto"/>
              </w:rPr>
              <w:t>支持绿色</w:t>
            </w:r>
            <w:r>
              <w:rPr>
                <w:rFonts w:hint="eastAsia" w:ascii="Times New Roman" w:hAnsi="Times New Roman" w:eastAsia="宋体" w:cs="Times New Roman"/>
                <w:sz w:val="21"/>
                <w:szCs w:val="24"/>
                <w:highlight w:val="none"/>
                <w:shd w:val="clear" w:color="auto" w:fill="auto"/>
                <w:lang w:val="en-US" w:eastAsia="zh-CN"/>
              </w:rPr>
              <w:t>采购</w:t>
            </w:r>
          </w:p>
          <w:p>
            <w:pPr>
              <w:shd w:val="clear"/>
              <w:snapToGrid w:val="0"/>
              <w:spacing w:line="360" w:lineRule="exact"/>
              <w:ind w:left="0"/>
              <w:rPr>
                <w:rFonts w:hint="eastAsia" w:ascii="Times New Roman" w:hAnsi="Times New Roman" w:eastAsia="宋体" w:cs="Times New Roman"/>
                <w:bCs w:val="0"/>
                <w:sz w:val="21"/>
                <w:szCs w:val="24"/>
                <w:highlight w:val="none"/>
                <w:shd w:val="clear" w:color="auto" w:fill="auto"/>
                <w:lang w:val="en-US" w:eastAsia="zh-CN"/>
              </w:rPr>
            </w:pPr>
            <w:r>
              <w:rPr>
                <w:rFonts w:hint="eastAsia" w:ascii="Times New Roman" w:hAnsi="Times New Roman" w:eastAsia="宋体" w:cs="Times New Roman"/>
                <w:bCs w:val="0"/>
                <w:sz w:val="21"/>
                <w:szCs w:val="24"/>
                <w:highlight w:val="none"/>
                <w:shd w:val="clear" w:color="auto" w:fill="auto"/>
                <w:lang w:eastAsia="zh-CN"/>
              </w:rPr>
              <w:t>（</w:t>
            </w:r>
            <w:r>
              <w:rPr>
                <w:rFonts w:hint="eastAsia" w:ascii="Times New Roman" w:hAnsi="Times New Roman" w:eastAsia="宋体" w:cs="Times New Roman"/>
                <w:bCs w:val="0"/>
                <w:sz w:val="21"/>
                <w:szCs w:val="24"/>
                <w:highlight w:val="none"/>
                <w:shd w:val="clear" w:color="auto" w:fill="auto"/>
                <w:lang w:val="en-US" w:eastAsia="zh-CN"/>
              </w:rPr>
              <w:t>3</w:t>
            </w:r>
            <w:r>
              <w:rPr>
                <w:rFonts w:hint="eastAsia" w:ascii="Times New Roman" w:hAnsi="Times New Roman" w:eastAsia="宋体" w:cs="Times New Roman"/>
                <w:bCs w:val="0"/>
                <w:sz w:val="21"/>
                <w:szCs w:val="24"/>
                <w:highlight w:val="none"/>
                <w:shd w:val="clear" w:color="auto" w:fill="auto"/>
                <w:lang w:eastAsia="zh-CN"/>
              </w:rPr>
              <w:t>）</w:t>
            </w:r>
            <w:r>
              <w:rPr>
                <w:rFonts w:hint="eastAsia" w:ascii="Times New Roman" w:hAnsi="Times New Roman" w:eastAsia="宋体" w:cs="Times New Roman"/>
                <w:bCs w:val="0"/>
                <w:sz w:val="21"/>
                <w:szCs w:val="24"/>
                <w:highlight w:val="none"/>
                <w:shd w:val="clear" w:color="auto" w:fill="auto"/>
              </w:rPr>
              <w:t>支持</w:t>
            </w:r>
            <w:r>
              <w:rPr>
                <w:rFonts w:hint="eastAsia" w:ascii="Times New Roman" w:hAnsi="Times New Roman" w:eastAsia="宋体" w:cs="Times New Roman"/>
                <w:bCs w:val="0"/>
                <w:sz w:val="21"/>
                <w:szCs w:val="24"/>
                <w:highlight w:val="none"/>
                <w:shd w:val="clear" w:color="auto" w:fill="auto"/>
                <w:lang w:val="en-US" w:eastAsia="zh-CN"/>
              </w:rPr>
              <w:t>科技创新</w:t>
            </w:r>
          </w:p>
          <w:p>
            <w:pPr>
              <w:shd w:val="clear"/>
              <w:snapToGrid w:val="0"/>
              <w:spacing w:line="360" w:lineRule="exact"/>
              <w:ind w:left="0"/>
              <w:rPr>
                <w:rFonts w:hint="eastAsia" w:ascii="Times New Roman" w:hAnsi="Times New Roman" w:eastAsia="宋体" w:cs="Times New Roman"/>
                <w:szCs w:val="24"/>
                <w:highlight w:val="none"/>
                <w:shd w:val="clear" w:color="auto" w:fill="auto"/>
                <w:lang w:val="en-US" w:eastAsia="zh-CN"/>
              </w:rPr>
            </w:pPr>
            <w:r>
              <w:rPr>
                <w:rFonts w:hint="eastAsia" w:ascii="Times New Roman" w:hAnsi="Times New Roman" w:eastAsia="宋体" w:cs="Times New Roman"/>
                <w:szCs w:val="24"/>
                <w:highlight w:val="none"/>
                <w:shd w:val="clear" w:color="auto" w:fill="auto"/>
                <w:lang w:eastAsia="zh-CN"/>
              </w:rPr>
              <w:t>（</w:t>
            </w:r>
            <w:r>
              <w:rPr>
                <w:rFonts w:hint="eastAsia" w:ascii="Times New Roman" w:hAnsi="Times New Roman" w:eastAsia="宋体" w:cs="Times New Roman"/>
                <w:szCs w:val="24"/>
                <w:highlight w:val="none"/>
                <w:shd w:val="clear" w:color="auto" w:fill="auto"/>
                <w:lang w:val="en-US" w:eastAsia="zh-CN"/>
              </w:rPr>
              <w:t>4</w:t>
            </w:r>
            <w:r>
              <w:rPr>
                <w:rFonts w:hint="eastAsia" w:ascii="Times New Roman" w:hAnsi="Times New Roman" w:eastAsia="宋体" w:cs="Times New Roman"/>
                <w:szCs w:val="24"/>
                <w:highlight w:val="none"/>
                <w:shd w:val="clear" w:color="auto" w:fill="auto"/>
                <w:lang w:eastAsia="zh-CN"/>
              </w:rPr>
              <w:t>）</w:t>
            </w:r>
            <w:r>
              <w:rPr>
                <w:rFonts w:hint="eastAsia" w:ascii="Times New Roman" w:hAnsi="Times New Roman" w:eastAsia="宋体" w:cs="Times New Roman"/>
                <w:color w:val="auto"/>
                <w:sz w:val="21"/>
                <w:szCs w:val="24"/>
                <w:highlight w:val="none"/>
                <w:shd w:val="clear" w:color="auto" w:fill="auto"/>
              </w:rPr>
              <w:t>中小企业信用融资</w:t>
            </w:r>
          </w:p>
          <w:p>
            <w:pPr>
              <w:keepNext w:val="0"/>
              <w:keepLines w:val="0"/>
              <w:pageBreakBefore w:val="0"/>
              <w:widowControl w:val="0"/>
              <w:shd w:val="clear"/>
              <w:kinsoku/>
              <w:wordWrap/>
              <w:overflowPunct/>
              <w:topLinePunct w:val="0"/>
              <w:bidi w:val="0"/>
              <w:snapToGrid w:val="0"/>
              <w:spacing w:line="360" w:lineRule="exact"/>
              <w:rPr>
                <w:rFonts w:hint="eastAsia" w:ascii="Times New Roman" w:hAnsi="Times New Roman" w:eastAsia="宋体" w:cs="Times New Roman"/>
                <w:color w:val="auto"/>
                <w:highlight w:val="none"/>
              </w:rPr>
            </w:pPr>
            <w:r>
              <w:rPr>
                <w:rFonts w:hint="eastAsia" w:ascii="Times New Roman" w:hAnsi="Times New Roman" w:eastAsia="宋体" w:cs="Times New Roman"/>
                <w:sz w:val="21"/>
                <w:szCs w:val="24"/>
                <w:highlight w:val="none"/>
                <w:shd w:val="clear" w:color="auto" w:fill="auto"/>
                <w:lang w:eastAsia="zh-CN"/>
              </w:rPr>
              <w:t>（</w:t>
            </w:r>
            <w:r>
              <w:rPr>
                <w:rFonts w:hint="eastAsia" w:ascii="Times New Roman" w:hAnsi="Times New Roman" w:eastAsia="宋体" w:cs="Times New Roman"/>
                <w:sz w:val="21"/>
                <w:szCs w:val="24"/>
                <w:highlight w:val="none"/>
                <w:shd w:val="clear" w:color="auto" w:fill="auto"/>
                <w:lang w:val="en-US" w:eastAsia="zh-CN"/>
              </w:rPr>
              <w:t>5</w:t>
            </w:r>
            <w:r>
              <w:rPr>
                <w:rFonts w:hint="eastAsia" w:ascii="Times New Roman" w:hAnsi="Times New Roman" w:eastAsia="宋体" w:cs="Times New Roman"/>
                <w:sz w:val="21"/>
                <w:szCs w:val="24"/>
                <w:highlight w:val="none"/>
                <w:shd w:val="clear" w:color="auto" w:fill="auto"/>
                <w:lang w:eastAsia="zh-CN"/>
              </w:rPr>
              <w:t>）</w:t>
            </w:r>
            <w:r>
              <w:rPr>
                <w:rFonts w:hint="eastAsia" w:ascii="Times New Roman" w:hAnsi="Times New Roman" w:eastAsia="宋体" w:cs="Times New Roman"/>
                <w:sz w:val="21"/>
                <w:szCs w:val="24"/>
                <w:highlight w:val="none"/>
                <w:shd w:val="clear" w:color="auto" w:fill="auto"/>
              </w:rPr>
              <w:t>支持中小企业发展</w:t>
            </w:r>
          </w:p>
        </w:tc>
      </w:tr>
      <w:tr>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right="-359" w:firstLine="10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p>
        </w:tc>
        <w:tc>
          <w:tcPr>
            <w:tcW w:w="86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bidi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节能环保要求：</w:t>
            </w:r>
          </w:p>
          <w:p>
            <w:pPr>
              <w:keepNext w:val="0"/>
              <w:keepLines w:val="0"/>
              <w:pageBreakBefore w:val="0"/>
              <w:widowControl w:val="0"/>
              <w:shd w:val="clear"/>
              <w:kinsoku/>
              <w:wordWrap/>
              <w:overflowPunct/>
              <w:topLinePunct w:val="0"/>
              <w:autoSpaceDE w:val="0"/>
              <w:autoSpaceDN w:val="0"/>
              <w:bidi w:val="0"/>
              <w:adjustRightInd w:val="0"/>
              <w:spacing w:line="360" w:lineRule="exact"/>
              <w:ind w:left="71" w:right="69"/>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根据财政部、国家发改委最新一期“节能产品政府采购清单的通知” （以下简称“节能清单”），本项目如需采购节能清单中的政府强制采购的节能产品，投标人所投的相应产品须为列入最新一期节能产品政府采购清单的产品，并且提供该产品所在的节能产品政府采购清单页，注明页码，否则投标无效。（注：在最新一期节能清单发布之后开展的政府采购活动，执行最新一期节能清单。在此之前已经开展但尚未进入评审环节的政府采购活动，执行上期或最新一期节能清单。）</w:t>
            </w:r>
          </w:p>
          <w:p>
            <w:pPr>
              <w:keepNext w:val="0"/>
              <w:keepLines w:val="0"/>
              <w:pageBreakBefore w:val="0"/>
              <w:widowControl w:val="0"/>
              <w:shd w:val="clear"/>
              <w:kinsoku/>
              <w:wordWrap/>
              <w:overflowPunct/>
              <w:topLinePunct w:val="0"/>
              <w:autoSpaceDE w:val="0"/>
              <w:autoSpaceDN w:val="0"/>
              <w:bidi w:val="0"/>
              <w:adjustRightInd w:val="0"/>
              <w:spacing w:line="360" w:lineRule="exact"/>
              <w:ind w:left="71" w:right="69"/>
              <w:rPr>
                <w:rFonts w:hint="eastAsia" w:ascii="宋体" w:hAnsi="宋体" w:cs="宋体"/>
                <w:color w:val="auto"/>
                <w:szCs w:val="21"/>
                <w:highlight w:val="none"/>
              </w:rPr>
            </w:pPr>
            <w:r>
              <w:rPr>
                <w:rFonts w:hint="eastAsia" w:ascii="宋体" w:hAnsi="宋体" w:cs="宋体"/>
                <w:color w:val="auto"/>
                <w:szCs w:val="21"/>
                <w:highlight w:val="none"/>
                <w:shd w:val="clear" w:color="auto" w:fill="FFFFFF"/>
              </w:rPr>
              <w:t>投标人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tc>
      </w:tr>
      <w:tr>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right="-359" w:firstLine="10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p>
        </w:tc>
        <w:tc>
          <w:tcPr>
            <w:tcW w:w="86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投标注意事项：</w:t>
            </w:r>
          </w:p>
          <w:p>
            <w:pPr>
              <w:keepNext w:val="0"/>
              <w:keepLines w:val="0"/>
              <w:pageBreakBefore w:val="0"/>
              <w:widowControl w:val="0"/>
              <w:shd w:val="clear"/>
              <w:kinsoku/>
              <w:wordWrap/>
              <w:overflowPunct/>
              <w:topLinePunct w:val="0"/>
              <w:autoSpaceDE w:val="0"/>
              <w:autoSpaceDN w:val="0"/>
              <w:bidi w:val="0"/>
              <w:adjustRightInd w:val="0"/>
              <w:spacing w:line="360" w:lineRule="exact"/>
              <w:ind w:left="71" w:right="69"/>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中标后，投标人拒绝签订合同的，采购人可以依法按照评审报告推荐的中标候选人名单排序，确定下一候选人为中标投标人，也可以重新开展政府采购活动。投标人中标后拒绝签订合同的，应按预算金额的2%对采购人进行赔偿；赔偿金额不足以弥补采购人损失的，投标人应继续承担超过部分的损失。</w:t>
            </w:r>
          </w:p>
          <w:p>
            <w:pPr>
              <w:keepNext w:val="0"/>
              <w:keepLines w:val="0"/>
              <w:pageBreakBefore w:val="0"/>
              <w:widowControl w:val="0"/>
              <w:shd w:val="clear"/>
              <w:kinsoku/>
              <w:wordWrap/>
              <w:overflowPunct/>
              <w:topLinePunct w:val="0"/>
              <w:autoSpaceDE w:val="0"/>
              <w:autoSpaceDN w:val="0"/>
              <w:bidi w:val="0"/>
              <w:adjustRightInd w:val="0"/>
              <w:spacing w:line="360" w:lineRule="exact"/>
              <w:ind w:left="71" w:right="69"/>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（2）存在下列行为的，采购人将其失信行为上报政府采购主管部门，由主管部门按有关规定对其违法失信行为记录进行公开：</w:t>
            </w:r>
          </w:p>
          <w:p>
            <w:pPr>
              <w:keepNext w:val="0"/>
              <w:keepLines w:val="0"/>
              <w:pageBreakBefore w:val="0"/>
              <w:widowControl w:val="0"/>
              <w:shd w:val="clear"/>
              <w:kinsoku/>
              <w:wordWrap/>
              <w:overflowPunct/>
              <w:topLinePunct w:val="0"/>
              <w:autoSpaceDE w:val="0"/>
              <w:autoSpaceDN w:val="0"/>
              <w:bidi w:val="0"/>
              <w:adjustRightInd w:val="0"/>
              <w:spacing w:line="360" w:lineRule="exact"/>
              <w:ind w:left="71" w:right="69"/>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中标或者成交后，拒绝签订政府采购合同的；</w:t>
            </w:r>
          </w:p>
          <w:p>
            <w:pPr>
              <w:keepNext w:val="0"/>
              <w:keepLines w:val="0"/>
              <w:pageBreakBefore w:val="0"/>
              <w:widowControl w:val="0"/>
              <w:shd w:val="clear"/>
              <w:kinsoku/>
              <w:wordWrap/>
              <w:overflowPunct/>
              <w:topLinePunct w:val="0"/>
              <w:autoSpaceDE w:val="0"/>
              <w:autoSpaceDN w:val="0"/>
              <w:bidi w:val="0"/>
              <w:adjustRightInd w:val="0"/>
              <w:spacing w:line="360" w:lineRule="exact"/>
              <w:ind w:left="71" w:right="69"/>
              <w:jc w:val="left"/>
              <w:rPr>
                <w:rFonts w:hint="eastAsia" w:ascii="宋体" w:hAnsi="宋体" w:cs="宋体"/>
                <w:color w:val="auto"/>
                <w:kern w:val="0"/>
                <w:szCs w:val="21"/>
                <w:highlight w:val="none"/>
              </w:rPr>
            </w:pPr>
            <w:r>
              <w:rPr>
                <w:rFonts w:hint="eastAsia" w:ascii="宋体" w:hAnsi="宋体" w:cs="宋体"/>
                <w:color w:val="auto"/>
                <w:szCs w:val="21"/>
                <w:highlight w:val="none"/>
                <w:shd w:val="clear" w:color="auto" w:fill="FFFFFF"/>
              </w:rPr>
              <w:t>投标有效期内撤销投标文件的。</w:t>
            </w:r>
          </w:p>
        </w:tc>
      </w:tr>
      <w:tr>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right="-359" w:firstLine="0"/>
              <w:rPr>
                <w:rFonts w:ascii="宋体" w:hAnsi="宋体" w:cs="宋体"/>
                <w:color w:val="auto"/>
                <w:szCs w:val="21"/>
                <w:highlight w:val="none"/>
              </w:rPr>
            </w:pPr>
            <w:r>
              <w:rPr>
                <w:rFonts w:hint="eastAsia" w:ascii="宋体" w:hAnsi="宋体" w:cs="宋体"/>
                <w:color w:val="auto"/>
                <w:szCs w:val="21"/>
                <w:highlight w:val="none"/>
              </w:rPr>
              <w:t>25</w:t>
            </w:r>
          </w:p>
        </w:tc>
        <w:tc>
          <w:tcPr>
            <w:tcW w:w="86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bidi w:val="0"/>
              <w:adjustRightInd w:val="0"/>
              <w:spacing w:line="360" w:lineRule="exact"/>
              <w:rPr>
                <w:rFonts w:hint="eastAsia" w:ascii="宋体" w:hAnsi="宋体" w:cs="宋体"/>
                <w:color w:val="auto"/>
                <w:szCs w:val="21"/>
                <w:highlight w:val="none"/>
              </w:rPr>
            </w:pPr>
            <w:r>
              <w:rPr>
                <w:rStyle w:val="37"/>
                <w:rFonts w:hint="eastAsia" w:ascii="宋体" w:hAnsi="宋体" w:cs="宋体"/>
                <w:b w:val="0"/>
                <w:color w:val="auto"/>
                <w:szCs w:val="21"/>
                <w:highlight w:val="none"/>
                <w:shd w:val="clear" w:color="auto" w:fill="FFFFFF"/>
              </w:rPr>
              <w:t>投标人注册</w:t>
            </w:r>
            <w:r>
              <w:rPr>
                <w:rFonts w:hint="eastAsia" w:ascii="宋体" w:hAnsi="宋体" w:cs="宋体"/>
                <w:color w:val="auto"/>
                <w:szCs w:val="21"/>
                <w:highlight w:val="none"/>
              </w:rPr>
              <w:t>：</w:t>
            </w:r>
          </w:p>
          <w:p>
            <w:pPr>
              <w:keepNext w:val="0"/>
              <w:keepLines w:val="0"/>
              <w:pageBreakBefore w:val="0"/>
              <w:widowControl w:val="0"/>
              <w:shd w:val="clear"/>
              <w:kinsoku/>
              <w:wordWrap/>
              <w:overflowPunct/>
              <w:topLinePunct w:val="0"/>
              <w:autoSpaceDE w:val="0"/>
              <w:autoSpaceDN w:val="0"/>
              <w:bidi w:val="0"/>
              <w:adjustRightInd w:val="0"/>
              <w:spacing w:line="360" w:lineRule="exact"/>
              <w:ind w:left="71" w:right="69"/>
              <w:rPr>
                <w:rFonts w:hint="eastAsia" w:ascii="宋体" w:hAnsi="宋体" w:cs="宋体"/>
                <w:color w:val="auto"/>
                <w:kern w:val="0"/>
                <w:szCs w:val="21"/>
                <w:highlight w:val="none"/>
              </w:rPr>
            </w:pPr>
            <w:r>
              <w:rPr>
                <w:rFonts w:hint="eastAsia" w:ascii="宋体" w:hAnsi="宋体" w:cs="宋体"/>
                <w:color w:val="auto"/>
                <w:szCs w:val="21"/>
                <w:highlight w:val="none"/>
                <w:shd w:val="clear" w:color="auto" w:fill="FFFFFF"/>
              </w:rPr>
              <w:t>未注册加入“浙江省政府采购</w:t>
            </w:r>
            <w:r>
              <w:rPr>
                <w:rFonts w:hint="eastAsia" w:ascii="宋体" w:hAnsi="宋体" w:cs="宋体"/>
                <w:color w:val="auto"/>
                <w:szCs w:val="21"/>
                <w:highlight w:val="none"/>
                <w:shd w:val="clear" w:color="auto" w:fill="FFFFFF"/>
                <w:lang w:val="en-US" w:eastAsia="zh-CN"/>
              </w:rPr>
              <w:t>供应商</w:t>
            </w:r>
            <w:r>
              <w:rPr>
                <w:rFonts w:hint="eastAsia" w:ascii="宋体" w:hAnsi="宋体" w:cs="宋体"/>
                <w:color w:val="auto"/>
                <w:szCs w:val="21"/>
                <w:highlight w:val="none"/>
                <w:shd w:val="clear" w:color="auto" w:fill="FFFFFF"/>
              </w:rPr>
              <w:t>库”的投标人，应当按照《浙江省政府采购</w:t>
            </w:r>
            <w:r>
              <w:rPr>
                <w:rFonts w:hint="eastAsia" w:ascii="宋体" w:hAnsi="宋体" w:cs="宋体"/>
                <w:color w:val="auto"/>
                <w:szCs w:val="21"/>
                <w:highlight w:val="none"/>
                <w:shd w:val="clear" w:color="auto" w:fill="FFFFFF"/>
                <w:lang w:val="en-US" w:eastAsia="zh-CN"/>
              </w:rPr>
              <w:t>供应商</w:t>
            </w:r>
            <w:r>
              <w:rPr>
                <w:rFonts w:hint="eastAsia" w:ascii="宋体" w:hAnsi="宋体" w:cs="宋体"/>
                <w:color w:val="auto"/>
                <w:szCs w:val="21"/>
                <w:highlight w:val="none"/>
                <w:shd w:val="clear" w:color="auto" w:fill="FFFFFF"/>
              </w:rPr>
              <w:t>注册及诚信管理暂行办法》的规定进行注册登记（网址：</w:t>
            </w:r>
            <w:r>
              <w:rPr>
                <w:rFonts w:hint="eastAsia" w:ascii="宋体" w:hAnsi="宋体" w:cs="宋体"/>
                <w:color w:val="auto"/>
                <w:szCs w:val="21"/>
                <w:highlight w:val="none"/>
              </w:rPr>
              <w:t>http://zfcg.czt.zj.gov.cn/</w:t>
            </w:r>
            <w:r>
              <w:rPr>
                <w:rFonts w:hint="eastAsia" w:ascii="宋体" w:hAnsi="宋体" w:cs="宋体"/>
                <w:color w:val="auto"/>
                <w:szCs w:val="21"/>
                <w:highlight w:val="none"/>
                <w:shd w:val="clear" w:color="auto" w:fill="FFFFFF"/>
              </w:rPr>
              <w:t>）。一旦被确定为中标候选投标人的，应当在发出中标通知书前按规定进行注册申请，否则，采购人将拒绝向其发出中标通知书。</w:t>
            </w:r>
          </w:p>
        </w:tc>
      </w:tr>
      <w:tr>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right="-359" w:firstLine="105"/>
              <w:rPr>
                <w:rFonts w:ascii="宋体" w:hAnsi="宋体" w:cs="宋体"/>
                <w:color w:val="auto"/>
                <w:szCs w:val="21"/>
                <w:highlight w:val="none"/>
              </w:rPr>
            </w:pPr>
            <w:r>
              <w:rPr>
                <w:rFonts w:hint="eastAsia" w:ascii="宋体" w:hAnsi="宋体" w:cs="宋体"/>
                <w:color w:val="auto"/>
                <w:szCs w:val="21"/>
                <w:highlight w:val="none"/>
              </w:rPr>
              <w:t>26</w:t>
            </w:r>
          </w:p>
        </w:tc>
        <w:tc>
          <w:tcPr>
            <w:tcW w:w="86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left="71" w:right="69"/>
              <w:rPr>
                <w:rFonts w:hint="eastAsia" w:ascii="宋体" w:hAnsi="宋体" w:cs="宋体"/>
                <w:color w:val="auto"/>
                <w:szCs w:val="21"/>
                <w:highlight w:val="none"/>
                <w:shd w:val="clear" w:color="auto" w:fill="FFFFFF"/>
              </w:rPr>
            </w:pPr>
            <w:r>
              <w:rPr>
                <w:rFonts w:hint="eastAsia" w:ascii="宋体" w:hAnsi="宋体" w:cs="宋体"/>
                <w:b/>
                <w:bCs/>
                <w:color w:val="auto"/>
                <w:szCs w:val="21"/>
                <w:highlight w:val="none"/>
                <w:shd w:val="clear" w:color="auto" w:fill="FFFFFF"/>
              </w:rPr>
              <w:t>纸质版投标文件（响应文件）的提供：中标（成交）投标人应在中标（成交）公告发出后三天内提供与在线投标（响应）文件一致的纸质版响应文件及在线询标答复函、最终报价表(竞争性谈判或竞争性磋商需提供）等，共一式三套。具有电子签章或单位公章，提交给采购代理机构作为各单位资料存档使用。中标（成交）投标人应确保纸质版资料与在线电子版资料的一致性，否则导致后期纠纷的责任由中标（成交）投标人自行承担。</w:t>
            </w:r>
          </w:p>
        </w:tc>
      </w:tr>
      <w:tr>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right="-359" w:firstLine="105"/>
              <w:rPr>
                <w:rFonts w:ascii="宋体" w:hAnsi="宋体" w:cs="宋体"/>
                <w:color w:val="auto"/>
                <w:szCs w:val="21"/>
                <w:highlight w:val="none"/>
              </w:rPr>
            </w:pPr>
            <w:r>
              <w:rPr>
                <w:rFonts w:hint="eastAsia" w:ascii="宋体" w:hAnsi="宋体" w:cs="宋体"/>
                <w:color w:val="auto"/>
                <w:szCs w:val="21"/>
                <w:highlight w:val="none"/>
              </w:rPr>
              <w:t>27</w:t>
            </w:r>
          </w:p>
        </w:tc>
        <w:tc>
          <w:tcPr>
            <w:tcW w:w="861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hd w:val="clear"/>
              <w:kinsoku/>
              <w:wordWrap/>
              <w:overflowPunct/>
              <w:topLinePunct w:val="0"/>
              <w:autoSpaceDE w:val="0"/>
              <w:autoSpaceDN w:val="0"/>
              <w:bidi w:val="0"/>
              <w:adjustRightInd w:val="0"/>
              <w:spacing w:line="360" w:lineRule="exact"/>
              <w:ind w:left="71" w:right="69"/>
              <w:rPr>
                <w:rFonts w:hint="eastAsia" w:ascii="宋体" w:hAnsi="宋体" w:cs="宋体"/>
                <w:color w:val="auto"/>
                <w:szCs w:val="21"/>
                <w:highlight w:val="none"/>
              </w:rPr>
            </w:pPr>
            <w:r>
              <w:rPr>
                <w:rFonts w:hint="eastAsia" w:ascii="宋体" w:hAnsi="宋体" w:cs="宋体"/>
                <w:color w:val="auto"/>
                <w:szCs w:val="21"/>
                <w:highlight w:val="none"/>
              </w:rPr>
              <w:t>特别说明：</w:t>
            </w:r>
          </w:p>
          <w:p>
            <w:pPr>
              <w:keepNext w:val="0"/>
              <w:keepLines w:val="0"/>
              <w:pageBreakBefore w:val="0"/>
              <w:widowControl w:val="0"/>
              <w:shd w:val="clear"/>
              <w:kinsoku/>
              <w:wordWrap/>
              <w:overflowPunct/>
              <w:topLinePunct w:val="0"/>
              <w:autoSpaceDE w:val="0"/>
              <w:autoSpaceDN w:val="0"/>
              <w:bidi w:val="0"/>
              <w:adjustRightInd w:val="0"/>
              <w:spacing w:line="360" w:lineRule="exact"/>
              <w:ind w:left="71" w:right="69"/>
              <w:rPr>
                <w:rFonts w:hint="eastAsia" w:ascii="宋体" w:hAnsi="宋体" w:cs="宋体"/>
                <w:color w:val="auto"/>
                <w:szCs w:val="21"/>
                <w:highlight w:val="none"/>
              </w:rPr>
            </w:pPr>
            <w:r>
              <w:rPr>
                <w:rFonts w:hint="eastAsia" w:ascii="宋体" w:hAnsi="宋体" w:cs="宋体"/>
                <w:color w:val="auto"/>
                <w:szCs w:val="21"/>
                <w:highlight w:val="none"/>
              </w:rPr>
              <w:t>本表与招标文件其他部分内容不一致的，以本表为准。本招标文件的解释权属于采购人和采购代理机构。</w:t>
            </w:r>
          </w:p>
        </w:tc>
      </w:tr>
    </w:tbl>
    <w:p>
      <w:pPr>
        <w:shd w:val="clear"/>
        <w:rPr>
          <w:rFonts w:hint="eastAsia" w:ascii="宋体" w:hAnsi="宋体" w:cs="宋体"/>
          <w:color w:val="auto"/>
          <w:sz w:val="24"/>
          <w:highlight w:val="none"/>
        </w:rPr>
      </w:pPr>
    </w:p>
    <w:p>
      <w:pPr>
        <w:pStyle w:val="5"/>
        <w:shd w:val="clear"/>
        <w:spacing w:before="0" w:after="0" w:line="240" w:lineRule="auto"/>
        <w:rPr>
          <w:rFonts w:hint="eastAsia" w:ascii="宋体" w:hAnsi="宋体" w:eastAsia="宋体" w:cs="宋体"/>
          <w:color w:val="auto"/>
          <w:sz w:val="24"/>
          <w:szCs w:val="24"/>
          <w:highlight w:val="none"/>
        </w:rPr>
      </w:pPr>
      <w:bookmarkStart w:id="34" w:name="_Toc27142"/>
      <w:bookmarkStart w:id="35" w:name="_Toc1651"/>
      <w:bookmarkStart w:id="36" w:name="_Toc7984"/>
      <w:bookmarkStart w:id="37" w:name="_Toc317341938"/>
      <w:bookmarkStart w:id="38" w:name="_Toc18381"/>
      <w:bookmarkStart w:id="39" w:name="_Toc222632754"/>
      <w:r>
        <w:rPr>
          <w:rFonts w:hint="eastAsia" w:ascii="宋体" w:hAnsi="宋体" w:eastAsia="宋体" w:cs="宋体"/>
          <w:color w:val="auto"/>
          <w:sz w:val="24"/>
          <w:szCs w:val="24"/>
          <w:highlight w:val="none"/>
        </w:rPr>
        <w:t>一、总  则</w:t>
      </w:r>
      <w:bookmarkEnd w:id="34"/>
      <w:bookmarkEnd w:id="35"/>
      <w:bookmarkEnd w:id="36"/>
      <w:bookmarkEnd w:id="37"/>
      <w:bookmarkEnd w:id="38"/>
      <w:bookmarkEnd w:id="39"/>
    </w:p>
    <w:p>
      <w:pPr>
        <w:shd w:val="clear"/>
        <w:adjustRightInd w:val="0"/>
        <w:snapToGrid w:val="0"/>
        <w:spacing w:line="360" w:lineRule="exact"/>
        <w:jc w:val="left"/>
        <w:rPr>
          <w:rFonts w:hint="eastAsia" w:ascii="宋体" w:hAnsi="宋体" w:cs="宋体"/>
          <w:b/>
          <w:color w:val="auto"/>
          <w:szCs w:val="21"/>
          <w:highlight w:val="none"/>
        </w:rPr>
      </w:pPr>
      <w:bookmarkStart w:id="40" w:name="_Toc177825120"/>
      <w:bookmarkStart w:id="41" w:name="_Toc177870537"/>
      <w:bookmarkStart w:id="42" w:name="_Toc177824939"/>
      <w:bookmarkStart w:id="43" w:name="_Toc177824872"/>
      <w:r>
        <w:rPr>
          <w:rFonts w:hint="eastAsia" w:ascii="宋体" w:hAnsi="宋体" w:cs="宋体"/>
          <w:b/>
          <w:color w:val="auto"/>
          <w:szCs w:val="21"/>
          <w:highlight w:val="none"/>
        </w:rPr>
        <w:t>（一） 适用范围</w:t>
      </w:r>
      <w:bookmarkEnd w:id="40"/>
      <w:bookmarkEnd w:id="41"/>
      <w:bookmarkEnd w:id="42"/>
      <w:bookmarkEnd w:id="43"/>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本招标文件适用于</w:t>
      </w:r>
      <w:r>
        <w:rPr>
          <w:rFonts w:hint="eastAsia" w:ascii="宋体" w:hAnsi="宋体" w:cs="宋体"/>
          <w:color w:val="auto"/>
          <w:szCs w:val="21"/>
          <w:highlight w:val="none"/>
          <w:u w:val="single"/>
          <w:lang w:eastAsia="zh-CN"/>
        </w:rPr>
        <w:t>安吉县林业局林长制视频监控服务政府采购项目</w:t>
      </w:r>
      <w:r>
        <w:rPr>
          <w:rFonts w:hint="eastAsia" w:ascii="宋体" w:hAnsi="宋体" w:cs="宋体"/>
          <w:color w:val="auto"/>
          <w:szCs w:val="21"/>
          <w:highlight w:val="none"/>
        </w:rPr>
        <w:t>的招标、评标、定标、验收、合同履约、付款等（法律、法规另有规定的，从其规定）。</w:t>
      </w:r>
    </w:p>
    <w:p>
      <w:pPr>
        <w:shd w:val="clear"/>
        <w:adjustRightInd w:val="0"/>
        <w:snapToGrid w:val="0"/>
        <w:spacing w:line="360" w:lineRule="exact"/>
        <w:jc w:val="left"/>
        <w:rPr>
          <w:rFonts w:hint="eastAsia" w:ascii="宋体" w:hAnsi="宋体" w:cs="宋体"/>
          <w:b/>
          <w:color w:val="auto"/>
          <w:szCs w:val="21"/>
          <w:highlight w:val="none"/>
        </w:rPr>
      </w:pPr>
      <w:bookmarkStart w:id="44" w:name="_Toc177870538"/>
      <w:bookmarkStart w:id="45" w:name="_Toc177824873"/>
      <w:bookmarkStart w:id="46" w:name="_Toc177825121"/>
      <w:bookmarkStart w:id="47" w:name="_Toc177824940"/>
      <w:r>
        <w:rPr>
          <w:rFonts w:hint="eastAsia" w:ascii="宋体" w:hAnsi="宋体" w:cs="宋体"/>
          <w:b/>
          <w:color w:val="auto"/>
          <w:szCs w:val="21"/>
          <w:highlight w:val="none"/>
        </w:rPr>
        <w:t>（二）定义</w:t>
      </w:r>
      <w:bookmarkEnd w:id="44"/>
      <w:bookmarkEnd w:id="45"/>
      <w:bookmarkEnd w:id="46"/>
      <w:bookmarkEnd w:id="47"/>
    </w:p>
    <w:p>
      <w:pPr>
        <w:shd w:val="clear"/>
        <w:adjustRightInd w:val="0"/>
        <w:snapToGrid w:val="0"/>
        <w:spacing w:line="380" w:lineRule="exact"/>
        <w:ind w:firstLine="411" w:firstLineChars="196"/>
        <w:jc w:val="left"/>
        <w:rPr>
          <w:rFonts w:hint="eastAsia" w:ascii="宋体" w:hAnsi="宋体" w:cs="宋体"/>
          <w:color w:val="auto"/>
          <w:szCs w:val="21"/>
          <w:highlight w:val="none"/>
        </w:rPr>
      </w:pPr>
      <w:bookmarkStart w:id="48" w:name="_Toc293916356"/>
      <w:bookmarkStart w:id="49" w:name="_Toc293916005"/>
      <w:r>
        <w:rPr>
          <w:rFonts w:hint="eastAsia" w:ascii="宋体" w:hAnsi="宋体" w:cs="宋体"/>
          <w:color w:val="auto"/>
          <w:szCs w:val="21"/>
          <w:highlight w:val="none"/>
        </w:rPr>
        <w:t>1、“采购人”系指</w:t>
      </w:r>
      <w:r>
        <w:rPr>
          <w:rFonts w:hint="eastAsia" w:ascii="宋体" w:hAnsi="宋体" w:cs="宋体"/>
          <w:color w:val="auto"/>
          <w:szCs w:val="21"/>
          <w:highlight w:val="none"/>
          <w:lang w:eastAsia="zh-CN"/>
        </w:rPr>
        <w:t>安吉县林业局</w:t>
      </w:r>
      <w:r>
        <w:rPr>
          <w:rFonts w:hint="eastAsia" w:ascii="宋体" w:hAnsi="宋体" w:cs="宋体"/>
          <w:color w:val="auto"/>
          <w:szCs w:val="21"/>
          <w:highlight w:val="none"/>
        </w:rPr>
        <w:t>。</w:t>
      </w:r>
    </w:p>
    <w:p>
      <w:pPr>
        <w:shd w:val="clear"/>
        <w:adjustRightInd w:val="0"/>
        <w:snapToGrid w:val="0"/>
        <w:spacing w:line="380" w:lineRule="exact"/>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2、“采购代理机构”系指安吉精诚采购代理有限公司。</w:t>
      </w:r>
    </w:p>
    <w:p>
      <w:pPr>
        <w:shd w:val="clear"/>
        <w:adjustRightInd w:val="0"/>
        <w:snapToGrid w:val="0"/>
        <w:spacing w:line="360" w:lineRule="exact"/>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rPr>
        <w:t>3、“投标人”系指向采购人和采购代理机构提交投标文件的单位或个人。</w:t>
      </w:r>
      <w:bookmarkEnd w:id="48"/>
      <w:bookmarkEnd w:id="49"/>
    </w:p>
    <w:p>
      <w:pPr>
        <w:shd w:val="clear"/>
        <w:adjustRightInd w:val="0"/>
        <w:snapToGrid w:val="0"/>
        <w:spacing w:line="360" w:lineRule="exact"/>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4、“产品”系指供方按招标文件规定，须向采购人提供的一切有关</w:t>
      </w:r>
      <w:r>
        <w:rPr>
          <w:rFonts w:hint="eastAsia" w:ascii="宋体" w:hAnsi="宋体" w:cs="宋体"/>
          <w:color w:val="auto"/>
          <w:szCs w:val="21"/>
          <w:highlight w:val="none"/>
          <w:lang w:val="en-US" w:eastAsia="zh-CN"/>
        </w:rPr>
        <w:t>设备、软件、设施以及</w:t>
      </w:r>
      <w:r>
        <w:rPr>
          <w:rFonts w:hint="eastAsia" w:ascii="宋体" w:hAnsi="宋体" w:cs="宋体"/>
          <w:color w:val="auto"/>
          <w:szCs w:val="21"/>
          <w:highlight w:val="none"/>
        </w:rPr>
        <w:t>技术资料和材料。</w:t>
      </w:r>
    </w:p>
    <w:p>
      <w:pPr>
        <w:shd w:val="clear"/>
        <w:adjustRightInd w:val="0"/>
        <w:snapToGrid w:val="0"/>
        <w:spacing w:line="360" w:lineRule="exact"/>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5、“服务”系指招标文件规定投标人须承担的</w:t>
      </w:r>
      <w:r>
        <w:rPr>
          <w:rFonts w:hint="eastAsia" w:ascii="宋体" w:hAnsi="宋体" w:cs="宋体"/>
          <w:color w:val="auto"/>
          <w:szCs w:val="21"/>
          <w:highlight w:val="none"/>
          <w:lang w:val="en-US" w:eastAsia="zh-CN"/>
        </w:rPr>
        <w:t>需求调查、系统建设、设备运维、光纤和链路服务</w:t>
      </w:r>
      <w:r>
        <w:rPr>
          <w:rFonts w:hint="eastAsia" w:ascii="宋体" w:hAnsi="宋体" w:cs="宋体"/>
          <w:color w:val="auto"/>
          <w:szCs w:val="21"/>
          <w:highlight w:val="none"/>
        </w:rPr>
        <w:t>等义务。</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6、“项目”系指投标人按招标文件规定向采购人提供的产品和服务。</w:t>
      </w:r>
    </w:p>
    <w:p>
      <w:pPr>
        <w:shd w:val="clear"/>
        <w:adjustRightInd w:val="0"/>
        <w:snapToGrid w:val="0"/>
        <w:spacing w:line="360" w:lineRule="exact"/>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7、“书面形式”包括信函、传真、电子文档、电子邮件等。</w:t>
      </w:r>
    </w:p>
    <w:p>
      <w:pPr>
        <w:shd w:val="clear"/>
        <w:adjustRightInd w:val="0"/>
        <w:snapToGrid w:val="0"/>
        <w:spacing w:line="360" w:lineRule="exact"/>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8、“▲”系指实质性要求条款。</w:t>
      </w:r>
    </w:p>
    <w:p>
      <w:pPr>
        <w:shd w:val="clear"/>
        <w:adjustRightInd w:val="0"/>
        <w:snapToGrid w:val="0"/>
        <w:spacing w:line="360" w:lineRule="exact"/>
        <w:jc w:val="left"/>
        <w:rPr>
          <w:rFonts w:hint="eastAsia" w:ascii="宋体" w:hAnsi="宋体" w:cs="宋体"/>
          <w:b/>
          <w:color w:val="auto"/>
          <w:szCs w:val="21"/>
          <w:highlight w:val="none"/>
        </w:rPr>
      </w:pPr>
      <w:bookmarkStart w:id="50" w:name="_Toc177870539"/>
      <w:r>
        <w:rPr>
          <w:rFonts w:hint="eastAsia" w:ascii="宋体" w:hAnsi="宋体" w:cs="宋体"/>
          <w:b/>
          <w:color w:val="auto"/>
          <w:szCs w:val="21"/>
          <w:highlight w:val="none"/>
        </w:rPr>
        <w:t>（三）招标方式</w:t>
      </w:r>
      <w:bookmarkEnd w:id="50"/>
      <w:r>
        <w:rPr>
          <w:rFonts w:hint="eastAsia" w:ascii="宋体" w:hAnsi="宋体" w:cs="宋体"/>
          <w:b/>
          <w:color w:val="auto"/>
          <w:szCs w:val="21"/>
          <w:highlight w:val="none"/>
        </w:rPr>
        <w:t>：</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1、本次招标采用公开招标方式进行。</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2、本次招标设定上限价，上限价详见前附表。</w:t>
      </w:r>
    </w:p>
    <w:p>
      <w:pPr>
        <w:shd w:val="clear"/>
        <w:adjustRightInd w:val="0"/>
        <w:snapToGrid w:val="0"/>
        <w:spacing w:line="360" w:lineRule="exact"/>
        <w:jc w:val="left"/>
        <w:rPr>
          <w:rFonts w:hint="eastAsia" w:ascii="宋体" w:hAnsi="宋体" w:cs="宋体"/>
          <w:b/>
          <w:color w:val="auto"/>
          <w:szCs w:val="21"/>
          <w:highlight w:val="none"/>
        </w:rPr>
      </w:pPr>
      <w:bookmarkStart w:id="51" w:name="_Toc177824874"/>
      <w:bookmarkStart w:id="52" w:name="_Toc177870540"/>
      <w:bookmarkStart w:id="53" w:name="_Toc177824941"/>
      <w:bookmarkStart w:id="54" w:name="_Toc177825122"/>
      <w:r>
        <w:rPr>
          <w:rFonts w:hint="eastAsia" w:ascii="宋体" w:hAnsi="宋体" w:cs="宋体"/>
          <w:b/>
          <w:color w:val="auto"/>
          <w:szCs w:val="21"/>
          <w:highlight w:val="none"/>
        </w:rPr>
        <w:t>（四）投标委托</w:t>
      </w:r>
      <w:bookmarkEnd w:id="51"/>
      <w:bookmarkEnd w:id="52"/>
      <w:bookmarkEnd w:id="53"/>
      <w:bookmarkEnd w:id="54"/>
    </w:p>
    <w:p>
      <w:pPr>
        <w:pStyle w:val="2"/>
        <w:shd w:val="clear"/>
        <w:adjustRightInd w:val="0"/>
        <w:snapToGrid w:val="0"/>
        <w:spacing w:line="360" w:lineRule="exact"/>
        <w:ind w:firstLine="420"/>
        <w:jc w:val="left"/>
        <w:rPr>
          <w:rFonts w:hint="eastAsia" w:ascii="宋体" w:eastAsia="宋体" w:cs="宋体"/>
          <w:color w:val="auto"/>
          <w:sz w:val="21"/>
          <w:szCs w:val="21"/>
          <w:highlight w:val="none"/>
        </w:rPr>
      </w:pPr>
      <w:r>
        <w:rPr>
          <w:rFonts w:hint="eastAsia" w:ascii="宋体" w:eastAsia="宋体" w:cs="宋体"/>
          <w:color w:val="auto"/>
          <w:sz w:val="21"/>
          <w:szCs w:val="21"/>
          <w:highlight w:val="none"/>
        </w:rPr>
        <w:t>投标人代表须携带居民身份证，如投标人代表不是法定代表人，须有法定代表人出具的授权委托书（格式见第六章）。</w:t>
      </w:r>
    </w:p>
    <w:p>
      <w:pPr>
        <w:shd w:val="clear"/>
        <w:adjustRightInd w:val="0"/>
        <w:snapToGrid w:val="0"/>
        <w:spacing w:line="360" w:lineRule="exact"/>
        <w:jc w:val="left"/>
        <w:rPr>
          <w:rFonts w:hint="eastAsia" w:ascii="宋体" w:hAnsi="宋体" w:cs="宋体"/>
          <w:b/>
          <w:color w:val="auto"/>
          <w:szCs w:val="21"/>
          <w:highlight w:val="none"/>
        </w:rPr>
      </w:pPr>
      <w:bookmarkStart w:id="55" w:name="_Toc177824942"/>
      <w:bookmarkStart w:id="56" w:name="_Toc177870541"/>
      <w:bookmarkStart w:id="57" w:name="_Toc177825123"/>
      <w:bookmarkStart w:id="58" w:name="_Toc177824875"/>
      <w:r>
        <w:rPr>
          <w:rFonts w:hint="eastAsia" w:ascii="宋体" w:hAnsi="宋体" w:cs="宋体"/>
          <w:b/>
          <w:color w:val="auto"/>
          <w:szCs w:val="21"/>
          <w:highlight w:val="none"/>
        </w:rPr>
        <w:t>（五）投标费用</w:t>
      </w:r>
      <w:bookmarkEnd w:id="55"/>
      <w:bookmarkEnd w:id="56"/>
      <w:bookmarkEnd w:id="57"/>
      <w:bookmarkEnd w:id="58"/>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不论投标结果如何，投标人均应自行承担所有与投标有关的全部费用。</w:t>
      </w:r>
    </w:p>
    <w:p>
      <w:pPr>
        <w:shd w:val="clear"/>
        <w:adjustRightInd w:val="0"/>
        <w:snapToGrid w:val="0"/>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（六）合格投标人的资格要求</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符合第一章第五条的规定。</w:t>
      </w:r>
    </w:p>
    <w:p>
      <w:pPr>
        <w:shd w:val="clear"/>
        <w:adjustRightInd w:val="0"/>
        <w:snapToGrid w:val="0"/>
        <w:spacing w:line="3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（七）转包与分包</w:t>
      </w:r>
    </w:p>
    <w:p>
      <w:pPr>
        <w:shd w:val="clea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本项目不接受联合体投标，禁止转包，未经采购人同意不允许分包。</w:t>
      </w:r>
    </w:p>
    <w:p>
      <w:pPr>
        <w:shd w:val="clear"/>
        <w:adjustRightInd w:val="0"/>
        <w:snapToGrid w:val="0"/>
        <w:spacing w:line="360" w:lineRule="exact"/>
        <w:rPr>
          <w:rFonts w:hint="eastAsia" w:ascii="宋体" w:hAnsi="宋体" w:cs="宋体"/>
          <w:b/>
          <w:color w:val="auto"/>
          <w:highlight w:val="none"/>
        </w:rPr>
      </w:pPr>
      <w:r>
        <w:rPr>
          <w:rFonts w:hint="eastAsia" w:ascii="宋体" w:hAnsi="宋体" w:cs="宋体"/>
          <w:b/>
          <w:color w:val="auto"/>
          <w:highlight w:val="none"/>
        </w:rPr>
        <w:t>（</w:t>
      </w:r>
      <w:r>
        <w:rPr>
          <w:rFonts w:hint="eastAsia" w:ascii="宋体" w:hAnsi="宋体" w:cs="宋体"/>
          <w:b/>
          <w:color w:val="auto"/>
          <w:szCs w:val="21"/>
          <w:highlight w:val="none"/>
        </w:rPr>
        <w:t>八</w:t>
      </w:r>
      <w:r>
        <w:rPr>
          <w:rFonts w:hint="eastAsia" w:ascii="宋体" w:hAnsi="宋体" w:cs="宋体"/>
          <w:b/>
          <w:color w:val="auto"/>
          <w:highlight w:val="none"/>
        </w:rPr>
        <w:t>）</w:t>
      </w:r>
      <w:bookmarkStart w:id="59" w:name="_Toc177870542"/>
      <w:r>
        <w:rPr>
          <w:rFonts w:hint="eastAsia" w:ascii="宋体" w:hAnsi="宋体" w:cs="宋体"/>
          <w:b/>
          <w:color w:val="auto"/>
          <w:highlight w:val="none"/>
        </w:rPr>
        <w:t>特别说明：</w:t>
      </w:r>
      <w:bookmarkEnd w:id="59"/>
    </w:p>
    <w:p>
      <w:pPr>
        <w:shd w:val="clea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多家投标人参加投标，如其中两家或两家以上投标人的法定代表人为同一人或相互之间存在投资关系且达到控股的，同时提供的是同一品牌产品的，应当按一个投标人认定。评审时，取其中通过资格审查后的报价最低的一家为有效投标人；当报价相同时，则以技术标最优一家为有效投标人；均相同时，由评标委员会集体决定。</w:t>
      </w:r>
    </w:p>
    <w:p>
      <w:pPr>
        <w:shd w:val="clea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多家代理商或经销商参加投标，如其中两家或两家以上投标人存在分级代理或代销关系，且提供的是其所代理品牌产品的，评审时，按上述规定确定其中一家为有效投标人。</w:t>
      </w:r>
    </w:p>
    <w:p>
      <w:pPr>
        <w:shd w:val="clea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2、除招标文件另有规定外，投标人投标所使用的资格、信誉、荣誉、业绩与企业认证必须为本法人所拥有。投标人投标所使用的采购项目实施人员必须为本法人员工或其控股公司正式员工。</w:t>
      </w:r>
    </w:p>
    <w:p>
      <w:pPr>
        <w:shd w:val="clea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pPr>
        <w:shd w:val="clea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4、投标人应仔细阅读招标文件所有内容，对招标文件的要求作出实质性响应，按照招标文件的要求提交投标文件，并对所提供的全部资料的真实性承担法律责任。</w:t>
      </w:r>
    </w:p>
    <w:p>
      <w:pPr>
        <w:shd w:val="clea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5、投标人一旦递交了投标（响应）文件，即被视为接受了本招标文件的所有内容，如有任何异议，均应在答疑截止时间前提出。</w:t>
      </w:r>
    </w:p>
    <w:p>
      <w:pPr>
        <w:shd w:val="clea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6、投标文件前后描述不一，评审时将按不利于投标人的一种描述进行评审（评标委员会按招标文件规定允许投标人予以澄清的除外）。</w:t>
      </w:r>
    </w:p>
    <w:p>
      <w:pPr>
        <w:shd w:val="clear"/>
        <w:adjustRightInd w:val="0"/>
        <w:snapToGrid w:val="0"/>
        <w:spacing w:line="400" w:lineRule="exact"/>
        <w:rPr>
          <w:rFonts w:hint="eastAsia" w:ascii="宋体" w:hAnsi="宋体" w:cs="宋体"/>
          <w:b/>
          <w:color w:val="auto"/>
          <w:highlight w:val="none"/>
        </w:rPr>
      </w:pPr>
      <w:bookmarkStart w:id="60" w:name="_Toc177870543"/>
      <w:r>
        <w:rPr>
          <w:rFonts w:hint="eastAsia" w:ascii="宋体" w:hAnsi="宋体" w:cs="宋体"/>
          <w:b/>
          <w:color w:val="auto"/>
          <w:highlight w:val="none"/>
        </w:rPr>
        <w:t>（九）质疑</w:t>
      </w:r>
      <w:bookmarkEnd w:id="60"/>
      <w:r>
        <w:rPr>
          <w:rFonts w:hint="eastAsia" w:ascii="宋体" w:hAnsi="宋体" w:cs="宋体"/>
          <w:b/>
          <w:color w:val="auto"/>
          <w:highlight w:val="none"/>
        </w:rPr>
        <w:t>和投诉</w:t>
      </w:r>
    </w:p>
    <w:p>
      <w:pPr>
        <w:shd w:val="clear"/>
        <w:snapToGrid w:val="0"/>
        <w:spacing w:line="400" w:lineRule="exact"/>
        <w:ind w:firstLine="420" w:firstLineChars="200"/>
        <w:rPr>
          <w:rFonts w:hint="eastAsia" w:ascii="宋体" w:hAnsi="宋体" w:cs="宋体"/>
          <w:snapToGrid w:val="0"/>
          <w:color w:val="auto"/>
          <w:kern w:val="0"/>
          <w:highlight w:val="none"/>
        </w:rPr>
      </w:pPr>
      <w:bookmarkStart w:id="61" w:name="_Toc222632755"/>
      <w:bookmarkStart w:id="62" w:name="_Toc317341939"/>
      <w:r>
        <w:rPr>
          <w:rFonts w:hint="eastAsia" w:ascii="宋体" w:hAnsi="宋体" w:cs="宋体"/>
          <w:snapToGrid w:val="0"/>
          <w:color w:val="auto"/>
          <w:kern w:val="0"/>
          <w:highlight w:val="none"/>
        </w:rPr>
        <w:t xml:space="preserve">根据《中华人民共和国政府采购法》和《政府采购质疑和投诉办法》(财政部令第94号)的规定，投标人对政府采购活动事项有疑问的，可以向采购人和招标代理机构提出询问，采购人和招标代理机构应当及时作出答复，但答复的内容不得涉及商业秘密。  </w:t>
      </w:r>
    </w:p>
    <w:p>
      <w:pPr>
        <w:shd w:val="clear"/>
        <w:snapToGrid w:val="0"/>
        <w:spacing w:line="400" w:lineRule="exact"/>
        <w:ind w:firstLine="420" w:firstLineChars="200"/>
        <w:rPr>
          <w:rFonts w:hint="eastAsia" w:ascii="宋体" w:hAnsi="宋体" w:cs="宋体"/>
          <w:color w:val="auto"/>
          <w:highlight w:val="none"/>
        </w:rPr>
      </w:pPr>
      <w:r>
        <w:rPr>
          <w:rFonts w:hint="eastAsia" w:ascii="宋体" w:hAnsi="宋体" w:cs="宋体"/>
          <w:snapToGrid w:val="0"/>
          <w:color w:val="auto"/>
          <w:kern w:val="0"/>
          <w:highlight w:val="none"/>
        </w:rPr>
        <w:t>1、</w:t>
      </w:r>
      <w:r>
        <w:rPr>
          <w:rFonts w:hint="eastAsia" w:ascii="宋体" w:hAnsi="宋体" w:cs="宋体"/>
          <w:color w:val="auto"/>
          <w:highlight w:val="none"/>
        </w:rPr>
        <w:t>投标人认为</w:t>
      </w:r>
      <w:r>
        <w:rPr>
          <w:rFonts w:hint="eastAsia" w:ascii="宋体" w:hAnsi="宋体" w:cs="宋体"/>
          <w:color w:val="auto"/>
          <w:szCs w:val="21"/>
          <w:highlight w:val="none"/>
        </w:rPr>
        <w:t>招标</w:t>
      </w:r>
      <w:r>
        <w:rPr>
          <w:rFonts w:hint="eastAsia" w:ascii="宋体" w:hAnsi="宋体" w:cs="宋体"/>
          <w:color w:val="auto"/>
          <w:highlight w:val="none"/>
        </w:rPr>
        <w:t>文件、采购过程和中标、中标结果使自己的权益受到损害的，应当在知道或者应知其权益受到损害之日起七个工作日内，以书面形式向采购人、采购代理机构提出质疑。质疑起算日期如下：</w:t>
      </w:r>
    </w:p>
    <w:p>
      <w:pPr>
        <w:shd w:val="clear"/>
        <w:snapToGrid w:val="0"/>
        <w:spacing w:line="400" w:lineRule="exact"/>
        <w:ind w:firstLine="315" w:firstLineChars="150"/>
        <w:rPr>
          <w:rFonts w:hint="eastAsia" w:ascii="宋体" w:hAnsi="宋体" w:cs="宋体"/>
          <w:color w:val="auto"/>
          <w:highlight w:val="none"/>
        </w:rPr>
      </w:pPr>
      <w:r>
        <w:rPr>
          <w:rFonts w:hint="eastAsia" w:ascii="宋体" w:hAnsi="宋体" w:cs="宋体"/>
          <w:color w:val="auto"/>
          <w:highlight w:val="none"/>
        </w:rPr>
        <w:t>（1）对可以质疑的</w:t>
      </w:r>
      <w:r>
        <w:rPr>
          <w:rFonts w:hint="eastAsia" w:ascii="宋体" w:hAnsi="宋体" w:cs="宋体"/>
          <w:color w:val="auto"/>
          <w:szCs w:val="21"/>
          <w:highlight w:val="none"/>
        </w:rPr>
        <w:t>招标</w:t>
      </w:r>
      <w:r>
        <w:rPr>
          <w:rFonts w:hint="eastAsia" w:ascii="宋体" w:hAnsi="宋体" w:cs="宋体"/>
          <w:color w:val="auto"/>
          <w:highlight w:val="none"/>
        </w:rPr>
        <w:t>文件提出质疑的，为收到招标文件之日或者招标文件公告期限届满之日</w:t>
      </w:r>
      <w:r>
        <w:rPr>
          <w:rFonts w:hint="eastAsia" w:ascii="宋体" w:hAnsi="宋体" w:cs="宋体"/>
          <w:color w:val="auto"/>
          <w:szCs w:val="21"/>
          <w:highlight w:val="none"/>
        </w:rPr>
        <w:t>（公告期限届满后获取招标文件的，以公告期限届满之日为准）</w:t>
      </w:r>
      <w:r>
        <w:rPr>
          <w:rFonts w:hint="eastAsia" w:ascii="宋体" w:hAnsi="宋体" w:cs="宋体"/>
          <w:color w:val="auto"/>
          <w:highlight w:val="none"/>
        </w:rPr>
        <w:t>；</w:t>
      </w:r>
    </w:p>
    <w:p>
      <w:pPr>
        <w:shd w:val="clear"/>
        <w:snapToGrid w:val="0"/>
        <w:spacing w:line="400" w:lineRule="exact"/>
        <w:ind w:firstLine="315" w:firstLineChars="15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pPr>
        <w:shd w:val="clear"/>
        <w:snapToGrid w:val="0"/>
        <w:spacing w:line="400" w:lineRule="exact"/>
        <w:ind w:firstLine="315" w:firstLineChars="150"/>
        <w:rPr>
          <w:rFonts w:hint="eastAsia" w:ascii="宋体" w:hAnsi="宋体" w:cs="宋体"/>
          <w:color w:val="auto"/>
          <w:highlight w:val="none"/>
        </w:rPr>
      </w:pPr>
      <w:r>
        <w:rPr>
          <w:rFonts w:hint="eastAsia" w:ascii="宋体" w:hAnsi="宋体" w:cs="宋体"/>
          <w:color w:val="auto"/>
          <w:highlight w:val="none"/>
        </w:rPr>
        <w:t>（3）对中标结果提出质疑的，为中标结果公告期限届满之日。</w:t>
      </w:r>
    </w:p>
    <w:p>
      <w:pPr>
        <w:shd w:val="clear" w:color="auto"/>
        <w:snapToGrid w:val="0"/>
        <w:spacing w:line="400" w:lineRule="exact"/>
        <w:ind w:firstLine="420" w:firstLineChars="200"/>
        <w:rPr>
          <w:rFonts w:hint="eastAsia" w:ascii="宋体" w:hAnsi="宋体" w:cs="宋体"/>
          <w:color w:val="auto"/>
          <w:highlight w:val="none"/>
        </w:rPr>
      </w:pPr>
      <w:r>
        <w:rPr>
          <w:rFonts w:hint="eastAsia" w:ascii="宋体" w:hAnsi="宋体" w:cs="宋体"/>
          <w:snapToGrid w:val="0"/>
          <w:color w:val="auto"/>
          <w:kern w:val="0"/>
          <w:highlight w:val="none"/>
        </w:rPr>
        <w:t>2、</w:t>
      </w:r>
      <w:r>
        <w:rPr>
          <w:rFonts w:hint="eastAsia" w:ascii="宋体" w:hAnsi="宋体" w:cs="宋体"/>
          <w:color w:val="auto"/>
          <w:highlight w:val="none"/>
        </w:rPr>
        <w:t>质疑投标人对采购人、采购代理机构的答复不满意或者采购人、采购代理机构未在规定时间内作出答复的，可以在答复期满后十五个工作日内向同级政府采购监管部门投诉。</w:t>
      </w:r>
    </w:p>
    <w:p>
      <w:pPr>
        <w:shd w:val="clear" w:color="auto"/>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pPr>
        <w:shd w:val="clear" w:color="auto"/>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质疑书、投诉书均应明确阐述招标文件、招标过程和中标结果中使自己合法权益受到损害的实质性内容，提供相关事实、依据和证据及其来源或线索，便于有关单位调查、答复和处理。</w:t>
      </w:r>
    </w:p>
    <w:p>
      <w:pPr>
        <w:shd w:val="clear"/>
        <w:snapToGrid w:val="0"/>
        <w:spacing w:line="400" w:lineRule="exact"/>
        <w:ind w:firstLine="420" w:firstLineChars="200"/>
        <w:rPr>
          <w:rFonts w:hint="eastAsia" w:ascii="宋体" w:hAnsi="宋体" w:cs="宋体"/>
          <w:snapToGrid w:val="0"/>
          <w:color w:val="auto"/>
          <w:kern w:val="0"/>
          <w:highlight w:val="none"/>
        </w:rPr>
      </w:pPr>
      <w:r>
        <w:rPr>
          <w:rFonts w:hint="eastAsia" w:ascii="宋体" w:hAnsi="宋体" w:cs="宋体"/>
          <w:color w:val="auto"/>
          <w:highlight w:val="none"/>
        </w:rPr>
        <w:t>4</w:t>
      </w:r>
      <w:r>
        <w:rPr>
          <w:rFonts w:hint="eastAsia" w:ascii="宋体" w:hAnsi="宋体" w:cs="宋体"/>
          <w:snapToGrid w:val="0"/>
          <w:color w:val="auto"/>
          <w:kern w:val="0"/>
          <w:highlight w:val="none"/>
        </w:rPr>
        <w:t>、对于询问的处理：采购人或者采购代理机构应当在3个工作日内对投标人依法提出的询问作出答复。</w:t>
      </w:r>
    </w:p>
    <w:p>
      <w:pPr>
        <w:shd w:val="clear"/>
        <w:snapToGrid w:val="0"/>
        <w:spacing w:line="400" w:lineRule="exact"/>
        <w:ind w:firstLine="420" w:firstLineChars="200"/>
        <w:rPr>
          <w:rFonts w:hint="eastAsia" w:ascii="宋体" w:hAnsi="宋体" w:cs="宋体"/>
          <w:snapToGrid w:val="0"/>
          <w:color w:val="auto"/>
          <w:kern w:val="0"/>
          <w:highlight w:val="none"/>
        </w:rPr>
      </w:pPr>
      <w:r>
        <w:rPr>
          <w:rFonts w:hint="eastAsia" w:ascii="宋体" w:hAnsi="宋体" w:cs="宋体"/>
          <w:snapToGrid w:val="0"/>
          <w:color w:val="auto"/>
          <w:kern w:val="0"/>
          <w:highlight w:val="none"/>
        </w:rPr>
        <w:t>投标人提出的询问或者质疑超出采购人对采购代理机构委托授权范围的，采购代理机构应当告知投标人向采购人提出。</w:t>
      </w:r>
    </w:p>
    <w:p>
      <w:pPr>
        <w:shd w:val="clear"/>
        <w:rPr>
          <w:rFonts w:hint="eastAsia"/>
          <w:color w:val="auto"/>
          <w:highlight w:val="none"/>
        </w:rPr>
      </w:pPr>
    </w:p>
    <w:p>
      <w:pPr>
        <w:pStyle w:val="5"/>
        <w:shd w:val="clear"/>
        <w:spacing w:before="0" w:after="0" w:line="240" w:lineRule="auto"/>
        <w:rPr>
          <w:rFonts w:hint="eastAsia" w:ascii="宋体" w:hAnsi="宋体" w:eastAsia="宋体" w:cs="宋体"/>
          <w:color w:val="auto"/>
          <w:sz w:val="24"/>
          <w:szCs w:val="24"/>
          <w:highlight w:val="none"/>
        </w:rPr>
      </w:pPr>
      <w:bookmarkStart w:id="63" w:name="_Toc18204"/>
      <w:bookmarkStart w:id="64" w:name="_Toc6470"/>
      <w:bookmarkStart w:id="65" w:name="_Toc21697"/>
      <w:bookmarkStart w:id="66" w:name="_Toc19577"/>
      <w:r>
        <w:rPr>
          <w:rFonts w:hint="eastAsia" w:ascii="宋体" w:hAnsi="宋体" w:eastAsia="宋体" w:cs="宋体"/>
          <w:color w:val="auto"/>
          <w:sz w:val="24"/>
          <w:szCs w:val="24"/>
          <w:highlight w:val="none"/>
        </w:rPr>
        <w:t>二、招标文件</w:t>
      </w:r>
      <w:bookmarkEnd w:id="61"/>
      <w:bookmarkEnd w:id="62"/>
      <w:bookmarkEnd w:id="63"/>
      <w:bookmarkEnd w:id="64"/>
      <w:bookmarkEnd w:id="65"/>
      <w:bookmarkEnd w:id="66"/>
    </w:p>
    <w:p>
      <w:pPr>
        <w:shd w:val="clear"/>
        <w:adjustRightInd w:val="0"/>
        <w:snapToGrid w:val="0"/>
        <w:spacing w:line="360" w:lineRule="exact"/>
        <w:rPr>
          <w:rFonts w:hint="eastAsia" w:ascii="宋体" w:hAnsi="宋体" w:cs="宋体"/>
          <w:b/>
          <w:color w:val="auto"/>
          <w:highlight w:val="none"/>
        </w:rPr>
      </w:pPr>
      <w:r>
        <w:rPr>
          <w:rFonts w:hint="eastAsia" w:ascii="宋体" w:hAnsi="宋体" w:cs="宋体"/>
          <w:b/>
          <w:color w:val="auto"/>
          <w:highlight w:val="none"/>
        </w:rPr>
        <w:t>（一）招标文件的构成。本招标文件由以下部份组成：</w:t>
      </w:r>
    </w:p>
    <w:p>
      <w:pPr>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1、招标公告；</w:t>
      </w:r>
    </w:p>
    <w:p>
      <w:pPr>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2、招标需求；</w:t>
      </w:r>
    </w:p>
    <w:p>
      <w:pPr>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3、投标人须知；</w:t>
      </w:r>
    </w:p>
    <w:p>
      <w:pPr>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4、评标办法及标准；</w:t>
      </w:r>
    </w:p>
    <w:p>
      <w:pPr>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5、合同主要条款；</w:t>
      </w:r>
    </w:p>
    <w:p>
      <w:pPr>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6、投标文件格式；</w:t>
      </w:r>
    </w:p>
    <w:p>
      <w:pPr>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7、本项目招标文件的澄清、答复、修改、补充的内容。</w:t>
      </w:r>
    </w:p>
    <w:p>
      <w:pPr>
        <w:shd w:val="clear"/>
        <w:adjustRightInd w:val="0"/>
        <w:snapToGrid w:val="0"/>
        <w:spacing w:line="360" w:lineRule="exact"/>
        <w:rPr>
          <w:rFonts w:hint="eastAsia" w:ascii="宋体" w:hAnsi="宋体" w:cs="宋体"/>
          <w:b/>
          <w:color w:val="auto"/>
          <w:highlight w:val="none"/>
        </w:rPr>
      </w:pPr>
      <w:r>
        <w:rPr>
          <w:rFonts w:hint="eastAsia" w:ascii="宋体" w:hAnsi="宋体" w:cs="宋体"/>
          <w:b/>
          <w:color w:val="auto"/>
          <w:highlight w:val="none"/>
        </w:rPr>
        <w:t>（二）投标人的风险</w:t>
      </w:r>
    </w:p>
    <w:p>
      <w:pPr>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投标人没有按照招标文件要求提供全部资料，或者投标人没有对招标文件在各方面作出实质性响应是投标人的风险，并可能导致其投标被拒绝。</w:t>
      </w:r>
    </w:p>
    <w:p>
      <w:pPr>
        <w:shd w:val="clear"/>
        <w:adjustRightInd w:val="0"/>
        <w:snapToGrid w:val="0"/>
        <w:spacing w:line="360" w:lineRule="exact"/>
        <w:rPr>
          <w:rFonts w:hint="eastAsia" w:ascii="宋体" w:hAnsi="宋体" w:cs="宋体"/>
          <w:b/>
          <w:color w:val="auto"/>
          <w:highlight w:val="none"/>
        </w:rPr>
      </w:pPr>
      <w:r>
        <w:rPr>
          <w:rFonts w:hint="eastAsia" w:ascii="宋体" w:hAnsi="宋体" w:cs="宋体"/>
          <w:b/>
          <w:color w:val="auto"/>
          <w:highlight w:val="none"/>
        </w:rPr>
        <w:t xml:space="preserve">（三）招标文件的澄清与修改 </w:t>
      </w:r>
    </w:p>
    <w:p>
      <w:pPr>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1、投标人应认真阅读本招标文件，发现其中有误或有要求不合理的，投标人必须在投标须知前附表规定的招标文件答疑与澄清截止时间前以书面形式要求采购人和采购代理机构澄清。</w:t>
      </w:r>
    </w:p>
    <w:p>
      <w:pPr>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2、采购人和采购代理机构必须以书面形式答复投标人要求澄清的问题，并将不包含问题来源的答复书面通知所有购买招标文件的投标人；除书面答复以外的其他澄清方式及澄清内容均无效。</w:t>
      </w:r>
    </w:p>
    <w:p>
      <w:pPr>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3、采购人和采购代理机构对已发出的招标文件进行必要澄清、答复、修改或补充的，应在浙江政府采购网（</w:t>
      </w:r>
      <w:r>
        <w:rPr>
          <w:rFonts w:hint="eastAsia" w:ascii="宋体" w:hAnsi="宋体" w:cs="宋体"/>
          <w:color w:val="auto"/>
          <w:szCs w:val="21"/>
          <w:highlight w:val="none"/>
        </w:rPr>
        <w:t>http://zfcg.czt.zj.gov.cn/</w:t>
      </w:r>
      <w:r>
        <w:rPr>
          <w:rFonts w:hint="eastAsia" w:ascii="宋体" w:hAnsi="宋体" w:cs="宋体"/>
          <w:color w:val="auto"/>
          <w:highlight w:val="none"/>
        </w:rPr>
        <w:t>）上发布公告，并以书面形式通知所有招标文件收受人。</w:t>
      </w:r>
    </w:p>
    <w:p>
      <w:pPr>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4、为保证投标人有足够的时间按修改、补充后的招标文件的要求编制和修正其投标文件，采购人和采购代理机构可依法酌情推迟投标截止时间和开标时间。</w:t>
      </w:r>
    </w:p>
    <w:p>
      <w:pPr>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5、招标文件澄清、答复、修改、补充的内容为招标文件的组成部分。当招标文件与招标文件的答复、澄清、修改、补充通知就同一内容的表述不一致时，以最后发出的书面文件为准。</w:t>
      </w:r>
    </w:p>
    <w:p>
      <w:pPr>
        <w:shd w:val="clear"/>
        <w:adjustRightInd w:val="0"/>
        <w:snapToGrid w:val="0"/>
        <w:spacing w:line="360" w:lineRule="exact"/>
        <w:ind w:firstLine="420" w:firstLineChars="200"/>
        <w:rPr>
          <w:rFonts w:hint="eastAsia" w:ascii="宋体" w:hAnsi="宋体" w:cs="宋体"/>
          <w:color w:val="auto"/>
          <w:highlight w:val="none"/>
        </w:rPr>
      </w:pPr>
    </w:p>
    <w:p>
      <w:pPr>
        <w:pStyle w:val="5"/>
        <w:shd w:val="clear"/>
        <w:spacing w:before="0" w:after="0" w:line="240" w:lineRule="auto"/>
        <w:rPr>
          <w:rFonts w:hint="eastAsia" w:ascii="宋体" w:hAnsi="宋体" w:eastAsia="宋体" w:cs="宋体"/>
          <w:color w:val="auto"/>
          <w:sz w:val="24"/>
          <w:szCs w:val="24"/>
          <w:highlight w:val="none"/>
        </w:rPr>
      </w:pPr>
      <w:bookmarkStart w:id="67" w:name="_Toc18130"/>
      <w:bookmarkStart w:id="68" w:name="_Toc317341940"/>
      <w:bookmarkStart w:id="69" w:name="_Toc6078"/>
      <w:bookmarkStart w:id="70" w:name="_Toc222632756"/>
      <w:bookmarkStart w:id="71" w:name="_Toc13474"/>
      <w:bookmarkStart w:id="72" w:name="_Toc16999"/>
      <w:r>
        <w:rPr>
          <w:rFonts w:hint="eastAsia" w:ascii="宋体" w:hAnsi="宋体" w:eastAsia="宋体" w:cs="宋体"/>
          <w:color w:val="auto"/>
          <w:sz w:val="24"/>
          <w:szCs w:val="24"/>
          <w:highlight w:val="none"/>
        </w:rPr>
        <w:t>三、投标文件的编制</w:t>
      </w:r>
      <w:bookmarkEnd w:id="67"/>
      <w:bookmarkEnd w:id="68"/>
      <w:bookmarkEnd w:id="69"/>
      <w:bookmarkEnd w:id="70"/>
      <w:r>
        <w:rPr>
          <w:rFonts w:hint="eastAsia" w:ascii="宋体" w:hAnsi="宋体" w:eastAsia="宋体" w:cs="宋体"/>
          <w:color w:val="auto"/>
          <w:sz w:val="24"/>
          <w:szCs w:val="24"/>
          <w:highlight w:val="none"/>
        </w:rPr>
        <w:t>及递交</w:t>
      </w:r>
      <w:bookmarkEnd w:id="71"/>
      <w:bookmarkEnd w:id="72"/>
    </w:p>
    <w:p>
      <w:pPr>
        <w:shd w:val="clear"/>
        <w:adjustRightInd w:val="0"/>
        <w:snapToGrid w:val="0"/>
        <w:spacing w:line="360" w:lineRule="exact"/>
        <w:jc w:val="left"/>
        <w:rPr>
          <w:rFonts w:hint="eastAsia" w:ascii="宋体" w:hAnsi="宋体" w:cs="宋体"/>
          <w:b/>
          <w:color w:val="auto"/>
          <w:szCs w:val="21"/>
          <w:highlight w:val="none"/>
        </w:rPr>
      </w:pPr>
      <w:bookmarkStart w:id="73" w:name="_Toc177824943"/>
      <w:bookmarkStart w:id="74" w:name="_Toc177825124"/>
      <w:bookmarkStart w:id="75" w:name="_Toc177870546"/>
      <w:bookmarkStart w:id="76" w:name="_Toc177824876"/>
      <w:r>
        <w:rPr>
          <w:rFonts w:hint="eastAsia" w:ascii="宋体" w:hAnsi="宋体" w:cs="宋体"/>
          <w:b/>
          <w:color w:val="auto"/>
          <w:szCs w:val="21"/>
          <w:highlight w:val="none"/>
        </w:rPr>
        <w:t>（一）投标文件的组成</w:t>
      </w:r>
      <w:bookmarkEnd w:id="73"/>
      <w:bookmarkEnd w:id="74"/>
      <w:bookmarkEnd w:id="75"/>
      <w:bookmarkEnd w:id="76"/>
      <w:r>
        <w:rPr>
          <w:rFonts w:hint="eastAsia" w:ascii="宋体" w:hAnsi="宋体" w:cs="宋体"/>
          <w:color w:val="auto"/>
          <w:sz w:val="32"/>
          <w:highlight w:val="none"/>
        </w:rPr>
        <w:t xml:space="preserve"> </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投标文件由</w:t>
      </w:r>
      <w:r>
        <w:rPr>
          <w:rFonts w:hint="eastAsia" w:ascii="宋体" w:hAnsi="宋体" w:cs="宋体"/>
          <w:b/>
          <w:color w:val="auto"/>
          <w:szCs w:val="21"/>
          <w:highlight w:val="none"/>
        </w:rPr>
        <w:t>资格证明文件</w:t>
      </w:r>
      <w:r>
        <w:rPr>
          <w:rFonts w:hint="eastAsia" w:ascii="宋体" w:hAnsi="宋体" w:cs="宋体"/>
          <w:color w:val="auto"/>
          <w:szCs w:val="21"/>
          <w:highlight w:val="none"/>
        </w:rPr>
        <w:t>、</w:t>
      </w:r>
      <w:r>
        <w:rPr>
          <w:rFonts w:hint="eastAsia" w:ascii="宋体" w:hAnsi="宋体" w:cs="宋体"/>
          <w:b/>
          <w:color w:val="auto"/>
          <w:szCs w:val="21"/>
          <w:highlight w:val="none"/>
        </w:rPr>
        <w:t>技术资信文件、报价文件</w:t>
      </w:r>
      <w:r>
        <w:rPr>
          <w:rFonts w:hint="eastAsia" w:ascii="宋体" w:hAnsi="宋体" w:cs="宋体"/>
          <w:color w:val="auto"/>
          <w:szCs w:val="21"/>
          <w:highlight w:val="none"/>
        </w:rPr>
        <w:t>组成。</w:t>
      </w:r>
    </w:p>
    <w:p>
      <w:pPr>
        <w:shd w:val="clear"/>
        <w:adjustRightInd w:val="0"/>
        <w:snapToGrid w:val="0"/>
        <w:spacing w:line="360" w:lineRule="exact"/>
        <w:ind w:firstLine="422" w:firstLineChars="200"/>
        <w:jc w:val="left"/>
        <w:rPr>
          <w:rFonts w:ascii="宋体" w:hAnsi="宋体" w:cs="宋体"/>
          <w:b/>
          <w:szCs w:val="21"/>
          <w:highlight w:val="none"/>
        </w:rPr>
      </w:pPr>
      <w:r>
        <w:rPr>
          <w:rFonts w:hint="eastAsia" w:ascii="宋体" w:hAnsi="宋体" w:cs="宋体"/>
          <w:b/>
          <w:szCs w:val="21"/>
          <w:highlight w:val="none"/>
        </w:rPr>
        <w:t>1、资格证明文件包括：</w:t>
      </w:r>
    </w:p>
    <w:p>
      <w:pPr>
        <w:numPr>
          <w:ilvl w:val="0"/>
          <w:numId w:val="4"/>
        </w:numPr>
        <w:shd w:val="clear"/>
        <w:tabs>
          <w:tab w:val="clear" w:pos="533"/>
        </w:tabs>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投标资格声明书（格式见第六章）；</w:t>
      </w:r>
    </w:p>
    <w:p>
      <w:pPr>
        <w:numPr>
          <w:ilvl w:val="0"/>
          <w:numId w:val="4"/>
        </w:numPr>
        <w:shd w:val="clear"/>
        <w:tabs>
          <w:tab w:val="clear" w:pos="533"/>
        </w:tabs>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营业执照副本复印件；</w:t>
      </w:r>
    </w:p>
    <w:p>
      <w:pPr>
        <w:numPr>
          <w:ilvl w:val="0"/>
          <w:numId w:val="4"/>
        </w:numPr>
        <w:shd w:val="clear"/>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投标人最近依法缴纳税收的完税凭证复印件或不征（免征）税收证明书；或承诺函</w:t>
      </w:r>
    </w:p>
    <w:p>
      <w:pPr>
        <w:numPr>
          <w:ilvl w:val="0"/>
          <w:numId w:val="4"/>
        </w:numPr>
        <w:shd w:val="clear"/>
        <w:adjustRightInd w:val="0"/>
        <w:snapToGrid w:val="0"/>
        <w:spacing w:line="360" w:lineRule="exact"/>
        <w:ind w:left="420" w:hanging="420"/>
        <w:jc w:val="left"/>
        <w:rPr>
          <w:rFonts w:hint="eastAsia" w:ascii="宋体" w:hAnsi="宋体" w:eastAsia="宋体" w:cs="宋体"/>
          <w:szCs w:val="21"/>
          <w:highlight w:val="none"/>
        </w:rPr>
      </w:pPr>
      <w:r>
        <w:rPr>
          <w:rFonts w:hint="eastAsia" w:ascii="宋体" w:hAnsi="宋体" w:eastAsia="宋体" w:cs="宋体"/>
          <w:szCs w:val="21"/>
          <w:highlight w:val="none"/>
        </w:rPr>
        <w:t>投标人最近依法缴纳社保费的凭证复印件或不征（免征）社保证明书；或承诺函</w:t>
      </w:r>
    </w:p>
    <w:p>
      <w:pPr>
        <w:shd w:val="clear"/>
        <w:tabs>
          <w:tab w:val="left" w:pos="533"/>
        </w:tabs>
        <w:adjustRightInd w:val="0"/>
        <w:snapToGrid w:val="0"/>
        <w:spacing w:line="360" w:lineRule="exact"/>
        <w:ind w:firstLine="422" w:firstLineChars="200"/>
        <w:jc w:val="left"/>
        <w:rPr>
          <w:rFonts w:ascii="宋体" w:hAnsi="宋体" w:cs="宋体"/>
          <w:szCs w:val="21"/>
          <w:highlight w:val="none"/>
        </w:rPr>
      </w:pPr>
      <w:r>
        <w:rPr>
          <w:rFonts w:hint="eastAsia" w:ascii="宋体" w:hAnsi="宋体" w:cs="宋体"/>
          <w:b/>
          <w:szCs w:val="21"/>
          <w:highlight w:val="none"/>
        </w:rPr>
        <w:t>2、技术资信文件包括：</w:t>
      </w:r>
    </w:p>
    <w:p>
      <w:pPr>
        <w:numPr>
          <w:ilvl w:val="0"/>
          <w:numId w:val="5"/>
        </w:numPr>
        <w:shd w:val="clea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投标函（格式见第六章）；</w:t>
      </w:r>
    </w:p>
    <w:p>
      <w:pPr>
        <w:numPr>
          <w:ilvl w:val="0"/>
          <w:numId w:val="5"/>
        </w:numPr>
        <w:shd w:val="clea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营业执照复印件</w:t>
      </w:r>
    </w:p>
    <w:p>
      <w:pPr>
        <w:numPr>
          <w:ilvl w:val="0"/>
          <w:numId w:val="5"/>
        </w:numPr>
        <w:shd w:val="clea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法定代表人身份证明书、法定代表人授权委托书（格式见第六章）</w:t>
      </w:r>
    </w:p>
    <w:p>
      <w:pPr>
        <w:numPr>
          <w:ilvl w:val="0"/>
          <w:numId w:val="5"/>
        </w:numPr>
        <w:shd w:val="clea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投标单位情况表（格式见第六章）；</w:t>
      </w:r>
    </w:p>
    <w:p>
      <w:pPr>
        <w:numPr>
          <w:ilvl w:val="0"/>
          <w:numId w:val="5"/>
        </w:numPr>
        <w:shd w:val="clea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技术响应表（格式见第六章）；</w:t>
      </w:r>
    </w:p>
    <w:p>
      <w:pPr>
        <w:numPr>
          <w:ilvl w:val="0"/>
          <w:numId w:val="5"/>
        </w:numPr>
        <w:shd w:val="clear"/>
        <w:adjustRightInd w:val="0"/>
        <w:snapToGrid w:val="0"/>
        <w:spacing w:line="360" w:lineRule="exact"/>
        <w:jc w:val="left"/>
        <w:rPr>
          <w:rFonts w:ascii="宋体" w:hAnsi="宋体" w:cs="宋体"/>
          <w:szCs w:val="21"/>
          <w:highlight w:val="none"/>
        </w:rPr>
      </w:pPr>
      <w:r>
        <w:rPr>
          <w:rStyle w:val="40"/>
          <w:rFonts w:hint="eastAsia" w:ascii="宋体" w:hAnsi="宋体" w:eastAsia="宋体" w:cs="宋体"/>
          <w:color w:val="auto"/>
          <w:sz w:val="21"/>
          <w:szCs w:val="21"/>
          <w:highlight w:val="none"/>
          <w:u w:val="none"/>
          <w:lang w:val="en-US" w:eastAsia="zh-CN"/>
        </w:rPr>
        <w:t>项目建设</w:t>
      </w:r>
      <w:r>
        <w:rPr>
          <w:rStyle w:val="40"/>
          <w:rFonts w:hint="eastAsia" w:ascii="宋体" w:hAnsi="宋体" w:cs="宋体"/>
          <w:color w:val="auto"/>
          <w:sz w:val="21"/>
          <w:szCs w:val="21"/>
          <w:highlight w:val="none"/>
          <w:u w:val="none"/>
          <w:lang w:val="en-US" w:eastAsia="zh-CN"/>
        </w:rPr>
        <w:t>总体</w:t>
      </w:r>
      <w:r>
        <w:rPr>
          <w:rStyle w:val="40"/>
          <w:rFonts w:hint="eastAsia" w:ascii="宋体" w:hAnsi="宋体" w:eastAsia="宋体" w:cs="宋体"/>
          <w:color w:val="auto"/>
          <w:sz w:val="21"/>
          <w:szCs w:val="21"/>
          <w:highlight w:val="none"/>
          <w:u w:val="none"/>
          <w:lang w:val="en-US" w:eastAsia="zh-CN"/>
        </w:rPr>
        <w:t>方案</w:t>
      </w:r>
      <w:r>
        <w:rPr>
          <w:rStyle w:val="40"/>
          <w:rFonts w:hint="eastAsia" w:ascii="宋体" w:hAnsi="宋体" w:cs="宋体"/>
          <w:color w:val="auto"/>
          <w:sz w:val="21"/>
          <w:szCs w:val="21"/>
          <w:highlight w:val="none"/>
          <w:u w:val="none"/>
          <w:lang w:eastAsia="zh-CN"/>
        </w:rPr>
        <w:t>；</w:t>
      </w:r>
    </w:p>
    <w:p>
      <w:pPr>
        <w:numPr>
          <w:ilvl w:val="0"/>
          <w:numId w:val="5"/>
        </w:numPr>
        <w:shd w:val="clear"/>
        <w:adjustRightInd w:val="0"/>
        <w:snapToGrid w:val="0"/>
        <w:spacing w:line="360" w:lineRule="exact"/>
        <w:jc w:val="left"/>
        <w:rPr>
          <w:rFonts w:ascii="宋体" w:hAnsi="宋体" w:cs="宋体"/>
          <w:szCs w:val="21"/>
          <w:highlight w:val="none"/>
        </w:rPr>
      </w:pPr>
      <w:r>
        <w:rPr>
          <w:rStyle w:val="40"/>
          <w:rFonts w:hint="eastAsia" w:ascii="宋体" w:hAnsi="宋体" w:eastAsia="宋体" w:cs="宋体"/>
          <w:color w:val="auto"/>
          <w:sz w:val="21"/>
          <w:szCs w:val="21"/>
          <w:highlight w:val="none"/>
          <w:u w:val="none"/>
          <w:lang w:val="en-US" w:eastAsia="zh-CN"/>
        </w:rPr>
        <w:t>监控点位挂高选址方案</w:t>
      </w:r>
      <w:r>
        <w:rPr>
          <w:rStyle w:val="40"/>
          <w:rFonts w:hint="eastAsia" w:ascii="宋体" w:hAnsi="宋体" w:cs="宋体"/>
          <w:color w:val="auto"/>
          <w:sz w:val="21"/>
          <w:szCs w:val="21"/>
          <w:highlight w:val="none"/>
          <w:u w:val="none"/>
          <w:lang w:val="en-US" w:eastAsia="zh-CN"/>
        </w:rPr>
        <w:t>及高空监控资源；</w:t>
      </w:r>
    </w:p>
    <w:p>
      <w:pPr>
        <w:numPr>
          <w:ilvl w:val="0"/>
          <w:numId w:val="5"/>
        </w:numPr>
        <w:shd w:val="clear"/>
        <w:adjustRightInd w:val="0"/>
        <w:snapToGrid w:val="0"/>
        <w:spacing w:line="360" w:lineRule="exact"/>
        <w:jc w:val="left"/>
        <w:rPr>
          <w:rFonts w:ascii="宋体" w:hAnsi="宋体" w:cs="宋体"/>
          <w:szCs w:val="21"/>
          <w:highlight w:val="none"/>
        </w:rPr>
      </w:pPr>
      <w:r>
        <w:rPr>
          <w:rFonts w:hint="eastAsia" w:ascii="宋体" w:hAnsi="宋体" w:cs="宋体"/>
          <w:color w:val="000000"/>
          <w:sz w:val="21"/>
          <w:szCs w:val="21"/>
          <w:highlight w:val="none"/>
          <w:lang w:val="en-US" w:eastAsia="zh-CN"/>
        </w:rPr>
        <w:t>培训方案</w:t>
      </w:r>
      <w:r>
        <w:rPr>
          <w:rFonts w:hint="eastAsia" w:ascii="宋体" w:hAnsi="宋体" w:cs="宋体"/>
          <w:szCs w:val="21"/>
          <w:highlight w:val="none"/>
          <w:lang w:val="en-US" w:eastAsia="zh-CN"/>
        </w:rPr>
        <w:t>；</w:t>
      </w:r>
    </w:p>
    <w:p>
      <w:pPr>
        <w:numPr>
          <w:ilvl w:val="0"/>
          <w:numId w:val="5"/>
        </w:numPr>
        <w:shd w:val="clear"/>
        <w:adjustRightInd w:val="0"/>
        <w:snapToGrid w:val="0"/>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kern w:val="2"/>
          <w:szCs w:val="21"/>
          <w:highlight w:val="none"/>
        </w:rPr>
        <w:t>拟投</w:t>
      </w:r>
      <w:r>
        <w:rPr>
          <w:rFonts w:hint="eastAsia" w:ascii="宋体" w:hAnsi="宋体" w:eastAsia="宋体" w:cs="宋体"/>
          <w:color w:val="000000"/>
          <w:szCs w:val="21"/>
          <w:highlight w:val="none"/>
        </w:rPr>
        <w:t>入实施的团队人员配置（格式见第六章）</w:t>
      </w:r>
      <w:r>
        <w:rPr>
          <w:rFonts w:hint="eastAsia" w:ascii="宋体" w:hAnsi="宋体" w:eastAsia="宋体" w:cs="宋体"/>
          <w:color w:val="000000"/>
          <w:szCs w:val="21"/>
          <w:highlight w:val="none"/>
          <w:lang w:val="en-US" w:eastAsia="zh-CN"/>
        </w:rPr>
        <w:t>；</w:t>
      </w:r>
    </w:p>
    <w:p>
      <w:pPr>
        <w:numPr>
          <w:ilvl w:val="0"/>
          <w:numId w:val="5"/>
        </w:numPr>
        <w:shd w:val="clear"/>
        <w:adjustRightInd w:val="0"/>
        <w:snapToGrid w:val="0"/>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售后服务；</w:t>
      </w:r>
    </w:p>
    <w:p>
      <w:pPr>
        <w:numPr>
          <w:ilvl w:val="0"/>
          <w:numId w:val="5"/>
        </w:numPr>
        <w:shd w:val="clear"/>
        <w:adjustRightInd w:val="0"/>
        <w:snapToGrid w:val="0"/>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体系认证</w:t>
      </w:r>
      <w:r>
        <w:rPr>
          <w:rFonts w:hint="eastAsia" w:ascii="宋体" w:hAnsi="宋体" w:eastAsia="宋体" w:cs="宋体"/>
          <w:color w:val="000000"/>
          <w:szCs w:val="21"/>
          <w:highlight w:val="none"/>
          <w:lang w:val="en-US" w:eastAsia="zh-CN"/>
        </w:rPr>
        <w:t>证书</w:t>
      </w:r>
      <w:r>
        <w:rPr>
          <w:rFonts w:hint="eastAsia" w:ascii="宋体" w:hAnsi="宋体" w:eastAsia="宋体" w:cs="宋体"/>
          <w:color w:val="000000"/>
          <w:szCs w:val="21"/>
          <w:highlight w:val="none"/>
        </w:rPr>
        <w:t>；</w:t>
      </w:r>
    </w:p>
    <w:p>
      <w:pPr>
        <w:numPr>
          <w:ilvl w:val="0"/>
          <w:numId w:val="5"/>
        </w:numPr>
        <w:shd w:val="clear"/>
        <w:adjustRightInd w:val="0"/>
        <w:snapToGrid w:val="0"/>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商务响应表（格式见第六章）；</w:t>
      </w:r>
    </w:p>
    <w:p>
      <w:pPr>
        <w:numPr>
          <w:ilvl w:val="0"/>
          <w:numId w:val="5"/>
        </w:numPr>
        <w:shd w:val="clear"/>
        <w:adjustRightInd w:val="0"/>
        <w:snapToGrid w:val="0"/>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同类项目实施情况一览表（格式见第六章）；</w:t>
      </w:r>
    </w:p>
    <w:p>
      <w:pPr>
        <w:numPr>
          <w:ilvl w:val="0"/>
          <w:numId w:val="5"/>
        </w:numPr>
        <w:shd w:val="clear"/>
        <w:adjustRightInd w:val="0"/>
        <w:snapToGrid w:val="0"/>
        <w:spacing w:line="36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根据评分表及项目需求情况，自行添加相关表格及资料</w:t>
      </w:r>
      <w:r>
        <w:rPr>
          <w:rFonts w:hint="eastAsia" w:ascii="宋体" w:hAnsi="宋体" w:eastAsia="宋体" w:cs="宋体"/>
          <w:color w:val="000000"/>
          <w:szCs w:val="21"/>
          <w:highlight w:val="none"/>
          <w:lang w:eastAsia="zh-CN"/>
        </w:rPr>
        <w:t>。</w:t>
      </w:r>
    </w:p>
    <w:p>
      <w:pPr>
        <w:shd w:val="clear"/>
        <w:tabs>
          <w:tab w:val="left" w:pos="533"/>
        </w:tabs>
        <w:adjustRightInd w:val="0"/>
        <w:snapToGrid w:val="0"/>
        <w:spacing w:line="360" w:lineRule="exact"/>
        <w:ind w:firstLine="422" w:firstLineChars="200"/>
        <w:jc w:val="left"/>
        <w:rPr>
          <w:rFonts w:ascii="宋体" w:hAnsi="宋体" w:cs="宋体"/>
          <w:szCs w:val="21"/>
          <w:highlight w:val="none"/>
        </w:rPr>
      </w:pPr>
      <w:r>
        <w:rPr>
          <w:rFonts w:hint="eastAsia" w:ascii="宋体" w:hAnsi="宋体" w:cs="宋体"/>
          <w:b/>
          <w:szCs w:val="21"/>
          <w:highlight w:val="none"/>
        </w:rPr>
        <w:t>3、报价文件包括：</w:t>
      </w:r>
    </w:p>
    <w:p>
      <w:pPr>
        <w:numPr>
          <w:ilvl w:val="0"/>
          <w:numId w:val="6"/>
        </w:numPr>
        <w:shd w:val="clear"/>
        <w:adjustRightInd/>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开标一览表（格式见第六章）；</w:t>
      </w:r>
    </w:p>
    <w:p>
      <w:pPr>
        <w:numPr>
          <w:ilvl w:val="0"/>
          <w:numId w:val="6"/>
        </w:numPr>
        <w:shd w:val="clear"/>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szCs w:val="21"/>
          <w:highlight w:val="none"/>
          <w:lang w:eastAsia="zh-CN"/>
        </w:rPr>
        <w:t>报价明细表</w:t>
      </w:r>
      <w:r>
        <w:rPr>
          <w:rFonts w:hint="eastAsia" w:ascii="宋体" w:hAnsi="宋体" w:eastAsia="宋体" w:cs="宋体"/>
          <w:szCs w:val="21"/>
          <w:highlight w:val="none"/>
        </w:rPr>
        <w:t>（格式见第六章）</w:t>
      </w:r>
      <w:r>
        <w:rPr>
          <w:rFonts w:hint="eastAsia" w:ascii="宋体" w:hAnsi="宋体" w:eastAsia="宋体" w:cs="宋体"/>
          <w:szCs w:val="21"/>
          <w:highlight w:val="none"/>
          <w:lang w:eastAsia="zh-CN"/>
        </w:rPr>
        <w:t>；</w:t>
      </w:r>
    </w:p>
    <w:p>
      <w:pPr>
        <w:numPr>
          <w:ilvl w:val="0"/>
          <w:numId w:val="6"/>
        </w:numPr>
        <w:shd w:val="clear"/>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中小企业声明函（如投标人为</w:t>
      </w:r>
      <w:r>
        <w:rPr>
          <w:rFonts w:hint="eastAsia" w:ascii="宋体" w:hAnsi="宋体" w:eastAsia="宋体" w:cs="宋体"/>
          <w:color w:val="auto"/>
          <w:szCs w:val="21"/>
          <w:highlight w:val="none"/>
          <w:lang w:eastAsia="zh-CN"/>
        </w:rPr>
        <w:t>中小微企业，</w:t>
      </w:r>
      <w:r>
        <w:rPr>
          <w:rFonts w:hint="eastAsia" w:ascii="宋体" w:hAnsi="宋体" w:eastAsia="宋体" w:cs="宋体"/>
          <w:color w:val="auto"/>
          <w:szCs w:val="21"/>
          <w:highlight w:val="none"/>
        </w:rPr>
        <w:t>格式见第六章）；残疾人福利性单位声明函（如投标人为残疾人福利性单位）； 提供社保缴纳人员名单、录用的残疾人的《中华人民共和国残疾人证》或者《中华人民共和国残疾军人证(1至8级)》复印件；监狱企业相关证明材料（如投标人为监狱企业）；</w:t>
      </w:r>
    </w:p>
    <w:p>
      <w:pPr>
        <w:numPr>
          <w:ilvl w:val="0"/>
          <w:numId w:val="6"/>
        </w:numPr>
        <w:shd w:val="clear"/>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szCs w:val="21"/>
          <w:highlight w:val="none"/>
        </w:rPr>
        <w:t>投标人针对报价的说明或证明材料。</w:t>
      </w:r>
    </w:p>
    <w:p>
      <w:pPr>
        <w:shd w:val="clear"/>
        <w:adjustRightInd w:val="0"/>
        <w:snapToGrid w:val="0"/>
        <w:spacing w:line="3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（二）投标文件的语言及度量衡单位</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▲1、投标文件以及投标人与采购人和采购代理机构就有关投标事宜的所有来往函电，均应以中文书写。</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▲2、投标文件所使用的度量衡单位，均采用我国法定计量单位。</w:t>
      </w:r>
      <w:bookmarkStart w:id="77" w:name="_Toc177870548"/>
      <w:bookmarkStart w:id="78" w:name="_Toc177824878"/>
      <w:bookmarkStart w:id="79" w:name="_Toc177825126"/>
      <w:bookmarkStart w:id="80" w:name="_Toc177824945"/>
    </w:p>
    <w:p>
      <w:pPr>
        <w:shd w:val="clea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3、对不同文字文本投标文件的解释发生异议的，以中文文本为准。</w:t>
      </w:r>
    </w:p>
    <w:bookmarkEnd w:id="77"/>
    <w:bookmarkEnd w:id="78"/>
    <w:bookmarkEnd w:id="79"/>
    <w:bookmarkEnd w:id="80"/>
    <w:p>
      <w:pPr>
        <w:shd w:val="clear"/>
        <w:adjustRightInd w:val="0"/>
        <w:snapToGrid w:val="0"/>
        <w:spacing w:line="3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（三）投标报价</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1、投标报价应按招标文件中相关附表格式填写。</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▲2、招标采购单位不接受备选方案。</w:t>
      </w:r>
    </w:p>
    <w:p>
      <w:pPr>
        <w:shd w:val="clea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▲3、投标文件只允许有一个报价，有选择的报价将不予接受。</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投标人应充分考虑因各种原因可能发生的费用。对没有填报的费用，采购人认为所有费用已包含在报价中，除合同条款另有规定外，不得进行调整。</w:t>
      </w:r>
    </w:p>
    <w:p>
      <w:pPr>
        <w:shd w:val="clear"/>
        <w:adjustRightInd w:val="0"/>
        <w:snapToGrid w:val="0"/>
        <w:spacing w:line="3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（四）投标文件的有效期</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▲1、自投标截止日起</w:t>
      </w:r>
      <w:r>
        <w:rPr>
          <w:rFonts w:hint="eastAsia" w:ascii="宋体" w:hAnsi="宋体" w:cs="宋体"/>
          <w:color w:val="auto"/>
          <w:szCs w:val="21"/>
          <w:highlight w:val="none"/>
          <w:u w:val="single"/>
        </w:rPr>
        <w:t>90天</w:t>
      </w:r>
      <w:r>
        <w:rPr>
          <w:rFonts w:hint="eastAsia" w:ascii="宋体" w:hAnsi="宋体" w:cs="宋体"/>
          <w:color w:val="auto"/>
          <w:szCs w:val="21"/>
          <w:highlight w:val="none"/>
        </w:rPr>
        <w:t>投标书应保持有效。有效期短于这个规定期限的投标将被拒绝。</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2、在特殊情况下，采购人可与投标人协商延长投标书的有效期，这种要求和答复均以书面形式进行。</w:t>
      </w:r>
      <w:bookmarkStart w:id="81" w:name="_Toc177870549"/>
      <w:bookmarkStart w:id="82" w:name="_Toc177824946"/>
      <w:bookmarkStart w:id="83" w:name="_Toc177825127"/>
      <w:bookmarkStart w:id="84" w:name="_Toc177824879"/>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3、投标人可拒绝接受延期要求而不会导致投标保证金被不予返还。同意延长有效期的投标人需要相应延长投标保证金的有效期，但不能修改投标文件。</w:t>
      </w:r>
      <w:bookmarkEnd w:id="81"/>
      <w:bookmarkEnd w:id="82"/>
      <w:bookmarkEnd w:id="83"/>
      <w:bookmarkEnd w:id="84"/>
      <w:r>
        <w:rPr>
          <w:rFonts w:hint="eastAsia" w:ascii="宋体" w:hAnsi="宋体" w:cs="宋体"/>
          <w:color w:val="auto"/>
          <w:szCs w:val="21"/>
          <w:highlight w:val="none"/>
        </w:rPr>
        <w:t xml:space="preserve"> </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4、中标人的投标文件自开标之日起至合同履行完毕止均应保持有效。</w:t>
      </w:r>
    </w:p>
    <w:p>
      <w:pPr>
        <w:shd w:val="clear"/>
        <w:adjustRightInd w:val="0"/>
        <w:snapToGrid w:val="0"/>
        <w:spacing w:line="360" w:lineRule="exact"/>
        <w:jc w:val="left"/>
        <w:rPr>
          <w:rFonts w:hint="eastAsia" w:ascii="宋体" w:hAnsi="宋体" w:cs="宋体"/>
          <w:b/>
          <w:color w:val="auto"/>
          <w:szCs w:val="21"/>
          <w:highlight w:val="none"/>
        </w:rPr>
      </w:pPr>
      <w:bookmarkStart w:id="85" w:name="_Toc177824947"/>
      <w:bookmarkStart w:id="86" w:name="_Toc177870550"/>
      <w:bookmarkStart w:id="87" w:name="_Toc177824880"/>
      <w:bookmarkStart w:id="88" w:name="_Toc177825128"/>
      <w:r>
        <w:rPr>
          <w:rFonts w:hint="eastAsia" w:ascii="宋体" w:hAnsi="宋体" w:cs="宋体"/>
          <w:b/>
          <w:color w:val="auto"/>
          <w:szCs w:val="21"/>
          <w:highlight w:val="none"/>
        </w:rPr>
        <w:t>（五）投标保证金</w:t>
      </w:r>
      <w:bookmarkEnd w:id="85"/>
      <w:bookmarkEnd w:id="86"/>
      <w:bookmarkEnd w:id="87"/>
      <w:bookmarkEnd w:id="88"/>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无。</w:t>
      </w:r>
    </w:p>
    <w:p>
      <w:pPr>
        <w:shd w:val="clear"/>
        <w:rPr>
          <w:rFonts w:hint="eastAsia" w:ascii="宋体" w:hAnsi="宋体" w:cs="宋体"/>
          <w:b/>
          <w:color w:val="auto"/>
          <w:szCs w:val="20"/>
          <w:highlight w:val="none"/>
        </w:rPr>
      </w:pPr>
      <w:bookmarkStart w:id="89" w:name="_Toc177824881"/>
      <w:bookmarkStart w:id="90" w:name="_Toc177824948"/>
      <w:bookmarkStart w:id="91" w:name="_Toc177870551"/>
      <w:bookmarkStart w:id="92" w:name="_Toc177825129"/>
      <w:r>
        <w:rPr>
          <w:rFonts w:hint="eastAsia" w:ascii="宋体" w:hAnsi="宋体" w:cs="宋体"/>
          <w:b/>
          <w:color w:val="auto"/>
          <w:szCs w:val="21"/>
          <w:highlight w:val="none"/>
        </w:rPr>
        <w:t>（六）</w:t>
      </w:r>
      <w:r>
        <w:rPr>
          <w:rFonts w:hint="eastAsia" w:ascii="宋体" w:hAnsi="宋体" w:cs="宋体"/>
          <w:b/>
          <w:color w:val="auto"/>
          <w:szCs w:val="20"/>
          <w:highlight w:val="none"/>
        </w:rPr>
        <w:t>投标文件编制</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1、本项目通过“政采云平台（www.zcygov.cn）”实行在线投标响应（电子投标）。投标人应通过“政采云电子交易客户端”，并按照本招标文件和“政府采购云平台”的要求编制并加密投标文件。</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2、投标人应当按照本章节 “投标文件的组成”规定的内容及顺序在“政采云电子交易客户端”编制投标文件。其中《资格证明文件》和《技术资信文件》中不得出现本项目投标报价，如因投标人原因提前泄露投标报价的，是投标人的责任。</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本招标文件中有提供格式的，投标人须参照格式进行编制（格式中要求提供相关证明材料的或招标文件要求提供相关证明的，还需后附相关证明材料），未提供格式的，请各投标人自行拟定格式，加盖单位公章并由法定代表人或其授权代表签署（签字或盖章），否则视为未提供。</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4、投标文件内容不完整、编排混乱导致投标文件被误读、漏读或者查找不到相关内容的，是投标人的责任。</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5、投标文件因字迹潦草或表达不清所引起的后果由投标人负责。</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6、投标人没有按照本招标文件内 “投标文件的组成”要求提供全部资料，或者没有仔细阅读招标文件，或者没有对招标文件在各方面的要求作出实质性响应是投标人的风险，由此造成的一切后果由投标人自行承担。</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7、投标文件的签章</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7.1 投标文件的签章见《前附表》；</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7.2 投标文件应由投标人法定代表人或其授权代表签字（或盖章），并时加盖投标人公章。</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7.3 参与在线投标时如遇平台技术问题详询400-881-7190。</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8、投标文件的形式</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8.1 投标文件的形式：见《前附表》；</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8.2 “电子加密投标文件”：“电子加密投标文件”是指通过“政采云电子交易客户端”完成投标文件编制后生成并加密的数据电文形式的投标文件。</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8.3 “备份投标文件”：“备份投标文件”是指与“电子加密投标文件”同时生成的数据电文形式的电子文件（备份标书），其他方式编制的“备份投标文件”视为无效的“备份投标文件”。</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9、投标文件的份数</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投标文件的份数：见《前附表》。</w:t>
      </w:r>
    </w:p>
    <w:p>
      <w:pPr>
        <w:shd w:val="clear"/>
        <w:rPr>
          <w:rFonts w:hint="eastAsia" w:ascii="宋体" w:hAnsi="宋体" w:cs="宋体"/>
          <w:b/>
          <w:color w:val="auto"/>
          <w:szCs w:val="20"/>
          <w:highlight w:val="none"/>
        </w:rPr>
      </w:pPr>
      <w:r>
        <w:rPr>
          <w:rFonts w:hint="eastAsia" w:ascii="宋体" w:hAnsi="宋体" w:cs="宋体"/>
          <w:b/>
          <w:color w:val="auto"/>
          <w:szCs w:val="20"/>
          <w:highlight w:val="none"/>
        </w:rPr>
        <w:t>（七）投标文件的递交</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1、投标文件的上传、递交</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“投标文件”的上传、递交：见《前附表》。</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2、“电子加密投标文件”解密和异常情况处理</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“电子加密投标文件”解密：见《前附表》。</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3、投标文件的补充、修改或撤回</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 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采云平台”将予以拒收。</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3.2 投标截止时间后，投标人不得撤回、修改《投标文件》。</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4、投标文件的备选方案</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投标人不得递交任何的投标备选（替代）方案，否则其投标文件将作无效标处理。与“电子加密投标文件”同时生成的“备份投标文件”不是投标备选方案。</w:t>
      </w:r>
    </w:p>
    <w:bookmarkEnd w:id="89"/>
    <w:bookmarkEnd w:id="90"/>
    <w:bookmarkEnd w:id="91"/>
    <w:bookmarkEnd w:id="92"/>
    <w:p>
      <w:pPr>
        <w:shd w:val="clear"/>
        <w:adjustRightInd w:val="0"/>
        <w:snapToGrid w:val="0"/>
        <w:spacing w:line="360" w:lineRule="exact"/>
        <w:ind w:firstLine="420" w:firstLineChars="200"/>
        <w:jc w:val="left"/>
        <w:rPr>
          <w:rFonts w:hint="eastAsia" w:ascii="宋体" w:hAnsi="宋体" w:cs="宋体"/>
          <w:color w:val="auto"/>
          <w:szCs w:val="21"/>
          <w:highlight w:val="none"/>
        </w:rPr>
      </w:pPr>
      <w:bookmarkStart w:id="93" w:name="_Toc177870552"/>
      <w:r>
        <w:rPr>
          <w:rFonts w:hint="eastAsia" w:ascii="宋体" w:hAnsi="宋体" w:cs="宋体"/>
          <w:color w:val="auto"/>
          <w:szCs w:val="21"/>
          <w:highlight w:val="none"/>
        </w:rPr>
        <w:t>5、投标截止期</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5.1投标人应按前附表规定的时间、地点将投标文件递交给采购代理机构，采购代理机构将拒绝接受逾期送达的投标文件。</w:t>
      </w:r>
    </w:p>
    <w:p>
      <w:pPr>
        <w:shd w:val="clea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5.2 采购人可以按本须知规定以补充通知的方式，酌情延长递交投标文件的截止日期。在上述情况下，采购人与投标人以前在投标截止期方面的全部权利、责任和义务，将适用于延长至新的投标截止期。</w:t>
      </w:r>
      <w:bookmarkEnd w:id="93"/>
      <w:bookmarkStart w:id="94" w:name="_Toc107820050"/>
      <w:bookmarkStart w:id="95" w:name="_Toc170792769"/>
    </w:p>
    <w:p>
      <w:pPr>
        <w:shd w:val="clear"/>
        <w:rPr>
          <w:rFonts w:hint="eastAsia"/>
          <w:color w:val="auto"/>
          <w:highlight w:val="none"/>
        </w:rPr>
      </w:pPr>
    </w:p>
    <w:bookmarkEnd w:id="94"/>
    <w:bookmarkEnd w:id="95"/>
    <w:p>
      <w:pPr>
        <w:pStyle w:val="5"/>
        <w:shd w:val="clear"/>
        <w:spacing w:before="0" w:after="0" w:line="240" w:lineRule="auto"/>
        <w:rPr>
          <w:rFonts w:hint="eastAsia" w:ascii="宋体" w:hAnsi="宋体" w:eastAsia="宋体" w:cs="宋体"/>
          <w:color w:val="auto"/>
          <w:sz w:val="24"/>
          <w:szCs w:val="24"/>
          <w:highlight w:val="none"/>
        </w:rPr>
      </w:pPr>
      <w:bookmarkStart w:id="96" w:name="_Toc20939"/>
      <w:bookmarkStart w:id="97" w:name="_Toc317341941"/>
      <w:bookmarkStart w:id="98" w:name="_Toc222632758"/>
      <w:bookmarkStart w:id="99" w:name="_Toc15896"/>
      <w:bookmarkStart w:id="100" w:name="_Toc4085"/>
      <w:bookmarkStart w:id="101" w:name="_Toc4662"/>
      <w:r>
        <w:rPr>
          <w:rFonts w:hint="eastAsia" w:ascii="宋体" w:hAnsi="宋体" w:eastAsia="宋体" w:cs="宋体"/>
          <w:color w:val="auto"/>
          <w:sz w:val="24"/>
          <w:szCs w:val="24"/>
          <w:highlight w:val="none"/>
        </w:rPr>
        <w:t>四、开标</w:t>
      </w:r>
      <w:bookmarkEnd w:id="96"/>
      <w:bookmarkEnd w:id="97"/>
      <w:bookmarkEnd w:id="98"/>
      <w:bookmarkEnd w:id="99"/>
      <w:bookmarkEnd w:id="100"/>
      <w:bookmarkEnd w:id="101"/>
    </w:p>
    <w:p>
      <w:pPr>
        <w:pStyle w:val="6"/>
        <w:numPr>
          <w:ilvl w:val="0"/>
          <w:numId w:val="0"/>
        </w:numPr>
        <w:shd w:val="clear"/>
        <w:tabs>
          <w:tab w:val="clear" w:pos="720"/>
        </w:tabs>
        <w:spacing w:before="0" w:after="0" w:line="400" w:lineRule="exact"/>
        <w:ind w:left="720" w:hanging="720"/>
        <w:rPr>
          <w:rFonts w:hint="eastAsia" w:ascii="宋体" w:hAnsi="宋体" w:cs="宋体"/>
          <w:b w:val="0"/>
          <w:bCs w:val="0"/>
          <w:color w:val="auto"/>
          <w:sz w:val="21"/>
          <w:szCs w:val="21"/>
          <w:highlight w:val="none"/>
        </w:rPr>
      </w:pPr>
      <w:bookmarkStart w:id="102" w:name="_Toc222632759"/>
      <w:bookmarkStart w:id="103" w:name="_Toc317341942"/>
      <w:r>
        <w:rPr>
          <w:rFonts w:hint="eastAsia" w:ascii="宋体" w:hAnsi="宋体" w:cs="宋体"/>
          <w:b w:val="0"/>
          <w:bCs w:val="0"/>
          <w:color w:val="auto"/>
          <w:sz w:val="21"/>
          <w:szCs w:val="21"/>
          <w:highlight w:val="none"/>
        </w:rPr>
        <w:t>（一）开标形式</w:t>
      </w:r>
    </w:p>
    <w:p>
      <w:pPr>
        <w:shd w:val="clear"/>
        <w:spacing w:line="400" w:lineRule="exact"/>
        <w:ind w:firstLine="371" w:firstLineChars="177"/>
        <w:rPr>
          <w:rFonts w:hint="eastAsia" w:ascii="宋体" w:hAnsi="宋体" w:cs="宋体"/>
          <w:color w:val="auto"/>
          <w:szCs w:val="21"/>
          <w:highlight w:val="none"/>
        </w:rPr>
      </w:pPr>
      <w:r>
        <w:rPr>
          <w:rFonts w:hint="eastAsia" w:ascii="宋体" w:hAnsi="宋体" w:cs="宋体"/>
          <w:color w:val="auto"/>
          <w:szCs w:val="21"/>
          <w:highlight w:val="none"/>
        </w:rPr>
        <w:t xml:space="preserve"> 采购组织机构将按照招标文件规定的时间通过“政采云平台”组织开标、开启投标文件，所有投标人均应当准时在线参加。</w:t>
      </w:r>
    </w:p>
    <w:p>
      <w:pPr>
        <w:pStyle w:val="6"/>
        <w:numPr>
          <w:ilvl w:val="0"/>
          <w:numId w:val="0"/>
        </w:numPr>
        <w:shd w:val="clear"/>
        <w:tabs>
          <w:tab w:val="clear" w:pos="720"/>
        </w:tabs>
        <w:spacing w:before="0" w:after="0" w:line="400" w:lineRule="exact"/>
        <w:ind w:left="720" w:hanging="72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（二） 开标准备</w:t>
      </w:r>
    </w:p>
    <w:p>
      <w:pPr>
        <w:shd w:val="clear"/>
        <w:spacing w:line="400" w:lineRule="exact"/>
        <w:ind w:firstLine="369" w:firstLineChars="176"/>
        <w:rPr>
          <w:rFonts w:hint="eastAsia" w:ascii="宋体" w:hAnsi="宋体" w:cs="宋体"/>
          <w:color w:val="auto"/>
          <w:kern w:val="0"/>
          <w:szCs w:val="21"/>
          <w:highlight w:val="none"/>
        </w:rPr>
      </w:pPr>
      <w:r>
        <w:rPr>
          <w:rFonts w:hint="eastAsia" w:ascii="宋体" w:hAnsi="宋体" w:cs="宋体"/>
          <w:color w:val="auto"/>
          <w:kern w:val="0"/>
          <w:szCs w:val="21"/>
          <w:highlight w:val="none"/>
        </w:rPr>
        <w:t>1、开标的准备工作由采购组织机构负责落实；</w:t>
      </w:r>
    </w:p>
    <w:p>
      <w:pPr>
        <w:shd w:val="clear"/>
        <w:spacing w:after="120" w:line="400" w:lineRule="exact"/>
        <w:ind w:firstLine="369" w:firstLineChars="176"/>
        <w:rPr>
          <w:rFonts w:hint="eastAsia"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采购组织机构将按照招标文件规定的时间通过“政采云平台”组织开标、开启投标文件，所有投标人均应当准时在线参加。</w:t>
      </w:r>
      <w:r>
        <w:rPr>
          <w:rFonts w:hint="eastAsia" w:ascii="宋体" w:hAnsi="宋体" w:cs="宋体"/>
          <w:color w:val="auto"/>
          <w:kern w:val="0"/>
          <w:szCs w:val="21"/>
          <w:highlight w:val="none"/>
        </w:rPr>
        <w:t>投标人如不参加开标大会的，视同认可开标结果，事后不得对采购相关人员、开标过程和开标结果提出异议，同时投标人因未在线参加开标而导致投标文件无法按时解密等一切后果由投标人自行承担。</w:t>
      </w:r>
    </w:p>
    <w:p>
      <w:pPr>
        <w:pStyle w:val="6"/>
        <w:numPr>
          <w:ilvl w:val="0"/>
          <w:numId w:val="0"/>
        </w:numPr>
        <w:shd w:val="clear"/>
        <w:tabs>
          <w:tab w:val="clear" w:pos="720"/>
        </w:tabs>
        <w:spacing w:before="0" w:after="0" w:line="400" w:lineRule="exact"/>
        <w:ind w:left="720" w:hanging="72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（三）开标流程</w:t>
      </w:r>
    </w:p>
    <w:p>
      <w:pPr>
        <w:shd w:val="clear"/>
        <w:spacing w:line="400" w:lineRule="exact"/>
        <w:ind w:firstLine="371" w:firstLineChars="177"/>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1、开标、开启投标文件时，电子交易平台自动提取所有投标、投标文件，提示采购组织机构和投标人按招标文件规定的方式和时间在线解密。给予投标人在线解密的时间为30分钟。</w:t>
      </w:r>
    </w:p>
    <w:p>
      <w:pPr>
        <w:shd w:val="clear"/>
        <w:spacing w:line="400" w:lineRule="exact"/>
        <w:ind w:firstLine="371" w:firstLineChars="177"/>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人在规定的时间内无法完成已递交的“电子加密投标文件”解密的：如已按规定递交了备份投标文件的，将由采购组织机构按“政采云平台”操作规范将备份投标文件上传至“政采云平台”，上传成功后，“电子加密投标文件”自动失效；投标人如未按规定递交备份投标文件的，视为投标文件撤回。</w:t>
      </w:r>
    </w:p>
    <w:p>
      <w:pPr>
        <w:shd w:val="clear"/>
        <w:spacing w:line="400" w:lineRule="exact"/>
        <w:ind w:firstLine="371" w:firstLineChars="177"/>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3、投标文件解密后，采购人及采购代理机构将对依法对投标人的资格进行审查，资格审查结束后进入符合性审查和资信技术的评审工作。</w:t>
      </w:r>
    </w:p>
    <w:p>
      <w:pPr>
        <w:shd w:val="clear"/>
        <w:spacing w:line="400" w:lineRule="exact"/>
        <w:ind w:firstLine="371" w:firstLineChars="177"/>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4、符合性审查、资信技术评审结束后，开启报价文件。</w:t>
      </w:r>
    </w:p>
    <w:p>
      <w:pPr>
        <w:shd w:val="clear"/>
        <w:spacing w:line="400" w:lineRule="exact"/>
        <w:ind w:firstLine="371" w:firstLineChars="177"/>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5、评标委员会对报价的合理性、准确性等进行审查核实。</w:t>
      </w:r>
    </w:p>
    <w:p>
      <w:pPr>
        <w:shd w:val="clear"/>
        <w:spacing w:line="400" w:lineRule="exact"/>
        <w:ind w:firstLine="371" w:firstLineChars="177"/>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6、评标委员会完成评审后，通过电子交易平台向采购人及其委托的代理机构提交评审报告。同时打印纸质评审报告签署后由采购代理机构保存。</w:t>
      </w:r>
    </w:p>
    <w:p>
      <w:pPr>
        <w:shd w:val="clea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7、评审结束后，代理机构通过电子交易平台或发送邮件形式向各投标人公布中标（成交）候选投标人名单，及采购人最终确定中标或中标人名单的时间和公告方式等。</w:t>
      </w:r>
    </w:p>
    <w:p>
      <w:pPr>
        <w:shd w:val="clea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8、开标会议结束。</w:t>
      </w:r>
    </w:p>
    <w:p>
      <w:pPr>
        <w:shd w:val="clear"/>
        <w:spacing w:after="120" w:line="400" w:lineRule="exact"/>
        <w:ind w:firstLine="373" w:firstLineChars="177"/>
        <w:jc w:val="left"/>
        <w:rPr>
          <w:rFonts w:hint="eastAsia" w:ascii="宋体" w:hAnsi="宋体" w:cs="宋体"/>
          <w:b/>
          <w:color w:val="auto"/>
          <w:szCs w:val="21"/>
          <w:highlight w:val="none"/>
        </w:rPr>
      </w:pPr>
      <w:r>
        <w:rPr>
          <w:rFonts w:hint="eastAsia" w:ascii="宋体" w:hAnsi="宋体" w:cs="宋体"/>
          <w:b/>
          <w:color w:val="auto"/>
          <w:kern w:val="0"/>
          <w:szCs w:val="21"/>
          <w:highlight w:val="none"/>
        </w:rPr>
        <w:t>特别说明：如遇“政府采购云平台”电子化开标或评审程序调整的，按调整后程序执行。</w:t>
      </w:r>
    </w:p>
    <w:p>
      <w:pPr>
        <w:shd w:val="clear"/>
        <w:spacing w:line="360" w:lineRule="exact"/>
        <w:ind w:firstLine="420" w:firstLineChars="200"/>
        <w:rPr>
          <w:rFonts w:hint="eastAsia" w:ascii="宋体" w:hAnsi="宋体" w:cs="宋体"/>
          <w:color w:val="auto"/>
          <w:szCs w:val="21"/>
          <w:highlight w:val="none"/>
        </w:rPr>
      </w:pPr>
    </w:p>
    <w:p>
      <w:pPr>
        <w:pStyle w:val="5"/>
        <w:numPr>
          <w:ilvl w:val="0"/>
          <w:numId w:val="7"/>
        </w:numPr>
        <w:shd w:val="clear"/>
        <w:spacing w:before="0" w:after="0" w:line="240" w:lineRule="auto"/>
        <w:rPr>
          <w:rFonts w:hint="eastAsia" w:ascii="宋体" w:hAnsi="宋体" w:eastAsia="宋体" w:cs="宋体"/>
          <w:color w:val="auto"/>
          <w:sz w:val="24"/>
          <w:szCs w:val="24"/>
          <w:highlight w:val="none"/>
        </w:rPr>
      </w:pPr>
      <w:bookmarkStart w:id="104" w:name="_Toc17668"/>
      <w:bookmarkStart w:id="105" w:name="_Toc13947"/>
      <w:bookmarkStart w:id="106" w:name="_Toc13446"/>
      <w:bookmarkStart w:id="107" w:name="_Toc29731"/>
      <w:r>
        <w:rPr>
          <w:rFonts w:hint="eastAsia" w:ascii="宋体" w:hAnsi="宋体" w:eastAsia="宋体" w:cs="宋体"/>
          <w:color w:val="auto"/>
          <w:sz w:val="24"/>
          <w:szCs w:val="24"/>
          <w:highlight w:val="none"/>
        </w:rPr>
        <w:t>资格审查</w:t>
      </w:r>
      <w:bookmarkEnd w:id="104"/>
      <w:bookmarkEnd w:id="105"/>
      <w:bookmarkEnd w:id="106"/>
    </w:p>
    <w:p>
      <w:pPr>
        <w:pStyle w:val="15"/>
        <w:numPr>
          <w:ilvl w:val="0"/>
          <w:numId w:val="8"/>
        </w:numPr>
        <w:shd w:val="clear"/>
        <w:adjustRightInd w:val="0"/>
        <w:snapToGrid w:val="0"/>
        <w:spacing w:before="0" w:beforeLines="0" w:after="0" w:afterLines="0"/>
        <w:rPr>
          <w:rFonts w:hint="eastAsia" w:hAnsi="宋体" w:cs="宋体"/>
          <w:bCs/>
          <w:color w:val="auto"/>
          <w:sz w:val="21"/>
          <w:szCs w:val="21"/>
          <w:highlight w:val="none"/>
        </w:rPr>
      </w:pPr>
      <w:r>
        <w:rPr>
          <w:rFonts w:hint="eastAsia" w:hAnsi="宋体" w:cs="宋体"/>
          <w:bCs/>
          <w:color w:val="auto"/>
          <w:sz w:val="21"/>
          <w:szCs w:val="21"/>
          <w:highlight w:val="none"/>
        </w:rPr>
        <w:t>资格审查人员</w:t>
      </w:r>
    </w:p>
    <w:p>
      <w:pPr>
        <w:pStyle w:val="15"/>
        <w:shd w:val="clear"/>
        <w:adjustRightInd w:val="0"/>
        <w:snapToGrid w:val="0"/>
        <w:spacing w:before="0" w:beforeLines="0" w:after="0" w:afterLines="0"/>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由采购人及采购代理机构负责。</w:t>
      </w:r>
    </w:p>
    <w:p>
      <w:pPr>
        <w:pStyle w:val="15"/>
        <w:numPr>
          <w:ilvl w:val="0"/>
          <w:numId w:val="8"/>
        </w:numPr>
        <w:shd w:val="clear"/>
        <w:adjustRightInd w:val="0"/>
        <w:snapToGrid w:val="0"/>
        <w:spacing w:before="0" w:beforeLines="0" w:after="0" w:afterLines="0"/>
        <w:rPr>
          <w:rFonts w:hint="eastAsia" w:hAnsi="宋体" w:cs="宋体"/>
          <w:bCs/>
          <w:color w:val="auto"/>
          <w:sz w:val="21"/>
          <w:szCs w:val="21"/>
          <w:highlight w:val="none"/>
        </w:rPr>
      </w:pPr>
      <w:r>
        <w:rPr>
          <w:rFonts w:hint="eastAsia" w:hAnsi="宋体" w:cs="宋体"/>
          <w:bCs/>
          <w:color w:val="auto"/>
          <w:sz w:val="21"/>
          <w:szCs w:val="21"/>
          <w:highlight w:val="none"/>
        </w:rPr>
        <w:t>资格审查依据</w:t>
      </w:r>
    </w:p>
    <w:p>
      <w:pPr>
        <w:pStyle w:val="15"/>
        <w:shd w:val="clear"/>
        <w:adjustRightInd w:val="0"/>
        <w:snapToGrid w:val="0"/>
        <w:spacing w:before="0" w:beforeLines="0" w:after="0" w:afterLines="0"/>
        <w:ind w:firstLine="420"/>
        <w:rPr>
          <w:rFonts w:hint="eastAsia" w:hAnsi="宋体" w:cs="宋体"/>
          <w:bCs/>
          <w:color w:val="auto"/>
          <w:sz w:val="21"/>
          <w:szCs w:val="21"/>
          <w:highlight w:val="none"/>
        </w:rPr>
      </w:pPr>
      <w:r>
        <w:rPr>
          <w:rFonts w:hint="eastAsia" w:hAnsi="宋体" w:cs="宋体"/>
          <w:bCs/>
          <w:color w:val="auto"/>
          <w:sz w:val="21"/>
          <w:szCs w:val="21"/>
          <w:highlight w:val="none"/>
        </w:rPr>
        <w:t>招标文件、投标人的资格证明文件、“信用中国”网站www.creditchina.gov.cn及“中国政府采购网”www.ccgp.gov.cn查询结果。</w:t>
      </w:r>
    </w:p>
    <w:p>
      <w:pPr>
        <w:pStyle w:val="15"/>
        <w:numPr>
          <w:ilvl w:val="0"/>
          <w:numId w:val="8"/>
        </w:numPr>
        <w:shd w:val="clear"/>
        <w:adjustRightInd w:val="0"/>
        <w:snapToGrid w:val="0"/>
        <w:spacing w:before="0" w:beforeLines="0" w:after="0" w:afterLines="0"/>
        <w:rPr>
          <w:rFonts w:hint="eastAsia" w:hAnsi="宋体" w:cs="宋体"/>
          <w:bCs/>
          <w:color w:val="auto"/>
          <w:sz w:val="21"/>
          <w:szCs w:val="21"/>
          <w:highlight w:val="none"/>
        </w:rPr>
      </w:pPr>
      <w:r>
        <w:rPr>
          <w:rFonts w:hint="eastAsia" w:hAnsi="宋体" w:cs="宋体"/>
          <w:bCs/>
          <w:color w:val="auto"/>
          <w:sz w:val="21"/>
          <w:szCs w:val="21"/>
          <w:highlight w:val="none"/>
        </w:rPr>
        <w:t>资格审查方法</w:t>
      </w:r>
    </w:p>
    <w:p>
      <w:pPr>
        <w:shd w:val="clear"/>
        <w:spacing w:line="400" w:lineRule="exact"/>
        <w:ind w:firstLine="371" w:firstLineChars="177"/>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1、审查投标人资格证明文件的完整性、符合性。</w:t>
      </w:r>
    </w:p>
    <w:p>
      <w:pPr>
        <w:shd w:val="clear"/>
        <w:spacing w:line="400" w:lineRule="exact"/>
        <w:ind w:firstLine="371" w:firstLineChars="177"/>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2、登录“信用中国”网站www.creditchina.gov.cn、“中国政府采购网”www.ccgp.gov.cn查询截止投标时间前的各投标人信用记录，打印相关网页页面留存。</w:t>
      </w:r>
    </w:p>
    <w:p>
      <w:pPr>
        <w:shd w:val="clear"/>
        <w:spacing w:line="400" w:lineRule="exact"/>
        <w:ind w:firstLine="371" w:firstLineChars="177"/>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3、打印纸质资格审查表并签字确认。</w:t>
      </w:r>
    </w:p>
    <w:p>
      <w:pPr>
        <w:shd w:val="clear"/>
        <w:spacing w:line="400" w:lineRule="exact"/>
        <w:ind w:firstLine="371" w:firstLineChars="177"/>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4、采购人或采购代理机构对投标人所提交的资格证明材料仅负审核的责任。如发现投标人所提交的资格证明材料不合法或与事实不符，采购人可取消其中标资格并追究投标人的法律责任。</w:t>
      </w:r>
    </w:p>
    <w:p>
      <w:pPr>
        <w:shd w:val="clear"/>
        <w:spacing w:line="400" w:lineRule="exact"/>
        <w:ind w:firstLine="371" w:firstLineChars="177"/>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5、投标人提交的资格证明材料无法证明其符合招标文件规定的“投标人资格要求”的，采购人或采购代理机构将对其作资格审查不通过处理（无效投标），并不再将其投标提交评标委员会进行后续评审。</w:t>
      </w:r>
    </w:p>
    <w:p>
      <w:pPr>
        <w:shd w:val="clear"/>
        <w:spacing w:line="400" w:lineRule="exact"/>
        <w:ind w:firstLine="371" w:firstLineChars="177"/>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6、单位负责人为同一人或者存在直接控股、管理关系的不同投标人参加同一合同项下的政府采购活动的，相关投标人均作资格无效处理。</w:t>
      </w:r>
    </w:p>
    <w:p>
      <w:pPr>
        <w:shd w:val="clear"/>
        <w:ind w:firstLine="371" w:firstLineChars="177"/>
        <w:jc w:val="left"/>
        <w:rPr>
          <w:rFonts w:hint="eastAsia" w:ascii="宋体" w:hAnsi="宋体" w:cs="宋体"/>
          <w:color w:val="auto"/>
          <w:kern w:val="0"/>
          <w:szCs w:val="21"/>
          <w:highlight w:val="none"/>
        </w:rPr>
      </w:pPr>
    </w:p>
    <w:p>
      <w:pPr>
        <w:pStyle w:val="5"/>
        <w:numPr>
          <w:ilvl w:val="0"/>
          <w:numId w:val="7"/>
        </w:numPr>
        <w:shd w:val="clear"/>
        <w:spacing w:before="0" w:after="0" w:line="240" w:lineRule="auto"/>
        <w:rPr>
          <w:rFonts w:hint="eastAsia" w:ascii="宋体" w:hAnsi="宋体" w:eastAsia="宋体" w:cs="宋体"/>
          <w:color w:val="auto"/>
          <w:sz w:val="24"/>
          <w:szCs w:val="24"/>
          <w:highlight w:val="none"/>
        </w:rPr>
      </w:pPr>
      <w:bookmarkStart w:id="108" w:name="_Toc16490"/>
      <w:bookmarkStart w:id="109" w:name="_Toc11885"/>
      <w:bookmarkStart w:id="110" w:name="_Toc27733"/>
      <w:r>
        <w:rPr>
          <w:rFonts w:hint="eastAsia" w:ascii="宋体" w:hAnsi="宋体" w:eastAsia="宋体" w:cs="宋体"/>
          <w:color w:val="auto"/>
          <w:sz w:val="24"/>
          <w:szCs w:val="24"/>
          <w:highlight w:val="none"/>
        </w:rPr>
        <w:t>评标</w:t>
      </w:r>
      <w:bookmarkEnd w:id="102"/>
      <w:bookmarkEnd w:id="103"/>
      <w:bookmarkEnd w:id="107"/>
      <w:bookmarkEnd w:id="108"/>
      <w:bookmarkEnd w:id="109"/>
      <w:bookmarkEnd w:id="110"/>
    </w:p>
    <w:p>
      <w:pPr>
        <w:pStyle w:val="15"/>
        <w:shd w:val="clear"/>
        <w:tabs>
          <w:tab w:val="left" w:pos="720"/>
        </w:tabs>
        <w:adjustRightInd w:val="0"/>
        <w:snapToGrid w:val="0"/>
        <w:spacing w:before="0" w:beforeLines="0" w:after="0" w:afterLines="0"/>
        <w:rPr>
          <w:rFonts w:hint="eastAsia" w:hAnsi="宋体" w:cs="宋体"/>
          <w:b/>
          <w:color w:val="auto"/>
          <w:sz w:val="21"/>
          <w:szCs w:val="21"/>
          <w:highlight w:val="none"/>
        </w:rPr>
      </w:pPr>
      <w:bookmarkStart w:id="111" w:name="_Toc317341943"/>
      <w:r>
        <w:rPr>
          <w:rFonts w:hint="eastAsia" w:hAnsi="宋体" w:cs="宋体"/>
          <w:b/>
          <w:color w:val="auto"/>
          <w:sz w:val="21"/>
          <w:szCs w:val="21"/>
          <w:highlight w:val="none"/>
        </w:rPr>
        <w:t>（一）评审工作的组织</w:t>
      </w:r>
    </w:p>
    <w:p>
      <w:pPr>
        <w:shd w:val="clear"/>
        <w:spacing w:line="400" w:lineRule="exact"/>
        <w:ind w:firstLine="369" w:firstLineChars="176"/>
        <w:rPr>
          <w:rFonts w:hint="eastAsia" w:ascii="宋体" w:hAnsi="宋体" w:cs="宋体"/>
          <w:b/>
          <w:color w:val="auto"/>
          <w:szCs w:val="21"/>
          <w:highlight w:val="none"/>
        </w:rPr>
      </w:pPr>
      <w:r>
        <w:rPr>
          <w:rFonts w:hint="eastAsia" w:ascii="宋体" w:hAnsi="宋体" w:cs="宋体"/>
          <w:color w:val="auto"/>
          <w:kern w:val="0"/>
          <w:szCs w:val="21"/>
          <w:highlight w:val="none"/>
        </w:rPr>
        <w:t>采购人或采购代理机构负责组织本项目的评审工作，并依据政府采购法的相关规定履行职责。</w:t>
      </w:r>
    </w:p>
    <w:p>
      <w:pPr>
        <w:pStyle w:val="15"/>
        <w:shd w:val="clear"/>
        <w:adjustRightInd w:val="0"/>
        <w:snapToGrid w:val="0"/>
        <w:spacing w:before="0" w:beforeLines="0" w:after="0" w:afterLines="0"/>
        <w:rPr>
          <w:rFonts w:hint="eastAsia" w:hAnsi="宋体" w:cs="宋体"/>
          <w:b/>
          <w:color w:val="auto"/>
          <w:sz w:val="21"/>
          <w:szCs w:val="21"/>
          <w:highlight w:val="none"/>
        </w:rPr>
      </w:pPr>
      <w:r>
        <w:rPr>
          <w:rFonts w:hint="eastAsia" w:hAnsi="宋体" w:cs="宋体"/>
          <w:b/>
          <w:color w:val="auto"/>
          <w:sz w:val="21"/>
          <w:szCs w:val="21"/>
          <w:highlight w:val="none"/>
        </w:rPr>
        <w:t>（二）组建评标委员会</w:t>
      </w:r>
    </w:p>
    <w:p>
      <w:pPr>
        <w:pStyle w:val="15"/>
        <w:shd w:val="clear"/>
        <w:adjustRightInd w:val="0"/>
        <w:snapToGrid w:val="0"/>
        <w:spacing w:before="0" w:beforeLines="0" w:after="0" w:afterLines="0"/>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本项目评标委员会由合法组建的5人（含）以上单数组成。评标委员会成员名单在评审结果（采购结果）公告前保密。</w:t>
      </w:r>
    </w:p>
    <w:p>
      <w:pPr>
        <w:pStyle w:val="15"/>
        <w:shd w:val="clear"/>
        <w:tabs>
          <w:tab w:val="left" w:pos="720"/>
        </w:tabs>
        <w:adjustRightInd w:val="0"/>
        <w:snapToGrid w:val="0"/>
        <w:spacing w:before="0" w:beforeLines="0" w:after="0" w:afterLines="0"/>
        <w:rPr>
          <w:rFonts w:hint="eastAsia" w:hAnsi="宋体" w:cs="宋体"/>
          <w:b/>
          <w:color w:val="auto"/>
          <w:sz w:val="21"/>
          <w:szCs w:val="21"/>
          <w:highlight w:val="none"/>
        </w:rPr>
      </w:pPr>
      <w:r>
        <w:rPr>
          <w:rFonts w:hint="eastAsia" w:hAnsi="宋体" w:cs="宋体"/>
          <w:b/>
          <w:color w:val="auto"/>
          <w:sz w:val="21"/>
          <w:szCs w:val="21"/>
          <w:highlight w:val="none"/>
        </w:rPr>
        <w:t>（三）评标委员会的职责</w:t>
      </w:r>
    </w:p>
    <w:p>
      <w:pPr>
        <w:shd w:val="clear"/>
        <w:spacing w:line="400" w:lineRule="exact"/>
        <w:ind w:firstLine="371" w:firstLineChars="176"/>
        <w:rPr>
          <w:rFonts w:hint="eastAsia" w:ascii="宋体" w:hAnsi="宋体" w:cs="宋体"/>
          <w:b/>
          <w:color w:val="auto"/>
          <w:kern w:val="0"/>
          <w:szCs w:val="21"/>
          <w:highlight w:val="none"/>
        </w:rPr>
      </w:pPr>
      <w:r>
        <w:rPr>
          <w:rFonts w:hint="eastAsia" w:ascii="宋体" w:hAnsi="宋体" w:cs="宋体"/>
          <w:b/>
          <w:color w:val="auto"/>
          <w:kern w:val="0"/>
          <w:szCs w:val="21"/>
          <w:highlight w:val="none"/>
        </w:rPr>
        <w:t>评标委员会负责具体评审事务，并独立履行下列职责：</w:t>
      </w:r>
    </w:p>
    <w:p>
      <w:pPr>
        <w:shd w:val="clear"/>
        <w:spacing w:line="400" w:lineRule="exact"/>
        <w:ind w:firstLine="369" w:firstLineChars="176"/>
        <w:rPr>
          <w:rFonts w:hint="eastAsia" w:ascii="宋体" w:hAnsi="宋体" w:cs="宋体"/>
          <w:color w:val="auto"/>
          <w:kern w:val="0"/>
          <w:szCs w:val="21"/>
          <w:highlight w:val="none"/>
        </w:rPr>
      </w:pPr>
      <w:r>
        <w:rPr>
          <w:rFonts w:hint="eastAsia" w:ascii="宋体" w:hAnsi="宋体" w:cs="宋体"/>
          <w:color w:val="auto"/>
          <w:kern w:val="0"/>
          <w:szCs w:val="21"/>
          <w:highlight w:val="none"/>
        </w:rPr>
        <w:t>1、审查、评价投标文件是否符合招标文件的资信、技术等实质性要求；</w:t>
      </w:r>
    </w:p>
    <w:p>
      <w:pPr>
        <w:shd w:val="clear"/>
        <w:spacing w:line="400" w:lineRule="exact"/>
        <w:ind w:firstLine="369" w:firstLineChars="176"/>
        <w:rPr>
          <w:rFonts w:hint="eastAsia" w:ascii="宋体" w:hAnsi="宋体" w:cs="宋体"/>
          <w:color w:val="auto"/>
          <w:kern w:val="0"/>
          <w:szCs w:val="21"/>
          <w:highlight w:val="none"/>
        </w:rPr>
      </w:pPr>
      <w:r>
        <w:rPr>
          <w:rFonts w:hint="eastAsia" w:ascii="宋体" w:hAnsi="宋体" w:cs="宋体"/>
          <w:color w:val="auto"/>
          <w:kern w:val="0"/>
          <w:szCs w:val="21"/>
          <w:highlight w:val="none"/>
        </w:rPr>
        <w:t>2、要求投标人对投标文件有关事项作出澄清或者说明；</w:t>
      </w:r>
    </w:p>
    <w:p>
      <w:pPr>
        <w:shd w:val="clear"/>
        <w:spacing w:line="400" w:lineRule="exact"/>
        <w:ind w:firstLine="369" w:firstLineChars="176"/>
        <w:rPr>
          <w:rFonts w:hint="eastAsia" w:ascii="宋体" w:hAnsi="宋体" w:cs="宋体"/>
          <w:color w:val="auto"/>
          <w:kern w:val="0"/>
          <w:szCs w:val="21"/>
          <w:highlight w:val="none"/>
        </w:rPr>
      </w:pPr>
      <w:r>
        <w:rPr>
          <w:rFonts w:hint="eastAsia" w:ascii="宋体" w:hAnsi="宋体" w:cs="宋体"/>
          <w:color w:val="auto"/>
          <w:kern w:val="0"/>
          <w:szCs w:val="21"/>
          <w:highlight w:val="none"/>
        </w:rPr>
        <w:t>3、对投标文件进行比较和评价；</w:t>
      </w:r>
    </w:p>
    <w:p>
      <w:pPr>
        <w:shd w:val="clear"/>
        <w:spacing w:line="400" w:lineRule="exact"/>
        <w:ind w:firstLine="369" w:firstLineChars="176"/>
        <w:rPr>
          <w:rFonts w:hint="eastAsia" w:ascii="宋体" w:hAnsi="宋体" w:cs="宋体"/>
          <w:color w:val="auto"/>
          <w:kern w:val="0"/>
          <w:szCs w:val="21"/>
          <w:highlight w:val="none"/>
        </w:rPr>
      </w:pPr>
      <w:r>
        <w:rPr>
          <w:rFonts w:hint="eastAsia" w:ascii="宋体" w:hAnsi="宋体" w:cs="宋体"/>
          <w:color w:val="auto"/>
          <w:kern w:val="0"/>
          <w:szCs w:val="21"/>
          <w:highlight w:val="none"/>
        </w:rPr>
        <w:t>4、确定中标候选人名单，以及根据采购人委托直接确定中标人；</w:t>
      </w:r>
    </w:p>
    <w:p>
      <w:pPr>
        <w:shd w:val="clear"/>
        <w:spacing w:line="400" w:lineRule="exact"/>
        <w:ind w:firstLine="369" w:firstLineChars="176"/>
        <w:rPr>
          <w:rFonts w:hint="eastAsia" w:ascii="宋体" w:hAnsi="宋体" w:cs="宋体"/>
          <w:color w:val="auto"/>
          <w:kern w:val="0"/>
          <w:szCs w:val="21"/>
          <w:highlight w:val="none"/>
        </w:rPr>
      </w:pPr>
      <w:r>
        <w:rPr>
          <w:rFonts w:hint="eastAsia" w:ascii="宋体" w:hAnsi="宋体" w:cs="宋体"/>
          <w:color w:val="auto"/>
          <w:kern w:val="0"/>
          <w:szCs w:val="21"/>
          <w:highlight w:val="none"/>
        </w:rPr>
        <w:t>5、向采购人、采购代理机构或者有关部门报告评审中发现的违法行为。</w:t>
      </w:r>
    </w:p>
    <w:p>
      <w:pPr>
        <w:pStyle w:val="15"/>
        <w:shd w:val="clear"/>
        <w:tabs>
          <w:tab w:val="left" w:pos="720"/>
        </w:tabs>
        <w:adjustRightInd w:val="0"/>
        <w:snapToGrid w:val="0"/>
        <w:spacing w:before="0" w:beforeLines="0" w:after="0" w:afterLines="0"/>
        <w:rPr>
          <w:rFonts w:hint="eastAsia" w:hAnsi="宋体" w:cs="宋体"/>
          <w:b/>
          <w:color w:val="auto"/>
          <w:sz w:val="21"/>
          <w:szCs w:val="21"/>
          <w:highlight w:val="none"/>
        </w:rPr>
      </w:pPr>
      <w:r>
        <w:rPr>
          <w:rFonts w:hint="eastAsia" w:hAnsi="宋体" w:cs="宋体"/>
          <w:b/>
          <w:color w:val="auto"/>
          <w:sz w:val="21"/>
          <w:szCs w:val="21"/>
          <w:highlight w:val="none"/>
        </w:rPr>
        <w:t>（四）评审原则和评标办法</w:t>
      </w:r>
    </w:p>
    <w:p>
      <w:pPr>
        <w:shd w:val="clear"/>
        <w:spacing w:line="400" w:lineRule="exact"/>
        <w:ind w:firstLine="371" w:firstLineChars="177"/>
        <w:rPr>
          <w:rFonts w:hint="eastAsia" w:ascii="宋体" w:hAnsi="宋体" w:cs="宋体"/>
          <w:color w:val="auto"/>
          <w:szCs w:val="21"/>
          <w:highlight w:val="none"/>
        </w:rPr>
      </w:pPr>
      <w:r>
        <w:rPr>
          <w:rFonts w:hint="eastAsia" w:ascii="宋体" w:hAnsi="宋体" w:cs="宋体"/>
          <w:color w:val="auto"/>
          <w:szCs w:val="21"/>
          <w:highlight w:val="none"/>
        </w:rPr>
        <w:t>1、评审原则：</w:t>
      </w:r>
      <w:r>
        <w:rPr>
          <w:rFonts w:hint="eastAsia" w:ascii="宋体" w:hAnsi="宋体" w:cs="宋体"/>
          <w:color w:val="auto"/>
          <w:kern w:val="0"/>
          <w:szCs w:val="21"/>
          <w:highlight w:val="none"/>
        </w:rPr>
        <w:t>评标委员会</w:t>
      </w:r>
      <w:r>
        <w:rPr>
          <w:rFonts w:hint="eastAsia" w:ascii="宋体" w:hAnsi="宋体" w:cs="宋体"/>
          <w:color w:val="auto"/>
          <w:szCs w:val="21"/>
          <w:highlight w:val="none"/>
        </w:rPr>
        <w:t>按照客观、公正、审慎、择优的原则，根据招标文件规定的评审程序、评审方法和评审标准进行独立评审。</w:t>
      </w:r>
    </w:p>
    <w:p>
      <w:pPr>
        <w:shd w:val="clear"/>
        <w:spacing w:line="400" w:lineRule="exact"/>
        <w:ind w:firstLine="371" w:firstLineChars="177"/>
        <w:rPr>
          <w:rFonts w:hint="eastAsia" w:ascii="宋体" w:hAnsi="宋体" w:cs="宋体"/>
          <w:color w:val="auto"/>
          <w:kern w:val="0"/>
          <w:szCs w:val="21"/>
          <w:highlight w:val="none"/>
        </w:rPr>
      </w:pPr>
      <w:r>
        <w:rPr>
          <w:rFonts w:hint="eastAsia" w:ascii="宋体" w:hAnsi="宋体" w:cs="宋体"/>
          <w:color w:val="auto"/>
          <w:szCs w:val="21"/>
          <w:highlight w:val="none"/>
        </w:rPr>
        <w:t>2、评审工作将依据</w:t>
      </w:r>
      <w:r>
        <w:rPr>
          <w:rFonts w:hint="eastAsia" w:ascii="宋体" w:hAnsi="宋体" w:cs="宋体"/>
          <w:color w:val="auto"/>
          <w:kern w:val="0"/>
          <w:szCs w:val="21"/>
          <w:highlight w:val="none"/>
        </w:rPr>
        <w:t>招标文件、投标文件及招标文件中事先已列明的内容进行。</w:t>
      </w:r>
    </w:p>
    <w:p>
      <w:pPr>
        <w:shd w:val="clear"/>
        <w:spacing w:line="400" w:lineRule="exact"/>
        <w:ind w:firstLine="371" w:firstLineChars="177"/>
        <w:rPr>
          <w:rFonts w:hint="eastAsia" w:ascii="宋体" w:hAnsi="宋体" w:cs="宋体"/>
          <w:color w:val="auto"/>
          <w:kern w:val="0"/>
          <w:szCs w:val="21"/>
          <w:highlight w:val="none"/>
        </w:rPr>
      </w:pPr>
      <w:r>
        <w:rPr>
          <w:rFonts w:hint="eastAsia" w:ascii="宋体" w:hAnsi="宋体" w:cs="宋体"/>
          <w:color w:val="auto"/>
          <w:szCs w:val="21"/>
          <w:highlight w:val="none"/>
        </w:rPr>
        <w:t>3、评标办法。本项目采用综合评分法，详见《第四章：评标办法及标准》。</w:t>
      </w:r>
    </w:p>
    <w:p>
      <w:pPr>
        <w:pStyle w:val="15"/>
        <w:shd w:val="clear"/>
        <w:tabs>
          <w:tab w:val="left" w:pos="720"/>
        </w:tabs>
        <w:adjustRightInd w:val="0"/>
        <w:snapToGrid w:val="0"/>
        <w:spacing w:before="0" w:beforeLines="0" w:after="0" w:afterLines="0"/>
        <w:rPr>
          <w:rFonts w:hint="eastAsia" w:hAnsi="宋体" w:cs="宋体"/>
          <w:b/>
          <w:color w:val="auto"/>
          <w:sz w:val="21"/>
          <w:szCs w:val="21"/>
          <w:highlight w:val="none"/>
        </w:rPr>
      </w:pPr>
      <w:r>
        <w:rPr>
          <w:rFonts w:hint="eastAsia" w:hAnsi="宋体" w:cs="宋体"/>
          <w:b/>
          <w:color w:val="auto"/>
          <w:sz w:val="21"/>
          <w:szCs w:val="21"/>
          <w:highlight w:val="none"/>
        </w:rPr>
        <w:t>（五）评审意见的争议处理</w:t>
      </w:r>
    </w:p>
    <w:p>
      <w:pPr>
        <w:shd w:val="clear"/>
        <w:spacing w:line="400" w:lineRule="exact"/>
        <w:ind w:firstLine="371" w:firstLineChars="177"/>
        <w:rPr>
          <w:rFonts w:hint="eastAsia" w:ascii="宋体" w:hAnsi="宋体" w:cs="宋体"/>
          <w:bCs/>
          <w:color w:val="auto"/>
          <w:szCs w:val="21"/>
          <w:highlight w:val="none"/>
        </w:rPr>
      </w:pPr>
      <w:r>
        <w:rPr>
          <w:rFonts w:hint="eastAsia" w:ascii="宋体" w:hAnsi="宋体" w:cs="宋体"/>
          <w:bCs/>
          <w:color w:val="auto"/>
          <w:szCs w:val="21"/>
          <w:highlight w:val="none"/>
        </w:rPr>
        <w:t>评标委员会成员对需要共同认定的事项存在争议的，按照少数服从多数的原则作出结论。持不同意见的评标委员会成员应当在评审报告上签署不同意见及理由，否则视为同意评审报告。</w:t>
      </w:r>
    </w:p>
    <w:p>
      <w:pPr>
        <w:pStyle w:val="15"/>
        <w:shd w:val="clear"/>
        <w:tabs>
          <w:tab w:val="left" w:pos="720"/>
        </w:tabs>
        <w:adjustRightInd w:val="0"/>
        <w:snapToGrid w:val="0"/>
        <w:spacing w:before="0" w:beforeLines="0" w:after="0" w:afterLines="0"/>
        <w:rPr>
          <w:rFonts w:hint="eastAsia" w:hAnsi="宋体" w:cs="宋体"/>
          <w:b/>
          <w:color w:val="auto"/>
          <w:sz w:val="21"/>
          <w:szCs w:val="21"/>
          <w:highlight w:val="none"/>
        </w:rPr>
      </w:pPr>
      <w:r>
        <w:rPr>
          <w:rFonts w:hint="eastAsia" w:hAnsi="宋体" w:cs="宋体"/>
          <w:b/>
          <w:color w:val="auto"/>
          <w:sz w:val="21"/>
          <w:szCs w:val="21"/>
          <w:highlight w:val="none"/>
        </w:rPr>
        <w:t>（六）评审纪律</w:t>
      </w:r>
    </w:p>
    <w:p>
      <w:pPr>
        <w:shd w:val="clear"/>
        <w:spacing w:after="120" w:line="400" w:lineRule="exact"/>
        <w:ind w:firstLine="371" w:firstLineChars="177"/>
        <w:rPr>
          <w:rFonts w:hint="eastAsia" w:ascii="宋体" w:hAnsi="宋体" w:cs="宋体"/>
          <w:b/>
          <w:color w:val="auto"/>
          <w:szCs w:val="21"/>
          <w:highlight w:val="none"/>
        </w:rPr>
      </w:pPr>
      <w:r>
        <w:rPr>
          <w:rFonts w:hint="eastAsia" w:ascii="宋体" w:hAnsi="宋体" w:cs="宋体"/>
          <w:color w:val="auto"/>
          <w:szCs w:val="21"/>
          <w:highlight w:val="none"/>
        </w:rPr>
        <w:t>评标委员会成员必须严格遵守保密规定，不得泄露评审的有关情况</w:t>
      </w:r>
      <w:r>
        <w:rPr>
          <w:rFonts w:hint="eastAsia" w:ascii="宋体" w:hAnsi="宋体" w:cs="宋体"/>
          <w:color w:val="auto"/>
          <w:kern w:val="0"/>
          <w:szCs w:val="21"/>
          <w:highlight w:val="none"/>
        </w:rPr>
        <w:t>，任何单位和个人不得干扰、影响评标的正常进行，评标委员会成员不得私下与投标人接触，不得出现浙江省政府采购活动现场组织管理办法中规定的其他禁止行为。</w:t>
      </w:r>
    </w:p>
    <w:p>
      <w:pPr>
        <w:pStyle w:val="15"/>
        <w:shd w:val="clear"/>
        <w:tabs>
          <w:tab w:val="left" w:pos="720"/>
        </w:tabs>
        <w:adjustRightInd w:val="0"/>
        <w:snapToGrid w:val="0"/>
        <w:spacing w:before="0" w:beforeLines="0" w:after="0" w:afterLines="0"/>
        <w:rPr>
          <w:rFonts w:hint="eastAsia" w:hAnsi="宋体" w:cs="宋体"/>
          <w:b/>
          <w:color w:val="auto"/>
          <w:sz w:val="21"/>
          <w:szCs w:val="21"/>
          <w:highlight w:val="none"/>
        </w:rPr>
      </w:pPr>
      <w:bookmarkStart w:id="112" w:name="_Toc24550043"/>
      <w:bookmarkStart w:id="113" w:name="_Toc33194395"/>
      <w:r>
        <w:rPr>
          <w:rFonts w:hint="eastAsia" w:hAnsi="宋体" w:cs="宋体"/>
          <w:b/>
          <w:color w:val="auto"/>
          <w:sz w:val="21"/>
          <w:szCs w:val="21"/>
          <w:highlight w:val="none"/>
        </w:rPr>
        <w:t>（七）</w:t>
      </w:r>
      <w:bookmarkEnd w:id="112"/>
      <w:bookmarkStart w:id="114" w:name="_Toc24550044"/>
      <w:r>
        <w:rPr>
          <w:rFonts w:hint="eastAsia" w:hAnsi="宋体" w:cs="宋体"/>
          <w:b/>
          <w:color w:val="auto"/>
          <w:sz w:val="21"/>
          <w:szCs w:val="21"/>
          <w:highlight w:val="none"/>
        </w:rPr>
        <w:t>评审流程及内容</w:t>
      </w:r>
      <w:bookmarkEnd w:id="113"/>
      <w:bookmarkEnd w:id="114"/>
    </w:p>
    <w:p>
      <w:pPr>
        <w:shd w:val="clear"/>
        <w:spacing w:line="400" w:lineRule="exact"/>
        <w:ind w:firstLine="371" w:firstLineChars="176"/>
        <w:rPr>
          <w:rFonts w:hint="eastAsia" w:ascii="宋体" w:hAnsi="宋体" w:cs="宋体"/>
          <w:color w:val="auto"/>
          <w:szCs w:val="21"/>
          <w:highlight w:val="none"/>
        </w:rPr>
      </w:pPr>
      <w:r>
        <w:rPr>
          <w:rFonts w:hint="eastAsia" w:ascii="宋体" w:hAnsi="宋体" w:cs="宋体"/>
          <w:b/>
          <w:color w:val="auto"/>
          <w:kern w:val="0"/>
          <w:szCs w:val="21"/>
          <w:highlight w:val="none"/>
        </w:rPr>
        <w:t>本项目具体的评审事务由评标委员会负责，评审流程及内容如下：</w:t>
      </w:r>
    </w:p>
    <w:p>
      <w:pPr>
        <w:pStyle w:val="6"/>
        <w:numPr>
          <w:ilvl w:val="0"/>
          <w:numId w:val="0"/>
        </w:numPr>
        <w:shd w:val="clear"/>
        <w:spacing w:before="0"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 评审前准备</w:t>
      </w:r>
    </w:p>
    <w:p>
      <w:pPr>
        <w:shd w:val="clea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1.1由评审专家推选评审小组组长，采购人代表不得担任评审小组组长。</w:t>
      </w:r>
    </w:p>
    <w:p>
      <w:pPr>
        <w:shd w:val="clear"/>
        <w:spacing w:line="400" w:lineRule="exact"/>
        <w:ind w:firstLine="371" w:firstLineChars="177"/>
        <w:rPr>
          <w:rFonts w:hint="eastAsia" w:ascii="宋体" w:hAnsi="宋体" w:cs="宋体"/>
          <w:b/>
          <w:color w:val="auto"/>
          <w:kern w:val="0"/>
          <w:szCs w:val="21"/>
          <w:highlight w:val="none"/>
        </w:rPr>
      </w:pPr>
      <w:r>
        <w:rPr>
          <w:rFonts w:hint="eastAsia" w:ascii="宋体" w:hAnsi="宋体" w:cs="宋体"/>
          <w:color w:val="auto"/>
          <w:kern w:val="0"/>
          <w:szCs w:val="21"/>
          <w:highlight w:val="none"/>
        </w:rPr>
        <w:t>1.2由评审小组组长召集所有评委成员阅读招标文件及相关补充、质疑、答复文件、项目书面说明等材料，熟悉采购项目基本情况、采购需求、合同主要条款、投标文件无效情形、评审办法、评审标准，以及其他与评审有关的内容。</w:t>
      </w:r>
    </w:p>
    <w:p>
      <w:pPr>
        <w:pStyle w:val="6"/>
        <w:numPr>
          <w:ilvl w:val="0"/>
          <w:numId w:val="0"/>
        </w:numPr>
        <w:shd w:val="clear"/>
        <w:spacing w:before="0"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2、投标文件的初步审查、符合性审查</w:t>
      </w:r>
    </w:p>
    <w:p>
      <w:pPr>
        <w:shd w:val="clear"/>
        <w:spacing w:line="400" w:lineRule="exact"/>
        <w:ind w:firstLine="373" w:firstLineChars="177"/>
        <w:rPr>
          <w:rFonts w:hint="eastAsia" w:ascii="宋体" w:hAnsi="宋体" w:cs="宋体"/>
          <w:b/>
          <w:color w:val="auto"/>
          <w:kern w:val="0"/>
          <w:szCs w:val="21"/>
          <w:highlight w:val="none"/>
        </w:rPr>
      </w:pPr>
      <w:r>
        <w:rPr>
          <w:rFonts w:hint="eastAsia" w:ascii="宋体" w:hAnsi="宋体" w:cs="宋体"/>
          <w:b/>
          <w:color w:val="auto"/>
          <w:kern w:val="0"/>
          <w:szCs w:val="21"/>
          <w:highlight w:val="none"/>
        </w:rPr>
        <w:t>对所有通过资格审查的投标人的投标文件进行初步审查，审查、评价投标文件是否符合招标文件的资信、技术、服务等实质性要求。</w:t>
      </w:r>
    </w:p>
    <w:p>
      <w:pPr>
        <w:shd w:val="clear"/>
        <w:spacing w:line="400" w:lineRule="exact"/>
        <w:ind w:firstLine="371" w:firstLineChars="177"/>
        <w:rPr>
          <w:rFonts w:hint="eastAsia" w:ascii="宋体" w:hAnsi="宋体" w:cs="宋体"/>
          <w:color w:val="auto"/>
          <w:szCs w:val="21"/>
          <w:highlight w:val="none"/>
        </w:rPr>
      </w:pPr>
      <w:r>
        <w:rPr>
          <w:rFonts w:hint="eastAsia" w:ascii="宋体" w:hAnsi="宋体" w:cs="宋体"/>
          <w:color w:val="auto"/>
          <w:szCs w:val="21"/>
          <w:highlight w:val="none"/>
        </w:rPr>
        <w:t>2.1评标委员会首先对所有通过资格审查的投标人的投标文件进行符合性审查，审查每份投标文件是否实质上响应了招标文件的要求（实质性响应的投标文件是指投标文件符合招标文件规定的实质性内容、条件和规定）。</w:t>
      </w:r>
    </w:p>
    <w:p>
      <w:pPr>
        <w:pStyle w:val="6"/>
        <w:numPr>
          <w:ilvl w:val="0"/>
          <w:numId w:val="0"/>
        </w:numPr>
        <w:shd w:val="clear"/>
        <w:tabs>
          <w:tab w:val="clear" w:pos="720"/>
        </w:tabs>
        <w:spacing w:before="0"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3、投标文件的澄清、说明或补正</w:t>
      </w:r>
    </w:p>
    <w:p>
      <w:pPr>
        <w:shd w:val="clear"/>
        <w:spacing w:line="400" w:lineRule="exact"/>
        <w:ind w:firstLine="371" w:firstLineChars="177"/>
        <w:rPr>
          <w:rFonts w:hint="eastAsia" w:ascii="宋体" w:hAnsi="宋体" w:cs="宋体"/>
          <w:color w:val="auto"/>
          <w:kern w:val="0"/>
          <w:szCs w:val="21"/>
          <w:highlight w:val="none"/>
        </w:rPr>
      </w:pPr>
      <w:r>
        <w:rPr>
          <w:rFonts w:hint="eastAsia" w:ascii="宋体" w:hAnsi="宋体" w:cs="宋体"/>
          <w:color w:val="auto"/>
          <w:kern w:val="0"/>
          <w:szCs w:val="21"/>
          <w:highlight w:val="none"/>
        </w:rPr>
        <w:t>3.1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pPr>
        <w:shd w:val="clear"/>
        <w:autoSpaceDE w:val="0"/>
        <w:autoSpaceDN w:val="0"/>
        <w:adjustRightIn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评标过程中评标委员会对投标人提出质询或要求投标人书面确认的（或通过“政采云平台”在线答复），采用书面形式提交并加盖公章，或者由法定代表人或其授权的代表签字，30分钟内予以书面回复或确认，否则视为不予回复或确认，评标委员会有权拒绝该投标文件，澄清、说明或者补正不得超出投标文件的范围或者改变投标文件的实质性内容。</w:t>
      </w:r>
    </w:p>
    <w:p>
      <w:pPr>
        <w:pStyle w:val="6"/>
        <w:numPr>
          <w:ilvl w:val="0"/>
          <w:numId w:val="0"/>
        </w:numPr>
        <w:shd w:val="clear"/>
        <w:tabs>
          <w:tab w:val="clear" w:pos="720"/>
        </w:tabs>
        <w:spacing w:before="0"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4、投标文件的错误修正</w:t>
      </w:r>
    </w:p>
    <w:p>
      <w:pPr>
        <w:shd w:val="clear"/>
        <w:spacing w:line="400" w:lineRule="exact"/>
        <w:ind w:firstLine="369" w:firstLineChars="175"/>
        <w:rPr>
          <w:rFonts w:hint="eastAsia" w:ascii="宋体" w:hAnsi="宋体" w:cs="宋体"/>
          <w:b/>
          <w:color w:val="auto"/>
          <w:kern w:val="0"/>
          <w:szCs w:val="21"/>
          <w:highlight w:val="none"/>
        </w:rPr>
      </w:pPr>
      <w:r>
        <w:rPr>
          <w:rFonts w:hint="eastAsia" w:ascii="宋体" w:hAnsi="宋体" w:cs="宋体"/>
          <w:b/>
          <w:color w:val="auto"/>
          <w:kern w:val="0"/>
          <w:szCs w:val="21"/>
          <w:highlight w:val="none"/>
        </w:rPr>
        <w:t>4.1投标文件如果出现计算或表达上的错误，修正错误的原则如下：</w:t>
      </w:r>
    </w:p>
    <w:p>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（1）投标文件中开标一览表（报价表）内容与投标文件中相应内容不一致的，以开标一览表（报价表）为准。</w:t>
      </w:r>
    </w:p>
    <w:p>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（2）投标文件的大写金额和小写金额不一致的，以大写金额为准；</w:t>
      </w:r>
    </w:p>
    <w:p>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（3）单价金额小数点或者百分比有明显错位的，应以开标一览表（报价表）的总价为准，并修改单价；</w:t>
      </w:r>
    </w:p>
    <w:p>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（4）总价金额与按单价汇总金额不一致的，以单价金额计算结果为准。</w:t>
      </w:r>
    </w:p>
    <w:p>
      <w:pPr>
        <w:shd w:val="clear"/>
        <w:adjustRightInd w:val="0"/>
        <w:spacing w:line="40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同时出现两种以上不一致的，按照上述规定的顺序修正。投标人按照澄清投标文件的形式同意并确认后，调整后的投标报价对投标人具有约束作用。如果投标人不接受修正后的报价，则其投标无效。</w:t>
      </w:r>
    </w:p>
    <w:p>
      <w:pPr>
        <w:shd w:val="clear"/>
        <w:spacing w:after="120"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4.2对不同文字文本投标文件的解释发生异议的，以中文文本为准。</w:t>
      </w:r>
    </w:p>
    <w:p>
      <w:pPr>
        <w:shd w:val="clear"/>
        <w:spacing w:line="400" w:lineRule="exact"/>
        <w:ind w:firstLine="369" w:firstLineChars="175"/>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（八）投标文件有下列情况之一者将视为无效：</w:t>
      </w:r>
    </w:p>
    <w:p>
      <w:pPr>
        <w:shd w:val="clear"/>
        <w:spacing w:line="400" w:lineRule="exact"/>
        <w:ind w:firstLine="367" w:firstLineChars="175"/>
        <w:rPr>
          <w:rFonts w:hint="eastAsia" w:ascii="宋体" w:hAnsi="宋体" w:cs="宋体"/>
          <w:color w:val="auto"/>
          <w:kern w:val="0"/>
          <w:szCs w:val="21"/>
          <w:highlight w:val="none"/>
        </w:rPr>
      </w:pPr>
      <w:bookmarkStart w:id="115" w:name="_Hlk33211013"/>
      <w:r>
        <w:rPr>
          <w:rFonts w:hint="eastAsia" w:ascii="宋体" w:hAnsi="宋体" w:cs="宋体"/>
          <w:color w:val="auto"/>
          <w:kern w:val="0"/>
          <w:szCs w:val="21"/>
          <w:highlight w:val="none"/>
        </w:rPr>
        <w:t>1、资信、技术文件符合性审查中，存在下列情形之一的，经评标委员会认定后作无效标处理：</w:t>
      </w:r>
    </w:p>
    <w:p>
      <w:pPr>
        <w:shd w:val="clear"/>
        <w:tabs>
          <w:tab w:val="left" w:pos="1110"/>
        </w:tabs>
        <w:spacing w:line="400" w:lineRule="exact"/>
        <w:ind w:firstLine="367" w:firstLineChars="175"/>
        <w:rPr>
          <w:rFonts w:hint="eastAsia" w:ascii="宋体" w:hAnsi="宋体" w:cs="宋体"/>
          <w:color w:val="auto"/>
          <w:kern w:val="0"/>
          <w:szCs w:val="21"/>
          <w:highlight w:val="none"/>
        </w:rPr>
      </w:pPr>
      <w:bookmarkStart w:id="116" w:name="_Toc33194396"/>
      <w:r>
        <w:rPr>
          <w:rFonts w:hint="eastAsia" w:ascii="宋体" w:hAnsi="宋体" w:cs="宋体"/>
          <w:color w:val="auto"/>
          <w:kern w:val="0"/>
          <w:szCs w:val="21"/>
          <w:highlight w:val="none"/>
        </w:rPr>
        <w:t>（1）投标文件未有效授权，法定代表人授权委托书等填写不完整或有涂改的；</w:t>
      </w:r>
      <w:bookmarkEnd w:id="116"/>
    </w:p>
    <w:p>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（2）投标文件没有对本招标文件作出实质性响应的，或不满足（不响应）本招标文件中标注“▲”的实质性要求条款的，或存在招标文件中明确规定的其他无效标情形的；</w:t>
      </w:r>
    </w:p>
    <w:p>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（3）投标文件存在一个或一个以上备选（替代）投标方案的；</w:t>
      </w:r>
    </w:p>
    <w:p>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（4）仅提交“备份投标文件”的；</w:t>
      </w:r>
    </w:p>
    <w:p>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（5）文件组成内容不齐全，本招标文件规定必须提供而未提供的（属于资格审查范围的除外）；</w:t>
      </w:r>
    </w:p>
    <w:p>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（6）投标文件标注的响应或偏离情况与事实不符，或提供了虚假材料的；</w:t>
      </w:r>
    </w:p>
    <w:p>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（7）不响应或擅自改变本招标文件要求或投标文件有采购人不能接受的附加条件的；</w:t>
      </w:r>
    </w:p>
    <w:p>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（8）违反国家或政府部门相关法律、法规、文件规定的。</w:t>
      </w:r>
      <w:bookmarkEnd w:id="115"/>
    </w:p>
    <w:p>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2、报价文件符合性审查中，存在下列情形之一的，经评标委员会认定后作无效标处理：</w:t>
      </w:r>
    </w:p>
    <w:p>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（1）未按照招标文件标明的币种报价的，或者投标报价涵盖的内容不符合招标文件要求的；</w:t>
      </w:r>
    </w:p>
    <w:p>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（2）投标报价出现前后不一致且不同意按照招标文件规定的方法进行修正的；</w:t>
      </w:r>
    </w:p>
    <w:p>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（3）投标报价具有选择性，且未注明哪个有效的；</w:t>
      </w:r>
    </w:p>
    <w:p>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（4）投标报价超过采购预算（或最高限价）的；</w:t>
      </w:r>
    </w:p>
    <w:p>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5）评审委员会认为投标人报价明显低于其他合格投标人的报价，有可能影响产品质量或者不能诚信履约的，应当要求其在合理时间内提供书面说明，必要时提供相关证明材料；投标人不能证明其报价合理性的，评审委员会应当将其作为无效投标或者无效响应处理；</w:t>
      </w:r>
    </w:p>
    <w:p>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（6）违反国家或政府部门相关法律、法规、文件规定的。</w:t>
      </w:r>
    </w:p>
    <w:p>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3、投标人串通投标的，投标无效。</w:t>
      </w:r>
    </w:p>
    <w:p>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投标人有以下情形之一的，视为投标人串通投标：</w:t>
      </w:r>
    </w:p>
    <w:p>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（1）不同投标人的投标文件由同一单位或者个人编制；</w:t>
      </w:r>
    </w:p>
    <w:p>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（2）不同投标人委托同一单位或者个人办理投标事宜；</w:t>
      </w:r>
    </w:p>
    <w:p>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（3）不同投标人的投标文件载明的项目管理成员或者联系人员为同一人；</w:t>
      </w:r>
    </w:p>
    <w:p>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（4）不同投标人的投标文件异常一致或者投标报价呈规律性差异；</w:t>
      </w:r>
    </w:p>
    <w:p>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（5）不同投标人的投标文件相互混装；</w:t>
      </w:r>
    </w:p>
    <w:p>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4、法律、法规和招标文件规定的其他无效标情形。</w:t>
      </w:r>
    </w:p>
    <w:p>
      <w:pPr>
        <w:shd w:val="clear"/>
        <w:adjustRightInd w:val="0"/>
        <w:snapToGrid w:val="0"/>
        <w:spacing w:line="360" w:lineRule="exact"/>
        <w:ind w:firstLine="422" w:firstLineChars="200"/>
        <w:jc w:val="left"/>
        <w:rPr>
          <w:rFonts w:hint="eastAsia" w:ascii="宋体" w:hAnsi="宋体" w:cs="宋体"/>
          <w:color w:val="auto"/>
          <w:kern w:val="0"/>
          <w:szCs w:val="21"/>
          <w:highlight w:val="none"/>
        </w:rPr>
      </w:pPr>
      <w:r>
        <w:rPr>
          <w:rFonts w:hint="eastAsia" w:ascii="宋体" w:hAnsi="宋体" w:cs="宋体"/>
          <w:b/>
          <w:color w:val="auto"/>
          <w:szCs w:val="21"/>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30分钟内进行修改或者补正（可以是复印件、传真件等）。修改或者补正投标文件必须以书面形式进行，限期内不补正或经补正后仍不符合招标文件要求的，应认定其投标无效。投标人修改、补正投标文件后，不影响评标委员会对其投标文件所作的评价和评分结果。</w:t>
      </w:r>
    </w:p>
    <w:p>
      <w:pPr>
        <w:shd w:val="clear"/>
        <w:tabs>
          <w:tab w:val="left" w:pos="720"/>
        </w:tabs>
        <w:spacing w:line="400" w:lineRule="exact"/>
        <w:ind w:firstLine="369" w:firstLineChars="175"/>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（九）投标文件的评估、比较、评分</w:t>
      </w:r>
    </w:p>
    <w:p>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评标办法”。</w:t>
      </w:r>
    </w:p>
    <w:p>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2、对采购组织机构工作人员汇总的评审结果进行确认。如发现分值汇总计算错误、分项评分超出评分标准范围、客观评分不一致以及存在畸高、畸低（其总评分偏离平均分30%以上的）情形的，评审小组组长应提醒相关评审人员当场改正或书面说明理由，拒不改正又不作书面说明的，由现场监督员如实记载后存入项目档案资料。</w:t>
      </w:r>
    </w:p>
    <w:p>
      <w:pPr>
        <w:shd w:val="clear"/>
        <w:tabs>
          <w:tab w:val="left" w:pos="720"/>
        </w:tabs>
        <w:spacing w:line="400" w:lineRule="exact"/>
        <w:ind w:firstLine="369" w:firstLineChars="175"/>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（十）修改评审结果</w:t>
      </w:r>
    </w:p>
    <w:p>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1、评标结果汇总完成后，除下列情形外，任何人不得修改评标结果：</w:t>
      </w:r>
    </w:p>
    <w:p>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1.1 分值汇总计算错误的；</w:t>
      </w:r>
    </w:p>
    <w:p>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1.2 分项评分超出评分标准范围的；</w:t>
      </w:r>
    </w:p>
    <w:p>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1.3 评标委员会成员对客观评审因素评分不一致的；</w:t>
      </w:r>
    </w:p>
    <w:p>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1.4 经评标委员会认定评分畸高、畸低的。</w:t>
      </w:r>
    </w:p>
    <w:p>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2、评标报告签署前，经复核发现存在以上情形之一的，评标委员会将当场修改评标结果，并在评标报告中记载。</w:t>
      </w:r>
    </w:p>
    <w:p>
      <w:pPr>
        <w:shd w:val="clear"/>
        <w:tabs>
          <w:tab w:val="left" w:pos="720"/>
        </w:tabs>
        <w:spacing w:line="400" w:lineRule="exact"/>
        <w:ind w:firstLine="369" w:firstLineChars="175"/>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（十一）投标人排序及推荐中标（成交）候选投标人</w:t>
      </w:r>
    </w:p>
    <w:p>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评标委员会根据以下规定确定投标人排名并推荐中标（成交）候选投标人。评标委员会根据各投标人的综合得分（技术资信分与报价得分之和）从高到低依次进行排名排序。特殊情形按以下原则处理：</w:t>
      </w:r>
    </w:p>
    <w:p>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1、综合得分相同的，按投标报价低的优先原则确定排名；</w:t>
      </w:r>
    </w:p>
    <w:p>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2、综合得分和投标报价均相同的，按技术资信得分从高到低确定排名；</w:t>
      </w:r>
    </w:p>
    <w:p>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3、综合得分、投标报价和技术资信得分均相同的由评标委员会全体成员记名投票按少数服从多数的原则确定排名。</w:t>
      </w:r>
    </w:p>
    <w:p>
      <w:pPr>
        <w:shd w:val="clear"/>
        <w:spacing w:line="380" w:lineRule="exact"/>
        <w:ind w:firstLine="373" w:firstLineChars="177"/>
        <w:rPr>
          <w:rFonts w:hint="eastAsia" w:ascii="宋体" w:hAnsi="宋体" w:cs="宋体"/>
          <w:b/>
          <w:color w:val="auto"/>
          <w:highlight w:val="none"/>
        </w:rPr>
      </w:pPr>
      <w:r>
        <w:rPr>
          <w:rFonts w:hint="eastAsia" w:ascii="宋体" w:hAnsi="宋体" w:cs="宋体"/>
          <w:b/>
          <w:color w:val="auto"/>
          <w:highlight w:val="none"/>
        </w:rPr>
        <w:t>4、</w:t>
      </w:r>
      <w:r>
        <w:rPr>
          <w:rFonts w:hint="eastAsia" w:ascii="宋体" w:hAnsi="宋体" w:cs="宋体"/>
          <w:b/>
          <w:highlight w:val="none"/>
        </w:rPr>
        <w:t>根据最终得分排序，通过书面评审报告的形式，向采购人推荐</w:t>
      </w:r>
      <w:r>
        <w:rPr>
          <w:rFonts w:hint="eastAsia" w:ascii="宋体" w:hAnsi="宋体" w:cs="宋体"/>
          <w:b/>
          <w:kern w:val="0"/>
          <w:highlight w:val="none"/>
        </w:rPr>
        <w:t>排名第一的投标人为第一中标候选人，排名第二的为第二中标候选人</w:t>
      </w:r>
      <w:r>
        <w:rPr>
          <w:rFonts w:hint="eastAsia" w:ascii="宋体" w:hAnsi="宋体" w:cs="宋体"/>
          <w:b/>
          <w:highlight w:val="none"/>
        </w:rPr>
        <w:t>。</w:t>
      </w:r>
    </w:p>
    <w:p>
      <w:pPr>
        <w:shd w:val="clear"/>
        <w:tabs>
          <w:tab w:val="left" w:pos="720"/>
        </w:tabs>
        <w:spacing w:line="360" w:lineRule="exact"/>
        <w:ind w:firstLine="369" w:firstLineChars="175"/>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（十二）起草、签署评审报告</w:t>
      </w:r>
    </w:p>
    <w:p>
      <w:pPr>
        <w:shd w:val="clear"/>
        <w:spacing w:line="36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评审结束后，评标委员会将通过“政采云平台”起草评审报告，并书面打印签字，对自己的评审意见承担法律责任。对评审报告有异议的，应当在评审报告上签署不同意见，并说明理由，否则视为同意评审报告。</w:t>
      </w:r>
    </w:p>
    <w:p>
      <w:pPr>
        <w:shd w:val="clear"/>
        <w:tabs>
          <w:tab w:val="left" w:pos="630"/>
        </w:tabs>
        <w:spacing w:after="120" w:line="360" w:lineRule="exact"/>
        <w:ind w:firstLine="369" w:firstLineChars="175"/>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（十三）评标过程的保密</w:t>
      </w:r>
    </w:p>
    <w:p>
      <w:pPr>
        <w:shd w:val="clear"/>
        <w:spacing w:line="36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凡是属于审查、澄清、评审和比较的有关资料以及授标建议，任何人均不得向投标人或其他无关的人员透露。</w:t>
      </w:r>
    </w:p>
    <w:p>
      <w:pPr>
        <w:shd w:val="clear"/>
        <w:spacing w:line="36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本项目评标过程实行全程录音、录像监控，投标人在评标过程中所进行的力图影响评标结果的不公正活动，可能导致其投标被拒绝。</w:t>
      </w:r>
    </w:p>
    <w:p>
      <w:pPr>
        <w:shd w:val="clear"/>
        <w:spacing w:line="360" w:lineRule="exact"/>
        <w:ind w:firstLine="369" w:firstLineChars="175"/>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（十四）废标的情形</w:t>
      </w:r>
    </w:p>
    <w:p>
      <w:pPr>
        <w:shd w:val="clear"/>
        <w:spacing w:line="36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在招标采购中，出现下列情形之一的，应予废标：</w:t>
      </w:r>
    </w:p>
    <w:p>
      <w:pPr>
        <w:shd w:val="clear"/>
        <w:spacing w:line="36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1、符合专业条件的投标人或者对招标文件作实质性响应的投标人不足三家的；</w:t>
      </w:r>
    </w:p>
    <w:p>
      <w:pPr>
        <w:shd w:val="clear"/>
        <w:spacing w:line="36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2、出现影响采购公正的违法、违规行为的；</w:t>
      </w:r>
    </w:p>
    <w:p>
      <w:pPr>
        <w:shd w:val="clear"/>
        <w:spacing w:line="36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3、投标人的报价均超过了采购预算，采购人不能支付的；</w:t>
      </w:r>
    </w:p>
    <w:p>
      <w:pPr>
        <w:shd w:val="clear"/>
        <w:spacing w:line="36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4、因重大变故，采购任务取消的。</w:t>
      </w:r>
    </w:p>
    <w:p>
      <w:pPr>
        <w:shd w:val="clear"/>
        <w:tabs>
          <w:tab w:val="left" w:pos="720"/>
        </w:tabs>
        <w:spacing w:line="360" w:lineRule="exact"/>
        <w:ind w:firstLine="369" w:firstLineChars="175"/>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（十五）可中止电子交易活动的情形</w:t>
      </w:r>
    </w:p>
    <w:p>
      <w:pPr>
        <w:shd w:val="clear"/>
        <w:spacing w:line="360" w:lineRule="exact"/>
        <w:ind w:firstLine="371" w:firstLineChars="176"/>
        <w:rPr>
          <w:rFonts w:hint="eastAsia" w:ascii="宋体" w:hAnsi="宋体" w:cs="宋体"/>
          <w:color w:val="auto"/>
          <w:highlight w:val="none"/>
        </w:rPr>
      </w:pPr>
      <w:r>
        <w:rPr>
          <w:rFonts w:hint="eastAsia" w:ascii="宋体" w:hAnsi="宋体" w:cs="宋体"/>
          <w:b/>
          <w:color w:val="auto"/>
          <w:highlight w:val="none"/>
        </w:rPr>
        <w:t>采购过程中出现以下情形，导致电子交易平台无法正常运行，或者无法保证电子交易的公平、公正和安全时，采购组织机构可中止电子交易活动：</w:t>
      </w:r>
    </w:p>
    <w:p>
      <w:pPr>
        <w:shd w:val="clear"/>
        <w:spacing w:line="360" w:lineRule="exact"/>
        <w:ind w:firstLine="369" w:firstLineChars="176"/>
        <w:rPr>
          <w:rFonts w:hint="eastAsia" w:ascii="宋体" w:hAnsi="宋体" w:cs="宋体"/>
          <w:color w:val="auto"/>
          <w:highlight w:val="none"/>
        </w:rPr>
      </w:pPr>
      <w:r>
        <w:rPr>
          <w:rFonts w:hint="eastAsia" w:ascii="宋体" w:hAnsi="宋体" w:cs="宋体"/>
          <w:color w:val="auto"/>
          <w:highlight w:val="none"/>
        </w:rPr>
        <w:t>1、电子交易平台发生故障而无法登录访问的；</w:t>
      </w:r>
    </w:p>
    <w:p>
      <w:pPr>
        <w:shd w:val="clear"/>
        <w:spacing w:line="360" w:lineRule="exact"/>
        <w:ind w:firstLine="369" w:firstLineChars="176"/>
        <w:rPr>
          <w:rFonts w:hint="eastAsia"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pPr>
        <w:shd w:val="clear"/>
        <w:spacing w:line="360" w:lineRule="exact"/>
        <w:ind w:firstLine="369" w:firstLineChars="176"/>
        <w:rPr>
          <w:rFonts w:hint="eastAsia" w:ascii="宋体" w:hAnsi="宋体" w:cs="宋体"/>
          <w:color w:val="auto"/>
          <w:highlight w:val="none"/>
        </w:rPr>
      </w:pPr>
      <w:r>
        <w:rPr>
          <w:rFonts w:hint="eastAsia" w:ascii="宋体" w:hAnsi="宋体" w:cs="宋体"/>
          <w:color w:val="auto"/>
          <w:highlight w:val="none"/>
        </w:rPr>
        <w:t>3、电子交易平台发现严重安全漏洞，有潜在泄密危险的；</w:t>
      </w:r>
    </w:p>
    <w:p>
      <w:pPr>
        <w:shd w:val="clear"/>
        <w:spacing w:line="360" w:lineRule="exact"/>
        <w:ind w:firstLine="369" w:firstLineChars="176"/>
        <w:rPr>
          <w:rFonts w:hint="eastAsia" w:ascii="宋体" w:hAnsi="宋体" w:cs="宋体"/>
          <w:color w:val="auto"/>
          <w:highlight w:val="none"/>
        </w:rPr>
      </w:pPr>
      <w:r>
        <w:rPr>
          <w:rFonts w:hint="eastAsia" w:ascii="宋体" w:hAnsi="宋体" w:cs="宋体"/>
          <w:color w:val="auto"/>
          <w:highlight w:val="none"/>
        </w:rPr>
        <w:t>4、病毒发作导致不能进行正常操作的；</w:t>
      </w:r>
    </w:p>
    <w:p>
      <w:pPr>
        <w:shd w:val="clear"/>
        <w:spacing w:line="360" w:lineRule="exact"/>
        <w:ind w:firstLine="369" w:firstLineChars="176"/>
        <w:rPr>
          <w:rFonts w:hint="eastAsia" w:ascii="宋体" w:hAnsi="宋体" w:cs="宋体"/>
          <w:color w:val="auto"/>
          <w:highlight w:val="none"/>
        </w:rPr>
      </w:pPr>
      <w:r>
        <w:rPr>
          <w:rFonts w:hint="eastAsia" w:ascii="宋体" w:hAnsi="宋体" w:cs="宋体"/>
          <w:color w:val="auto"/>
          <w:highlight w:val="none"/>
        </w:rPr>
        <w:t>5、其他无法保证电子交易的公平、公正和安全的情况。</w:t>
      </w:r>
    </w:p>
    <w:p>
      <w:pPr>
        <w:shd w:val="clear"/>
        <w:spacing w:line="360" w:lineRule="exact"/>
        <w:ind w:firstLine="422" w:firstLineChars="200"/>
        <w:rPr>
          <w:rFonts w:hint="eastAsia" w:ascii="宋体" w:hAnsi="宋体" w:cs="宋体"/>
          <w:b/>
          <w:color w:val="auto"/>
          <w:highlight w:val="none"/>
        </w:rPr>
      </w:pPr>
      <w:r>
        <w:rPr>
          <w:rFonts w:hint="eastAsia" w:ascii="宋体" w:hAnsi="宋体" w:cs="宋体"/>
          <w:b/>
          <w:color w:val="auto"/>
          <w:highlight w:val="none"/>
        </w:rPr>
        <w:t>出现上述情形，不影响采购公平、公正性的，采购组织机构可以待上述情形消除后继续组织电子交易活动；影响或可能影响采购公平、公正性的，应当重新采购。</w:t>
      </w:r>
    </w:p>
    <w:p>
      <w:pPr>
        <w:shd w:val="clear"/>
        <w:spacing w:line="240" w:lineRule="auto"/>
        <w:ind w:firstLine="0" w:firstLineChars="0"/>
        <w:rPr>
          <w:rFonts w:hint="eastAsia"/>
          <w:highlight w:val="none"/>
        </w:rPr>
      </w:pPr>
    </w:p>
    <w:p>
      <w:pPr>
        <w:pStyle w:val="5"/>
        <w:numPr>
          <w:ilvl w:val="0"/>
          <w:numId w:val="7"/>
        </w:numPr>
        <w:shd w:val="clear"/>
        <w:spacing w:before="0" w:after="0" w:line="240" w:lineRule="auto"/>
        <w:rPr>
          <w:rFonts w:hint="eastAsia" w:ascii="宋体" w:hAnsi="宋体" w:eastAsia="宋体" w:cs="宋体"/>
          <w:color w:val="auto"/>
          <w:sz w:val="24"/>
          <w:szCs w:val="24"/>
          <w:highlight w:val="none"/>
        </w:rPr>
      </w:pPr>
      <w:bookmarkStart w:id="117" w:name="_Toc28539"/>
      <w:bookmarkStart w:id="118" w:name="_Toc11475"/>
      <w:bookmarkStart w:id="119" w:name="_Toc30968"/>
      <w:bookmarkStart w:id="120" w:name="_Toc10758"/>
      <w:r>
        <w:rPr>
          <w:rFonts w:hint="eastAsia" w:ascii="宋体" w:hAnsi="宋体" w:eastAsia="宋体" w:cs="宋体"/>
          <w:color w:val="auto"/>
          <w:sz w:val="24"/>
          <w:szCs w:val="24"/>
          <w:highlight w:val="none"/>
        </w:rPr>
        <w:t>定标</w:t>
      </w:r>
      <w:bookmarkEnd w:id="111"/>
      <w:bookmarkEnd w:id="117"/>
      <w:bookmarkEnd w:id="118"/>
      <w:bookmarkEnd w:id="119"/>
      <w:bookmarkEnd w:id="120"/>
    </w:p>
    <w:p>
      <w:pPr>
        <w:shd w:val="clear"/>
        <w:adjustRightInd w:val="0"/>
        <w:snapToGrid w:val="0"/>
        <w:spacing w:line="360" w:lineRule="exact"/>
        <w:jc w:val="left"/>
        <w:rPr>
          <w:rFonts w:hint="eastAsia" w:ascii="宋体" w:hAnsi="宋体" w:cs="宋体"/>
          <w:color w:val="auto"/>
          <w:szCs w:val="21"/>
          <w:highlight w:val="none"/>
        </w:rPr>
      </w:pPr>
      <w:bookmarkStart w:id="121" w:name="_Toc222632760"/>
      <w:bookmarkStart w:id="122" w:name="_Toc317341944"/>
      <w:r>
        <w:rPr>
          <w:rFonts w:hint="eastAsia" w:ascii="宋体" w:hAnsi="宋体" w:cs="宋体"/>
          <w:color w:val="auto"/>
          <w:szCs w:val="21"/>
          <w:highlight w:val="none"/>
        </w:rPr>
        <w:t>（一）确定中标人。本项目由采购单位确定中标人。</w:t>
      </w:r>
    </w:p>
    <w:p>
      <w:pPr>
        <w:shd w:val="clear"/>
        <w:adjustRightInd w:val="0"/>
        <w:snapToGrid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（二）采购代理机构在评标结束后2个工作日内将评标报告交采购单位。</w:t>
      </w:r>
    </w:p>
    <w:p>
      <w:pPr>
        <w:shd w:val="clear"/>
        <w:adjustRightInd w:val="0"/>
        <w:snapToGrid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（三）采购人在收到评标报告后5个工作日内按照评标报告推荐的顺序确定中标人。中标候选人顺序并列的，由采购人采购小组成员集体讨论确定。</w:t>
      </w:r>
    </w:p>
    <w:p>
      <w:pPr>
        <w:shd w:val="clear"/>
        <w:adjustRightInd w:val="0"/>
        <w:snapToGrid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（四）采购人依法确定中标人后2个工作日内，采购人和采购代理机构以书面形式发出《中标通知书》，并同时在相关网站发布中标公告。中标公告期限为1个工作日。</w:t>
      </w:r>
    </w:p>
    <w:p>
      <w:pPr>
        <w:shd w:val="clear"/>
        <w:adjustRightInd w:val="0"/>
        <w:snapToGrid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     采购代理机构对未通过资格审查的投标人，告知其未通过的原因。对未中标人，告知其本人的评审得分和排序。</w:t>
      </w:r>
    </w:p>
    <w:p>
      <w:pPr>
        <w:shd w:val="clear"/>
        <w:adjustRightInd/>
        <w:snapToGrid/>
        <w:spacing w:line="240" w:lineRule="auto"/>
        <w:jc w:val="left"/>
        <w:rPr>
          <w:rFonts w:hint="eastAsia"/>
          <w:highlight w:val="none"/>
        </w:rPr>
      </w:pPr>
    </w:p>
    <w:p>
      <w:pPr>
        <w:pStyle w:val="5"/>
        <w:numPr>
          <w:ilvl w:val="0"/>
          <w:numId w:val="7"/>
        </w:numPr>
        <w:shd w:val="clear"/>
        <w:spacing w:before="0" w:after="0" w:line="340" w:lineRule="exact"/>
        <w:rPr>
          <w:rFonts w:hint="eastAsia" w:ascii="宋体" w:hAnsi="宋体" w:eastAsia="宋体" w:cs="宋体"/>
          <w:color w:val="auto"/>
          <w:sz w:val="24"/>
          <w:szCs w:val="24"/>
          <w:highlight w:val="none"/>
        </w:rPr>
      </w:pPr>
      <w:bookmarkStart w:id="123" w:name="_Toc10354"/>
      <w:bookmarkStart w:id="124" w:name="_Toc23493"/>
      <w:bookmarkStart w:id="125" w:name="_Toc16672"/>
      <w:bookmarkStart w:id="126" w:name="_Toc15751"/>
      <w:r>
        <w:rPr>
          <w:rFonts w:hint="eastAsia" w:ascii="宋体" w:hAnsi="宋体" w:eastAsia="宋体" w:cs="宋体"/>
          <w:color w:val="auto"/>
          <w:sz w:val="24"/>
          <w:szCs w:val="24"/>
          <w:highlight w:val="none"/>
        </w:rPr>
        <w:t>合同的授予</w:t>
      </w:r>
      <w:bookmarkEnd w:id="121"/>
      <w:bookmarkEnd w:id="122"/>
      <w:bookmarkEnd w:id="123"/>
      <w:bookmarkEnd w:id="124"/>
      <w:bookmarkEnd w:id="125"/>
      <w:bookmarkEnd w:id="126"/>
    </w:p>
    <w:p>
      <w:pPr>
        <w:shd w:val="clear"/>
        <w:adjustRightInd w:val="0"/>
        <w:snapToGri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（一）授予合同的依据</w:t>
      </w:r>
    </w:p>
    <w:p>
      <w:pPr>
        <w:shd w:val="clear"/>
        <w:adjustRightInd w:val="0"/>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1、采购人和采购代理机构签发的中标通知书；</w:t>
      </w:r>
    </w:p>
    <w:p>
      <w:pPr>
        <w:shd w:val="clear"/>
        <w:adjustRightInd w:val="0"/>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2、招标文件、招标文件的修改及补充文件；</w:t>
      </w:r>
    </w:p>
    <w:p>
      <w:pPr>
        <w:shd w:val="clear"/>
        <w:adjustRightInd w:val="0"/>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3、投标文件和询标时投标人做出的澄清、说明、纠正、承诺；</w:t>
      </w:r>
    </w:p>
    <w:p>
      <w:pPr>
        <w:shd w:val="clear"/>
        <w:adjustRightInd w:val="0"/>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4、《中华人民共和国民法典》的规定。</w:t>
      </w:r>
    </w:p>
    <w:p>
      <w:pPr>
        <w:shd w:val="clear"/>
        <w:adjustRightInd w:val="0"/>
        <w:snapToGri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（二）签署合同的要求</w:t>
      </w:r>
    </w:p>
    <w:p>
      <w:pPr>
        <w:shd w:val="clear"/>
        <w:adjustRightInd w:val="0"/>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1、采购人与中标人按照中标通知书的规定时间、地点签订书面合同；</w:t>
      </w:r>
    </w:p>
    <w:p>
      <w:pPr>
        <w:shd w:val="clear"/>
        <w:adjustRightInd w:val="0"/>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2、签订合同的时间（以前附表为准）；</w:t>
      </w:r>
    </w:p>
    <w:p>
      <w:pPr>
        <w:shd w:val="clear"/>
        <w:adjustRightInd w:val="0"/>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3、所签订的采购合同内容不得对招标文件和中标人的投标文件作实质性修改；</w:t>
      </w:r>
    </w:p>
    <w:p>
      <w:pPr>
        <w:shd w:val="clear"/>
        <w:adjustRightInd w:val="0"/>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4、采购人不得向中标人提出任何不合理的要求，作为签订合同的条件，不得与中标人私下订立背离合同实质性内容的协议；</w:t>
      </w:r>
    </w:p>
    <w:p>
      <w:pPr>
        <w:shd w:val="clear"/>
        <w:adjustRightInd w:val="0"/>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5、自合同签订之日起二个工作日内，采购人应将合同进行网上公告。</w:t>
      </w:r>
    </w:p>
    <w:p>
      <w:pPr>
        <w:shd w:val="clear"/>
        <w:adjustRightInd w:val="0"/>
        <w:snapToGri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（三）中标通知书</w:t>
      </w:r>
    </w:p>
    <w:p>
      <w:pPr>
        <w:shd w:val="clear"/>
        <w:adjustRightInd w:val="0"/>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1、确定中标人后，采购人和采购代理机构将以书面形式发出中标通知书；</w:t>
      </w:r>
    </w:p>
    <w:p>
      <w:pPr>
        <w:shd w:val="clear"/>
        <w:adjustRightInd w:val="0"/>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2、中标通知书为双方签订采购合同的依据；</w:t>
      </w:r>
    </w:p>
    <w:p>
      <w:pPr>
        <w:shd w:val="clear"/>
        <w:adjustRightInd w:val="0"/>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3、中标人应根据中标通知书中规定的时间内，由法定代表人或其授权代理人与采购人签订合同。</w:t>
      </w:r>
    </w:p>
    <w:p>
      <w:pPr>
        <w:shd w:val="clear"/>
        <w:adjustRightInd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4、中标通知书发出后，采购人改变中标结果，或者中标人放弃中标，应当承担相应的法律责任。</w:t>
      </w:r>
    </w:p>
    <w:p>
      <w:pPr>
        <w:shd w:val="clear"/>
        <w:adjustRightInd w:val="0"/>
        <w:snapToGri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（四）履约保证金</w:t>
      </w:r>
    </w:p>
    <w:p>
      <w:pPr>
        <w:shd w:val="clear"/>
        <w:adjustRightInd w:val="0"/>
        <w:snapToGrid w:val="0"/>
        <w:spacing w:line="34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不收取</w:t>
      </w:r>
      <w:r>
        <w:rPr>
          <w:rFonts w:hint="eastAsia" w:ascii="宋体" w:hAnsi="宋体" w:cs="宋体"/>
          <w:b w:val="0"/>
          <w:bCs/>
          <w:color w:val="auto"/>
          <w:szCs w:val="21"/>
          <w:highlight w:val="none"/>
        </w:rPr>
        <w:t>。</w:t>
      </w:r>
    </w:p>
    <w:p>
      <w:pPr>
        <w:shd w:val="clear"/>
        <w:adjustRightInd w:val="0"/>
        <w:snapToGri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（五）合同签订</w:t>
      </w:r>
    </w:p>
    <w:p>
      <w:pPr>
        <w:shd w:val="clear"/>
        <w:adjustRightInd w:val="0"/>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1、采购人与中标人依据招标文件和中标人的投标文件签订书面合同；</w:t>
      </w:r>
    </w:p>
    <w:p>
      <w:pPr>
        <w:shd w:val="clear"/>
        <w:adjustRightInd w:val="0"/>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采购人如不与中标人订立协议的，或者采购人、中标人订立背离实质性内容的协议，由政府有关部门责令改正，同时依法承担相应法律责任；</w:t>
      </w:r>
    </w:p>
    <w:p>
      <w:pPr>
        <w:shd w:val="clear"/>
        <w:adjustRightInd w:val="0"/>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3、中标人如不按规定与采购人订立协议的，则采购人将取消其中标资格，并向其要求以预算金额2%额度的赔偿；</w:t>
      </w:r>
    </w:p>
    <w:p>
      <w:pPr>
        <w:shd w:val="clear"/>
        <w:adjustRightInd w:val="0"/>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中标人应当按照协议约定履行义务，完成项目各项工作，不得将中标项目违法转让（转包）给他人。</w:t>
      </w:r>
    </w:p>
    <w:p>
      <w:pPr>
        <w:pStyle w:val="4"/>
        <w:shd w:val="clear"/>
        <w:spacing w:before="0" w:after="0" w:line="240" w:lineRule="auto"/>
        <w:jc w:val="center"/>
        <w:rPr>
          <w:rFonts w:hint="eastAsia" w:ascii="宋体" w:hAnsi="宋体" w:cs="宋体"/>
          <w:snapToGrid w:val="0"/>
          <w:color w:val="auto"/>
          <w:sz w:val="40"/>
          <w:szCs w:val="36"/>
          <w:highlight w:val="none"/>
        </w:rPr>
      </w:pPr>
      <w:bookmarkStart w:id="127" w:name="_Toc317341945"/>
      <w:bookmarkStart w:id="128" w:name="_Toc3637"/>
      <w:bookmarkStart w:id="129" w:name="_Toc17693"/>
      <w:bookmarkStart w:id="130" w:name="_Toc29826"/>
      <w:bookmarkStart w:id="131" w:name="_Toc27963"/>
      <w:bookmarkStart w:id="132" w:name="_Toc222632762"/>
    </w:p>
    <w:p>
      <w:pPr>
        <w:pStyle w:val="2"/>
        <w:shd w:val="clear"/>
        <w:spacing w:before="0" w:after="0" w:line="240" w:lineRule="auto"/>
        <w:jc w:val="center"/>
        <w:rPr>
          <w:rFonts w:hint="default" w:ascii="Times New Roman" w:hAnsi="Times New Roman" w:cs="Times New Roman"/>
          <w:snapToGrid/>
          <w:sz w:val="44"/>
          <w:szCs w:val="44"/>
        </w:rPr>
      </w:pPr>
    </w:p>
    <w:p>
      <w:pPr>
        <w:pStyle w:val="3"/>
        <w:shd w:val="clear"/>
        <w:spacing w:before="0" w:after="0" w:line="240" w:lineRule="auto"/>
        <w:jc w:val="center"/>
        <w:rPr>
          <w:rFonts w:hint="default" w:ascii="Arial" w:hAnsi="Arial" w:cs="Times New Roman"/>
          <w:snapToGrid/>
          <w:color w:val="auto"/>
          <w:sz w:val="21"/>
          <w:szCs w:val="24"/>
          <w:highlight w:val="none"/>
        </w:rPr>
      </w:pPr>
    </w:p>
    <w:p>
      <w:pPr>
        <w:pStyle w:val="4"/>
        <w:shd w:val="clear"/>
        <w:spacing w:before="0" w:after="0" w:line="240" w:lineRule="auto"/>
        <w:jc w:val="center"/>
        <w:rPr>
          <w:rFonts w:hint="eastAsia" w:ascii="宋体" w:hAnsi="宋体" w:cs="宋体"/>
          <w:snapToGrid w:val="0"/>
          <w:color w:val="auto"/>
          <w:sz w:val="40"/>
          <w:szCs w:val="36"/>
          <w:highlight w:val="none"/>
        </w:rPr>
      </w:pPr>
      <w:r>
        <w:rPr>
          <w:rFonts w:hint="eastAsia" w:ascii="宋体" w:hAnsi="宋体" w:cs="宋体"/>
          <w:snapToGrid w:val="0"/>
          <w:color w:val="auto"/>
          <w:sz w:val="40"/>
          <w:szCs w:val="36"/>
          <w:highlight w:val="none"/>
        </w:rPr>
        <w:t xml:space="preserve">第四章 </w:t>
      </w:r>
      <w:bookmarkEnd w:id="127"/>
      <w:bookmarkEnd w:id="128"/>
      <w:r>
        <w:rPr>
          <w:rFonts w:hint="eastAsia" w:ascii="宋体" w:hAnsi="宋体" w:cs="宋体"/>
          <w:snapToGrid w:val="0"/>
          <w:color w:val="auto"/>
          <w:sz w:val="40"/>
          <w:szCs w:val="36"/>
          <w:highlight w:val="none"/>
        </w:rPr>
        <w:t xml:space="preserve"> 评标办法及标准</w:t>
      </w:r>
      <w:bookmarkEnd w:id="129"/>
      <w:bookmarkEnd w:id="130"/>
      <w:bookmarkEnd w:id="131"/>
    </w:p>
    <w:p>
      <w:pPr>
        <w:shd w:val="clear"/>
        <w:adjustRightInd w:val="0"/>
        <w:snapToGrid w:val="0"/>
        <w:spacing w:line="360" w:lineRule="exact"/>
        <w:ind w:firstLine="420" w:firstLineChars="200"/>
        <w:rPr>
          <w:rFonts w:hint="eastAsia" w:ascii="宋体" w:hAnsi="宋体" w:cs="宋体"/>
          <w:color w:val="auto"/>
          <w:szCs w:val="21"/>
          <w:highlight w:val="none"/>
        </w:rPr>
      </w:pPr>
    </w:p>
    <w:p>
      <w:pPr>
        <w:shd w:val="clea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为公正、公平、科学地选择中标人，根据《中华人民共和国政府采购法》《政府采购货物服务招标投标管理办法》等有关法律法规的规定，并结合本项目的实际，制定本办法。</w:t>
      </w:r>
    </w:p>
    <w:p>
      <w:pPr>
        <w:shd w:val="clea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本办法适用于</w:t>
      </w:r>
      <w:r>
        <w:rPr>
          <w:rFonts w:hint="eastAsia" w:ascii="宋体" w:hAnsi="宋体" w:cs="宋体"/>
          <w:b/>
          <w:bCs/>
          <w:color w:val="auto"/>
          <w:szCs w:val="21"/>
          <w:highlight w:val="none"/>
          <w:u w:val="single"/>
          <w:lang w:eastAsia="zh-CN"/>
        </w:rPr>
        <w:t>安吉县林业局林长制视频监控服务政府采购项目</w:t>
      </w:r>
      <w:r>
        <w:rPr>
          <w:rFonts w:hint="eastAsia" w:ascii="宋体" w:hAnsi="宋体" w:cs="宋体"/>
          <w:color w:val="auto"/>
          <w:szCs w:val="21"/>
          <w:highlight w:val="none"/>
        </w:rPr>
        <w:t>的评标。</w:t>
      </w:r>
    </w:p>
    <w:p>
      <w:pPr>
        <w:shd w:val="clear"/>
        <w:adjustRightInd w:val="0"/>
        <w:snapToGrid w:val="0"/>
        <w:spacing w:line="360" w:lineRule="exact"/>
        <w:ind w:firstLine="420" w:firstLineChars="200"/>
        <w:rPr>
          <w:rFonts w:hint="eastAsia" w:ascii="宋体" w:hAnsi="宋体" w:cs="宋体"/>
          <w:color w:val="auto"/>
          <w:szCs w:val="21"/>
          <w:highlight w:val="none"/>
        </w:rPr>
      </w:pPr>
    </w:p>
    <w:p>
      <w:pPr>
        <w:pStyle w:val="5"/>
        <w:shd w:val="clear"/>
        <w:spacing w:before="0" w:after="0" w:line="240" w:lineRule="auto"/>
        <w:rPr>
          <w:rFonts w:hint="eastAsia" w:ascii="宋体" w:hAnsi="宋体" w:eastAsia="宋体" w:cs="宋体"/>
          <w:color w:val="auto"/>
          <w:sz w:val="24"/>
          <w:szCs w:val="24"/>
          <w:highlight w:val="none"/>
        </w:rPr>
      </w:pPr>
      <w:bookmarkStart w:id="133" w:name="_Toc27962"/>
      <w:bookmarkStart w:id="134" w:name="_Toc4155"/>
      <w:bookmarkStart w:id="135" w:name="_Toc18753"/>
      <w:bookmarkStart w:id="136" w:name="_Toc317341947"/>
      <w:bookmarkStart w:id="137" w:name="_Toc300812053"/>
      <w:bookmarkStart w:id="138" w:name="_Toc294470144"/>
      <w:r>
        <w:rPr>
          <w:rFonts w:hint="eastAsia" w:ascii="宋体" w:hAnsi="宋体" w:eastAsia="宋体" w:cs="宋体"/>
          <w:color w:val="auto"/>
          <w:sz w:val="24"/>
          <w:szCs w:val="24"/>
          <w:highlight w:val="none"/>
        </w:rPr>
        <w:t>一、评标程序与方法</w:t>
      </w:r>
      <w:bookmarkEnd w:id="133"/>
      <w:bookmarkEnd w:id="134"/>
      <w:bookmarkEnd w:id="135"/>
    </w:p>
    <w:p>
      <w:pPr>
        <w:shd w:val="clea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1、评标委员会对通过资格性检查的投标人进行符合性检查。依据招标文件的规定，从投标文件的有效性、完整性和对招标文件的响应程度进行审查，以确定是否对招标文件的实质性要求做出响应。</w:t>
      </w:r>
    </w:p>
    <w:p>
      <w:pPr>
        <w:shd w:val="clea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澄清有关问题。对投标文件中含义不明确、同类问题表述不一致或者有明显文字和计算错误的内容，评标委员会可书面形式要求投标人做出必要的澄清、说明。投标人的说明或者澄清应当采用书面形式，由其授权的代表签字，并不得超出投标文件的范围或者改变投标文件的实质性内容。</w:t>
      </w:r>
    </w:p>
    <w:p>
      <w:pPr>
        <w:shd w:val="clea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3、比较与评价。评标委员会按上述规定的评标内容和标准，对符合性检查合格的投标文件进行综合比较与独立评分。</w:t>
      </w:r>
    </w:p>
    <w:p>
      <w:pPr>
        <w:shd w:val="clear"/>
        <w:spacing w:line="320" w:lineRule="exact"/>
        <w:ind w:firstLine="420" w:firstLineChars="200"/>
        <w:rPr>
          <w:rFonts w:hint="eastAsia" w:ascii="宋体" w:hAnsi="宋体" w:cs="宋体"/>
          <w:color w:val="auto"/>
          <w:szCs w:val="21"/>
          <w:highlight w:val="none"/>
        </w:rPr>
      </w:pPr>
    </w:p>
    <w:p>
      <w:pPr>
        <w:pStyle w:val="5"/>
        <w:shd w:val="clear"/>
        <w:spacing w:before="0" w:after="0" w:line="240" w:lineRule="auto"/>
        <w:rPr>
          <w:rFonts w:hint="eastAsia" w:ascii="宋体" w:hAnsi="宋体" w:eastAsia="宋体" w:cs="宋体"/>
          <w:color w:val="auto"/>
          <w:sz w:val="24"/>
          <w:szCs w:val="24"/>
          <w:highlight w:val="none"/>
        </w:rPr>
      </w:pPr>
      <w:bookmarkStart w:id="139" w:name="_Toc2491"/>
      <w:bookmarkStart w:id="140" w:name="_Toc7267"/>
      <w:bookmarkStart w:id="141" w:name="_Toc26404"/>
      <w:r>
        <w:rPr>
          <w:rFonts w:hint="eastAsia" w:ascii="宋体" w:hAnsi="宋体" w:eastAsia="宋体" w:cs="宋体"/>
          <w:color w:val="auto"/>
          <w:sz w:val="24"/>
          <w:szCs w:val="24"/>
          <w:highlight w:val="none"/>
        </w:rPr>
        <w:t>二、综合评分法</w:t>
      </w:r>
      <w:bookmarkEnd w:id="139"/>
      <w:bookmarkEnd w:id="140"/>
      <w:bookmarkEnd w:id="141"/>
    </w:p>
    <w:p>
      <w:pPr>
        <w:shd w:val="clear"/>
        <w:adjustRightInd w:val="0"/>
        <w:snapToGrid w:val="0"/>
        <w:spacing w:line="360" w:lineRule="exact"/>
        <w:ind w:firstLine="420" w:firstLineChars="200"/>
        <w:rPr>
          <w:rFonts w:ascii="宋体" w:hAnsi="宋体" w:cs="宋体"/>
          <w:szCs w:val="21"/>
          <w:highlight w:val="none"/>
        </w:rPr>
      </w:pPr>
      <w:r>
        <w:rPr>
          <w:rFonts w:hint="eastAsia" w:ascii="宋体" w:hAnsi="宋体" w:cs="宋体"/>
          <w:color w:val="auto"/>
          <w:szCs w:val="21"/>
          <w:highlight w:val="none"/>
        </w:rPr>
        <w:t>本次评标采用综合评分法，总分为100分，其中价格分</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分、技术商务资信分</w:t>
      </w:r>
      <w:r>
        <w:rPr>
          <w:rFonts w:hint="eastAsia" w:ascii="宋体" w:hAnsi="宋体" w:cs="宋体"/>
          <w:color w:val="auto"/>
          <w:szCs w:val="21"/>
          <w:highlight w:val="none"/>
          <w:lang w:val="en-US" w:eastAsia="zh-CN"/>
        </w:rPr>
        <w:t>80</w:t>
      </w:r>
      <w:r>
        <w:rPr>
          <w:rFonts w:hint="eastAsia" w:ascii="宋体" w:hAnsi="宋体" w:cs="宋体"/>
          <w:color w:val="auto"/>
          <w:szCs w:val="21"/>
          <w:highlight w:val="none"/>
        </w:rPr>
        <w:t>分。合格投标人的评标得分为各项目汇总得分，中标候选资格按评标综合得分由高到低顺序排列，推荐中标候选人；得分相同的，按投标报价由低到高顺序排列；得分且投标报价相同的并列。</w:t>
      </w:r>
    </w:p>
    <w:p>
      <w:pPr>
        <w:shd w:val="clear"/>
        <w:adjustRightInd w:val="0"/>
        <w:snapToGrid w:val="0"/>
        <w:spacing w:line="360" w:lineRule="exact"/>
        <w:ind w:firstLine="420" w:firstLineChars="200"/>
        <w:rPr>
          <w:rFonts w:hint="eastAsia" w:ascii="宋体" w:hAnsi="宋体" w:cs="宋体"/>
          <w:color w:val="auto"/>
          <w:szCs w:val="21"/>
          <w:highlight w:val="none"/>
        </w:rPr>
      </w:pPr>
    </w:p>
    <w:p>
      <w:pPr>
        <w:pStyle w:val="5"/>
        <w:numPr>
          <w:ilvl w:val="0"/>
          <w:numId w:val="9"/>
        </w:numPr>
        <w:shd w:val="clear"/>
        <w:spacing w:before="0" w:after="0" w:line="240" w:lineRule="auto"/>
        <w:rPr>
          <w:rFonts w:hint="eastAsia" w:ascii="宋体" w:hAnsi="宋体" w:eastAsia="宋体" w:cs="宋体"/>
          <w:color w:val="auto"/>
          <w:sz w:val="24"/>
          <w:szCs w:val="24"/>
          <w:highlight w:val="none"/>
        </w:rPr>
      </w:pPr>
      <w:bookmarkStart w:id="142" w:name="_Toc14114"/>
      <w:bookmarkStart w:id="143" w:name="_Toc23186"/>
      <w:bookmarkStart w:id="144" w:name="_Toc3993"/>
      <w:bookmarkStart w:id="145" w:name="_Toc26255"/>
      <w:r>
        <w:rPr>
          <w:rFonts w:hint="eastAsia" w:ascii="宋体" w:hAnsi="宋体" w:eastAsia="宋体" w:cs="宋体"/>
          <w:color w:val="auto"/>
          <w:sz w:val="24"/>
          <w:szCs w:val="24"/>
          <w:highlight w:val="none"/>
        </w:rPr>
        <w:t>评标内容及标准</w:t>
      </w:r>
      <w:bookmarkEnd w:id="136"/>
      <w:bookmarkEnd w:id="137"/>
      <w:bookmarkEnd w:id="138"/>
      <w:bookmarkEnd w:id="142"/>
      <w:bookmarkEnd w:id="143"/>
      <w:bookmarkEnd w:id="144"/>
      <w:bookmarkEnd w:id="145"/>
    </w:p>
    <w:p>
      <w:pPr>
        <w:shd w:val="clear"/>
        <w:tabs>
          <w:tab w:val="center" w:pos="4706"/>
        </w:tabs>
        <w:adjustRightInd/>
        <w:snapToGrid/>
        <w:spacing w:line="240" w:lineRule="auto"/>
        <w:ind w:firstLine="0" w:firstLineChars="0"/>
        <w:rPr>
          <w:rFonts w:hint="eastAsia"/>
          <w:highlight w:val="none"/>
        </w:rPr>
      </w:pPr>
    </w:p>
    <w:p>
      <w:pPr>
        <w:shd w:val="clear"/>
        <w:spacing w:line="360" w:lineRule="exact"/>
        <w:ind w:firstLine="105" w:firstLineChars="50"/>
        <w:rPr>
          <w:rFonts w:hint="eastAsia" w:ascii="宋体" w:hAnsi="宋体" w:cs="宋体"/>
          <w:b/>
          <w:color w:val="auto"/>
          <w:szCs w:val="21"/>
          <w:highlight w:val="none"/>
        </w:rPr>
      </w:pPr>
      <w:r>
        <w:rPr>
          <w:rFonts w:hint="eastAsia" w:ascii="宋体" w:hAnsi="宋体" w:cs="宋体"/>
          <w:b/>
          <w:color w:val="auto"/>
          <w:szCs w:val="21"/>
          <w:highlight w:val="none"/>
        </w:rPr>
        <w:t>（一）价格分（</w:t>
      </w:r>
      <w:r>
        <w:rPr>
          <w:rFonts w:hint="eastAsia" w:ascii="宋体" w:hAnsi="宋体" w:cs="宋体"/>
          <w:b/>
          <w:color w:val="auto"/>
          <w:szCs w:val="21"/>
          <w:highlight w:val="none"/>
          <w:lang w:val="en-US" w:eastAsia="zh-CN"/>
        </w:rPr>
        <w:t>20</w:t>
      </w:r>
      <w:r>
        <w:rPr>
          <w:rFonts w:hint="eastAsia" w:ascii="宋体" w:hAnsi="宋体" w:cs="宋体"/>
          <w:b/>
          <w:color w:val="auto"/>
          <w:szCs w:val="21"/>
          <w:highlight w:val="none"/>
        </w:rPr>
        <w:t>分）</w:t>
      </w:r>
    </w:p>
    <w:p>
      <w:pPr>
        <w:pStyle w:val="61"/>
        <w:shd w:val="clear"/>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1、价格分采用低价优先法计算，即满足招标文件要求且投标报价最低的价格为评标基准价，其他投标人的价格分按照下列公式计算：</w:t>
      </w:r>
    </w:p>
    <w:p>
      <w:pPr>
        <w:shd w:val="clea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其他投标人的价格分=评标基准价/投标报价×</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%×100</w:t>
      </w:r>
    </w:p>
    <w:p>
      <w:pPr>
        <w:shd w:val="clear"/>
        <w:adjustRightInd w:val="0"/>
        <w:snapToGrid w:val="0"/>
        <w:spacing w:line="360" w:lineRule="exact"/>
        <w:ind w:left="420"/>
        <w:rPr>
          <w:rFonts w:hint="eastAsia" w:ascii="宋体" w:hAnsi="宋体" w:cs="宋体"/>
          <w:color w:val="auto"/>
          <w:szCs w:val="21"/>
          <w:highlight w:val="none"/>
        </w:rPr>
      </w:pPr>
      <w:r>
        <w:rPr>
          <w:rFonts w:hint="eastAsia" w:ascii="宋体" w:hAnsi="宋体" w:cs="宋体"/>
          <w:color w:val="auto"/>
          <w:szCs w:val="21"/>
          <w:highlight w:val="none"/>
        </w:rPr>
        <w:t>2、中小企业政策执行：</w:t>
      </w:r>
      <w:r>
        <w:rPr>
          <w:rFonts w:ascii="Times New Roman" w:hAnsi="Times New Roman" w:eastAsia="宋体" w:cs="Times New Roman"/>
          <w:b/>
          <w:bCs/>
          <w:color w:val="auto"/>
          <w:highlight w:val="none"/>
        </w:rPr>
        <w:t>中</w:t>
      </w:r>
      <w:r>
        <w:rPr>
          <w:b/>
          <w:bCs/>
          <w:color w:val="auto"/>
          <w:highlight w:val="none"/>
        </w:rPr>
        <w:t>小企业政策执行以下第</w:t>
      </w:r>
      <w:r>
        <w:rPr>
          <w:rFonts w:hint="eastAsia"/>
          <w:b/>
          <w:bCs/>
          <w:color w:val="auto"/>
          <w:highlight w:val="none"/>
        </w:rPr>
        <w:t>2.</w:t>
      </w:r>
      <w:r>
        <w:rPr>
          <w:rFonts w:hint="eastAsia"/>
          <w:b/>
          <w:bCs/>
          <w:color w:val="auto"/>
          <w:highlight w:val="none"/>
          <w:lang w:val="en-US" w:eastAsia="zh-CN"/>
        </w:rPr>
        <w:t>1</w:t>
      </w:r>
      <w:r>
        <w:rPr>
          <w:b/>
          <w:bCs/>
          <w:color w:val="auto"/>
          <w:highlight w:val="none"/>
        </w:rPr>
        <w:t>条</w:t>
      </w:r>
    </w:p>
    <w:p>
      <w:pPr>
        <w:shd w:val="clear"/>
        <w:adjustRightInd w:val="0"/>
        <w:snapToGrid w:val="0"/>
        <w:spacing w:line="360" w:lineRule="exact"/>
        <w:ind w:firstLine="420" w:firstLineChars="200"/>
        <w:rPr>
          <w:rFonts w:hint="eastAsia" w:ascii="宋体" w:hAnsi="宋体" w:cs="宋体"/>
          <w:bCs/>
          <w:color w:val="auto"/>
          <w:szCs w:val="21"/>
          <w:highlight w:val="none"/>
        </w:rPr>
      </w:pPr>
      <w:r>
        <w:rPr>
          <w:rFonts w:hint="eastAsia" w:ascii="宋体" w:hAnsi="宋体" w:cs="宋体"/>
          <w:b w:val="0"/>
          <w:bCs/>
          <w:color w:val="auto"/>
          <w:szCs w:val="21"/>
          <w:highlight w:val="none"/>
        </w:rPr>
        <w:t>2.1 本项目为专门面向中小企业采购，提</w:t>
      </w:r>
      <w:r>
        <w:rPr>
          <w:rFonts w:hint="eastAsia" w:ascii="宋体" w:hAnsi="宋体" w:cs="宋体"/>
          <w:color w:val="auto"/>
          <w:szCs w:val="21"/>
          <w:highlight w:val="none"/>
        </w:rPr>
        <w:t>供服务的供应商非中小企业的，资格审查不通过；符合上述条件的中小微型企业应按照</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文件附件的格式要求在资格文件中提供《中小企业声明函》</w:t>
      </w:r>
      <w:r>
        <w:rPr>
          <w:rFonts w:hint="eastAsia"/>
          <w:color w:val="auto"/>
          <w:highlight w:val="none"/>
        </w:rPr>
        <w:t>；</w:t>
      </w:r>
    </w:p>
    <w:p>
      <w:pPr>
        <w:shd w:val="clear"/>
        <w:adjustRightInd w:val="0"/>
        <w:snapToGrid w:val="0"/>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2.2根据</w:t>
      </w:r>
      <w:r>
        <w:rPr>
          <w:rFonts w:hint="eastAsia"/>
          <w:color w:val="auto"/>
          <w:highlight w:val="none"/>
          <w:lang w:bidi="ar"/>
        </w:rPr>
        <w:t>《政府采购促进中小</w:t>
      </w:r>
      <w:r>
        <w:rPr>
          <w:color w:val="auto"/>
          <w:highlight w:val="none"/>
          <w:lang w:bidi="ar"/>
        </w:rPr>
        <w:t>企业发展管理办法》（财库﹝2020﹞46 号）</w:t>
      </w:r>
      <w:r>
        <w:rPr>
          <w:rFonts w:hint="eastAsia" w:ascii="宋体" w:hAnsi="宋体" w:cs="宋体"/>
          <w:bCs/>
          <w:color w:val="auto"/>
          <w:szCs w:val="21"/>
          <w:highlight w:val="none"/>
        </w:rPr>
        <w:t>，对小型或微型企业参加投标且投标产品（或服务）为小型或微型企业生产（提供服务）的，价格给予</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%的扣除，用扣除后的价格参与价格评分。小型、微型企业以联合体参加投标的，联合体协议中约定，小型、微型企业产品的协议合同金额占到联合体协议合同总金额 30%以上的，投标报价给予</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%的扣除，并用扣除后的价格计算价格评分。组成联合体的大中型企业和其他自然人、法人或者其他组织，与小型、微型企业之间不得存在投资关系，否则不予价格扣除。</w:t>
      </w:r>
    </w:p>
    <w:p>
      <w:pPr>
        <w:shd w:val="clear"/>
        <w:adjustRightInd w:val="0"/>
        <w:snapToGrid w:val="0"/>
        <w:spacing w:line="360" w:lineRule="exact"/>
        <w:rPr>
          <w:rFonts w:hint="eastAsia" w:ascii="宋体" w:hAnsi="宋体" w:cs="宋体"/>
          <w:bCs/>
          <w:color w:val="auto"/>
          <w:szCs w:val="21"/>
          <w:highlight w:val="none"/>
        </w:rPr>
      </w:pPr>
      <w:r>
        <w:rPr>
          <w:rFonts w:hint="eastAsia" w:hAnsi="宋体" w:cs="宋体"/>
          <w:bCs/>
          <w:color w:val="auto"/>
          <w:szCs w:val="21"/>
          <w:highlight w:val="none"/>
        </w:rPr>
        <w:t xml:space="preserve">   </w:t>
      </w:r>
      <w:r>
        <w:rPr>
          <w:rFonts w:hint="eastAsia" w:ascii="宋体" w:hAnsi="宋体" w:cs="宋体"/>
          <w:bCs/>
          <w:color w:val="auto"/>
          <w:szCs w:val="21"/>
          <w:highlight w:val="none"/>
        </w:rPr>
        <w:t>投标产品生产企业（提供服务的企业）按照《关于印发中小企业划型标准规定的通知》（工信部联企业〔2011〕300 号）的所属行业规定为小型、微型企业。投标文件中必须提供《中小企业声明函》；</w:t>
      </w:r>
    </w:p>
    <w:p>
      <w:pPr>
        <w:widowControl/>
        <w:shd w:val="clear"/>
        <w:adjustRightInd w:val="0"/>
        <w:snapToGrid w:val="0"/>
        <w:spacing w:line="3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lang w:bidi="ar"/>
        </w:rPr>
        <w:t>符合中小企业划分标准的个体工商户，视同中小企业。</w:t>
      </w:r>
    </w:p>
    <w:p>
      <w:pPr>
        <w:shd w:val="clear"/>
        <w:adjustRightInd w:val="0"/>
        <w:snapToGrid w:val="0"/>
        <w:spacing w:line="360" w:lineRule="exact"/>
        <w:ind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3、残疾人福利性单位视同小微企业，其产品参加本项目投标的，享受小微企业同等的价格扣除。</w:t>
      </w:r>
    </w:p>
    <w:p>
      <w:pPr>
        <w:shd w:val="clear"/>
        <w:adjustRightInd w:val="0"/>
        <w:snapToGrid w:val="0"/>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3.1残疾人福利性单位应当同时满足以下条件：</w:t>
      </w:r>
    </w:p>
    <w:p>
      <w:pPr>
        <w:shd w:val="clear"/>
        <w:adjustRightInd w:val="0"/>
        <w:snapToGrid w:val="0"/>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① 安置的残疾人占本单位在职职工人数的比例不低于 25%（含 25%），并且安置的残疾人人数不少于 10 人（含 10 人）；</w:t>
      </w:r>
    </w:p>
    <w:p>
      <w:pPr>
        <w:shd w:val="clear"/>
        <w:adjustRightInd w:val="0"/>
        <w:snapToGrid w:val="0"/>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②依法与安置的每位残疾人签订了一年以上（含一年）的劳动合同或服务协议；</w:t>
      </w:r>
    </w:p>
    <w:p>
      <w:pPr>
        <w:shd w:val="clear"/>
        <w:adjustRightInd w:val="0"/>
        <w:snapToGrid w:val="0"/>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③为安置的每位残疾人按月足额缴纳了基本养老保险、基本医疗保险、失业保险、工伤保险和生育保险等社会保险费；</w:t>
      </w:r>
    </w:p>
    <w:p>
      <w:pPr>
        <w:shd w:val="clear"/>
        <w:adjustRightInd w:val="0"/>
        <w:snapToGrid w:val="0"/>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④通过银行等金融机构向安置的每位残疾人，按月支付了不低于单位所在区县适用的经省级人民政府批准的月最低工资标准的工资；</w:t>
      </w:r>
    </w:p>
    <w:p>
      <w:pPr>
        <w:shd w:val="clear"/>
        <w:adjustRightInd w:val="0"/>
        <w:snapToGrid w:val="0"/>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⑤提供本单位制造的货物、承担的工程或者服务（以下简称产品），或者提供其他残疾人福利性单位制造的货物（不包括使用非残疾人福利性单位注册商标的货物）。</w:t>
      </w:r>
    </w:p>
    <w:p>
      <w:pPr>
        <w:shd w:val="clear"/>
        <w:adjustRightInd w:val="0"/>
        <w:snapToGrid w:val="0"/>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3.2 同时提供以下所有证明材料的投标人被认定为残疾人福利性单位：</w:t>
      </w:r>
    </w:p>
    <w:p>
      <w:pPr>
        <w:shd w:val="clear"/>
        <w:adjustRightInd w:val="0"/>
        <w:snapToGrid w:val="0"/>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① 提供《残疾人福利性单位声明函》；</w:t>
      </w:r>
    </w:p>
    <w:p>
      <w:pPr>
        <w:shd w:val="clear"/>
        <w:adjustRightInd w:val="0"/>
        <w:snapToGrid w:val="0"/>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② 提供社保缴纳人员名单、录用的残疾人的《中华人民共和国残疾人证》或者《中华人民共和国残疾军人证(1至8级)》复印件。</w:t>
      </w:r>
    </w:p>
    <w:p>
      <w:pPr>
        <w:shd w:val="clear"/>
        <w:adjustRightInd w:val="0"/>
        <w:snapToGrid w:val="0"/>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4、监狱企业视同小微企业，其产品参加本项目投标的，享受小微企业同等的价格扣除。</w:t>
      </w:r>
    </w:p>
    <w:p>
      <w:pPr>
        <w:shd w:val="clear"/>
        <w:adjustRightInd w:val="0"/>
        <w:snapToGrid w:val="0"/>
        <w:spacing w:line="360" w:lineRule="exact"/>
        <w:rPr>
          <w:rFonts w:hint="eastAsia" w:ascii="宋体" w:hAnsi="宋体" w:cs="宋体"/>
          <w:color w:val="auto"/>
          <w:highlight w:val="none"/>
        </w:rPr>
      </w:pPr>
      <w:r>
        <w:rPr>
          <w:rFonts w:hint="eastAsia" w:ascii="宋体" w:hAnsi="宋体" w:cs="宋体"/>
          <w:bCs/>
          <w:color w:val="auto"/>
          <w:szCs w:val="21"/>
          <w:highlight w:val="none"/>
        </w:rPr>
        <w:t>提供以下证明材料的投标人被认定为监狱企业：省级以上监狱管理局、戒毒管理局（含新疆生产建设兵团）出具的属于监狱企业的证明文件复印件。</w:t>
      </w:r>
    </w:p>
    <w:p>
      <w:pPr>
        <w:numPr>
          <w:ilvl w:val="0"/>
          <w:numId w:val="0"/>
        </w:numPr>
        <w:shd w:val="clear"/>
        <w:spacing w:line="440" w:lineRule="exact"/>
        <w:rPr>
          <w:rFonts w:hint="eastAsia" w:ascii="宋体" w:hAnsi="宋体" w:cs="宋体"/>
          <w:b/>
          <w:color w:val="auto"/>
          <w:szCs w:val="21"/>
          <w:highlight w:val="none"/>
        </w:rPr>
      </w:pPr>
      <w:r>
        <w:rPr>
          <w:rFonts w:hint="eastAsia" w:ascii="宋体" w:hAnsi="宋体" w:cs="宋体"/>
          <w:b/>
          <w:color w:val="auto"/>
          <w:szCs w:val="21"/>
          <w:highlight w:val="none"/>
          <w:lang w:eastAsia="zh-CN"/>
        </w:rPr>
        <w:t>（二）</w:t>
      </w:r>
      <w:r>
        <w:rPr>
          <w:rFonts w:hint="eastAsia" w:ascii="宋体" w:hAnsi="宋体" w:cs="宋体"/>
          <w:b/>
          <w:color w:val="auto"/>
          <w:szCs w:val="21"/>
          <w:highlight w:val="none"/>
        </w:rPr>
        <w:t>技术、商务资信分（</w:t>
      </w:r>
      <w:r>
        <w:rPr>
          <w:rFonts w:hint="eastAsia" w:ascii="宋体" w:hAnsi="宋体" w:cs="宋体"/>
          <w:b/>
          <w:color w:val="auto"/>
          <w:szCs w:val="21"/>
          <w:highlight w:val="none"/>
          <w:lang w:val="en-US" w:eastAsia="zh-CN"/>
        </w:rPr>
        <w:t>80</w:t>
      </w:r>
      <w:r>
        <w:rPr>
          <w:rFonts w:hint="eastAsia" w:ascii="宋体" w:hAnsi="宋体" w:cs="宋体"/>
          <w:b/>
          <w:color w:val="auto"/>
          <w:szCs w:val="21"/>
          <w:highlight w:val="none"/>
        </w:rPr>
        <w:t>分）</w:t>
      </w:r>
    </w:p>
    <w:tbl>
      <w:tblPr>
        <w:tblStyle w:val="34"/>
        <w:tblW w:w="968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540"/>
        <w:gridCol w:w="1056"/>
        <w:gridCol w:w="5760"/>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81" w:type="dxa"/>
            <w:noWrap w:val="0"/>
            <w:vAlign w:val="center"/>
          </w:tcPr>
          <w:p>
            <w:pPr>
              <w:shd w:val="clear"/>
              <w:snapToGrid w:val="0"/>
              <w:spacing w:line="320" w:lineRule="exact"/>
              <w:jc w:val="center"/>
              <w:rPr>
                <w:rFonts w:hint="eastAsia" w:ascii="宋体" w:hAnsi="宋体" w:cs="宋体"/>
                <w:b/>
                <w:szCs w:val="21"/>
                <w:highlight w:val="none"/>
              </w:rPr>
            </w:pPr>
            <w:r>
              <w:rPr>
                <w:rFonts w:hint="eastAsia" w:ascii="宋体" w:hAnsi="宋体" w:cs="宋体"/>
                <w:b/>
                <w:szCs w:val="21"/>
                <w:highlight w:val="none"/>
              </w:rPr>
              <w:t>序号</w:t>
            </w:r>
          </w:p>
        </w:tc>
        <w:tc>
          <w:tcPr>
            <w:tcW w:w="1596" w:type="dxa"/>
            <w:gridSpan w:val="2"/>
            <w:noWrap w:val="0"/>
            <w:vAlign w:val="center"/>
          </w:tcPr>
          <w:p>
            <w:pPr>
              <w:shd w:val="clear"/>
              <w:snapToGrid w:val="0"/>
              <w:spacing w:line="320" w:lineRule="exact"/>
              <w:jc w:val="center"/>
              <w:rPr>
                <w:rFonts w:hint="eastAsia" w:ascii="宋体" w:hAnsi="宋体" w:cs="宋体"/>
                <w:b/>
                <w:szCs w:val="21"/>
                <w:highlight w:val="none"/>
              </w:rPr>
            </w:pPr>
            <w:r>
              <w:rPr>
                <w:rFonts w:hint="eastAsia" w:ascii="宋体" w:hAnsi="宋体" w:cs="宋体"/>
                <w:b/>
                <w:szCs w:val="21"/>
                <w:highlight w:val="none"/>
              </w:rPr>
              <w:t>评审内容及分值</w:t>
            </w:r>
          </w:p>
        </w:tc>
        <w:tc>
          <w:tcPr>
            <w:tcW w:w="5760" w:type="dxa"/>
            <w:noWrap w:val="0"/>
            <w:vAlign w:val="center"/>
          </w:tcPr>
          <w:p>
            <w:pPr>
              <w:shd w:val="clear"/>
              <w:snapToGrid w:val="0"/>
              <w:spacing w:line="320" w:lineRule="exact"/>
              <w:jc w:val="center"/>
              <w:rPr>
                <w:rFonts w:hint="eastAsia" w:ascii="宋体" w:hAnsi="宋体" w:cs="宋体"/>
                <w:b/>
                <w:szCs w:val="21"/>
                <w:highlight w:val="none"/>
              </w:rPr>
            </w:pPr>
            <w:r>
              <w:rPr>
                <w:rFonts w:hint="eastAsia" w:ascii="宋体" w:hAnsi="宋体" w:cs="宋体"/>
                <w:b/>
                <w:szCs w:val="21"/>
                <w:highlight w:val="none"/>
              </w:rPr>
              <w:t>评分细则</w:t>
            </w:r>
          </w:p>
        </w:tc>
        <w:tc>
          <w:tcPr>
            <w:tcW w:w="1645" w:type="dxa"/>
            <w:noWrap w:val="0"/>
            <w:vAlign w:val="center"/>
          </w:tcPr>
          <w:p>
            <w:pPr>
              <w:shd w:val="clear"/>
              <w:snapToGrid w:val="0"/>
              <w:spacing w:line="320" w:lineRule="exact"/>
              <w:jc w:val="center"/>
              <w:rPr>
                <w:rFonts w:hint="eastAsia" w:ascii="宋体" w:hAnsi="宋体" w:cs="宋体"/>
                <w:b/>
                <w:szCs w:val="21"/>
                <w:highlight w:val="none"/>
              </w:rPr>
            </w:pPr>
            <w:r>
              <w:rPr>
                <w:rFonts w:hint="eastAsia" w:ascii="宋体" w:hAnsi="宋体" w:cs="宋体"/>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1" w:type="dxa"/>
            <w:noWrap w:val="0"/>
            <w:vAlign w:val="center"/>
          </w:tcPr>
          <w:p>
            <w:pPr>
              <w:shd w:val="clear"/>
              <w:snapToGrid w:val="0"/>
              <w:spacing w:line="320" w:lineRule="exact"/>
              <w:jc w:val="center"/>
              <w:rPr>
                <w:rFonts w:hint="eastAsia" w:ascii="宋体" w:hAnsi="宋体" w:cs="宋体"/>
                <w:b/>
                <w:szCs w:val="21"/>
                <w:highlight w:val="none"/>
              </w:rPr>
            </w:pPr>
            <w:r>
              <w:rPr>
                <w:rFonts w:hint="eastAsia" w:ascii="宋体" w:hAnsi="宋体" w:cs="宋体"/>
                <w:b/>
                <w:szCs w:val="21"/>
                <w:highlight w:val="none"/>
              </w:rPr>
              <w:t>1</w:t>
            </w:r>
          </w:p>
        </w:tc>
        <w:tc>
          <w:tcPr>
            <w:tcW w:w="540" w:type="dxa"/>
            <w:vMerge w:val="restart"/>
            <w:noWrap w:val="0"/>
            <w:vAlign w:val="center"/>
          </w:tcPr>
          <w:p>
            <w:pPr>
              <w:shd w:val="clear"/>
              <w:snapToGrid w:val="0"/>
              <w:spacing w:line="320" w:lineRule="exact"/>
              <w:rPr>
                <w:rFonts w:hint="eastAsia" w:ascii="宋体" w:hAnsi="宋体" w:cs="宋体"/>
                <w:b/>
                <w:szCs w:val="21"/>
                <w:highlight w:val="none"/>
              </w:rPr>
            </w:pPr>
            <w:r>
              <w:rPr>
                <w:rFonts w:hint="eastAsia" w:ascii="宋体" w:hAnsi="宋体" w:cs="宋体"/>
                <w:b/>
                <w:szCs w:val="21"/>
                <w:highlight w:val="none"/>
              </w:rPr>
              <w:t>技术分</w:t>
            </w:r>
            <w:r>
              <w:rPr>
                <w:rFonts w:hint="eastAsia" w:ascii="宋体" w:hAnsi="宋体" w:cs="宋体"/>
                <w:b/>
                <w:szCs w:val="21"/>
                <w:highlight w:val="none"/>
                <w:lang w:val="en-US" w:eastAsia="zh-CN"/>
              </w:rPr>
              <w:t>73</w:t>
            </w:r>
            <w:r>
              <w:rPr>
                <w:rFonts w:hint="eastAsia" w:ascii="宋体" w:hAnsi="宋体" w:cs="宋体"/>
                <w:b/>
                <w:szCs w:val="21"/>
                <w:highlight w:val="none"/>
              </w:rPr>
              <w:t>分</w:t>
            </w:r>
          </w:p>
        </w:tc>
        <w:tc>
          <w:tcPr>
            <w:tcW w:w="1056" w:type="dxa"/>
            <w:noWrap w:val="0"/>
            <w:vAlign w:val="center"/>
          </w:tcPr>
          <w:p>
            <w:pPr>
              <w:shd w:val="clear"/>
              <w:snapToGrid w:val="0"/>
              <w:spacing w:line="320" w:lineRule="exact"/>
              <w:rPr>
                <w:rFonts w:hint="default" w:ascii="宋体" w:hAnsi="宋体" w:cs="宋体"/>
                <w:b/>
                <w:szCs w:val="21"/>
                <w:highlight w:val="none"/>
                <w:lang w:val="en-US"/>
              </w:rPr>
            </w:pPr>
            <w:r>
              <w:rPr>
                <w:rFonts w:hint="eastAsia" w:ascii="宋体" w:hAnsi="宋体" w:cs="宋体"/>
                <w:szCs w:val="21"/>
                <w:highlight w:val="none"/>
                <w:lang w:val="en-US" w:eastAsia="zh-CN"/>
              </w:rPr>
              <w:t>预警系统平台软件技术指标响应性 15分</w:t>
            </w:r>
          </w:p>
        </w:tc>
        <w:tc>
          <w:tcPr>
            <w:tcW w:w="5760" w:type="dxa"/>
            <w:noWrap w:val="0"/>
            <w:vAlign w:val="top"/>
          </w:tcPr>
          <w:p>
            <w:pPr>
              <w:shd w:val="clear"/>
              <w:spacing w:line="320" w:lineRule="exact"/>
              <w:rPr>
                <w:rFonts w:hint="eastAsia" w:ascii="宋体" w:hAnsi="宋体" w:eastAsia="宋体" w:cs="宋体"/>
                <w:szCs w:val="21"/>
                <w:highlight w:val="none"/>
              </w:rPr>
            </w:pPr>
            <w:r>
              <w:rPr>
                <w:rFonts w:hint="eastAsia" w:ascii="宋体" w:hAnsi="宋体" w:eastAsia="宋体" w:cs="宋体"/>
                <w:szCs w:val="21"/>
                <w:highlight w:val="none"/>
                <w:lang w:val="en-US"/>
              </w:rPr>
              <w:t>根据招标文件</w:t>
            </w:r>
            <w:r>
              <w:rPr>
                <w:rFonts w:hint="eastAsia" w:ascii="宋体" w:hAnsi="宋体" w:eastAsia="宋体" w:cs="宋体"/>
                <w:szCs w:val="21"/>
                <w:highlight w:val="none"/>
                <w:lang w:val="en-US" w:eastAsia="zh-CN"/>
              </w:rPr>
              <w:t>针对预警系统平台软件标注“★”条款的</w:t>
            </w:r>
            <w:r>
              <w:rPr>
                <w:rFonts w:hint="eastAsia" w:ascii="宋体" w:hAnsi="宋体" w:eastAsia="宋体" w:cs="宋体"/>
                <w:szCs w:val="21"/>
                <w:highlight w:val="none"/>
                <w:lang w:val="en-US"/>
              </w:rPr>
              <w:t>详细参数和要求，</w:t>
            </w:r>
            <w:r>
              <w:rPr>
                <w:rFonts w:hint="eastAsia" w:ascii="宋体" w:hAnsi="宋体" w:eastAsia="宋体" w:cs="宋体"/>
                <w:szCs w:val="21"/>
                <w:highlight w:val="none"/>
                <w:lang w:val="en-US" w:eastAsia="zh-CN"/>
              </w:rPr>
              <w:t>就</w:t>
            </w:r>
            <w:r>
              <w:rPr>
                <w:rFonts w:hint="eastAsia" w:ascii="宋体" w:hAnsi="宋体" w:eastAsia="宋体" w:cs="宋体"/>
                <w:szCs w:val="21"/>
                <w:highlight w:val="none"/>
                <w:lang w:val="en-US"/>
              </w:rPr>
              <w:t>投标产品的基本功能、技术指标与需求的吻合程度和偏差情况（需提供所投产品相关材料，包括所投标产品详细配置、主要技术参数等）</w:t>
            </w:r>
            <w:r>
              <w:rPr>
                <w:rFonts w:hint="eastAsia" w:ascii="宋体" w:hAnsi="宋体" w:eastAsia="宋体" w:cs="宋体"/>
                <w:szCs w:val="21"/>
                <w:highlight w:val="none"/>
                <w:lang w:val="en-US" w:eastAsia="zh-CN"/>
              </w:rPr>
              <w:t>是否符合招标文件要求。</w:t>
            </w:r>
            <w:r>
              <w:rPr>
                <w:rFonts w:hint="eastAsia" w:ascii="宋体" w:hAnsi="宋体" w:eastAsia="宋体" w:cs="宋体"/>
                <w:szCs w:val="21"/>
                <w:highlight w:val="none"/>
              </w:rPr>
              <w:t>完全满足招标文件的所有技术指标得</w:t>
            </w:r>
            <w:r>
              <w:rPr>
                <w:rFonts w:hint="eastAsia" w:ascii="宋体" w:hAnsi="宋体" w:cs="宋体"/>
                <w:szCs w:val="21"/>
                <w:highlight w:val="none"/>
                <w:lang w:val="en-US" w:eastAsia="zh-CN"/>
              </w:rPr>
              <w:t>15</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标注</w:t>
            </w:r>
            <w:r>
              <w:rPr>
                <w:rFonts w:hint="eastAsia" w:ascii="宋体" w:hAnsi="宋体" w:eastAsia="宋体" w:cs="宋体"/>
                <w:szCs w:val="21"/>
                <w:highlight w:val="none"/>
                <w:lang w:eastAsia="zh-CN"/>
              </w:rPr>
              <w:t>“</w:t>
            </w:r>
            <w:r>
              <w:rPr>
                <w:rFonts w:hint="eastAsia" w:ascii="宋体" w:hAnsi="宋体" w:eastAsia="宋体" w:cs="宋体"/>
                <w:szCs w:val="21"/>
                <w:highlight w:val="none"/>
              </w:rPr>
              <w:t>★</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的条款，出现</w:t>
            </w:r>
            <w:r>
              <w:rPr>
                <w:rFonts w:hint="eastAsia" w:ascii="宋体" w:hAnsi="宋体" w:eastAsia="宋体" w:cs="宋体"/>
                <w:szCs w:val="21"/>
                <w:highlight w:val="none"/>
              </w:rPr>
              <w:t>负偏离</w:t>
            </w:r>
            <w:r>
              <w:rPr>
                <w:rFonts w:hint="eastAsia" w:ascii="宋体" w:hAnsi="宋体" w:eastAsia="宋体" w:cs="宋体"/>
                <w:szCs w:val="21"/>
                <w:highlight w:val="none"/>
                <w:lang w:val="en-US" w:eastAsia="zh-CN"/>
              </w:rPr>
              <w:t>或缺漏项的，每项</w:t>
            </w:r>
            <w:r>
              <w:rPr>
                <w:rFonts w:hint="eastAsia" w:ascii="宋体" w:hAnsi="宋体" w:eastAsia="宋体" w:cs="宋体"/>
                <w:szCs w:val="21"/>
                <w:highlight w:val="none"/>
              </w:rPr>
              <w:t>扣</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其他条款负偏离的，每项扣1分，</w:t>
            </w:r>
            <w:r>
              <w:rPr>
                <w:rFonts w:hint="eastAsia" w:ascii="宋体" w:hAnsi="宋体" w:eastAsia="宋体" w:cs="宋体"/>
                <w:szCs w:val="21"/>
                <w:highlight w:val="none"/>
              </w:rPr>
              <w:t>扣完</w:t>
            </w:r>
            <w:r>
              <w:rPr>
                <w:rFonts w:hint="eastAsia" w:ascii="宋体" w:hAnsi="宋体" w:cs="宋体"/>
                <w:szCs w:val="21"/>
                <w:highlight w:val="none"/>
                <w:lang w:val="en-US" w:eastAsia="zh-CN"/>
              </w:rPr>
              <w:t>15</w:t>
            </w:r>
            <w:r>
              <w:rPr>
                <w:rFonts w:hint="eastAsia" w:ascii="宋体" w:hAnsi="宋体" w:eastAsia="宋体" w:cs="宋体"/>
                <w:szCs w:val="21"/>
                <w:highlight w:val="none"/>
                <w:lang w:val="en-US" w:eastAsia="zh-CN"/>
              </w:rPr>
              <w:t>分</w:t>
            </w:r>
            <w:r>
              <w:rPr>
                <w:rFonts w:hint="eastAsia" w:ascii="宋体" w:hAnsi="宋体" w:eastAsia="宋体" w:cs="宋体"/>
                <w:szCs w:val="21"/>
                <w:highlight w:val="none"/>
              </w:rPr>
              <w:t>为止。</w:t>
            </w:r>
          </w:p>
          <w:p>
            <w:pPr>
              <w:widowControl/>
              <w:numPr>
                <w:ilvl w:val="0"/>
                <w:numId w:val="0"/>
              </w:numPr>
              <w:shd w:val="clear"/>
              <w:spacing w:line="320" w:lineRule="exact"/>
              <w:jc w:val="left"/>
              <w:rPr>
                <w:rFonts w:hint="eastAsia" w:eastAsia="宋体"/>
                <w:highlight w:val="none"/>
              </w:rPr>
            </w:pPr>
            <w:r>
              <w:rPr>
                <w:rFonts w:hint="eastAsia" w:ascii="宋体" w:hAnsi="宋体" w:eastAsia="宋体" w:cs="宋体"/>
                <w:b/>
                <w:bCs/>
                <w:szCs w:val="21"/>
                <w:highlight w:val="none"/>
              </w:rPr>
              <w:t>投标人在投标文件中如实逐项填列所投产品的参数，如招标文件要求提供相应证明材料的，应注明证明材料在投标文件中的所在位置，否则评标委员会有权做负偏离处理</w:t>
            </w:r>
            <w:r>
              <w:rPr>
                <w:rFonts w:hint="eastAsia" w:ascii="宋体" w:hAnsi="宋体" w:eastAsia="宋体" w:cs="宋体"/>
                <w:b/>
                <w:bCs/>
                <w:szCs w:val="21"/>
                <w:highlight w:val="none"/>
                <w:lang w:eastAsia="zh-CN"/>
              </w:rPr>
              <w:t>。</w:t>
            </w:r>
          </w:p>
        </w:tc>
        <w:tc>
          <w:tcPr>
            <w:tcW w:w="1645" w:type="dxa"/>
            <w:noWrap w:val="0"/>
            <w:vAlign w:val="center"/>
          </w:tcPr>
          <w:p>
            <w:pPr>
              <w:shd w:val="clear"/>
              <w:snapToGrid w:val="0"/>
              <w:spacing w:line="320" w:lineRule="exact"/>
              <w:jc w:val="center"/>
              <w:rPr>
                <w:rFonts w:hint="eastAsia" w:ascii="宋体" w:hAns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681" w:type="dxa"/>
            <w:noWrap w:val="0"/>
            <w:vAlign w:val="center"/>
          </w:tcPr>
          <w:p>
            <w:pPr>
              <w:shd w:val="clear"/>
              <w:adjustRightInd w:val="0"/>
              <w:snapToGrid w:val="0"/>
              <w:spacing w:line="320" w:lineRule="exact"/>
              <w:jc w:val="center"/>
              <w:rPr>
                <w:rFonts w:hint="eastAsia" w:ascii="宋体" w:hAnsi="宋体" w:cs="宋体"/>
                <w:b/>
                <w:highlight w:val="none"/>
              </w:rPr>
            </w:pPr>
            <w:r>
              <w:rPr>
                <w:rFonts w:hint="eastAsia" w:ascii="宋体" w:hAnsi="宋体" w:cs="宋体"/>
                <w:b/>
                <w:highlight w:val="none"/>
              </w:rPr>
              <w:t>2</w:t>
            </w:r>
          </w:p>
        </w:tc>
        <w:tc>
          <w:tcPr>
            <w:tcW w:w="540" w:type="dxa"/>
            <w:vMerge w:val="continue"/>
            <w:noWrap w:val="0"/>
            <w:vAlign w:val="center"/>
          </w:tcPr>
          <w:p>
            <w:pPr>
              <w:shd w:val="clear"/>
              <w:adjustRightInd w:val="0"/>
              <w:snapToGrid w:val="0"/>
              <w:spacing w:line="320" w:lineRule="exact"/>
              <w:rPr>
                <w:rFonts w:hint="eastAsia" w:ascii="宋体" w:hAnsi="宋体" w:cs="宋体"/>
                <w:highlight w:val="none"/>
              </w:rPr>
            </w:pPr>
          </w:p>
        </w:tc>
        <w:tc>
          <w:tcPr>
            <w:tcW w:w="1056" w:type="dxa"/>
            <w:noWrap w:val="0"/>
            <w:vAlign w:val="center"/>
          </w:tcPr>
          <w:p>
            <w:pPr>
              <w:shd w:val="clear"/>
              <w:adjustRightInd w:val="0"/>
              <w:snapToGrid w:val="0"/>
              <w:spacing w:line="320" w:lineRule="exact"/>
              <w:rPr>
                <w:rFonts w:hint="eastAsia" w:ascii="宋体" w:hAnsi="宋体" w:cs="宋体"/>
                <w:highlight w:val="none"/>
              </w:rPr>
            </w:pPr>
            <w:r>
              <w:rPr>
                <w:rStyle w:val="40"/>
                <w:rFonts w:hint="eastAsia" w:ascii="宋体" w:hAnsi="宋体" w:eastAsia="宋体" w:cs="宋体"/>
                <w:color w:val="auto"/>
                <w:sz w:val="21"/>
                <w:szCs w:val="21"/>
                <w:highlight w:val="none"/>
                <w:u w:val="none"/>
                <w:lang w:val="en-US" w:eastAsia="zh-CN"/>
              </w:rPr>
              <w:t>项目建设</w:t>
            </w:r>
            <w:r>
              <w:rPr>
                <w:rStyle w:val="40"/>
                <w:rFonts w:hint="eastAsia" w:ascii="宋体" w:hAnsi="宋体" w:cs="宋体"/>
                <w:color w:val="auto"/>
                <w:sz w:val="21"/>
                <w:szCs w:val="21"/>
                <w:highlight w:val="none"/>
                <w:u w:val="none"/>
                <w:lang w:val="en-US" w:eastAsia="zh-CN"/>
              </w:rPr>
              <w:t>总体</w:t>
            </w:r>
            <w:r>
              <w:rPr>
                <w:rStyle w:val="40"/>
                <w:rFonts w:hint="eastAsia" w:ascii="宋体" w:hAnsi="宋体" w:eastAsia="宋体" w:cs="宋体"/>
                <w:color w:val="auto"/>
                <w:sz w:val="21"/>
                <w:szCs w:val="21"/>
                <w:highlight w:val="none"/>
                <w:u w:val="none"/>
                <w:lang w:val="en-US" w:eastAsia="zh-CN"/>
              </w:rPr>
              <w:t>方案</w:t>
            </w:r>
            <w:r>
              <w:rPr>
                <w:rStyle w:val="40"/>
                <w:rFonts w:hint="eastAsia" w:ascii="宋体" w:hAnsi="宋体" w:cs="宋体"/>
                <w:color w:val="auto"/>
                <w:sz w:val="21"/>
                <w:szCs w:val="21"/>
                <w:highlight w:val="none"/>
                <w:u w:val="none"/>
                <w:lang w:val="en-US" w:eastAsia="zh-CN"/>
              </w:rPr>
              <w:t>5</w:t>
            </w:r>
            <w:r>
              <w:rPr>
                <w:rStyle w:val="40"/>
                <w:rFonts w:hint="eastAsia" w:ascii="宋体" w:hAnsi="宋体" w:eastAsia="宋体" w:cs="宋体"/>
                <w:color w:val="auto"/>
                <w:sz w:val="21"/>
                <w:szCs w:val="21"/>
                <w:highlight w:val="none"/>
                <w:u w:val="none"/>
                <w:lang w:val="en-US" w:eastAsia="zh-CN"/>
              </w:rPr>
              <w:t>分</w:t>
            </w:r>
          </w:p>
        </w:tc>
        <w:tc>
          <w:tcPr>
            <w:tcW w:w="5760" w:type="dxa"/>
            <w:noWrap w:val="0"/>
            <w:vAlign w:val="top"/>
          </w:tcPr>
          <w:p>
            <w:pPr>
              <w:numPr>
                <w:ilvl w:val="0"/>
                <w:numId w:val="0"/>
              </w:numPr>
              <w:shd w:val="clear"/>
              <w:tabs>
                <w:tab w:val="left" w:pos="900"/>
              </w:tabs>
              <w:spacing w:line="400" w:lineRule="exact"/>
              <w:jc w:val="left"/>
              <w:rPr>
                <w:rStyle w:val="40"/>
                <w:rFonts w:hint="eastAsia" w:ascii="宋体" w:hAnsi="宋体" w:eastAsia="宋体" w:cs="宋体"/>
                <w:color w:val="auto"/>
                <w:sz w:val="21"/>
                <w:szCs w:val="21"/>
                <w:highlight w:val="none"/>
                <w:u w:val="none"/>
                <w:lang w:val="en-US" w:eastAsia="zh-CN"/>
              </w:rPr>
            </w:pPr>
            <w:r>
              <w:rPr>
                <w:rStyle w:val="40"/>
                <w:rFonts w:hint="eastAsia" w:ascii="宋体" w:hAnsi="宋体" w:eastAsia="宋体" w:cs="宋体"/>
                <w:color w:val="auto"/>
                <w:sz w:val="21"/>
                <w:szCs w:val="21"/>
                <w:highlight w:val="none"/>
                <w:u w:val="none"/>
                <w:lang w:val="en-US" w:eastAsia="zh-CN"/>
              </w:rPr>
              <w:t>投标人根据项目</w:t>
            </w:r>
            <w:r>
              <w:rPr>
                <w:rStyle w:val="40"/>
                <w:rFonts w:hint="eastAsia" w:ascii="宋体" w:hAnsi="宋体" w:cs="宋体"/>
                <w:color w:val="auto"/>
                <w:sz w:val="21"/>
                <w:szCs w:val="21"/>
                <w:highlight w:val="none"/>
                <w:u w:val="none"/>
                <w:lang w:val="en-US" w:eastAsia="zh-CN"/>
              </w:rPr>
              <w:t>特点</w:t>
            </w:r>
            <w:r>
              <w:rPr>
                <w:rStyle w:val="40"/>
                <w:rFonts w:hint="eastAsia" w:ascii="宋体" w:hAnsi="宋体" w:eastAsia="宋体" w:cs="宋体"/>
                <w:color w:val="auto"/>
                <w:sz w:val="21"/>
                <w:szCs w:val="21"/>
                <w:highlight w:val="none"/>
                <w:u w:val="none"/>
                <w:lang w:val="en-US" w:eastAsia="zh-CN"/>
              </w:rPr>
              <w:t>，提供项目建设总体方案</w:t>
            </w:r>
            <w:r>
              <w:rPr>
                <w:rStyle w:val="40"/>
                <w:rFonts w:hint="eastAsia" w:ascii="宋体" w:hAnsi="宋体" w:cs="宋体"/>
                <w:color w:val="auto"/>
                <w:sz w:val="21"/>
                <w:szCs w:val="21"/>
                <w:highlight w:val="none"/>
                <w:u w:val="none"/>
                <w:lang w:val="en-US" w:eastAsia="zh-CN"/>
              </w:rPr>
              <w:t>，并</w:t>
            </w:r>
            <w:r>
              <w:rPr>
                <w:rStyle w:val="40"/>
                <w:rFonts w:hint="eastAsia" w:ascii="宋体" w:hAnsi="宋体" w:eastAsia="宋体" w:cs="宋体"/>
                <w:color w:val="auto"/>
                <w:sz w:val="21"/>
                <w:szCs w:val="21"/>
                <w:highlight w:val="none"/>
                <w:u w:val="none"/>
                <w:lang w:val="en-US" w:eastAsia="zh-CN"/>
              </w:rPr>
              <w:t>从</w:t>
            </w:r>
            <w:r>
              <w:rPr>
                <w:rStyle w:val="40"/>
                <w:rFonts w:hint="eastAsia" w:ascii="宋体" w:hAnsi="宋体" w:cs="宋体"/>
                <w:color w:val="auto"/>
                <w:sz w:val="21"/>
                <w:szCs w:val="21"/>
                <w:highlight w:val="none"/>
                <w:u w:val="none"/>
                <w:lang w:val="en-US" w:eastAsia="zh-CN"/>
              </w:rPr>
              <w:t>数字化林业建设</w:t>
            </w:r>
            <w:r>
              <w:rPr>
                <w:rStyle w:val="40"/>
                <w:rFonts w:hint="eastAsia" w:ascii="宋体" w:hAnsi="宋体" w:eastAsia="宋体" w:cs="宋体"/>
                <w:color w:val="auto"/>
                <w:sz w:val="21"/>
                <w:szCs w:val="21"/>
                <w:highlight w:val="none"/>
                <w:u w:val="none"/>
                <w:lang w:val="en-US" w:eastAsia="zh-CN"/>
              </w:rPr>
              <w:t>需求方面进行分析</w:t>
            </w:r>
            <w:r>
              <w:rPr>
                <w:rStyle w:val="40"/>
                <w:rFonts w:hint="eastAsia" w:ascii="宋体" w:hAnsi="宋体" w:cs="宋体"/>
                <w:color w:val="auto"/>
                <w:sz w:val="21"/>
                <w:szCs w:val="21"/>
                <w:highlight w:val="none"/>
                <w:u w:val="none"/>
                <w:lang w:val="en-US" w:eastAsia="zh-CN"/>
              </w:rPr>
              <w:t>。</w:t>
            </w:r>
            <w:r>
              <w:rPr>
                <w:rStyle w:val="40"/>
                <w:rFonts w:hint="eastAsia" w:ascii="宋体" w:hAnsi="宋体" w:eastAsia="宋体" w:cs="宋体"/>
                <w:color w:val="auto"/>
                <w:sz w:val="21"/>
                <w:szCs w:val="21"/>
                <w:highlight w:val="none"/>
                <w:u w:val="none"/>
                <w:lang w:val="en-US" w:eastAsia="zh-CN"/>
              </w:rPr>
              <w:t>方案</w:t>
            </w:r>
            <w:r>
              <w:rPr>
                <w:rStyle w:val="40"/>
                <w:rFonts w:hint="eastAsia" w:ascii="宋体" w:hAnsi="宋体" w:cs="宋体"/>
                <w:color w:val="auto"/>
                <w:sz w:val="21"/>
                <w:szCs w:val="21"/>
                <w:highlight w:val="none"/>
                <w:u w:val="none"/>
                <w:lang w:val="en-US" w:eastAsia="zh-CN"/>
              </w:rPr>
              <w:t>合理可行，具有针对性，</w:t>
            </w:r>
            <w:r>
              <w:rPr>
                <w:rStyle w:val="40"/>
                <w:rFonts w:hint="eastAsia" w:ascii="宋体" w:hAnsi="宋体" w:eastAsia="宋体" w:cs="宋体"/>
                <w:color w:val="auto"/>
                <w:sz w:val="21"/>
                <w:szCs w:val="21"/>
                <w:highlight w:val="none"/>
                <w:u w:val="none"/>
                <w:lang w:val="en-US" w:eastAsia="zh-CN"/>
              </w:rPr>
              <w:t>需求分析符合实际情况</w:t>
            </w:r>
            <w:r>
              <w:rPr>
                <w:rStyle w:val="40"/>
                <w:rFonts w:hint="eastAsia" w:ascii="宋体" w:hAnsi="宋体" w:cs="宋体"/>
                <w:color w:val="auto"/>
                <w:sz w:val="21"/>
                <w:szCs w:val="21"/>
                <w:highlight w:val="none"/>
                <w:u w:val="none"/>
                <w:lang w:val="en-US" w:eastAsia="zh-CN"/>
              </w:rPr>
              <w:t>，</w:t>
            </w:r>
            <w:r>
              <w:rPr>
                <w:rStyle w:val="40"/>
                <w:rFonts w:hint="eastAsia" w:ascii="宋体" w:hAnsi="宋体" w:eastAsia="宋体" w:cs="宋体"/>
                <w:color w:val="auto"/>
                <w:sz w:val="21"/>
                <w:szCs w:val="21"/>
                <w:highlight w:val="none"/>
                <w:u w:val="none"/>
                <w:lang w:val="en-US" w:eastAsia="zh-CN"/>
              </w:rPr>
              <w:t>设备类别配备合理的得4-</w:t>
            </w:r>
            <w:r>
              <w:rPr>
                <w:rStyle w:val="40"/>
                <w:rFonts w:hint="eastAsia" w:ascii="宋体" w:hAnsi="宋体" w:cs="宋体"/>
                <w:color w:val="auto"/>
                <w:sz w:val="21"/>
                <w:szCs w:val="21"/>
                <w:highlight w:val="none"/>
                <w:u w:val="none"/>
                <w:lang w:val="en-US" w:eastAsia="zh-CN"/>
              </w:rPr>
              <w:t>5</w:t>
            </w:r>
            <w:r>
              <w:rPr>
                <w:rStyle w:val="40"/>
                <w:rFonts w:hint="eastAsia" w:ascii="宋体" w:hAnsi="宋体" w:eastAsia="宋体" w:cs="宋体"/>
                <w:color w:val="auto"/>
                <w:sz w:val="21"/>
                <w:szCs w:val="21"/>
                <w:highlight w:val="none"/>
                <w:u w:val="none"/>
                <w:lang w:val="en-US" w:eastAsia="zh-CN"/>
              </w:rPr>
              <w:t>分；方案</w:t>
            </w:r>
            <w:r>
              <w:rPr>
                <w:rStyle w:val="40"/>
                <w:rFonts w:hint="eastAsia" w:ascii="宋体" w:hAnsi="宋体" w:cs="宋体"/>
                <w:color w:val="auto"/>
                <w:sz w:val="21"/>
                <w:szCs w:val="21"/>
                <w:highlight w:val="none"/>
                <w:u w:val="none"/>
                <w:lang w:val="en-US" w:eastAsia="zh-CN"/>
              </w:rPr>
              <w:t>基本满足招标文件需求</w:t>
            </w:r>
            <w:r>
              <w:rPr>
                <w:rStyle w:val="40"/>
                <w:rFonts w:hint="eastAsia" w:ascii="宋体" w:hAnsi="宋体" w:eastAsia="宋体" w:cs="宋体"/>
                <w:color w:val="auto"/>
                <w:sz w:val="21"/>
                <w:szCs w:val="21"/>
                <w:highlight w:val="none"/>
                <w:u w:val="none"/>
                <w:lang w:val="en-US" w:eastAsia="zh-CN"/>
              </w:rPr>
              <w:t>的得2-4分；方案</w:t>
            </w:r>
            <w:r>
              <w:rPr>
                <w:rStyle w:val="40"/>
                <w:rFonts w:hint="eastAsia" w:ascii="宋体" w:hAnsi="宋体" w:cs="宋体"/>
                <w:color w:val="auto"/>
                <w:sz w:val="21"/>
                <w:szCs w:val="21"/>
                <w:highlight w:val="none"/>
                <w:u w:val="none"/>
                <w:lang w:val="en-US" w:eastAsia="zh-CN"/>
              </w:rPr>
              <w:t>未能完全满足招标文件需求，</w:t>
            </w:r>
            <w:r>
              <w:rPr>
                <w:rStyle w:val="40"/>
                <w:rFonts w:hint="eastAsia" w:ascii="宋体" w:hAnsi="宋体" w:eastAsia="宋体" w:cs="宋体"/>
                <w:color w:val="auto"/>
                <w:sz w:val="21"/>
                <w:szCs w:val="21"/>
                <w:highlight w:val="none"/>
                <w:u w:val="none"/>
                <w:lang w:val="en-US" w:eastAsia="zh-CN"/>
              </w:rPr>
              <w:t>需求分析不够细致</w:t>
            </w:r>
            <w:r>
              <w:rPr>
                <w:rStyle w:val="40"/>
                <w:rFonts w:hint="eastAsia" w:ascii="宋体" w:hAnsi="宋体" w:cs="宋体"/>
                <w:color w:val="auto"/>
                <w:sz w:val="21"/>
                <w:szCs w:val="21"/>
                <w:highlight w:val="none"/>
                <w:u w:val="none"/>
                <w:lang w:val="en-US" w:eastAsia="zh-CN"/>
              </w:rPr>
              <w:t>，有缺陷</w:t>
            </w:r>
            <w:r>
              <w:rPr>
                <w:rStyle w:val="40"/>
                <w:rFonts w:hint="eastAsia" w:ascii="宋体" w:hAnsi="宋体" w:eastAsia="宋体" w:cs="宋体"/>
                <w:color w:val="auto"/>
                <w:sz w:val="21"/>
                <w:szCs w:val="21"/>
                <w:highlight w:val="none"/>
                <w:u w:val="none"/>
                <w:lang w:val="en-US" w:eastAsia="zh-CN"/>
              </w:rPr>
              <w:t>的得</w:t>
            </w:r>
            <w:r>
              <w:rPr>
                <w:rStyle w:val="40"/>
                <w:rFonts w:hint="eastAsia" w:ascii="宋体" w:hAnsi="宋体" w:cs="宋体"/>
                <w:color w:val="auto"/>
                <w:sz w:val="21"/>
                <w:szCs w:val="21"/>
                <w:highlight w:val="none"/>
                <w:u w:val="none"/>
                <w:lang w:val="en-US" w:eastAsia="zh-CN"/>
              </w:rPr>
              <w:t>0</w:t>
            </w:r>
            <w:r>
              <w:rPr>
                <w:rStyle w:val="40"/>
                <w:rFonts w:hint="eastAsia" w:ascii="宋体" w:hAnsi="宋体" w:eastAsia="宋体" w:cs="宋体"/>
                <w:color w:val="auto"/>
                <w:sz w:val="21"/>
                <w:szCs w:val="21"/>
                <w:highlight w:val="none"/>
                <w:u w:val="none"/>
                <w:lang w:val="en-US" w:eastAsia="zh-CN"/>
              </w:rPr>
              <w:t>-2分。</w:t>
            </w:r>
          </w:p>
          <w:p>
            <w:pPr>
              <w:numPr>
                <w:ilvl w:val="0"/>
                <w:numId w:val="0"/>
              </w:numPr>
              <w:shd w:val="clear"/>
              <w:tabs>
                <w:tab w:val="left" w:pos="900"/>
              </w:tabs>
              <w:spacing w:line="400" w:lineRule="exact"/>
              <w:jc w:val="left"/>
              <w:rPr>
                <w:rFonts w:hint="default"/>
                <w:highlight w:val="none"/>
                <w:lang w:val="en-US"/>
              </w:rPr>
            </w:pPr>
            <w:r>
              <w:rPr>
                <w:rStyle w:val="40"/>
                <w:rFonts w:hint="eastAsia" w:ascii="宋体" w:hAnsi="宋体" w:cs="宋体"/>
                <w:color w:val="auto"/>
                <w:sz w:val="21"/>
                <w:szCs w:val="21"/>
                <w:highlight w:val="none"/>
                <w:u w:val="none"/>
                <w:lang w:val="en-US" w:eastAsia="zh-CN"/>
              </w:rPr>
              <w:t>未提供方案的不得分。</w:t>
            </w:r>
          </w:p>
        </w:tc>
        <w:tc>
          <w:tcPr>
            <w:tcW w:w="1645" w:type="dxa"/>
            <w:noWrap w:val="0"/>
            <w:vAlign w:val="center"/>
          </w:tcPr>
          <w:p>
            <w:pPr>
              <w:shd w:val="clear"/>
              <w:adjustRightInd w:val="0"/>
              <w:snapToGrid w:val="0"/>
              <w:spacing w:line="320" w:lineRule="exac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81" w:type="dxa"/>
            <w:noWrap w:val="0"/>
            <w:vAlign w:val="center"/>
          </w:tcPr>
          <w:p>
            <w:pPr>
              <w:shd w:val="clear"/>
              <w:adjustRightInd w:val="0"/>
              <w:snapToGrid w:val="0"/>
              <w:spacing w:line="320" w:lineRule="exact"/>
              <w:jc w:val="center"/>
              <w:rPr>
                <w:rFonts w:hint="eastAsia" w:ascii="宋体" w:hAnsi="宋体" w:eastAsia="宋体" w:cs="宋体"/>
                <w:b/>
                <w:highlight w:val="none"/>
                <w:lang w:val="en-US" w:eastAsia="zh-CN"/>
              </w:rPr>
            </w:pPr>
            <w:r>
              <w:rPr>
                <w:rFonts w:hint="eastAsia" w:ascii="宋体" w:hAnsi="宋体" w:cs="宋体"/>
                <w:b/>
                <w:highlight w:val="none"/>
                <w:lang w:val="en-US" w:eastAsia="zh-CN"/>
              </w:rPr>
              <w:t>3</w:t>
            </w:r>
          </w:p>
        </w:tc>
        <w:tc>
          <w:tcPr>
            <w:tcW w:w="540" w:type="dxa"/>
            <w:vMerge w:val="continue"/>
            <w:noWrap w:val="0"/>
            <w:vAlign w:val="center"/>
          </w:tcPr>
          <w:p>
            <w:pPr>
              <w:shd w:val="clear"/>
              <w:adjustRightInd w:val="0"/>
              <w:snapToGrid w:val="0"/>
              <w:spacing w:line="320" w:lineRule="exact"/>
              <w:rPr>
                <w:rFonts w:hint="eastAsia" w:ascii="宋体" w:hAnsi="宋体" w:cs="宋体"/>
                <w:highlight w:val="none"/>
              </w:rPr>
            </w:pPr>
          </w:p>
        </w:tc>
        <w:tc>
          <w:tcPr>
            <w:tcW w:w="1056" w:type="dxa"/>
            <w:noWrap w:val="0"/>
            <w:vAlign w:val="center"/>
          </w:tcPr>
          <w:p>
            <w:pPr>
              <w:shd w:val="clear"/>
              <w:adjustRightInd w:val="0"/>
              <w:snapToGrid w:val="0"/>
              <w:spacing w:line="320" w:lineRule="exact"/>
              <w:rPr>
                <w:rStyle w:val="40"/>
                <w:rFonts w:hint="default" w:ascii="宋体" w:hAnsi="宋体" w:eastAsia="宋体" w:cs="宋体"/>
                <w:color w:val="auto"/>
                <w:sz w:val="21"/>
                <w:szCs w:val="21"/>
                <w:highlight w:val="none"/>
                <w:u w:val="none"/>
                <w:lang w:val="en-US" w:eastAsia="zh-CN"/>
              </w:rPr>
            </w:pPr>
            <w:r>
              <w:rPr>
                <w:rStyle w:val="40"/>
                <w:rFonts w:hint="eastAsia" w:ascii="宋体" w:hAnsi="宋体" w:eastAsia="宋体" w:cs="宋体"/>
                <w:color w:val="auto"/>
                <w:sz w:val="21"/>
                <w:szCs w:val="21"/>
                <w:highlight w:val="none"/>
                <w:u w:val="none"/>
                <w:lang w:val="en-US" w:eastAsia="zh-CN"/>
              </w:rPr>
              <w:t>监控点位挂高选址方案</w:t>
            </w:r>
            <w:r>
              <w:rPr>
                <w:rStyle w:val="40"/>
                <w:rFonts w:hint="eastAsia" w:ascii="宋体" w:hAnsi="宋体" w:cs="宋体"/>
                <w:color w:val="auto"/>
                <w:sz w:val="21"/>
                <w:szCs w:val="21"/>
                <w:highlight w:val="none"/>
                <w:u w:val="none"/>
                <w:lang w:val="en-US" w:eastAsia="zh-CN"/>
              </w:rPr>
              <w:t>及高空监控资源18分</w:t>
            </w:r>
          </w:p>
        </w:tc>
        <w:tc>
          <w:tcPr>
            <w:tcW w:w="5760" w:type="dxa"/>
            <w:noWrap w:val="0"/>
            <w:vAlign w:val="top"/>
          </w:tcPr>
          <w:p>
            <w:pPr>
              <w:pStyle w:val="31"/>
              <w:shd w:val="clear"/>
              <w:ind w:firstLine="0" w:firstLineChars="0"/>
              <w:rPr>
                <w:rFonts w:hint="eastAsia"/>
                <w:highlight w:val="none"/>
                <w:lang w:val="en-US" w:eastAsia="zh-CN"/>
              </w:rPr>
            </w:pPr>
            <w:r>
              <w:rPr>
                <w:rStyle w:val="40"/>
                <w:rFonts w:hint="eastAsia" w:ascii="宋体" w:hAnsi="宋体" w:eastAsia="宋体" w:cs="宋体"/>
                <w:color w:val="auto"/>
                <w:sz w:val="21"/>
                <w:szCs w:val="21"/>
                <w:highlight w:val="none"/>
                <w:u w:val="none"/>
                <w:lang w:val="en-US" w:eastAsia="zh-CN"/>
              </w:rPr>
              <w:t>投标人</w:t>
            </w:r>
            <w:r>
              <w:rPr>
                <w:rStyle w:val="40"/>
                <w:rFonts w:hint="eastAsia" w:ascii="宋体" w:hAnsi="宋体" w:cs="宋体"/>
                <w:color w:val="auto"/>
                <w:sz w:val="21"/>
                <w:szCs w:val="21"/>
                <w:highlight w:val="none"/>
                <w:u w:val="none"/>
                <w:lang w:val="en-US" w:eastAsia="zh-CN"/>
              </w:rPr>
              <w:t>经科学合理分析，提供本项目的</w:t>
            </w:r>
            <w:r>
              <w:rPr>
                <w:rFonts w:hint="default"/>
                <w:highlight w:val="none"/>
                <w:lang w:val="en-US" w:eastAsia="zh-CN"/>
              </w:rPr>
              <w:t>点位挂高选址方案</w:t>
            </w:r>
            <w:r>
              <w:rPr>
                <w:rFonts w:hint="eastAsia"/>
                <w:highlight w:val="none"/>
                <w:lang w:val="en-US" w:eastAsia="zh-CN"/>
              </w:rPr>
              <w:t>。（1）根据</w:t>
            </w:r>
            <w:r>
              <w:rPr>
                <w:rFonts w:hint="default"/>
                <w:highlight w:val="none"/>
                <w:lang w:val="en-US" w:eastAsia="zh-CN"/>
              </w:rPr>
              <w:t>方案选址</w:t>
            </w:r>
            <w:r>
              <w:rPr>
                <w:rFonts w:hint="eastAsia"/>
                <w:highlight w:val="none"/>
                <w:lang w:val="en-US" w:eastAsia="zh-CN"/>
              </w:rPr>
              <w:t>是否</w:t>
            </w:r>
            <w:r>
              <w:rPr>
                <w:rFonts w:hint="default"/>
                <w:highlight w:val="none"/>
                <w:lang w:val="en-US" w:eastAsia="zh-CN"/>
              </w:rPr>
              <w:t>安全</w:t>
            </w:r>
            <w:r>
              <w:rPr>
                <w:rFonts w:hint="eastAsia"/>
                <w:highlight w:val="none"/>
                <w:lang w:val="en-US" w:eastAsia="zh-CN"/>
              </w:rPr>
              <w:t>（0-2分）</w:t>
            </w:r>
            <w:r>
              <w:rPr>
                <w:rFonts w:hint="default"/>
                <w:highlight w:val="none"/>
                <w:lang w:val="en-US" w:eastAsia="zh-CN"/>
              </w:rPr>
              <w:t>，高度</w:t>
            </w:r>
            <w:r>
              <w:rPr>
                <w:rFonts w:hint="eastAsia"/>
                <w:highlight w:val="none"/>
                <w:lang w:val="en-US" w:eastAsia="zh-CN"/>
              </w:rPr>
              <w:t>是否</w:t>
            </w:r>
            <w:r>
              <w:rPr>
                <w:rFonts w:hint="default"/>
                <w:highlight w:val="none"/>
                <w:lang w:val="en-US" w:eastAsia="zh-CN"/>
              </w:rPr>
              <w:t>符合要求</w:t>
            </w:r>
            <w:r>
              <w:rPr>
                <w:rFonts w:hint="eastAsia"/>
                <w:highlight w:val="none"/>
                <w:lang w:val="en-US" w:eastAsia="zh-CN"/>
              </w:rPr>
              <w:t>（0-2分）</w:t>
            </w:r>
            <w:r>
              <w:rPr>
                <w:rFonts w:hint="default"/>
                <w:highlight w:val="none"/>
                <w:lang w:val="en-US" w:eastAsia="zh-CN"/>
              </w:rPr>
              <w:t>，配套</w:t>
            </w:r>
            <w:r>
              <w:rPr>
                <w:rFonts w:hint="eastAsia"/>
                <w:highlight w:val="none"/>
                <w:lang w:val="en-US" w:eastAsia="zh-CN"/>
              </w:rPr>
              <w:t>是否</w:t>
            </w:r>
            <w:r>
              <w:rPr>
                <w:rFonts w:hint="default"/>
                <w:highlight w:val="none"/>
                <w:lang w:val="en-US" w:eastAsia="zh-CN"/>
              </w:rPr>
              <w:t>保障有效</w:t>
            </w:r>
            <w:r>
              <w:rPr>
                <w:rFonts w:hint="eastAsia"/>
                <w:highlight w:val="none"/>
                <w:lang w:val="en-US" w:eastAsia="zh-CN"/>
              </w:rPr>
              <w:t>（0-2分）</w:t>
            </w:r>
            <w:r>
              <w:rPr>
                <w:rFonts w:hint="default"/>
                <w:highlight w:val="none"/>
                <w:lang w:val="en-US" w:eastAsia="zh-CN"/>
              </w:rPr>
              <w:t>，</w:t>
            </w:r>
            <w:r>
              <w:rPr>
                <w:rFonts w:hint="eastAsia"/>
                <w:highlight w:val="none"/>
                <w:lang w:val="en-US" w:eastAsia="zh-CN"/>
              </w:rPr>
              <w:t>是否</w:t>
            </w:r>
            <w:r>
              <w:rPr>
                <w:rFonts w:hint="default"/>
                <w:highlight w:val="none"/>
                <w:lang w:val="en-US" w:eastAsia="zh-CN"/>
              </w:rPr>
              <w:t>具备市电及备电</w:t>
            </w:r>
            <w:r>
              <w:rPr>
                <w:rFonts w:hint="eastAsia"/>
                <w:highlight w:val="none"/>
                <w:lang w:val="en-US" w:eastAsia="zh-CN"/>
              </w:rPr>
              <w:t>（0-2分）</w:t>
            </w:r>
            <w:r>
              <w:rPr>
                <w:rFonts w:hint="default"/>
                <w:highlight w:val="none"/>
                <w:lang w:val="en-US" w:eastAsia="zh-CN"/>
              </w:rPr>
              <w:t>，选址点位</w:t>
            </w:r>
            <w:r>
              <w:rPr>
                <w:rFonts w:hint="eastAsia"/>
                <w:highlight w:val="none"/>
                <w:lang w:val="en-US" w:eastAsia="zh-CN"/>
              </w:rPr>
              <w:t>是否</w:t>
            </w:r>
            <w:r>
              <w:rPr>
                <w:rFonts w:hint="default"/>
                <w:highlight w:val="none"/>
                <w:lang w:val="en-US" w:eastAsia="zh-CN"/>
              </w:rPr>
              <w:t>偏差不超过10米</w:t>
            </w:r>
            <w:r>
              <w:rPr>
                <w:rFonts w:hint="eastAsia"/>
                <w:highlight w:val="none"/>
                <w:lang w:val="en-US" w:eastAsia="zh-CN"/>
              </w:rPr>
              <w:t>（0-2分）等方面给予0-10分。</w:t>
            </w:r>
          </w:p>
          <w:p>
            <w:pPr>
              <w:pStyle w:val="31"/>
              <w:shd w:val="clear"/>
              <w:ind w:firstLine="0" w:firstLineChars="0"/>
              <w:rPr>
                <w:rFonts w:hint="default"/>
                <w:highlight w:val="none"/>
                <w:lang w:val="en-US" w:eastAsia="zh-CN"/>
              </w:rPr>
            </w:pPr>
            <w:r>
              <w:rPr>
                <w:rFonts w:hint="eastAsia"/>
                <w:highlight w:val="none"/>
                <w:lang w:val="en-US" w:eastAsia="zh-CN"/>
              </w:rPr>
              <w:t>（2）根据投标人拥有的项目所在地</w:t>
            </w:r>
            <w:r>
              <w:rPr>
                <w:rFonts w:hint="default"/>
                <w:highlight w:val="none"/>
                <w:lang w:val="en-US" w:eastAsia="zh-CN"/>
              </w:rPr>
              <w:t>高空监控资源</w:t>
            </w:r>
            <w:r>
              <w:rPr>
                <w:rFonts w:hint="eastAsia"/>
                <w:highlight w:val="none"/>
                <w:lang w:val="en-US" w:eastAsia="zh-CN"/>
              </w:rPr>
              <w:t>评分</w:t>
            </w:r>
            <w:r>
              <w:rPr>
                <w:rFonts w:hint="default"/>
                <w:highlight w:val="none"/>
                <w:lang w:val="en-US" w:eastAsia="zh-CN"/>
              </w:rPr>
              <w:t>，</w:t>
            </w:r>
            <w:r>
              <w:rPr>
                <w:rFonts w:hint="eastAsia"/>
                <w:highlight w:val="none"/>
                <w:lang w:val="en-US" w:eastAsia="zh-CN"/>
              </w:rPr>
              <w:t>每提供一个</w:t>
            </w:r>
            <w:r>
              <w:rPr>
                <w:rFonts w:hint="default"/>
                <w:highlight w:val="none"/>
                <w:lang w:val="en-US" w:eastAsia="zh-CN"/>
              </w:rPr>
              <w:t>高空监控资源</w:t>
            </w:r>
            <w:r>
              <w:rPr>
                <w:rFonts w:hint="eastAsia"/>
                <w:highlight w:val="none"/>
                <w:lang w:val="en-US" w:eastAsia="zh-CN"/>
              </w:rPr>
              <w:t>得2分，</w:t>
            </w:r>
            <w:r>
              <w:rPr>
                <w:rFonts w:hint="default"/>
                <w:highlight w:val="none"/>
                <w:lang w:val="en-US" w:eastAsia="zh-CN"/>
              </w:rPr>
              <w:t>本项最</w:t>
            </w:r>
            <w:r>
              <w:rPr>
                <w:rFonts w:hint="eastAsia"/>
                <w:highlight w:val="none"/>
                <w:lang w:val="en-US" w:eastAsia="zh-CN"/>
              </w:rPr>
              <w:t>高</w:t>
            </w:r>
            <w:r>
              <w:rPr>
                <w:rFonts w:hint="default"/>
                <w:highlight w:val="none"/>
                <w:lang w:val="en-US" w:eastAsia="zh-CN"/>
              </w:rPr>
              <w:t>得</w:t>
            </w:r>
            <w:r>
              <w:rPr>
                <w:rFonts w:hint="eastAsia"/>
                <w:highlight w:val="none"/>
                <w:lang w:val="en-US" w:eastAsia="zh-CN"/>
              </w:rPr>
              <w:t>8</w:t>
            </w:r>
            <w:r>
              <w:rPr>
                <w:rFonts w:hint="default"/>
                <w:highlight w:val="none"/>
                <w:lang w:val="en-US" w:eastAsia="zh-CN"/>
              </w:rPr>
              <w:t>分。</w:t>
            </w:r>
          </w:p>
          <w:p>
            <w:pPr>
              <w:pStyle w:val="31"/>
              <w:shd w:val="clear"/>
              <w:ind w:firstLine="0" w:firstLineChars="0"/>
              <w:rPr>
                <w:rFonts w:hint="default"/>
                <w:highlight w:val="none"/>
                <w:lang w:val="en-US" w:eastAsia="zh-CN"/>
              </w:rPr>
            </w:pPr>
            <w:r>
              <w:rPr>
                <w:rFonts w:hint="eastAsia"/>
                <w:highlight w:val="none"/>
                <w:lang w:val="en-US" w:eastAsia="zh-CN"/>
              </w:rPr>
              <w:t>投标人</w:t>
            </w:r>
            <w:r>
              <w:rPr>
                <w:rFonts w:hint="default"/>
                <w:highlight w:val="none"/>
                <w:lang w:val="en-US" w:eastAsia="zh-CN"/>
              </w:rPr>
              <w:t>需提供现场高位监控视角预览照片、带有经纬度显示的谷歌地图截图（显示与需求点的距离），无法提供证明材料的不得分。</w:t>
            </w:r>
          </w:p>
        </w:tc>
        <w:tc>
          <w:tcPr>
            <w:tcW w:w="1645" w:type="dxa"/>
            <w:noWrap w:val="0"/>
            <w:vAlign w:val="center"/>
          </w:tcPr>
          <w:p>
            <w:pPr>
              <w:shd w:val="clear"/>
              <w:adjustRightInd w:val="0"/>
              <w:snapToGrid w:val="0"/>
              <w:spacing w:line="320" w:lineRule="exact"/>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81" w:type="dxa"/>
            <w:noWrap w:val="0"/>
            <w:vAlign w:val="center"/>
          </w:tcPr>
          <w:p>
            <w:pPr>
              <w:shd w:val="clear"/>
              <w:snapToGrid w:val="0"/>
              <w:spacing w:line="320" w:lineRule="exact"/>
              <w:jc w:val="center"/>
              <w:rPr>
                <w:rFonts w:hint="eastAsia" w:ascii="宋体" w:hAnsi="宋体" w:cs="宋体"/>
                <w:b/>
                <w:szCs w:val="21"/>
                <w:highlight w:val="none"/>
              </w:rPr>
            </w:pPr>
            <w:r>
              <w:rPr>
                <w:rFonts w:hint="eastAsia" w:ascii="宋体" w:hAnsi="宋体" w:cs="宋体"/>
                <w:b/>
                <w:szCs w:val="21"/>
                <w:highlight w:val="none"/>
              </w:rPr>
              <w:t>4</w:t>
            </w:r>
          </w:p>
        </w:tc>
        <w:tc>
          <w:tcPr>
            <w:tcW w:w="540" w:type="dxa"/>
            <w:vMerge w:val="continue"/>
            <w:noWrap w:val="0"/>
            <w:vAlign w:val="top"/>
          </w:tcPr>
          <w:p>
            <w:pPr>
              <w:shd w:val="clear"/>
              <w:snapToGrid w:val="0"/>
              <w:spacing w:line="320" w:lineRule="exact"/>
              <w:rPr>
                <w:rFonts w:hint="eastAsia" w:ascii="宋体" w:hAnsi="宋体" w:cs="宋体"/>
                <w:b/>
                <w:szCs w:val="21"/>
                <w:highlight w:val="none"/>
              </w:rPr>
            </w:pPr>
          </w:p>
        </w:tc>
        <w:tc>
          <w:tcPr>
            <w:tcW w:w="1056" w:type="dxa"/>
            <w:noWrap w:val="0"/>
            <w:vAlign w:val="center"/>
          </w:tcPr>
          <w:p>
            <w:pPr>
              <w:shd w:val="clear"/>
              <w:adjustRightInd w:val="0"/>
              <w:snapToGrid w:val="0"/>
              <w:spacing w:line="320" w:lineRule="exact"/>
              <w:rPr>
                <w:rFonts w:hint="default"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软件功能演示</w:t>
            </w:r>
            <w:r>
              <w:rPr>
                <w:rFonts w:hint="eastAsia" w:ascii="宋体" w:hAnsi="宋体" w:cs="宋体"/>
                <w:color w:val="auto"/>
                <w:kern w:val="2"/>
                <w:sz w:val="21"/>
                <w:szCs w:val="21"/>
                <w:highlight w:val="none"/>
                <w:u w:val="none"/>
                <w:lang w:val="en-US" w:eastAsia="zh-CN" w:bidi="ar-SA"/>
              </w:rPr>
              <w:t>12分</w:t>
            </w:r>
          </w:p>
        </w:tc>
        <w:tc>
          <w:tcPr>
            <w:tcW w:w="5760"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exact"/>
              <w:textAlignment w:val="center"/>
              <w:rPr>
                <w:rFonts w:hint="eastAsia" w:ascii="宋体" w:hAnsi="宋体" w:eastAsia="宋体" w:cs="宋体"/>
                <w:color w:val="000000"/>
                <w:kern w:val="0"/>
                <w:szCs w:val="21"/>
                <w:highlight w:val="none"/>
                <w:lang w:eastAsia="zh-CN" w:bidi="ar"/>
              </w:rPr>
            </w:pPr>
            <w:r>
              <w:rPr>
                <w:rFonts w:hint="eastAsia" w:ascii="宋体" w:hAnsi="宋体" w:cs="宋体"/>
                <w:color w:val="000000"/>
                <w:kern w:val="0"/>
                <w:szCs w:val="21"/>
                <w:highlight w:val="none"/>
                <w:lang w:val="en-US" w:eastAsia="zh-CN" w:bidi="ar"/>
              </w:rPr>
              <w:t>投标人</w:t>
            </w:r>
            <w:r>
              <w:rPr>
                <w:rFonts w:hint="eastAsia" w:ascii="宋体" w:hAnsi="宋体" w:cs="宋体"/>
                <w:color w:val="000000"/>
                <w:kern w:val="0"/>
                <w:szCs w:val="21"/>
                <w:highlight w:val="none"/>
                <w:lang w:bidi="ar"/>
              </w:rPr>
              <w:t>针对下列功能进行</w:t>
            </w:r>
            <w:r>
              <w:rPr>
                <w:rFonts w:hint="eastAsia" w:ascii="宋体" w:hAnsi="宋体" w:cs="宋体"/>
                <w:color w:val="000000"/>
                <w:kern w:val="0"/>
                <w:szCs w:val="21"/>
                <w:highlight w:val="none"/>
                <w:lang w:val="en-US" w:eastAsia="zh-CN" w:bidi="ar"/>
              </w:rPr>
              <w:t>功能</w:t>
            </w:r>
            <w:r>
              <w:rPr>
                <w:rFonts w:hint="eastAsia" w:ascii="宋体" w:hAnsi="宋体" w:cs="宋体"/>
                <w:color w:val="000000"/>
                <w:kern w:val="0"/>
                <w:szCs w:val="21"/>
                <w:highlight w:val="none"/>
                <w:lang w:bidi="ar"/>
              </w:rPr>
              <w:t>演示</w:t>
            </w:r>
            <w:r>
              <w:rPr>
                <w:rFonts w:hint="eastAsia" w:ascii="宋体" w:hAnsi="宋体" w:cs="宋体"/>
                <w:color w:val="000000"/>
                <w:kern w:val="0"/>
                <w:szCs w:val="21"/>
                <w:highlight w:val="none"/>
                <w:lang w:eastAsia="zh-CN" w:bidi="ar"/>
              </w:rPr>
              <w:t>：</w:t>
            </w:r>
          </w:p>
          <w:p>
            <w:pPr>
              <w:keepNext w:val="0"/>
              <w:keepLines w:val="0"/>
              <w:pageBreakBefore w:val="0"/>
              <w:widowControl/>
              <w:shd w:val="clear"/>
              <w:kinsoku/>
              <w:wordWrap/>
              <w:overflowPunct/>
              <w:topLinePunct w:val="0"/>
              <w:autoSpaceDE/>
              <w:autoSpaceDN/>
              <w:bidi w:val="0"/>
              <w:adjustRightInd/>
              <w:snapToGrid/>
              <w:spacing w:line="360" w:lineRule="exac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（1）支持对覆盖区域内发生的林地占用、破坏事件进行识别和精准定位（显示经纬度信息），并能将识别到的事件信息和经纬经纬度以PC端web页面和手机端微信信息的方式推送至用户执法人员</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val="en-US" w:eastAsia="zh-CN" w:bidi="ar"/>
              </w:rPr>
              <w:t>给予0-2分</w:t>
            </w:r>
            <w:r>
              <w:rPr>
                <w:rFonts w:hint="eastAsia" w:ascii="宋体" w:hAnsi="宋体" w:cs="宋体"/>
                <w:color w:val="000000"/>
                <w:kern w:val="0"/>
                <w:szCs w:val="21"/>
                <w:highlight w:val="none"/>
                <w:lang w:bidi="ar"/>
              </w:rPr>
              <w:t>。</w:t>
            </w:r>
          </w:p>
          <w:p>
            <w:pPr>
              <w:keepNext w:val="0"/>
              <w:keepLines w:val="0"/>
              <w:pageBreakBefore w:val="0"/>
              <w:widowControl/>
              <w:shd w:val="clear"/>
              <w:kinsoku/>
              <w:wordWrap/>
              <w:overflowPunct/>
              <w:topLinePunct w:val="0"/>
              <w:autoSpaceDE/>
              <w:autoSpaceDN/>
              <w:bidi w:val="0"/>
              <w:adjustRightInd/>
              <w:snapToGrid/>
              <w:spacing w:line="360" w:lineRule="exac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2）用户执法人员手机端收到林地占用、破坏事件告警信息后，可以联动手机端导航软件，一键导航至事件发生地；执法人员对事件进行现场处置之后，可以通过移动端反馈事件处置情况，反馈内容支持现场图片或视频的上传</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val="en-US" w:eastAsia="zh-CN" w:bidi="ar"/>
              </w:rPr>
              <w:t>给予0-2分</w:t>
            </w:r>
            <w:r>
              <w:rPr>
                <w:rFonts w:hint="eastAsia" w:ascii="宋体" w:hAnsi="宋体" w:cs="宋体"/>
                <w:color w:val="000000"/>
                <w:kern w:val="0"/>
                <w:szCs w:val="21"/>
                <w:highlight w:val="none"/>
                <w:lang w:bidi="ar"/>
              </w:rPr>
              <w:t>。</w:t>
            </w:r>
          </w:p>
          <w:p>
            <w:pPr>
              <w:keepNext w:val="0"/>
              <w:keepLines w:val="0"/>
              <w:pageBreakBefore w:val="0"/>
              <w:widowControl/>
              <w:shd w:val="clear"/>
              <w:kinsoku/>
              <w:wordWrap/>
              <w:overflowPunct/>
              <w:topLinePunct w:val="0"/>
              <w:autoSpaceDE/>
              <w:autoSpaceDN/>
              <w:bidi w:val="0"/>
              <w:adjustRightInd/>
              <w:snapToGrid/>
              <w:spacing w:line="360" w:lineRule="exac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（3）支持村级行政区划数据的叠加，结合精准定位功能，可以直观的体现违法事件的区域归属并进行定向推送</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val="en-US" w:eastAsia="zh-CN" w:bidi="ar"/>
              </w:rPr>
              <w:t>给予0-2分</w:t>
            </w:r>
            <w:r>
              <w:rPr>
                <w:rFonts w:hint="eastAsia" w:ascii="宋体" w:hAnsi="宋体" w:cs="宋体"/>
                <w:color w:val="000000"/>
                <w:kern w:val="0"/>
                <w:szCs w:val="21"/>
                <w:highlight w:val="none"/>
                <w:lang w:bidi="ar"/>
              </w:rPr>
              <w:t>。</w:t>
            </w:r>
          </w:p>
          <w:p>
            <w:pPr>
              <w:keepNext w:val="0"/>
              <w:keepLines w:val="0"/>
              <w:pageBreakBefore w:val="0"/>
              <w:widowControl/>
              <w:shd w:val="clear"/>
              <w:kinsoku/>
              <w:wordWrap/>
              <w:overflowPunct/>
              <w:topLinePunct w:val="0"/>
              <w:autoSpaceDE/>
              <w:autoSpaceDN/>
              <w:bidi w:val="0"/>
              <w:adjustRightInd/>
              <w:snapToGrid/>
              <w:spacing w:line="360" w:lineRule="exac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（4）支持事件处置流程进行闭环管理，从事件的识别、推送、处置、反馈等环节体现事件所处状态，并支持对超期处置的事件进行督办和调度</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val="en-US" w:eastAsia="zh-CN" w:bidi="ar"/>
              </w:rPr>
              <w:t>给予0-2分</w:t>
            </w:r>
            <w:r>
              <w:rPr>
                <w:rFonts w:hint="eastAsia" w:ascii="宋体" w:hAnsi="宋体" w:cs="宋体"/>
                <w:color w:val="000000"/>
                <w:kern w:val="0"/>
                <w:szCs w:val="21"/>
                <w:highlight w:val="none"/>
                <w:lang w:bidi="ar"/>
              </w:rPr>
              <w:t>。</w:t>
            </w:r>
          </w:p>
          <w:p>
            <w:pPr>
              <w:keepNext w:val="0"/>
              <w:keepLines w:val="0"/>
              <w:pageBreakBefore w:val="0"/>
              <w:widowControl/>
              <w:shd w:val="clear"/>
              <w:kinsoku/>
              <w:wordWrap/>
              <w:overflowPunct/>
              <w:topLinePunct w:val="0"/>
              <w:autoSpaceDE/>
              <w:autoSpaceDN/>
              <w:bidi w:val="0"/>
              <w:adjustRightInd/>
              <w:snapToGrid/>
              <w:spacing w:line="360" w:lineRule="exac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（5）在林地占用、破坏事件的识别过程中，支持以事件为焦点进行自动变焦、居中、放大，以录像形式对违法事件进行清晰的取证</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val="en-US" w:eastAsia="zh-CN" w:bidi="ar"/>
              </w:rPr>
              <w:t>给予0-2分</w:t>
            </w:r>
            <w:r>
              <w:rPr>
                <w:rFonts w:hint="eastAsia" w:ascii="宋体" w:hAnsi="宋体" w:cs="宋体"/>
                <w:color w:val="000000"/>
                <w:kern w:val="0"/>
                <w:szCs w:val="21"/>
                <w:highlight w:val="none"/>
                <w:lang w:bidi="ar"/>
              </w:rPr>
              <w:t>。</w:t>
            </w:r>
          </w:p>
          <w:p>
            <w:pPr>
              <w:keepNext w:val="0"/>
              <w:keepLines w:val="0"/>
              <w:pageBreakBefore w:val="0"/>
              <w:widowControl/>
              <w:shd w:val="clear"/>
              <w:kinsoku/>
              <w:wordWrap/>
              <w:overflowPunct/>
              <w:topLinePunct w:val="0"/>
              <w:autoSpaceDE/>
              <w:autoSpaceDN/>
              <w:bidi w:val="0"/>
              <w:adjustRightInd/>
              <w:snapToGrid/>
              <w:spacing w:line="360" w:lineRule="exact"/>
              <w:textAlignment w:val="center"/>
              <w:rPr>
                <w:rFonts w:hint="eastAsia" w:ascii="Times New Roman" w:hAnsi="Times New Roman" w:eastAsia="宋体" w:cs="Times New Roman"/>
                <w:kern w:val="2"/>
                <w:sz w:val="21"/>
                <w:szCs w:val="24"/>
                <w:highlight w:val="none"/>
                <w:lang w:val="en-US" w:eastAsia="zh-CN" w:bidi="ar-SA"/>
              </w:rPr>
            </w:pPr>
            <w:r>
              <w:rPr>
                <w:rFonts w:hint="eastAsia" w:ascii="宋体" w:hAnsi="宋体" w:cs="宋体"/>
                <w:color w:val="000000"/>
                <w:kern w:val="0"/>
                <w:szCs w:val="21"/>
                <w:highlight w:val="none"/>
                <w:lang w:bidi="ar"/>
              </w:rPr>
              <w:t>（6）具备一键看向事发点的功能，在用户进行事件处置的核查工作时，前端摄像机镜头可以快速跳转至事件发生位置，并自动对焦</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val="en-US" w:eastAsia="zh-CN" w:bidi="ar"/>
              </w:rPr>
              <w:t>给予0-2分</w:t>
            </w:r>
            <w:r>
              <w:rPr>
                <w:rFonts w:hint="eastAsia" w:ascii="宋体" w:hAnsi="宋体" w:cs="宋体"/>
                <w:color w:val="000000"/>
                <w:kern w:val="0"/>
                <w:szCs w:val="21"/>
                <w:highlight w:val="none"/>
                <w:lang w:bidi="ar"/>
              </w:rPr>
              <w:t>。</w:t>
            </w:r>
          </w:p>
        </w:tc>
        <w:tc>
          <w:tcPr>
            <w:tcW w:w="1645" w:type="dxa"/>
            <w:noWrap w:val="0"/>
            <w:vAlign w:val="top"/>
          </w:tcPr>
          <w:p>
            <w:pPr>
              <w:widowControl/>
              <w:shd w:val="clear"/>
              <w:textAlignment w:val="cente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val="en-US" w:eastAsia="zh-CN" w:bidi="ar"/>
              </w:rPr>
              <w:t>1.投标人</w:t>
            </w:r>
            <w:r>
              <w:rPr>
                <w:rFonts w:hint="eastAsia" w:ascii="宋体" w:hAnsi="宋体" w:cs="宋体"/>
                <w:b/>
                <w:bCs/>
                <w:color w:val="000000"/>
                <w:kern w:val="0"/>
                <w:szCs w:val="21"/>
                <w:highlight w:val="none"/>
                <w:lang w:bidi="ar"/>
              </w:rPr>
              <w:t>针对</w:t>
            </w:r>
            <w:r>
              <w:rPr>
                <w:rFonts w:hint="eastAsia" w:ascii="宋体" w:hAnsi="宋体" w:cs="宋体"/>
                <w:b/>
                <w:bCs/>
                <w:color w:val="000000"/>
                <w:kern w:val="0"/>
                <w:szCs w:val="21"/>
                <w:highlight w:val="none"/>
                <w:lang w:val="en-US" w:eastAsia="zh-CN" w:bidi="ar"/>
              </w:rPr>
              <w:t>本项</w:t>
            </w:r>
            <w:r>
              <w:rPr>
                <w:rFonts w:hint="eastAsia" w:ascii="宋体" w:hAnsi="宋体" w:eastAsia="宋体" w:cs="宋体"/>
                <w:b/>
                <w:bCs/>
                <w:color w:val="auto"/>
                <w:kern w:val="2"/>
                <w:sz w:val="21"/>
                <w:szCs w:val="21"/>
                <w:highlight w:val="none"/>
                <w:u w:val="none"/>
                <w:lang w:val="en-US" w:eastAsia="zh-CN" w:bidi="ar-SA"/>
              </w:rPr>
              <w:t>功能演示</w:t>
            </w:r>
            <w:r>
              <w:rPr>
                <w:rFonts w:hint="eastAsia" w:ascii="宋体" w:hAnsi="宋体" w:cs="宋体"/>
                <w:b/>
                <w:bCs/>
                <w:color w:val="000000"/>
                <w:kern w:val="0"/>
                <w:szCs w:val="21"/>
                <w:highlight w:val="none"/>
                <w:lang w:bidi="ar"/>
              </w:rPr>
              <w:t>要求自行准备演示</w:t>
            </w:r>
            <w:r>
              <w:rPr>
                <w:rFonts w:hint="eastAsia" w:ascii="宋体" w:hAnsi="宋体" w:cs="宋体"/>
                <w:b/>
                <w:bCs/>
                <w:color w:val="auto"/>
                <w:kern w:val="2"/>
                <w:sz w:val="21"/>
                <w:szCs w:val="21"/>
                <w:highlight w:val="none"/>
                <w:u w:val="none"/>
                <w:lang w:val="en-US" w:eastAsia="zh-CN" w:bidi="ar-SA"/>
              </w:rPr>
              <w:t>文件</w:t>
            </w:r>
            <w:r>
              <w:rPr>
                <w:rFonts w:hint="eastAsia" w:ascii="宋体" w:hAnsi="宋体" w:cs="宋体"/>
                <w:b/>
                <w:bCs/>
                <w:color w:val="000000"/>
                <w:kern w:val="0"/>
                <w:szCs w:val="21"/>
                <w:highlight w:val="none"/>
                <w:lang w:bidi="ar"/>
              </w:rPr>
              <w:t>，演示</w:t>
            </w:r>
            <w:r>
              <w:rPr>
                <w:rFonts w:hint="eastAsia" w:ascii="宋体" w:hAnsi="宋体" w:cs="宋体"/>
                <w:b/>
                <w:bCs/>
                <w:color w:val="auto"/>
                <w:kern w:val="2"/>
                <w:sz w:val="21"/>
                <w:szCs w:val="21"/>
                <w:highlight w:val="none"/>
                <w:u w:val="none"/>
                <w:lang w:val="en-US" w:eastAsia="zh-CN" w:bidi="ar-SA"/>
              </w:rPr>
              <w:t>文件</w:t>
            </w:r>
            <w:r>
              <w:rPr>
                <w:rFonts w:hint="eastAsia" w:ascii="宋体" w:hAnsi="宋体" w:cs="宋体"/>
                <w:b/>
                <w:bCs/>
                <w:color w:val="000000"/>
                <w:kern w:val="0"/>
                <w:szCs w:val="21"/>
                <w:highlight w:val="none"/>
                <w:lang w:val="en-US" w:eastAsia="zh-CN" w:bidi="ar"/>
              </w:rPr>
              <w:t>以</w:t>
            </w:r>
            <w:r>
              <w:rPr>
                <w:rFonts w:hint="eastAsia" w:ascii="宋体" w:hAnsi="宋体" w:cs="宋体"/>
                <w:b/>
                <w:bCs/>
                <w:color w:val="000000"/>
                <w:kern w:val="0"/>
                <w:szCs w:val="21"/>
                <w:highlight w:val="none"/>
                <w:lang w:bidi="ar"/>
              </w:rPr>
              <w:t>U盘</w:t>
            </w:r>
            <w:r>
              <w:rPr>
                <w:rFonts w:hint="eastAsia" w:ascii="宋体" w:hAnsi="宋体" w:cs="宋体"/>
                <w:b/>
                <w:bCs/>
                <w:color w:val="000000"/>
                <w:kern w:val="0"/>
                <w:szCs w:val="21"/>
                <w:highlight w:val="none"/>
                <w:lang w:val="en-US" w:eastAsia="zh-CN" w:bidi="ar"/>
              </w:rPr>
              <w:t>形式递交</w:t>
            </w:r>
            <w:r>
              <w:rPr>
                <w:rFonts w:hint="eastAsia" w:ascii="宋体" w:hAnsi="宋体" w:cs="宋体"/>
                <w:b/>
                <w:bCs/>
                <w:color w:val="000000"/>
                <w:kern w:val="0"/>
                <w:szCs w:val="21"/>
                <w:highlight w:val="none"/>
                <w:lang w:bidi="ar"/>
              </w:rPr>
              <w:t>。</w:t>
            </w:r>
          </w:p>
          <w:p>
            <w:pPr>
              <w:widowControl/>
              <w:shd w:val="clear"/>
              <w:textAlignment w:val="cente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2、</w:t>
            </w:r>
            <w:r>
              <w:rPr>
                <w:rFonts w:hint="eastAsia" w:ascii="宋体" w:hAnsi="宋体" w:cs="宋体"/>
                <w:b/>
                <w:bCs/>
                <w:color w:val="000000"/>
                <w:kern w:val="0"/>
                <w:szCs w:val="21"/>
                <w:highlight w:val="none"/>
                <w:lang w:val="en-US" w:eastAsia="zh-CN" w:bidi="ar"/>
              </w:rPr>
              <w:t>若为视频</w:t>
            </w:r>
            <w:r>
              <w:rPr>
                <w:rFonts w:hint="eastAsia" w:ascii="宋体" w:hAnsi="宋体" w:cs="宋体"/>
                <w:b/>
                <w:bCs/>
                <w:color w:val="000000"/>
                <w:kern w:val="0"/>
                <w:szCs w:val="21"/>
                <w:highlight w:val="none"/>
                <w:lang w:bidi="ar"/>
              </w:rPr>
              <w:t>演示</w:t>
            </w:r>
            <w:r>
              <w:rPr>
                <w:rFonts w:hint="eastAsia" w:ascii="宋体" w:hAnsi="宋体" w:cs="宋体"/>
                <w:b/>
                <w:bCs/>
                <w:color w:val="000000"/>
                <w:kern w:val="0"/>
                <w:szCs w:val="21"/>
                <w:highlight w:val="none"/>
                <w:lang w:eastAsia="zh-CN" w:bidi="ar"/>
              </w:rPr>
              <w:t>，</w:t>
            </w:r>
            <w:r>
              <w:rPr>
                <w:rFonts w:hint="eastAsia" w:ascii="宋体" w:hAnsi="宋体" w:cs="宋体"/>
                <w:b/>
                <w:bCs/>
                <w:color w:val="000000"/>
                <w:kern w:val="0"/>
                <w:szCs w:val="21"/>
                <w:highlight w:val="none"/>
                <w:lang w:val="en-US" w:eastAsia="zh-CN" w:bidi="ar"/>
              </w:rPr>
              <w:t>则演示</w:t>
            </w:r>
            <w:r>
              <w:rPr>
                <w:rFonts w:hint="eastAsia" w:ascii="宋体" w:hAnsi="宋体" w:cs="宋体"/>
                <w:b/>
                <w:bCs/>
                <w:color w:val="000000"/>
                <w:kern w:val="0"/>
                <w:szCs w:val="21"/>
                <w:highlight w:val="none"/>
                <w:lang w:bidi="ar"/>
              </w:rPr>
              <w:t>时间应控制在10分钟内。</w:t>
            </w:r>
          </w:p>
          <w:p>
            <w:pPr>
              <w:shd w:val="clear"/>
              <w:snapToGrid w:val="0"/>
              <w:spacing w:line="320" w:lineRule="exact"/>
              <w:rPr>
                <w:rFonts w:hint="eastAsia" w:ascii="宋体" w:hAnsi="宋体" w:eastAsia="宋体" w:cs="宋体"/>
                <w:b/>
                <w:szCs w:val="21"/>
                <w:highlight w:val="none"/>
                <w:lang w:eastAsia="zh-CN"/>
              </w:rPr>
            </w:pPr>
            <w:r>
              <w:rPr>
                <w:rFonts w:hint="eastAsia" w:ascii="宋体" w:hAnsi="宋体" w:cs="宋体"/>
                <w:b/>
                <w:bCs/>
                <w:color w:val="000000"/>
                <w:kern w:val="0"/>
                <w:szCs w:val="21"/>
                <w:highlight w:val="none"/>
                <w:lang w:bidi="ar"/>
              </w:rPr>
              <w:t>3、U盘用信封密封并加盖公章，可选择邮寄方式</w:t>
            </w:r>
            <w:r>
              <w:rPr>
                <w:rFonts w:hint="eastAsia" w:ascii="宋体" w:hAnsi="宋体" w:cs="宋体"/>
                <w:b/>
                <w:bCs/>
                <w:color w:val="000000"/>
                <w:kern w:val="0"/>
                <w:szCs w:val="21"/>
                <w:highlight w:val="none"/>
                <w:lang w:val="en-US" w:eastAsia="zh-CN" w:bidi="ar"/>
              </w:rPr>
              <w:t>递交</w:t>
            </w:r>
            <w:r>
              <w:rPr>
                <w:rFonts w:hint="eastAsia" w:ascii="宋体" w:hAnsi="宋体" w:cs="宋体"/>
                <w:b/>
                <w:bCs/>
                <w:color w:val="000000"/>
                <w:kern w:val="0"/>
                <w:szCs w:val="21"/>
                <w:highlight w:val="none"/>
                <w:lang w:bidi="ar"/>
              </w:rPr>
              <w:t>给代理</w:t>
            </w:r>
            <w:r>
              <w:rPr>
                <w:rFonts w:hint="eastAsia" w:ascii="宋体" w:hAnsi="宋体" w:cs="宋体"/>
                <w:b/>
                <w:bCs/>
                <w:color w:val="000000"/>
                <w:kern w:val="0"/>
                <w:szCs w:val="21"/>
                <w:highlight w:val="none"/>
                <w:lang w:val="en-US" w:eastAsia="zh-CN" w:bidi="ar"/>
              </w:rPr>
              <w:t>机构</w:t>
            </w:r>
            <w:r>
              <w:rPr>
                <w:rFonts w:hint="eastAsia" w:ascii="宋体" w:hAnsi="宋体" w:cs="宋体"/>
                <w:b/>
                <w:bCs/>
                <w:color w:val="000000"/>
                <w:kern w:val="0"/>
                <w:szCs w:val="21"/>
                <w:highlight w:val="none"/>
                <w:lang w:bidi="ar"/>
              </w:rPr>
              <w:t>（在邮寄过程中导致的文件破损、开标时无法打开等等不可预见的情况由</w:t>
            </w:r>
            <w:r>
              <w:rPr>
                <w:rFonts w:hint="eastAsia" w:ascii="宋体" w:hAnsi="宋体" w:cs="宋体"/>
                <w:b/>
                <w:bCs/>
                <w:color w:val="000000"/>
                <w:kern w:val="0"/>
                <w:szCs w:val="21"/>
                <w:highlight w:val="none"/>
                <w:lang w:val="en-US" w:eastAsia="zh-CN" w:bidi="ar"/>
              </w:rPr>
              <w:t>投标人</w:t>
            </w:r>
            <w:r>
              <w:rPr>
                <w:rFonts w:hint="eastAsia" w:ascii="宋体" w:hAnsi="宋体" w:cs="宋体"/>
                <w:b/>
                <w:bCs/>
                <w:color w:val="000000"/>
                <w:kern w:val="0"/>
                <w:szCs w:val="21"/>
                <w:highlight w:val="none"/>
                <w:lang w:bidi="ar"/>
              </w:rPr>
              <w:t>自行承担）；也可以选择开标现场递交。邮寄或现场递交的时间不得超过投标截止时间，逾期按未递交处理。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81" w:type="dxa"/>
            <w:noWrap w:val="0"/>
            <w:vAlign w:val="center"/>
          </w:tcPr>
          <w:p>
            <w:pPr>
              <w:shd w:val="clear"/>
              <w:snapToGrid w:val="0"/>
              <w:spacing w:line="320" w:lineRule="exact"/>
              <w:jc w:val="center"/>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5</w:t>
            </w:r>
          </w:p>
        </w:tc>
        <w:tc>
          <w:tcPr>
            <w:tcW w:w="540" w:type="dxa"/>
            <w:vMerge w:val="continue"/>
            <w:noWrap w:val="0"/>
            <w:vAlign w:val="top"/>
          </w:tcPr>
          <w:p>
            <w:pPr>
              <w:shd w:val="clear"/>
              <w:snapToGrid w:val="0"/>
              <w:spacing w:line="320" w:lineRule="exact"/>
              <w:rPr>
                <w:rFonts w:hint="eastAsia" w:ascii="宋体" w:hAnsi="宋体" w:cs="宋体"/>
                <w:b/>
                <w:szCs w:val="21"/>
                <w:highlight w:val="none"/>
              </w:rPr>
            </w:pPr>
          </w:p>
        </w:tc>
        <w:tc>
          <w:tcPr>
            <w:tcW w:w="1056" w:type="dxa"/>
            <w:noWrap w:val="0"/>
            <w:vAlign w:val="center"/>
          </w:tcPr>
          <w:p>
            <w:pPr>
              <w:pStyle w:val="75"/>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textAlignment w:val="auto"/>
              <w:rPr>
                <w:rFonts w:hint="default" w:ascii="宋体" w:hAnsi="宋体" w:eastAsia="宋体" w:cs="宋体"/>
                <w:kern w:val="2"/>
                <w:sz w:val="21"/>
                <w:szCs w:val="21"/>
                <w:highlight w:val="none"/>
                <w:lang w:val="en-US" w:eastAsia="zh-CN" w:bidi="ar"/>
              </w:rPr>
            </w:pPr>
            <w:r>
              <w:rPr>
                <w:rFonts w:hint="eastAsia" w:ascii="宋体" w:hAnsi="宋体" w:cs="宋体"/>
                <w:color w:val="000000"/>
                <w:sz w:val="21"/>
                <w:szCs w:val="21"/>
                <w:highlight w:val="none"/>
                <w:lang w:val="en-US" w:eastAsia="zh-CN"/>
              </w:rPr>
              <w:t>培训方案6分</w:t>
            </w:r>
          </w:p>
        </w:tc>
        <w:tc>
          <w:tcPr>
            <w:tcW w:w="5760" w:type="dxa"/>
            <w:noWrap w:val="0"/>
            <w:vAlign w:val="center"/>
          </w:tcPr>
          <w:p>
            <w:pPr>
              <w:keepNext w:val="0"/>
              <w:keepLines w:val="0"/>
              <w:pageBreakBefore w:val="0"/>
              <w:widowControl/>
              <w:suppressLineNumbers w:val="0"/>
              <w:shd w:val="clear"/>
              <w:tabs>
                <w:tab w:val="left" w:pos="1080"/>
              </w:tabs>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投标人</w:t>
            </w:r>
            <w:r>
              <w:rPr>
                <w:rFonts w:hint="eastAsia" w:ascii="宋体" w:hAnsi="宋体" w:cs="宋体"/>
                <w:szCs w:val="21"/>
                <w:highlight w:val="none"/>
                <w:lang w:val="en-US" w:eastAsia="zh-CN"/>
              </w:rPr>
              <w:t>提供</w:t>
            </w:r>
            <w:r>
              <w:rPr>
                <w:rFonts w:hint="eastAsia" w:ascii="宋体" w:hAnsi="宋体" w:eastAsia="宋体" w:cs="宋体"/>
                <w:szCs w:val="21"/>
                <w:highlight w:val="none"/>
                <w:lang w:val="en-US" w:eastAsia="zh-CN"/>
              </w:rPr>
              <w:t>培训方案</w:t>
            </w:r>
            <w:r>
              <w:rPr>
                <w:rFonts w:hint="eastAsia" w:ascii="宋体" w:hAnsi="宋体" w:cs="宋体"/>
                <w:szCs w:val="21"/>
                <w:highlight w:val="none"/>
                <w:lang w:val="en-US" w:eastAsia="zh-CN"/>
              </w:rPr>
              <w:t>，根据</w:t>
            </w:r>
            <w:r>
              <w:rPr>
                <w:rFonts w:hint="eastAsia" w:ascii="宋体" w:hAnsi="宋体" w:eastAsia="宋体" w:cs="宋体"/>
                <w:szCs w:val="21"/>
                <w:highlight w:val="none"/>
                <w:lang w:val="en-US" w:eastAsia="zh-CN"/>
              </w:rPr>
              <w:t>总体培训计划和目标（包括次数时间地点）、培训人员配置、培训内容、培训质量控制等</w:t>
            </w:r>
            <w:r>
              <w:rPr>
                <w:rFonts w:hint="eastAsia" w:ascii="宋体" w:hAnsi="宋体" w:cs="宋体"/>
                <w:szCs w:val="21"/>
                <w:highlight w:val="none"/>
                <w:lang w:val="en-US" w:eastAsia="zh-CN"/>
              </w:rPr>
              <w:t>方面给予0-6分</w:t>
            </w:r>
            <w:r>
              <w:rPr>
                <w:rFonts w:hint="eastAsia" w:ascii="宋体" w:hAnsi="宋体" w:eastAsia="宋体" w:cs="宋体"/>
                <w:szCs w:val="21"/>
                <w:highlight w:val="none"/>
                <w:lang w:val="en-US" w:eastAsia="zh-CN"/>
              </w:rPr>
              <w:t>。</w:t>
            </w:r>
          </w:p>
          <w:p>
            <w:pPr>
              <w:keepNext w:val="0"/>
              <w:keepLines w:val="0"/>
              <w:pageBreakBefore w:val="0"/>
              <w:widowControl/>
              <w:suppressLineNumbers w:val="0"/>
              <w:shd w:val="clear"/>
              <w:tabs>
                <w:tab w:val="left" w:pos="1080"/>
              </w:tabs>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方案科学合理，易操作可行的得4-6分；方案基本满足招标文件需求的得2-4分；方案未能完全满足招标文件需求，具有缺陷的得0-2分。</w:t>
            </w:r>
          </w:p>
          <w:p>
            <w:pPr>
              <w:keepNext w:val="0"/>
              <w:keepLines w:val="0"/>
              <w:pageBreakBefore w:val="0"/>
              <w:widowControl/>
              <w:suppressLineNumbers w:val="0"/>
              <w:shd w:val="clear"/>
              <w:tabs>
                <w:tab w:val="left" w:pos="1080"/>
              </w:tabs>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hint="default" w:ascii="宋体" w:hAnsi="宋体" w:eastAsia="宋体" w:cs="宋体"/>
                <w:color w:val="000000"/>
                <w:kern w:val="2"/>
                <w:sz w:val="21"/>
                <w:szCs w:val="21"/>
                <w:highlight w:val="none"/>
                <w:lang w:val="en-US" w:eastAsia="zh-CN" w:bidi="ar-SA"/>
              </w:rPr>
            </w:pPr>
            <w:r>
              <w:rPr>
                <w:rFonts w:hint="eastAsia" w:ascii="宋体" w:hAnsi="宋体" w:cs="宋体"/>
                <w:szCs w:val="21"/>
                <w:highlight w:val="none"/>
                <w:lang w:val="en-US" w:eastAsia="zh-CN"/>
              </w:rPr>
              <w:t>不提供的不得分。</w:t>
            </w:r>
          </w:p>
        </w:tc>
        <w:tc>
          <w:tcPr>
            <w:tcW w:w="1645" w:type="dxa"/>
            <w:noWrap w:val="0"/>
            <w:vAlign w:val="top"/>
          </w:tcPr>
          <w:p>
            <w:pPr>
              <w:shd w:val="clear"/>
              <w:snapToGrid w:val="0"/>
              <w:spacing w:line="320" w:lineRule="exact"/>
              <w:rPr>
                <w:rFonts w:hint="eastAsia" w:ascii="宋体" w:hAnsi="宋体" w:eastAsia="宋体" w:cs="宋体"/>
                <w:b/>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681" w:type="dxa"/>
            <w:noWrap w:val="0"/>
            <w:vAlign w:val="center"/>
          </w:tcPr>
          <w:p>
            <w:pPr>
              <w:shd w:val="clear"/>
              <w:snapToGrid w:val="0"/>
              <w:spacing w:line="320" w:lineRule="exact"/>
              <w:jc w:val="center"/>
              <w:rPr>
                <w:rFonts w:hint="eastAsia" w:ascii="宋体" w:hAnsi="宋体" w:eastAsia="宋体" w:cs="宋体"/>
                <w:b/>
                <w:kern w:val="2"/>
                <w:sz w:val="21"/>
                <w:szCs w:val="21"/>
                <w:highlight w:val="none"/>
                <w:lang w:val="en-US" w:eastAsia="zh-CN" w:bidi="ar-SA"/>
              </w:rPr>
            </w:pPr>
            <w:r>
              <w:rPr>
                <w:rFonts w:hint="eastAsia" w:ascii="宋体" w:hAnsi="宋体" w:cs="宋体"/>
                <w:b/>
                <w:szCs w:val="21"/>
                <w:highlight w:val="none"/>
                <w:lang w:val="en-US" w:eastAsia="zh-CN"/>
              </w:rPr>
              <w:t>6</w:t>
            </w:r>
          </w:p>
        </w:tc>
        <w:tc>
          <w:tcPr>
            <w:tcW w:w="540" w:type="dxa"/>
            <w:vMerge w:val="continue"/>
            <w:noWrap w:val="0"/>
            <w:vAlign w:val="top"/>
          </w:tcPr>
          <w:p>
            <w:pPr>
              <w:shd w:val="clear"/>
              <w:snapToGrid w:val="0"/>
              <w:spacing w:line="320" w:lineRule="exact"/>
              <w:rPr>
                <w:rFonts w:hint="eastAsia" w:ascii="宋体" w:hAnsi="宋体" w:cs="宋体"/>
                <w:b/>
                <w:szCs w:val="21"/>
                <w:highlight w:val="none"/>
              </w:rPr>
            </w:pPr>
          </w:p>
        </w:tc>
        <w:tc>
          <w:tcPr>
            <w:tcW w:w="1056" w:type="dxa"/>
            <w:noWrap w:val="0"/>
            <w:vAlign w:val="center"/>
          </w:tcPr>
          <w:p>
            <w:pPr>
              <w:widowControl/>
              <w:shd w:val="clear"/>
              <w:snapToGrid w:val="0"/>
              <w:spacing w:line="320" w:lineRule="exact"/>
              <w:jc w:val="left"/>
              <w:rPr>
                <w:rFonts w:hint="eastAsia" w:ascii="宋体" w:hAnsi="宋体" w:eastAsia="宋体" w:cs="仿宋"/>
                <w:kern w:val="2"/>
                <w:sz w:val="21"/>
                <w:szCs w:val="21"/>
                <w:highlight w:val="none"/>
                <w:lang w:val="en-US" w:eastAsia="zh-CN" w:bidi="ar-SA"/>
              </w:rPr>
            </w:pPr>
            <w:r>
              <w:rPr>
                <w:rFonts w:hint="eastAsia" w:ascii="宋体" w:hAnsi="宋体" w:cs="宋体"/>
                <w:szCs w:val="21"/>
                <w:highlight w:val="none"/>
              </w:rPr>
              <w:t>售后服务</w:t>
            </w:r>
            <w:r>
              <w:rPr>
                <w:rFonts w:hint="eastAsia" w:ascii="宋体" w:hAnsi="宋体" w:cs="宋体"/>
                <w:szCs w:val="21"/>
                <w:highlight w:val="none"/>
                <w:lang w:val="en-US" w:eastAsia="zh-CN"/>
              </w:rPr>
              <w:t>10</w:t>
            </w:r>
            <w:r>
              <w:rPr>
                <w:rFonts w:hint="eastAsia" w:ascii="宋体" w:hAnsi="宋体" w:cs="宋体"/>
                <w:szCs w:val="21"/>
                <w:highlight w:val="none"/>
              </w:rPr>
              <w:t>分</w:t>
            </w:r>
          </w:p>
        </w:tc>
        <w:tc>
          <w:tcPr>
            <w:tcW w:w="5760" w:type="dxa"/>
            <w:noWrap w:val="0"/>
            <w:vAlign w:val="center"/>
          </w:tcPr>
          <w:p>
            <w:pPr>
              <w:shd w:val="clear"/>
              <w:ind w:firstLine="0" w:firstLineChars="0"/>
              <w:jc w:val="left"/>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投标人</w:t>
            </w:r>
            <w:r>
              <w:rPr>
                <w:rFonts w:hint="eastAsia"/>
                <w:highlight w:val="none"/>
              </w:rPr>
              <w:t>提供售后及运维支撑服务方案，</w:t>
            </w:r>
            <w:r>
              <w:rPr>
                <w:rFonts w:hint="eastAsia"/>
                <w:highlight w:val="none"/>
                <w:lang w:val="en-US" w:eastAsia="zh-CN"/>
              </w:rPr>
              <w:t>根据</w:t>
            </w:r>
            <w:r>
              <w:rPr>
                <w:rFonts w:hint="eastAsia"/>
                <w:highlight w:val="none"/>
              </w:rPr>
              <w:t>售后服务承诺</w:t>
            </w:r>
            <w:r>
              <w:rPr>
                <w:rFonts w:hint="eastAsia"/>
                <w:highlight w:val="none"/>
                <w:lang w:eastAsia="zh-CN"/>
              </w:rPr>
              <w:t>（</w:t>
            </w:r>
            <w:r>
              <w:rPr>
                <w:rFonts w:hint="eastAsia"/>
                <w:highlight w:val="none"/>
                <w:lang w:val="en-US" w:eastAsia="zh-CN"/>
              </w:rPr>
              <w:t>0-2分）</w:t>
            </w:r>
            <w:r>
              <w:rPr>
                <w:rFonts w:hint="eastAsia"/>
                <w:highlight w:val="none"/>
              </w:rPr>
              <w:t>、日常故障处理</w:t>
            </w:r>
            <w:r>
              <w:rPr>
                <w:rFonts w:hint="eastAsia"/>
                <w:highlight w:val="none"/>
                <w:lang w:eastAsia="zh-CN"/>
              </w:rPr>
              <w:t>（</w:t>
            </w:r>
            <w:r>
              <w:rPr>
                <w:rFonts w:hint="eastAsia"/>
                <w:highlight w:val="none"/>
                <w:lang w:val="en-US" w:eastAsia="zh-CN"/>
              </w:rPr>
              <w:t>0-2分）</w:t>
            </w:r>
            <w:r>
              <w:rPr>
                <w:rFonts w:hint="eastAsia"/>
                <w:highlight w:val="none"/>
              </w:rPr>
              <w:t>、应急事故处理服务</w:t>
            </w:r>
            <w:r>
              <w:rPr>
                <w:rFonts w:hint="eastAsia"/>
                <w:highlight w:val="none"/>
                <w:lang w:eastAsia="zh-CN"/>
              </w:rPr>
              <w:t>（</w:t>
            </w:r>
            <w:r>
              <w:rPr>
                <w:rFonts w:hint="eastAsia"/>
                <w:highlight w:val="none"/>
                <w:lang w:val="en-US" w:eastAsia="zh-CN"/>
              </w:rPr>
              <w:t>0-2分）</w:t>
            </w:r>
            <w:r>
              <w:rPr>
                <w:rFonts w:hint="eastAsia"/>
                <w:highlight w:val="none"/>
              </w:rPr>
              <w:t>、安全运维服务</w:t>
            </w:r>
            <w:r>
              <w:rPr>
                <w:rFonts w:hint="eastAsia"/>
                <w:highlight w:val="none"/>
                <w:lang w:eastAsia="zh-CN"/>
              </w:rPr>
              <w:t>（</w:t>
            </w:r>
            <w:r>
              <w:rPr>
                <w:rFonts w:hint="eastAsia"/>
                <w:highlight w:val="none"/>
                <w:lang w:val="en-US" w:eastAsia="zh-CN"/>
              </w:rPr>
              <w:t>0-2分）</w:t>
            </w:r>
            <w:r>
              <w:rPr>
                <w:rFonts w:hint="eastAsia"/>
                <w:highlight w:val="none"/>
              </w:rPr>
              <w:t>、日常巡查</w:t>
            </w:r>
            <w:r>
              <w:rPr>
                <w:rFonts w:hint="eastAsia"/>
                <w:highlight w:val="none"/>
                <w:lang w:eastAsia="zh-CN"/>
              </w:rPr>
              <w:t>（</w:t>
            </w:r>
            <w:r>
              <w:rPr>
                <w:rFonts w:hint="eastAsia"/>
                <w:highlight w:val="none"/>
                <w:lang w:val="en-US" w:eastAsia="zh-CN"/>
              </w:rPr>
              <w:t>0-2分）等方面给予0-10分</w:t>
            </w:r>
            <w:r>
              <w:rPr>
                <w:rFonts w:hint="eastAsia"/>
                <w:highlight w:val="none"/>
              </w:rPr>
              <w:t>。</w:t>
            </w:r>
            <w:r>
              <w:rPr>
                <w:rFonts w:hint="eastAsia" w:ascii="宋体" w:hAnsi="宋体" w:cs="宋体"/>
                <w:szCs w:val="21"/>
                <w:highlight w:val="none"/>
                <w:lang w:val="en-US" w:eastAsia="zh-CN"/>
              </w:rPr>
              <w:t>不提供的不得分。提供不全的酌情减分。</w:t>
            </w:r>
          </w:p>
        </w:tc>
        <w:tc>
          <w:tcPr>
            <w:tcW w:w="1645" w:type="dxa"/>
            <w:noWrap w:val="0"/>
            <w:vAlign w:val="center"/>
          </w:tcPr>
          <w:p>
            <w:pPr>
              <w:widowControl/>
              <w:shd w:val="clear"/>
              <w:snapToGrid w:val="0"/>
              <w:spacing w:line="320" w:lineRule="exact"/>
              <w:jc w:val="left"/>
              <w:rPr>
                <w:rFonts w:hint="eastAsia" w:ascii="宋体" w:hAnsi="宋体" w:eastAsia="宋体" w:cs="宋体"/>
                <w:b/>
                <w:kern w:val="2"/>
                <w:sz w:val="21"/>
                <w:szCs w:val="21"/>
                <w:highlight w:val="none"/>
                <w:lang w:val="en-US" w:eastAsia="zh-CN" w:bidi="ar-SA"/>
              </w:rPr>
            </w:pPr>
            <w:r>
              <w:rPr>
                <w:rFonts w:hint="eastAsia" w:ascii="宋体" w:hAnsi="宋体" w:eastAsia="宋体" w:cs="宋体"/>
                <w:b/>
                <w:szCs w:val="21"/>
                <w:highlight w:val="none"/>
                <w:lang w:val="en-US" w:eastAsia="zh-CN"/>
              </w:rPr>
              <w:t>自行提供承诺、方案及证明材料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681" w:type="dxa"/>
            <w:noWrap w:val="0"/>
            <w:vAlign w:val="center"/>
          </w:tcPr>
          <w:p>
            <w:pPr>
              <w:shd w:val="clear"/>
              <w:snapToGrid w:val="0"/>
              <w:spacing w:line="320" w:lineRule="exact"/>
              <w:jc w:val="center"/>
              <w:rPr>
                <w:rFonts w:hint="eastAsia" w:ascii="宋体" w:hAnsi="宋体" w:eastAsia="宋体" w:cs="宋体"/>
                <w:b/>
                <w:kern w:val="2"/>
                <w:sz w:val="21"/>
                <w:szCs w:val="21"/>
                <w:highlight w:val="none"/>
                <w:lang w:val="en-US" w:eastAsia="zh-CN" w:bidi="ar-SA"/>
              </w:rPr>
            </w:pPr>
            <w:r>
              <w:rPr>
                <w:rFonts w:hint="eastAsia" w:ascii="宋体" w:hAnsi="宋体" w:cs="宋体"/>
                <w:b/>
                <w:szCs w:val="21"/>
                <w:highlight w:val="none"/>
                <w:lang w:val="en-US" w:eastAsia="zh-CN"/>
              </w:rPr>
              <w:t>7</w:t>
            </w:r>
          </w:p>
        </w:tc>
        <w:tc>
          <w:tcPr>
            <w:tcW w:w="540" w:type="dxa"/>
            <w:vMerge w:val="continue"/>
            <w:noWrap w:val="0"/>
            <w:vAlign w:val="top"/>
          </w:tcPr>
          <w:p>
            <w:pPr>
              <w:shd w:val="clear"/>
              <w:snapToGrid w:val="0"/>
              <w:spacing w:line="320" w:lineRule="exact"/>
              <w:rPr>
                <w:rFonts w:hint="eastAsia" w:ascii="宋体" w:hAnsi="宋体" w:cs="宋体"/>
                <w:b/>
                <w:szCs w:val="21"/>
                <w:highlight w:val="none"/>
              </w:rPr>
            </w:pPr>
          </w:p>
        </w:tc>
        <w:tc>
          <w:tcPr>
            <w:tcW w:w="1056" w:type="dxa"/>
            <w:noWrap w:val="0"/>
            <w:vAlign w:val="center"/>
          </w:tcPr>
          <w:p>
            <w:pPr>
              <w:shd w:val="clear"/>
              <w:snapToGrid w:val="0"/>
              <w:spacing w:line="320" w:lineRule="exact"/>
              <w:jc w:val="both"/>
              <w:rPr>
                <w:rFonts w:hint="eastAsia" w:ascii="宋体" w:hAnsi="宋体" w:eastAsia="宋体" w:cs="宋体"/>
                <w:kern w:val="0"/>
                <w:szCs w:val="21"/>
                <w:highlight w:val="none"/>
                <w:lang w:val="en-US" w:eastAsia="zh-CN"/>
              </w:rPr>
            </w:pPr>
          </w:p>
          <w:p>
            <w:pPr>
              <w:shd w:val="clear"/>
              <w:snapToGrid w:val="0"/>
              <w:spacing w:line="320" w:lineRule="exact"/>
              <w:jc w:val="center"/>
              <w:rPr>
                <w:rFonts w:hint="eastAsia" w:ascii="宋体" w:hAnsi="宋体" w:cs="宋体"/>
                <w:kern w:val="0"/>
                <w:szCs w:val="21"/>
                <w:highlight w:val="none"/>
              </w:rPr>
            </w:pPr>
            <w:r>
              <w:rPr>
                <w:rFonts w:hint="eastAsia" w:ascii="宋体" w:hAnsi="宋体" w:cs="宋体"/>
                <w:kern w:val="0"/>
                <w:szCs w:val="21"/>
                <w:highlight w:val="none"/>
              </w:rPr>
              <w:t>拟投</w:t>
            </w:r>
            <w:r>
              <w:rPr>
                <w:rFonts w:hint="eastAsia" w:ascii="宋体" w:hAnsi="宋体" w:cs="宋体"/>
                <w:szCs w:val="21"/>
                <w:highlight w:val="none"/>
              </w:rPr>
              <w:t>入实施的团队人员配置</w:t>
            </w:r>
            <w:r>
              <w:rPr>
                <w:rFonts w:hint="eastAsia" w:ascii="宋体" w:hAnsi="宋体" w:cs="宋体"/>
                <w:szCs w:val="21"/>
                <w:highlight w:val="none"/>
                <w:lang w:val="en-US" w:eastAsia="zh-CN"/>
              </w:rPr>
              <w:t>7</w:t>
            </w:r>
            <w:r>
              <w:rPr>
                <w:rFonts w:hint="eastAsia" w:ascii="宋体" w:hAnsi="宋体" w:cs="宋体"/>
                <w:szCs w:val="21"/>
                <w:highlight w:val="none"/>
              </w:rPr>
              <w:t>分</w:t>
            </w:r>
          </w:p>
        </w:tc>
        <w:tc>
          <w:tcPr>
            <w:tcW w:w="5760" w:type="dxa"/>
            <w:noWrap w:val="0"/>
            <w:vAlign w:val="center"/>
          </w:tcPr>
          <w:p>
            <w:pPr>
              <w:numPr>
                <w:ilvl w:val="0"/>
                <w:numId w:val="0"/>
              </w:numPr>
              <w:shd w:val="clear"/>
              <w:snapToGrid w:val="0"/>
              <w:spacing w:line="320" w:lineRule="exact"/>
              <w:jc w:val="left"/>
              <w:rPr>
                <w:rFonts w:hint="eastAsia" w:ascii="宋体" w:hAnsi="宋体" w:eastAsia="宋体" w:cs="宋体"/>
                <w:bCs w:val="0"/>
                <w:kern w:val="0"/>
                <w:szCs w:val="21"/>
                <w:highlight w:val="none"/>
                <w:lang w:val="en-US" w:eastAsia="zh-CN"/>
              </w:rPr>
            </w:pPr>
            <w:r>
              <w:rPr>
                <w:rFonts w:hint="eastAsia" w:ascii="宋体" w:hAnsi="宋体" w:eastAsia="宋体" w:cs="宋体"/>
                <w:bCs w:val="0"/>
                <w:kern w:val="0"/>
                <w:szCs w:val="21"/>
                <w:highlight w:val="none"/>
                <w:lang w:val="en-US" w:eastAsia="zh-CN"/>
              </w:rPr>
              <w:t>（1）拟派项目负责人</w:t>
            </w:r>
            <w:r>
              <w:rPr>
                <w:rFonts w:hint="eastAsia" w:ascii="宋体" w:hAnsi="宋体" w:cs="宋体"/>
                <w:bCs w:val="0"/>
                <w:kern w:val="0"/>
                <w:szCs w:val="21"/>
                <w:highlight w:val="none"/>
                <w:lang w:val="en-US" w:eastAsia="zh-CN"/>
              </w:rPr>
              <w:t>3</w:t>
            </w:r>
            <w:r>
              <w:rPr>
                <w:rFonts w:hint="eastAsia" w:ascii="宋体" w:hAnsi="宋体" w:eastAsia="宋体" w:cs="宋体"/>
                <w:bCs w:val="0"/>
                <w:kern w:val="0"/>
                <w:szCs w:val="21"/>
                <w:highlight w:val="none"/>
                <w:lang w:val="en-US" w:eastAsia="zh-CN"/>
              </w:rPr>
              <w:t>分</w:t>
            </w:r>
          </w:p>
          <w:p>
            <w:pPr>
              <w:numPr>
                <w:ilvl w:val="0"/>
                <w:numId w:val="0"/>
              </w:numPr>
              <w:shd w:val="clear"/>
              <w:snapToGrid w:val="0"/>
              <w:spacing w:line="320" w:lineRule="exact"/>
              <w:jc w:val="left"/>
              <w:rPr>
                <w:rFonts w:hint="eastAsia" w:ascii="宋体" w:hAnsi="宋体" w:eastAsia="宋体" w:cs="宋体"/>
                <w:bCs w:val="0"/>
                <w:kern w:val="0"/>
                <w:szCs w:val="21"/>
                <w:highlight w:val="none"/>
                <w:lang w:val="en-US" w:eastAsia="zh-CN"/>
              </w:rPr>
            </w:pPr>
            <w:r>
              <w:rPr>
                <w:rFonts w:hint="eastAsia" w:ascii="宋体" w:hAnsi="宋体" w:eastAsia="宋体" w:cs="宋体"/>
                <w:bCs w:val="0"/>
                <w:kern w:val="0"/>
                <w:szCs w:val="21"/>
                <w:highlight w:val="none"/>
                <w:lang w:val="en-US" w:eastAsia="zh-CN"/>
              </w:rPr>
              <w:t>拟派项目负责人具有通信类高级职称的得</w:t>
            </w:r>
            <w:r>
              <w:rPr>
                <w:rFonts w:hint="eastAsia" w:ascii="宋体" w:hAnsi="宋体" w:cs="宋体"/>
                <w:bCs w:val="0"/>
                <w:kern w:val="0"/>
                <w:szCs w:val="21"/>
                <w:highlight w:val="none"/>
                <w:lang w:val="en-US" w:eastAsia="zh-CN"/>
              </w:rPr>
              <w:t>3</w:t>
            </w:r>
            <w:r>
              <w:rPr>
                <w:rFonts w:hint="eastAsia" w:ascii="宋体" w:hAnsi="宋体" w:eastAsia="宋体" w:cs="宋体"/>
                <w:bCs w:val="0"/>
                <w:kern w:val="0"/>
                <w:szCs w:val="21"/>
                <w:highlight w:val="none"/>
                <w:lang w:val="en-US" w:eastAsia="zh-CN"/>
              </w:rPr>
              <w:t>分，中级职称的得</w:t>
            </w:r>
            <w:r>
              <w:rPr>
                <w:rFonts w:hint="eastAsia" w:ascii="宋体" w:hAnsi="宋体" w:cs="宋体"/>
                <w:bCs w:val="0"/>
                <w:kern w:val="0"/>
                <w:szCs w:val="21"/>
                <w:highlight w:val="none"/>
                <w:lang w:val="en-US" w:eastAsia="zh-CN"/>
              </w:rPr>
              <w:t>1</w:t>
            </w:r>
            <w:r>
              <w:rPr>
                <w:rFonts w:hint="eastAsia" w:ascii="宋体" w:hAnsi="宋体" w:eastAsia="宋体" w:cs="宋体"/>
                <w:bCs w:val="0"/>
                <w:kern w:val="0"/>
                <w:szCs w:val="21"/>
                <w:highlight w:val="none"/>
                <w:lang w:val="en-US" w:eastAsia="zh-CN"/>
              </w:rPr>
              <w:t>分。</w:t>
            </w:r>
          </w:p>
          <w:p>
            <w:pPr>
              <w:numPr>
                <w:ilvl w:val="0"/>
                <w:numId w:val="0"/>
              </w:numPr>
              <w:shd w:val="clear"/>
              <w:snapToGrid w:val="0"/>
              <w:spacing w:line="320" w:lineRule="exact"/>
              <w:ind w:firstLine="0" w:firstLineChars="0"/>
              <w:jc w:val="left"/>
              <w:rPr>
                <w:rFonts w:hint="eastAsia" w:ascii="宋体" w:hAnsi="宋体" w:eastAsia="宋体" w:cs="宋体"/>
                <w:bCs w:val="0"/>
                <w:kern w:val="0"/>
                <w:szCs w:val="21"/>
                <w:highlight w:val="none"/>
                <w:lang w:val="en-US" w:eastAsia="zh-CN"/>
              </w:rPr>
            </w:pPr>
            <w:r>
              <w:rPr>
                <w:rFonts w:hint="eastAsia" w:ascii="宋体" w:hAnsi="宋体" w:eastAsia="宋体" w:cs="宋体"/>
                <w:bCs w:val="0"/>
                <w:kern w:val="0"/>
                <w:szCs w:val="21"/>
                <w:highlight w:val="none"/>
                <w:lang w:val="en-US" w:eastAsia="zh-CN"/>
              </w:rPr>
              <w:t>（2）团队</w:t>
            </w:r>
            <w:r>
              <w:rPr>
                <w:rFonts w:hint="eastAsia" w:ascii="宋体" w:hAnsi="宋体" w:cs="宋体"/>
                <w:bCs w:val="0"/>
                <w:kern w:val="0"/>
                <w:szCs w:val="21"/>
                <w:highlight w:val="none"/>
                <w:lang w:val="en-US" w:eastAsia="zh-CN"/>
              </w:rPr>
              <w:t>其他人员（</w:t>
            </w:r>
            <w:r>
              <w:rPr>
                <w:rFonts w:hint="eastAsia" w:ascii="宋体" w:hAnsi="宋体" w:eastAsia="宋体" w:cs="宋体"/>
                <w:bCs w:val="0"/>
                <w:kern w:val="0"/>
                <w:szCs w:val="21"/>
                <w:highlight w:val="none"/>
                <w:lang w:val="en-US" w:eastAsia="zh-CN"/>
              </w:rPr>
              <w:t>项目负责人</w:t>
            </w:r>
            <w:r>
              <w:rPr>
                <w:rFonts w:hint="eastAsia" w:ascii="宋体" w:hAnsi="宋体" w:cs="宋体"/>
                <w:bCs w:val="0"/>
                <w:kern w:val="0"/>
                <w:szCs w:val="21"/>
                <w:highlight w:val="none"/>
                <w:lang w:val="en-US" w:eastAsia="zh-CN"/>
              </w:rPr>
              <w:t>除外）4</w:t>
            </w:r>
            <w:r>
              <w:rPr>
                <w:rFonts w:hint="eastAsia" w:ascii="宋体" w:hAnsi="宋体" w:eastAsia="宋体" w:cs="宋体"/>
                <w:bCs w:val="0"/>
                <w:kern w:val="0"/>
                <w:szCs w:val="21"/>
                <w:highlight w:val="none"/>
                <w:lang w:val="en-US" w:eastAsia="zh-CN"/>
              </w:rPr>
              <w:t>分</w:t>
            </w:r>
          </w:p>
          <w:p>
            <w:pPr>
              <w:numPr>
                <w:ilvl w:val="0"/>
                <w:numId w:val="0"/>
              </w:numPr>
              <w:shd w:val="clear"/>
              <w:snapToGrid w:val="0"/>
              <w:spacing w:line="320" w:lineRule="exact"/>
              <w:ind w:firstLine="0" w:firstLineChars="0"/>
              <w:jc w:val="left"/>
              <w:rPr>
                <w:highlight w:val="none"/>
              </w:rPr>
            </w:pPr>
            <w:r>
              <w:rPr>
                <w:rFonts w:hint="eastAsia" w:ascii="宋体" w:hAnsi="宋体" w:eastAsia="宋体" w:cs="宋体"/>
                <w:bCs w:val="0"/>
                <w:kern w:val="0"/>
                <w:szCs w:val="21"/>
                <w:highlight w:val="none"/>
                <w:lang w:val="en-US" w:eastAsia="zh-CN"/>
              </w:rPr>
              <w:t>拟派团队</w:t>
            </w:r>
            <w:r>
              <w:rPr>
                <w:rFonts w:hint="eastAsia" w:ascii="宋体" w:hAnsi="宋体" w:cs="宋体"/>
                <w:bCs w:val="0"/>
                <w:kern w:val="0"/>
                <w:szCs w:val="21"/>
                <w:highlight w:val="none"/>
                <w:lang w:val="en-US" w:eastAsia="zh-CN"/>
              </w:rPr>
              <w:t>其他人员</w:t>
            </w:r>
            <w:r>
              <w:rPr>
                <w:rFonts w:hint="eastAsia" w:ascii="宋体" w:hAnsi="宋体"/>
                <w:szCs w:val="21"/>
                <w:highlight w:val="none"/>
                <w:lang w:val="en-US" w:eastAsia="zh-CN"/>
              </w:rPr>
              <w:t>中具备通信类</w:t>
            </w:r>
            <w:r>
              <w:rPr>
                <w:rFonts w:hint="eastAsia" w:ascii="宋体" w:hAnsi="宋体" w:eastAsia="宋体" w:cs="宋体"/>
                <w:bCs w:val="0"/>
                <w:kern w:val="0"/>
                <w:szCs w:val="21"/>
                <w:highlight w:val="none"/>
                <w:lang w:val="en-US" w:eastAsia="zh-CN"/>
              </w:rPr>
              <w:t>中级职称</w:t>
            </w:r>
            <w:r>
              <w:rPr>
                <w:rFonts w:hint="eastAsia" w:ascii="宋体" w:hAnsi="宋体"/>
                <w:highlight w:val="none"/>
                <w:lang w:val="en-US" w:eastAsia="zh-CN"/>
              </w:rPr>
              <w:t>的，每人</w:t>
            </w:r>
            <w:r>
              <w:rPr>
                <w:rFonts w:hint="eastAsia" w:ascii="宋体" w:hAnsi="宋体" w:eastAsia="宋体" w:cs="宋体"/>
                <w:bCs w:val="0"/>
                <w:kern w:val="0"/>
                <w:szCs w:val="21"/>
                <w:highlight w:val="none"/>
                <w:lang w:val="en-US" w:eastAsia="zh-CN"/>
              </w:rPr>
              <w:t>得2分</w:t>
            </w:r>
            <w:r>
              <w:rPr>
                <w:rFonts w:hint="eastAsia" w:ascii="宋体" w:hAnsi="宋体" w:cs="宋体"/>
                <w:bCs w:val="0"/>
                <w:kern w:val="0"/>
                <w:szCs w:val="21"/>
                <w:highlight w:val="none"/>
                <w:lang w:val="en-US" w:eastAsia="zh-CN"/>
              </w:rPr>
              <w:t>，最多得4分</w:t>
            </w:r>
            <w:r>
              <w:rPr>
                <w:rFonts w:hint="eastAsia" w:ascii="宋体" w:hAnsi="宋体"/>
                <w:highlight w:val="none"/>
                <w:lang w:val="en-US" w:eastAsia="zh-CN"/>
              </w:rPr>
              <w:t>。</w:t>
            </w:r>
          </w:p>
        </w:tc>
        <w:tc>
          <w:tcPr>
            <w:tcW w:w="1645" w:type="dxa"/>
            <w:noWrap w:val="0"/>
            <w:vAlign w:val="top"/>
          </w:tcPr>
          <w:p>
            <w:pPr>
              <w:shd w:val="clear"/>
              <w:snapToGrid w:val="0"/>
              <w:spacing w:line="320" w:lineRule="exact"/>
              <w:rPr>
                <w:rFonts w:hint="eastAsia" w:ascii="宋体" w:hAnsi="宋体" w:cs="宋体"/>
                <w:b/>
                <w:szCs w:val="21"/>
                <w:highlight w:val="none"/>
              </w:rPr>
            </w:pPr>
            <w:r>
              <w:rPr>
                <w:rFonts w:hint="eastAsia" w:ascii="宋体" w:hAnsi="宋体" w:cs="宋体"/>
                <w:b/>
                <w:szCs w:val="21"/>
                <w:highlight w:val="none"/>
                <w:lang w:val="en-US" w:eastAsia="zh-CN"/>
              </w:rPr>
              <w:t>提供职称</w:t>
            </w:r>
            <w:r>
              <w:rPr>
                <w:rFonts w:hint="eastAsia" w:ascii="宋体" w:hAnsi="宋体" w:cs="宋体"/>
                <w:b/>
                <w:szCs w:val="21"/>
                <w:highlight w:val="none"/>
              </w:rPr>
              <w:t>证书</w:t>
            </w:r>
            <w:r>
              <w:rPr>
                <w:rFonts w:hint="eastAsia" w:ascii="宋体" w:hAnsi="宋体" w:cs="宋体"/>
                <w:b/>
                <w:szCs w:val="21"/>
                <w:highlight w:val="none"/>
                <w:lang w:val="en-US" w:eastAsia="zh-CN"/>
              </w:rPr>
              <w:t>复印件</w:t>
            </w:r>
            <w:r>
              <w:rPr>
                <w:rFonts w:hint="eastAsia" w:ascii="宋体" w:hAnsi="宋体" w:cs="宋体"/>
                <w:b/>
                <w:szCs w:val="21"/>
                <w:highlight w:val="none"/>
              </w:rPr>
              <w:t>以及开标前近3个月中任意一个月的社保</w:t>
            </w:r>
            <w:r>
              <w:rPr>
                <w:rFonts w:hint="eastAsia" w:ascii="宋体" w:hAnsi="宋体" w:cs="宋体"/>
                <w:b/>
                <w:szCs w:val="21"/>
                <w:highlight w:val="none"/>
                <w:lang w:val="en-US" w:eastAsia="zh-CN"/>
              </w:rPr>
              <w:t>证明</w:t>
            </w:r>
            <w:r>
              <w:rPr>
                <w:rFonts w:hint="eastAsia" w:ascii="宋体" w:hAnsi="宋体" w:cs="宋体"/>
                <w:b/>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681" w:type="dxa"/>
            <w:noWrap w:val="0"/>
            <w:vAlign w:val="center"/>
          </w:tcPr>
          <w:p>
            <w:pPr>
              <w:shd w:val="clear"/>
              <w:snapToGrid w:val="0"/>
              <w:spacing w:line="320" w:lineRule="exact"/>
              <w:jc w:val="center"/>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8</w:t>
            </w:r>
          </w:p>
        </w:tc>
        <w:tc>
          <w:tcPr>
            <w:tcW w:w="540" w:type="dxa"/>
            <w:vMerge w:val="restart"/>
            <w:noWrap w:val="0"/>
            <w:vAlign w:val="center"/>
          </w:tcPr>
          <w:p>
            <w:pPr>
              <w:shd w:val="clear"/>
              <w:snapToGrid w:val="0"/>
              <w:spacing w:line="320" w:lineRule="exact"/>
              <w:rPr>
                <w:rFonts w:hint="eastAsia" w:ascii="宋体" w:hAnsi="宋体" w:cs="宋体"/>
                <w:b/>
                <w:szCs w:val="21"/>
                <w:highlight w:val="none"/>
              </w:rPr>
            </w:pPr>
            <w:r>
              <w:rPr>
                <w:rFonts w:hint="eastAsia" w:ascii="宋体" w:hAnsi="宋体" w:cs="宋体"/>
                <w:b/>
                <w:szCs w:val="21"/>
                <w:highlight w:val="none"/>
              </w:rPr>
              <w:t>商务</w:t>
            </w:r>
          </w:p>
          <w:p>
            <w:pPr>
              <w:shd w:val="clear"/>
              <w:snapToGrid w:val="0"/>
              <w:spacing w:line="320" w:lineRule="exact"/>
              <w:rPr>
                <w:rFonts w:hint="eastAsia" w:ascii="宋体" w:hAnsi="宋体" w:cs="宋体"/>
                <w:b/>
                <w:szCs w:val="21"/>
                <w:highlight w:val="none"/>
              </w:rPr>
            </w:pPr>
            <w:r>
              <w:rPr>
                <w:rFonts w:hint="eastAsia" w:ascii="宋体" w:hAnsi="宋体" w:cs="宋体"/>
                <w:b/>
                <w:szCs w:val="21"/>
                <w:highlight w:val="none"/>
              </w:rPr>
              <w:t>资信及其他</w:t>
            </w:r>
            <w:r>
              <w:rPr>
                <w:rFonts w:hint="eastAsia" w:ascii="宋体" w:hAnsi="宋体" w:cs="宋体"/>
                <w:b/>
                <w:szCs w:val="21"/>
                <w:highlight w:val="none"/>
                <w:lang w:val="en-US" w:eastAsia="zh-CN"/>
              </w:rPr>
              <w:t>7</w:t>
            </w:r>
            <w:r>
              <w:rPr>
                <w:rFonts w:hint="eastAsia" w:ascii="宋体" w:hAnsi="宋体" w:cs="宋体"/>
                <w:b/>
                <w:szCs w:val="21"/>
                <w:highlight w:val="none"/>
              </w:rPr>
              <w:t>分</w:t>
            </w:r>
          </w:p>
        </w:tc>
        <w:tc>
          <w:tcPr>
            <w:tcW w:w="1056" w:type="dxa"/>
            <w:noWrap w:val="0"/>
            <w:vAlign w:val="center"/>
          </w:tcPr>
          <w:p>
            <w:pPr>
              <w:shd w:val="clear"/>
              <w:snapToGrid w:val="0"/>
              <w:spacing w:line="320" w:lineRule="exac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体系认证5分</w:t>
            </w:r>
          </w:p>
        </w:tc>
        <w:tc>
          <w:tcPr>
            <w:tcW w:w="5760" w:type="dxa"/>
            <w:noWrap w:val="0"/>
            <w:vAlign w:val="center"/>
          </w:tcPr>
          <w:p>
            <w:pPr>
              <w:numPr>
                <w:ilvl w:val="0"/>
                <w:numId w:val="0"/>
              </w:numPr>
              <w:shd w:val="clear"/>
              <w:snapToGrid w:val="0"/>
              <w:spacing w:line="320" w:lineRule="exact"/>
              <w:ind w:left="0" w:leftChars="0" w:firstLine="0" w:firstLineChars="0"/>
              <w:rPr>
                <w:rFonts w:hint="eastAsia" w:ascii="宋体" w:hAnsi="宋体" w:eastAsia="宋体" w:cs="宋体"/>
                <w:kern w:val="2"/>
                <w:sz w:val="21"/>
                <w:szCs w:val="21"/>
                <w:highlight w:val="none"/>
                <w:lang w:val="en-US" w:eastAsia="zh-CN" w:bidi="ar-SA"/>
              </w:rPr>
            </w:pPr>
            <w:r>
              <w:rPr>
                <w:rFonts w:hint="eastAsia"/>
                <w:highlight w:val="none"/>
              </w:rPr>
              <w:t>投标人具有信息安全管理体系认证证书、信息技术服务管理体系认证证书、环境管理体系认证证书、职业健康安全管理体系认证证书、质量管理体系认证证书</w:t>
            </w:r>
            <w:r>
              <w:rPr>
                <w:rFonts w:hint="eastAsia"/>
                <w:highlight w:val="none"/>
                <w:lang w:val="en-US" w:eastAsia="zh-CN"/>
              </w:rPr>
              <w:t>的</w:t>
            </w:r>
            <w:r>
              <w:rPr>
                <w:rFonts w:hint="eastAsia"/>
                <w:highlight w:val="none"/>
              </w:rPr>
              <w:t>，每个得1分。</w:t>
            </w:r>
            <w:r>
              <w:rPr>
                <w:rFonts w:hint="eastAsia"/>
                <w:highlight w:val="none"/>
                <w:lang w:val="en-US" w:eastAsia="zh-CN"/>
              </w:rPr>
              <w:t>本项</w:t>
            </w:r>
            <w:r>
              <w:rPr>
                <w:rFonts w:hint="eastAsia"/>
                <w:highlight w:val="none"/>
              </w:rPr>
              <w:t>最高得</w:t>
            </w:r>
            <w:r>
              <w:rPr>
                <w:rFonts w:hint="eastAsia" w:ascii="宋体" w:hAnsi="宋体" w:eastAsia="宋体" w:cs="宋体"/>
                <w:highlight w:val="none"/>
                <w:lang w:val="en-US" w:eastAsia="zh-CN"/>
              </w:rPr>
              <w:t>5</w:t>
            </w:r>
            <w:r>
              <w:rPr>
                <w:rFonts w:hint="eastAsia"/>
                <w:highlight w:val="none"/>
              </w:rPr>
              <w:t>分</w:t>
            </w:r>
            <w:r>
              <w:rPr>
                <w:rFonts w:hint="eastAsia"/>
                <w:highlight w:val="none"/>
                <w:lang w:val="en-US" w:eastAsia="zh-CN"/>
              </w:rPr>
              <w:t>。</w:t>
            </w:r>
          </w:p>
        </w:tc>
        <w:tc>
          <w:tcPr>
            <w:tcW w:w="1645" w:type="dxa"/>
            <w:noWrap w:val="0"/>
            <w:vAlign w:val="center"/>
          </w:tcPr>
          <w:p>
            <w:pPr>
              <w:shd w:val="clear"/>
              <w:snapToGrid w:val="0"/>
              <w:spacing w:line="320" w:lineRule="exact"/>
              <w:jc w:val="left"/>
              <w:rPr>
                <w:rFonts w:hint="eastAsia" w:ascii="宋体" w:hAnsi="宋体" w:eastAsia="宋体" w:cs="宋体"/>
                <w:b/>
                <w:kern w:val="2"/>
                <w:sz w:val="21"/>
                <w:szCs w:val="21"/>
                <w:highlight w:val="none"/>
                <w:lang w:val="en-US" w:eastAsia="zh-CN" w:bidi="ar-SA"/>
              </w:rPr>
            </w:pPr>
            <w:r>
              <w:rPr>
                <w:rFonts w:hint="eastAsia" w:ascii="宋体" w:hAnsi="宋体" w:cs="仿宋"/>
                <w:b/>
                <w:bCs/>
                <w:szCs w:val="21"/>
                <w:highlight w:val="none"/>
              </w:rPr>
              <w:t>提供证书复印件</w:t>
            </w:r>
            <w:r>
              <w:rPr>
                <w:rFonts w:hint="eastAsia" w:ascii="宋体" w:hAnsi="宋体" w:cs="仿宋"/>
                <w:b/>
                <w:bCs/>
                <w:szCs w:val="21"/>
                <w:highlight w:val="none"/>
                <w:lang w:val="en-US" w:eastAsia="zh-CN"/>
              </w:rPr>
              <w:t>及全国认证认可信息公共服务平台查询截图，未提供或提供不全的不得分。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81" w:type="dxa"/>
            <w:noWrap w:val="0"/>
            <w:vAlign w:val="center"/>
          </w:tcPr>
          <w:p>
            <w:pPr>
              <w:shd w:val="clear"/>
              <w:snapToGrid w:val="0"/>
              <w:spacing w:line="320" w:lineRule="exact"/>
              <w:jc w:val="center"/>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9</w:t>
            </w:r>
          </w:p>
        </w:tc>
        <w:tc>
          <w:tcPr>
            <w:tcW w:w="540" w:type="dxa"/>
            <w:vMerge w:val="continue"/>
            <w:noWrap w:val="0"/>
            <w:vAlign w:val="center"/>
          </w:tcPr>
          <w:p>
            <w:pPr>
              <w:shd w:val="clear"/>
              <w:snapToGrid w:val="0"/>
              <w:spacing w:line="320" w:lineRule="exact"/>
              <w:rPr>
                <w:rFonts w:hint="eastAsia" w:ascii="宋体" w:hAnsi="宋体" w:cs="宋体"/>
                <w:b/>
                <w:szCs w:val="21"/>
                <w:highlight w:val="none"/>
              </w:rPr>
            </w:pPr>
          </w:p>
        </w:tc>
        <w:tc>
          <w:tcPr>
            <w:tcW w:w="1056" w:type="dxa"/>
            <w:noWrap w:val="0"/>
            <w:vAlign w:val="center"/>
          </w:tcPr>
          <w:p>
            <w:pPr>
              <w:shd w:val="clear"/>
              <w:snapToGrid w:val="0"/>
              <w:spacing w:line="320" w:lineRule="exac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同类项目业绩</w:t>
            </w:r>
            <w:r>
              <w:rPr>
                <w:rFonts w:hint="eastAsia" w:ascii="宋体" w:hAnsi="宋体" w:cs="宋体"/>
                <w:szCs w:val="21"/>
                <w:highlight w:val="none"/>
                <w:lang w:val="en-US" w:eastAsia="zh-CN"/>
              </w:rPr>
              <w:t>2</w:t>
            </w:r>
            <w:r>
              <w:rPr>
                <w:rFonts w:hint="eastAsia" w:ascii="宋体" w:hAnsi="宋体" w:cs="宋体"/>
                <w:szCs w:val="21"/>
                <w:highlight w:val="none"/>
              </w:rPr>
              <w:t>分</w:t>
            </w:r>
          </w:p>
        </w:tc>
        <w:tc>
          <w:tcPr>
            <w:tcW w:w="5760" w:type="dxa"/>
            <w:noWrap w:val="0"/>
            <w:vAlign w:val="center"/>
          </w:tcPr>
          <w:p>
            <w:pPr>
              <w:keepNext w:val="0"/>
              <w:keepLines w:val="0"/>
              <w:pageBreakBefore w:val="0"/>
              <w:shd w:val="clear"/>
              <w:kinsoku/>
              <w:wordWrap/>
              <w:overflowPunct/>
              <w:topLinePunct w:val="0"/>
              <w:autoSpaceDE/>
              <w:autoSpaceDN/>
              <w:bidi w:val="0"/>
              <w:adjustRightInd/>
              <w:snapToGrid/>
              <w:spacing w:line="320" w:lineRule="exact"/>
              <w:textAlignment w:val="auto"/>
              <w:rPr>
                <w:rFonts w:hint="eastAsia"/>
                <w:highlight w:val="none"/>
                <w:lang w:eastAsia="zh-CN"/>
              </w:rPr>
            </w:pPr>
            <w:r>
              <w:rPr>
                <w:rFonts w:hint="eastAsia"/>
                <w:highlight w:val="none"/>
              </w:rPr>
              <w:t>投标人</w:t>
            </w:r>
            <w:r>
              <w:rPr>
                <w:rFonts w:hint="eastAsia"/>
                <w:highlight w:val="none"/>
                <w:lang w:eastAsia="zh-CN"/>
              </w:rPr>
              <w:t>提供自</w:t>
            </w:r>
            <w:r>
              <w:rPr>
                <w:rFonts w:hint="eastAsia"/>
                <w:highlight w:val="none"/>
              </w:rPr>
              <w:t>20</w:t>
            </w:r>
            <w:r>
              <w:rPr>
                <w:rFonts w:hint="eastAsia"/>
                <w:highlight w:val="none"/>
                <w:lang w:val="en-US" w:eastAsia="zh-CN"/>
              </w:rPr>
              <w:t>20</w:t>
            </w:r>
            <w:r>
              <w:rPr>
                <w:rFonts w:hint="eastAsia"/>
                <w:highlight w:val="none"/>
              </w:rPr>
              <w:t>年1月1日至今（合同签订日为准）同类</w:t>
            </w:r>
            <w:r>
              <w:rPr>
                <w:rFonts w:hint="eastAsia"/>
                <w:highlight w:val="none"/>
                <w:lang w:eastAsia="zh-CN"/>
              </w:rPr>
              <w:t>项目</w:t>
            </w:r>
            <w:r>
              <w:rPr>
                <w:rFonts w:hint="eastAsia"/>
                <w:highlight w:val="none"/>
              </w:rPr>
              <w:t>业绩，</w:t>
            </w:r>
            <w:r>
              <w:rPr>
                <w:rFonts w:hint="eastAsia"/>
                <w:highlight w:val="none"/>
                <w:lang w:eastAsia="zh-CN"/>
              </w:rPr>
              <w:t>每</w:t>
            </w:r>
            <w:r>
              <w:rPr>
                <w:rFonts w:hint="eastAsia"/>
                <w:highlight w:val="none"/>
              </w:rPr>
              <w:t>提供</w:t>
            </w:r>
            <w:r>
              <w:rPr>
                <w:rFonts w:hint="eastAsia"/>
                <w:highlight w:val="none"/>
                <w:lang w:val="en-US" w:eastAsia="zh-CN"/>
              </w:rPr>
              <w:t>1</w:t>
            </w:r>
            <w:r>
              <w:rPr>
                <w:rFonts w:hint="eastAsia"/>
                <w:highlight w:val="none"/>
              </w:rPr>
              <w:t>份合同得</w:t>
            </w:r>
            <w:r>
              <w:rPr>
                <w:rFonts w:hint="eastAsia"/>
                <w:highlight w:val="none"/>
                <w:lang w:val="en-US" w:eastAsia="zh-CN"/>
              </w:rPr>
              <w:t>1</w:t>
            </w:r>
            <w:r>
              <w:rPr>
                <w:rFonts w:hint="eastAsia"/>
                <w:highlight w:val="none"/>
              </w:rPr>
              <w:t>分，</w:t>
            </w:r>
            <w:r>
              <w:rPr>
                <w:rFonts w:hint="eastAsia"/>
                <w:highlight w:val="none"/>
                <w:lang w:eastAsia="zh-CN"/>
              </w:rPr>
              <w:t>最多得</w:t>
            </w:r>
            <w:r>
              <w:rPr>
                <w:rFonts w:hint="eastAsia"/>
                <w:highlight w:val="none"/>
                <w:lang w:val="en-US" w:eastAsia="zh-CN"/>
              </w:rPr>
              <w:t>2分</w:t>
            </w:r>
            <w:r>
              <w:rPr>
                <w:rFonts w:hint="eastAsia"/>
                <w:highlight w:val="none"/>
                <w:lang w:eastAsia="zh-CN"/>
              </w:rPr>
              <w:t>。</w:t>
            </w:r>
          </w:p>
          <w:p>
            <w:pPr>
              <w:pStyle w:val="31"/>
              <w:shd w:val="clear"/>
              <w:ind w:firstLine="0" w:firstLineChars="0"/>
              <w:rPr>
                <w:rFonts w:hint="default" w:ascii="Times New Roman" w:hAnsi="Times New Roman" w:eastAsia="宋体" w:cs="Times New Roman"/>
                <w:kern w:val="2"/>
                <w:sz w:val="21"/>
                <w:szCs w:val="24"/>
                <w:highlight w:val="none"/>
                <w:lang w:val="en-US" w:eastAsia="zh-CN" w:bidi="ar-SA"/>
              </w:rPr>
            </w:pPr>
          </w:p>
        </w:tc>
        <w:tc>
          <w:tcPr>
            <w:tcW w:w="1645" w:type="dxa"/>
            <w:noWrap w:val="0"/>
            <w:vAlign w:val="center"/>
          </w:tcPr>
          <w:p>
            <w:pPr>
              <w:keepNext w:val="0"/>
              <w:keepLines w:val="0"/>
              <w:pageBreakBefore w:val="0"/>
              <w:shd w:val="clear"/>
              <w:kinsoku/>
              <w:wordWrap/>
              <w:overflowPunct/>
              <w:topLinePunct w:val="0"/>
              <w:autoSpaceDE/>
              <w:autoSpaceDN/>
              <w:bidi w:val="0"/>
              <w:adjustRightInd/>
              <w:snapToGrid/>
              <w:spacing w:line="320" w:lineRule="exact"/>
              <w:textAlignment w:val="auto"/>
              <w:rPr>
                <w:rFonts w:hint="default" w:ascii="宋体" w:hAnsi="宋体" w:eastAsia="宋体" w:cs="宋体"/>
                <w:b/>
                <w:kern w:val="2"/>
                <w:sz w:val="21"/>
                <w:szCs w:val="21"/>
                <w:highlight w:val="none"/>
                <w:lang w:val="en-US" w:eastAsia="zh-CN" w:bidi="ar-SA"/>
              </w:rPr>
            </w:pPr>
            <w:r>
              <w:rPr>
                <w:rFonts w:hint="eastAsia" w:ascii="宋体" w:hAnsi="宋体" w:eastAsia="宋体" w:cs="宋体"/>
                <w:b/>
                <w:bCs/>
                <w:szCs w:val="21"/>
                <w:highlight w:val="none"/>
              </w:rPr>
              <w:t>需提供合同复印件</w:t>
            </w:r>
            <w:r>
              <w:rPr>
                <w:rFonts w:hint="eastAsia" w:ascii="宋体" w:hAnsi="宋体" w:cs="宋体"/>
                <w:b/>
                <w:bCs/>
                <w:szCs w:val="21"/>
                <w:highlight w:val="none"/>
                <w:lang w:val="en-US" w:eastAsia="zh-CN"/>
              </w:rPr>
              <w:t>加盖公章。</w:t>
            </w:r>
          </w:p>
        </w:tc>
      </w:tr>
    </w:tbl>
    <w:p>
      <w:pPr>
        <w:shd w:val="clear"/>
        <w:rPr>
          <w:rFonts w:hint="eastAsia"/>
          <w:highlight w:val="none"/>
        </w:rPr>
      </w:pPr>
    </w:p>
    <w:p>
      <w:pPr>
        <w:numPr>
          <w:ilvl w:val="0"/>
          <w:numId w:val="10"/>
        </w:numPr>
        <w:shd w:val="clear"/>
        <w:tabs>
          <w:tab w:val="center" w:pos="4706"/>
        </w:tabs>
        <w:adjustRightInd/>
        <w:snapToGrid/>
        <w:spacing w:line="440" w:lineRule="exact"/>
        <w:ind w:firstLine="0" w:firstLineChars="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分值计算</w:t>
      </w:r>
    </w:p>
    <w:p>
      <w:pPr>
        <w:numPr>
          <w:ilvl w:val="0"/>
          <w:numId w:val="11"/>
        </w:numPr>
        <w:shd w:val="clear"/>
        <w:tabs>
          <w:tab w:val="center" w:pos="4706"/>
        </w:tabs>
        <w:spacing w:line="480" w:lineRule="exact"/>
        <w:rPr>
          <w:rFonts w:hint="eastAsia" w:ascii="宋体" w:hAnsi="宋体" w:cs="宋体"/>
          <w:bCs/>
          <w:color w:val="auto"/>
          <w:szCs w:val="21"/>
          <w:highlight w:val="none"/>
        </w:rPr>
      </w:pPr>
      <w:r>
        <w:rPr>
          <w:rFonts w:hint="eastAsia" w:ascii="宋体" w:hAnsi="宋体" w:cs="宋体"/>
          <w:bCs/>
          <w:color w:val="auto"/>
          <w:szCs w:val="21"/>
          <w:highlight w:val="none"/>
        </w:rPr>
        <w:t>价格分</w:t>
      </w:r>
    </w:p>
    <w:p>
      <w:pPr>
        <w:shd w:val="clear"/>
        <w:tabs>
          <w:tab w:val="center" w:pos="4706"/>
        </w:tabs>
        <w:spacing w:line="48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调整错误、并执行支付采购政策后按评分细则中的公式计算。</w:t>
      </w:r>
    </w:p>
    <w:p>
      <w:pPr>
        <w:shd w:val="clear"/>
        <w:tabs>
          <w:tab w:val="center" w:pos="4706"/>
        </w:tabs>
        <w:spacing w:line="360" w:lineRule="exact"/>
        <w:rPr>
          <w:rFonts w:ascii="宋体" w:hAnsi="宋体" w:cs="宋体"/>
          <w:bCs/>
          <w:color w:val="auto"/>
          <w:szCs w:val="21"/>
          <w:highlight w:val="none"/>
        </w:rPr>
      </w:pPr>
      <w:r>
        <w:rPr>
          <w:rFonts w:hint="eastAsia" w:ascii="宋体" w:hAnsi="宋体" w:cs="宋体"/>
          <w:bCs/>
          <w:color w:val="auto"/>
          <w:szCs w:val="21"/>
          <w:highlight w:val="none"/>
        </w:rPr>
        <w:t>2、技术、商务资信及其他分</w:t>
      </w:r>
    </w:p>
    <w:p>
      <w:pPr>
        <w:shd w:val="clear"/>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技术、商务资信及其他分按照评标委员会成员的独立评分结果汇总数算术平均分计算，计算公式为：</w:t>
      </w:r>
    </w:p>
    <w:p>
      <w:pPr>
        <w:shd w:val="clear"/>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技术、商务资信及其他分=（评标委员会所有成员评分合计数）/（评标委员会组成人员数）</w:t>
      </w:r>
      <w:bookmarkStart w:id="146" w:name="_Toc317341948"/>
    </w:p>
    <w:p>
      <w:pPr>
        <w:shd w:val="clear"/>
        <w:spacing w:line="320" w:lineRule="exact"/>
        <w:rPr>
          <w:rFonts w:hint="eastAsia" w:ascii="宋体" w:hAnsi="宋体" w:cs="宋体"/>
          <w:bCs/>
          <w:color w:val="auto"/>
          <w:szCs w:val="21"/>
          <w:highlight w:val="none"/>
        </w:rPr>
      </w:pPr>
      <w:r>
        <w:rPr>
          <w:rFonts w:hint="eastAsia" w:ascii="宋体" w:hAnsi="宋体" w:cs="宋体"/>
          <w:bCs/>
          <w:color w:val="auto"/>
          <w:szCs w:val="21"/>
          <w:highlight w:val="none"/>
        </w:rPr>
        <w:t>3、综合得分</w:t>
      </w:r>
    </w:p>
    <w:p>
      <w:pPr>
        <w:shd w:val="clear"/>
        <w:adjustRightInd w:val="0"/>
        <w:snapToGrid w:val="0"/>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投标人评标综合得分=技术、商务资信及其他分+价格得分</w:t>
      </w:r>
    </w:p>
    <w:p>
      <w:pPr>
        <w:shd w:val="clear"/>
        <w:adjustRightInd w:val="0"/>
        <w:snapToGrid w:val="0"/>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评分过程中采用四舍五入法，并保留小数2位。</w:t>
      </w:r>
    </w:p>
    <w:p>
      <w:pPr>
        <w:shd w:val="clear"/>
        <w:rPr>
          <w:rFonts w:hint="eastAsia"/>
          <w:color w:val="auto"/>
          <w:highlight w:val="none"/>
        </w:rPr>
      </w:pPr>
    </w:p>
    <w:bookmarkEnd w:id="146"/>
    <w:p>
      <w:pPr>
        <w:pStyle w:val="5"/>
        <w:shd w:val="clear"/>
        <w:spacing w:before="0" w:after="0" w:line="240" w:lineRule="auto"/>
        <w:rPr>
          <w:rFonts w:hint="eastAsia" w:ascii="宋体" w:hAnsi="宋体" w:eastAsia="宋体" w:cs="宋体"/>
          <w:color w:val="auto"/>
          <w:sz w:val="24"/>
          <w:szCs w:val="24"/>
          <w:highlight w:val="none"/>
        </w:rPr>
      </w:pPr>
      <w:bookmarkStart w:id="147" w:name="_Toc317341949"/>
      <w:bookmarkStart w:id="148" w:name="_Toc22162"/>
      <w:bookmarkStart w:id="149" w:name="_Toc4136"/>
      <w:bookmarkStart w:id="150" w:name="_Toc2756"/>
      <w:bookmarkStart w:id="151" w:name="_Toc6478"/>
      <w:r>
        <w:rPr>
          <w:rFonts w:hint="eastAsia" w:ascii="宋体" w:hAnsi="宋体" w:eastAsia="宋体" w:cs="宋体"/>
          <w:color w:val="auto"/>
          <w:sz w:val="24"/>
          <w:szCs w:val="24"/>
          <w:highlight w:val="none"/>
        </w:rPr>
        <w:t>四、监督管理</w:t>
      </w:r>
      <w:bookmarkEnd w:id="147"/>
      <w:bookmarkEnd w:id="148"/>
      <w:bookmarkEnd w:id="149"/>
      <w:bookmarkEnd w:id="150"/>
      <w:bookmarkEnd w:id="151"/>
    </w:p>
    <w:p>
      <w:pPr>
        <w:shd w:val="clear"/>
        <w:spacing w:line="480" w:lineRule="exact"/>
        <w:rPr>
          <w:rFonts w:hint="eastAsia" w:ascii="宋体" w:hAnsi="宋体" w:eastAsia="宋体" w:cs="宋体"/>
          <w:color w:val="auto"/>
          <w:szCs w:val="21"/>
          <w:highlight w:val="none"/>
          <w:u w:val="single"/>
          <w:lang w:val="en-US" w:eastAsia="zh-CN"/>
        </w:rPr>
      </w:pPr>
      <w:r>
        <w:rPr>
          <w:rFonts w:hint="eastAsia" w:ascii="宋体" w:hAnsi="宋体" w:cs="宋体"/>
          <w:color w:val="auto"/>
          <w:szCs w:val="21"/>
          <w:highlight w:val="none"/>
        </w:rPr>
        <w:t>本项目评审全程录音录像，监督管理部门为</w:t>
      </w:r>
      <w:r>
        <w:rPr>
          <w:rFonts w:hint="eastAsia" w:ascii="宋体" w:hAnsi="宋体" w:cs="宋体"/>
          <w:color w:val="auto"/>
          <w:szCs w:val="21"/>
          <w:highlight w:val="none"/>
          <w:u w:val="single"/>
        </w:rPr>
        <w:t>安吉县财政局</w:t>
      </w:r>
      <w:r>
        <w:rPr>
          <w:rFonts w:hint="eastAsia" w:ascii="宋体" w:hAnsi="宋体" w:cs="宋体"/>
          <w:color w:val="auto"/>
          <w:szCs w:val="21"/>
          <w:highlight w:val="none"/>
          <w:u w:val="single"/>
          <w:lang w:eastAsia="zh-CN"/>
        </w:rPr>
        <w:t>。</w:t>
      </w:r>
    </w:p>
    <w:p>
      <w:pPr>
        <w:pStyle w:val="60"/>
        <w:shd w:val="clear"/>
        <w:rPr>
          <w:rFonts w:hint="eastAsia"/>
          <w:color w:val="auto"/>
          <w:highlight w:val="none"/>
        </w:rPr>
      </w:pPr>
    </w:p>
    <w:p>
      <w:pPr>
        <w:pStyle w:val="60"/>
        <w:shd w:val="clear"/>
        <w:rPr>
          <w:rFonts w:hint="eastAsia"/>
          <w:color w:val="auto"/>
          <w:highlight w:val="none"/>
        </w:rPr>
      </w:pPr>
    </w:p>
    <w:p>
      <w:pPr>
        <w:pStyle w:val="60"/>
        <w:shd w:val="clear"/>
        <w:rPr>
          <w:rFonts w:hint="eastAsia"/>
          <w:color w:val="auto"/>
          <w:highlight w:val="none"/>
        </w:rPr>
      </w:pPr>
    </w:p>
    <w:p>
      <w:pPr>
        <w:pStyle w:val="60"/>
        <w:shd w:val="clear"/>
        <w:rPr>
          <w:rFonts w:hint="eastAsia"/>
          <w:color w:val="auto"/>
          <w:highlight w:val="none"/>
        </w:rPr>
      </w:pPr>
    </w:p>
    <w:p>
      <w:pPr>
        <w:pStyle w:val="60"/>
        <w:shd w:val="clear"/>
        <w:rPr>
          <w:rFonts w:hint="eastAsia"/>
          <w:color w:val="auto"/>
          <w:highlight w:val="none"/>
        </w:rPr>
      </w:pPr>
    </w:p>
    <w:p>
      <w:pPr>
        <w:pStyle w:val="60"/>
        <w:shd w:val="clear"/>
        <w:rPr>
          <w:rFonts w:hint="eastAsia"/>
          <w:color w:val="auto"/>
          <w:highlight w:val="none"/>
        </w:rPr>
      </w:pPr>
    </w:p>
    <w:p>
      <w:pPr>
        <w:pStyle w:val="60"/>
        <w:shd w:val="clear"/>
        <w:rPr>
          <w:rFonts w:hint="eastAsia"/>
          <w:color w:val="auto"/>
          <w:highlight w:val="none"/>
        </w:rPr>
      </w:pPr>
    </w:p>
    <w:p>
      <w:pPr>
        <w:pStyle w:val="60"/>
        <w:shd w:val="clear"/>
        <w:rPr>
          <w:rFonts w:hint="eastAsia"/>
          <w:color w:val="auto"/>
          <w:highlight w:val="none"/>
        </w:rPr>
      </w:pPr>
    </w:p>
    <w:p>
      <w:pPr>
        <w:pStyle w:val="4"/>
        <w:shd w:val="clear"/>
        <w:spacing w:before="0" w:after="0" w:line="240" w:lineRule="auto"/>
        <w:jc w:val="center"/>
        <w:rPr>
          <w:rFonts w:hint="eastAsia" w:ascii="宋体" w:hAnsi="宋体" w:cs="宋体"/>
          <w:snapToGrid w:val="0"/>
          <w:color w:val="auto"/>
          <w:szCs w:val="36"/>
          <w:highlight w:val="none"/>
        </w:rPr>
      </w:pPr>
      <w:r>
        <w:rPr>
          <w:color w:val="auto"/>
          <w:highlight w:val="none"/>
        </w:rPr>
        <w:br w:type="page"/>
      </w:r>
      <w:bookmarkStart w:id="152" w:name="_Toc5807"/>
      <w:bookmarkStart w:id="153" w:name="_Toc25477"/>
      <w:bookmarkStart w:id="154" w:name="_Toc2987"/>
      <w:bookmarkStart w:id="155" w:name="_Toc317341950"/>
      <w:bookmarkStart w:id="156" w:name="_Toc21450"/>
      <w:r>
        <w:rPr>
          <w:rFonts w:hint="eastAsia" w:ascii="宋体" w:hAnsi="宋体" w:cs="宋体"/>
          <w:snapToGrid w:val="0"/>
          <w:color w:val="auto"/>
          <w:sz w:val="40"/>
          <w:szCs w:val="36"/>
          <w:highlight w:val="none"/>
        </w:rPr>
        <w:t>第五章 合同主要条款</w:t>
      </w:r>
      <w:bookmarkEnd w:id="132"/>
      <w:bookmarkEnd w:id="152"/>
      <w:bookmarkEnd w:id="153"/>
      <w:bookmarkEnd w:id="154"/>
      <w:bookmarkEnd w:id="155"/>
      <w:bookmarkEnd w:id="156"/>
    </w:p>
    <w:p>
      <w:pPr>
        <w:shd w:val="clear"/>
        <w:spacing w:line="360" w:lineRule="exact"/>
        <w:rPr>
          <w:rFonts w:hint="eastAsia" w:ascii="宋体" w:hAnsi="宋体" w:cs="微软雅黑"/>
          <w:color w:val="auto"/>
          <w:szCs w:val="21"/>
          <w:highlight w:val="none"/>
        </w:rPr>
      </w:pPr>
      <w:bookmarkStart w:id="157" w:name="_Toc222632763"/>
    </w:p>
    <w:p>
      <w:pPr>
        <w:shd w:val="clear"/>
        <w:spacing w:line="480" w:lineRule="exact"/>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安吉县政府采购合同书</w:t>
      </w:r>
    </w:p>
    <w:p>
      <w:pPr>
        <w:shd w:val="clear"/>
        <w:spacing w:line="400" w:lineRule="exact"/>
        <w:ind w:firstLine="560"/>
        <w:rPr>
          <w:rFonts w:hint="eastAsia" w:ascii="宋体" w:hAnsi="宋体" w:cs="宋体"/>
          <w:color w:val="auto"/>
          <w:szCs w:val="21"/>
          <w:highlight w:val="none"/>
        </w:rPr>
      </w:pP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 xml:space="preserve">项目名称：                                  </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 xml:space="preserve">项目编号： </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甲方：                              乙方：</w:t>
      </w:r>
    </w:p>
    <w:p>
      <w:pPr>
        <w:shd w:val="clea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甲乙双方根据安吉精诚采购代理有限公司关于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项目的采购结果，甲乙双方本着既严格执行国家有关政策，又兼顾双方利益的原则，经协商，特签订本合同书。</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一、采购内容</w:t>
      </w:r>
    </w:p>
    <w:p>
      <w:pPr>
        <w:shd w:val="clear"/>
        <w:spacing w:line="480" w:lineRule="exact"/>
        <w:rPr>
          <w:rFonts w:hint="eastAsia" w:ascii="宋体" w:hAnsi="宋体" w:eastAsia="宋体" w:cs="宋体"/>
          <w:color w:val="auto"/>
          <w:szCs w:val="21"/>
          <w:highlight w:val="none"/>
          <w:lang w:eastAsia="zh-CN"/>
        </w:rPr>
      </w:pP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二、合同金额</w:t>
      </w:r>
    </w:p>
    <w:p>
      <w:pPr>
        <w:shd w:val="clea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本合同金额为（大写）：__________________圆（￥___________元）人民币。</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三、服务期限</w:t>
      </w:r>
    </w:p>
    <w:p>
      <w:pPr>
        <w:shd w:val="clear"/>
        <w:spacing w:line="480" w:lineRule="exact"/>
        <w:ind w:firstLine="420" w:firstLineChars="200"/>
        <w:rPr>
          <w:rFonts w:hint="eastAsia" w:ascii="宋体" w:hAnsi="宋体" w:cs="宋体"/>
          <w:color w:val="auto"/>
          <w:szCs w:val="21"/>
          <w:highlight w:val="none"/>
        </w:rPr>
      </w:pP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四、技术资料</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1.乙方应按采购文件规定的时间向甲方提供服务的有关技术资料。</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五、知识产权</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乙方应保证所提供的货物或其任何一部分均不会侵犯任何第三方的知识产权。</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六、产权担保</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乙方应保证提供服务过程中不会侵犯任何第三方的知识产权。</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七、履约保证金</w:t>
      </w:r>
    </w:p>
    <w:p>
      <w:pPr>
        <w:shd w:val="clear"/>
        <w:spacing w:line="480" w:lineRule="exact"/>
        <w:rPr>
          <w:rFonts w:hint="eastAsia" w:ascii="宋体" w:hAnsi="宋体" w:cs="宋体"/>
          <w:color w:val="auto"/>
          <w:szCs w:val="21"/>
          <w:highlight w:val="none"/>
        </w:rPr>
      </w:pPr>
      <w:r>
        <w:rPr>
          <w:rFonts w:hint="eastAsia" w:ascii="宋体" w:hAnsi="宋体"/>
          <w:szCs w:val="21"/>
          <w:lang w:val="en-US" w:eastAsia="zh-CN"/>
        </w:rPr>
        <w:t>不收取</w:t>
      </w:r>
      <w:r>
        <w:rPr>
          <w:rFonts w:hint="eastAsia" w:ascii="宋体" w:hAnsi="宋体" w:cs="宋体"/>
          <w:color w:val="auto"/>
          <w:szCs w:val="21"/>
          <w:highlight w:val="none"/>
        </w:rPr>
        <w:t>。</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八、转包或分包</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1.本合同范围的服务，应由乙方直接供应，不得转让他人供应；</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2.除非得到甲方的书面同意，乙方不得将本合同范围的服务全部或部分分包给他人供应；</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3.如有转让和未经甲方同意的分包行为，甲方有权解除合同，并追究乙方的违约责任。</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九、服务费支付</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 xml:space="preserve">1. 付款方式： </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十、税费</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本合同执行中相关的一切税费均由乙方负担。</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十一、质量保证及后续服务</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1、乙方应按采购文件规定向甲方提供服务。</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2、乙方提供的服务成果在服务质量保证期内发生故障，乙方应负责免费提供后续服务。对达不到要求者，根据实际情况，经双方协商，可按照以下办法处理：</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1）重做：由乙方承担所发生的全部费用。</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2）贬值处理：由甲乙双方合议定价。</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3）解除合同。</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3、如在使用过程中发生问题，乙方接到甲方通知后在  小时内到达甲方现场。</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4、在服务质量保证期内，乙方应对出现的质量问题和安全问题负责处理并承担一切费用。</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十二、验收标准</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 xml:space="preserve"> 十三、违约责任</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1. 甲方无正当理由拒收服务计划，甲方向乙方偿付拒收服务总值的百分之五违约金。</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2. 甲方无故逾期验收和办理服务期限支付手续的,甲方应按逾期付款总额每日万分之五向乙方支付违约金。</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 xml:space="preserve">3. 乙方逾期履约服务计划，乙方应按逾期服务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4. 乙方所提供的服务质量不符合合同规定及采购文件规定标准的，甲方有权拒收该继续服务，乙方愿意调整服务质量，按乙方部分悔约行为处理。乙方拒绝改进服务的，甲方可单方面解除合同。</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十四、不可抗力事件处理</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1. 在合同有效期内，任何一方因不可抗力事件导致不能履行合同，则合同履行期可延长，其延长期与不可抗力影响期相同。</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2. 不可抗力事件发生后，应立即通知对方，并寄送有关权威机构出具的证明。</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3. 不可抗力事件延续120天以上，双方应通过友好协商，确定是否继续履行合同。</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十五、诉讼</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 xml:space="preserve"> 双方在执行合同中所发生的一切争议，应通过协商解决。如协商不成，可向甲方所在地法院起诉。</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十六、合同生效及其它</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1. 合同经双方法定代表人或授权代表签字并加盖单位公章后生效。</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2.合同执行中涉及采购资金和采购内容修改或补充的，须经财政部门审批，并签书面补充协议报采购代理机构及安吉县政府采购管理部门备案，方可作为主合同不可分割的一部分。</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4.本合同正本一式四份，具有同等法律效力，甲乙双方各执一份；采购代理机构及安吉县政府采购管理部门各执一份。</w:t>
      </w:r>
    </w:p>
    <w:p>
      <w:pPr>
        <w:shd w:val="clear"/>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ab/>
      </w:r>
      <w:r>
        <w:rPr>
          <w:rFonts w:hint="eastAsia" w:ascii="宋体" w:hAnsi="宋体" w:cs="宋体"/>
          <w:bCs/>
          <w:color w:val="auto"/>
          <w:szCs w:val="21"/>
          <w:highlight w:val="none"/>
        </w:rPr>
        <w:tab/>
      </w:r>
      <w:r>
        <w:rPr>
          <w:rFonts w:hint="eastAsia" w:ascii="宋体" w:hAnsi="宋体" w:cs="宋体"/>
          <w:bCs/>
          <w:color w:val="auto"/>
          <w:szCs w:val="21"/>
          <w:highlight w:val="none"/>
        </w:rPr>
        <w:tab/>
      </w:r>
      <w:r>
        <w:rPr>
          <w:rFonts w:hint="eastAsia" w:ascii="宋体" w:hAnsi="宋体" w:cs="宋体"/>
          <w:bCs/>
          <w:color w:val="auto"/>
          <w:szCs w:val="21"/>
          <w:highlight w:val="none"/>
        </w:rPr>
        <w:t xml:space="preserve">        </w:t>
      </w:r>
      <w:r>
        <w:rPr>
          <w:rFonts w:hint="eastAsia" w:ascii="宋体" w:hAnsi="宋体" w:cs="宋体"/>
          <w:bCs/>
          <w:color w:val="auto"/>
          <w:szCs w:val="21"/>
          <w:highlight w:val="none"/>
        </w:rPr>
        <w:tab/>
      </w:r>
      <w:r>
        <w:rPr>
          <w:rFonts w:hint="eastAsia" w:ascii="宋体" w:hAnsi="宋体" w:cs="宋体"/>
          <w:bCs/>
          <w:color w:val="auto"/>
          <w:szCs w:val="21"/>
          <w:highlight w:val="none"/>
        </w:rPr>
        <w:t xml:space="preserve">       </w:t>
      </w:r>
    </w:p>
    <w:p>
      <w:pPr>
        <w:shd w:val="clear"/>
        <w:spacing w:line="480" w:lineRule="exact"/>
        <w:rPr>
          <w:rFonts w:hint="eastAsia" w:ascii="宋体" w:hAnsi="宋体" w:cs="宋体"/>
          <w:color w:val="auto"/>
          <w:sz w:val="24"/>
          <w:highlight w:val="none"/>
        </w:rPr>
      </w:pPr>
    </w:p>
    <w:p>
      <w:pPr>
        <w:shd w:val="clear"/>
        <w:spacing w:line="480" w:lineRule="exact"/>
        <w:rPr>
          <w:rFonts w:hint="eastAsia" w:ascii="宋体" w:hAnsi="宋体"/>
          <w:color w:val="auto"/>
          <w:szCs w:val="21"/>
          <w:highlight w:val="none"/>
        </w:rPr>
      </w:pPr>
      <w:r>
        <w:rPr>
          <w:rFonts w:hint="eastAsia" w:ascii="宋体" w:hAnsi="宋体"/>
          <w:color w:val="auto"/>
          <w:szCs w:val="21"/>
          <w:highlight w:val="none"/>
        </w:rPr>
        <w:t xml:space="preserve">甲方：                                   乙方： </w:t>
      </w:r>
    </w:p>
    <w:p>
      <w:pPr>
        <w:shd w:val="clear"/>
        <w:spacing w:line="480" w:lineRule="exact"/>
        <w:rPr>
          <w:rFonts w:hint="eastAsia" w:ascii="宋体" w:hAnsi="宋体"/>
          <w:color w:val="auto"/>
          <w:szCs w:val="21"/>
          <w:highlight w:val="none"/>
        </w:rPr>
      </w:pPr>
      <w:r>
        <w:rPr>
          <w:rFonts w:hint="eastAsia" w:ascii="宋体" w:hAnsi="宋体"/>
          <w:color w:val="auto"/>
          <w:szCs w:val="21"/>
          <w:highlight w:val="none"/>
        </w:rPr>
        <w:t xml:space="preserve">地址：                                   地址： </w:t>
      </w:r>
    </w:p>
    <w:p>
      <w:pPr>
        <w:shd w:val="clear"/>
        <w:spacing w:line="480" w:lineRule="exact"/>
        <w:rPr>
          <w:rFonts w:hint="eastAsia" w:ascii="宋体" w:hAnsi="宋体"/>
          <w:color w:val="auto"/>
          <w:szCs w:val="21"/>
          <w:highlight w:val="none"/>
        </w:rPr>
      </w:pPr>
      <w:r>
        <w:rPr>
          <w:rFonts w:hint="eastAsia" w:ascii="宋体" w:hAnsi="宋体"/>
          <w:color w:val="auto"/>
          <w:szCs w:val="21"/>
          <w:highlight w:val="none"/>
        </w:rPr>
        <w:t>法定（授权）代表人：                     法定（授权）代表人：</w:t>
      </w:r>
    </w:p>
    <w:p>
      <w:pPr>
        <w:shd w:val="clear"/>
        <w:spacing w:line="480" w:lineRule="exact"/>
        <w:rPr>
          <w:rFonts w:hint="eastAsia" w:ascii="宋体" w:hAnsi="宋体"/>
          <w:color w:val="auto"/>
          <w:szCs w:val="21"/>
          <w:highlight w:val="none"/>
        </w:rPr>
      </w:pPr>
      <w:r>
        <w:rPr>
          <w:rFonts w:hint="eastAsia" w:ascii="宋体" w:hAnsi="宋体"/>
          <w:color w:val="auto"/>
          <w:szCs w:val="21"/>
          <w:highlight w:val="none"/>
        </w:rPr>
        <w:t>签字日期：      年    月   日            签字日期：      年    月   日</w:t>
      </w:r>
    </w:p>
    <w:p>
      <w:pPr>
        <w:shd w:val="clear"/>
        <w:spacing w:line="400" w:lineRule="exact"/>
        <w:ind w:firstLine="560"/>
        <w:rPr>
          <w:rFonts w:hint="eastAsia" w:ascii="宋体" w:hAnsi="宋体" w:cs="宋体"/>
          <w:color w:val="auto"/>
          <w:szCs w:val="21"/>
          <w:highlight w:val="none"/>
        </w:rPr>
      </w:pPr>
    </w:p>
    <w:p>
      <w:pPr>
        <w:shd w:val="clear"/>
        <w:spacing w:line="400" w:lineRule="exact"/>
        <w:ind w:firstLine="560"/>
        <w:rPr>
          <w:rFonts w:hint="eastAsia" w:ascii="宋体" w:hAnsi="宋体" w:cs="宋体"/>
          <w:color w:val="auto"/>
          <w:szCs w:val="21"/>
          <w:highlight w:val="none"/>
        </w:rPr>
      </w:pPr>
    </w:p>
    <w:p>
      <w:pPr>
        <w:shd w:val="clear"/>
        <w:snapToGrid w:val="0"/>
        <w:spacing w:line="500" w:lineRule="exact"/>
        <w:ind w:firstLine="627" w:firstLineChars="196"/>
        <w:rPr>
          <w:rFonts w:hint="eastAsia" w:ascii="宋体" w:hAnsi="宋体" w:cs="宋体"/>
          <w:color w:val="auto"/>
          <w:sz w:val="32"/>
          <w:szCs w:val="32"/>
          <w:highlight w:val="none"/>
        </w:rPr>
      </w:pPr>
      <w:r>
        <w:rPr>
          <w:rFonts w:hint="eastAsia" w:ascii="宋体" w:hAnsi="宋体" w:cs="宋体"/>
          <w:color w:val="auto"/>
          <w:sz w:val="32"/>
          <w:szCs w:val="32"/>
          <w:highlight w:val="none"/>
        </w:rPr>
        <w:t>注：本合同仅作示范文本，具体以双方签定的正式合同为准，合同内容不得违背本</w:t>
      </w:r>
      <w:r>
        <w:rPr>
          <w:rFonts w:hint="eastAsia" w:ascii="宋体" w:hAnsi="宋体" w:cs="宋体"/>
          <w:color w:val="auto"/>
          <w:sz w:val="32"/>
          <w:szCs w:val="32"/>
          <w:highlight w:val="none"/>
          <w:lang w:val="en-US" w:eastAsia="zh-CN"/>
        </w:rPr>
        <w:t>招标</w:t>
      </w:r>
      <w:r>
        <w:rPr>
          <w:rFonts w:hint="eastAsia" w:ascii="宋体" w:hAnsi="宋体" w:cs="宋体"/>
          <w:color w:val="auto"/>
          <w:sz w:val="32"/>
          <w:szCs w:val="32"/>
          <w:highlight w:val="none"/>
        </w:rPr>
        <w:t>文件实质性要求。</w:t>
      </w:r>
    </w:p>
    <w:p>
      <w:pPr>
        <w:shd w:val="clear"/>
        <w:jc w:val="center"/>
        <w:rPr>
          <w:rFonts w:hint="eastAsia" w:ascii="宋体"/>
          <w:b/>
          <w:color w:val="auto"/>
          <w:spacing w:val="-22"/>
          <w:sz w:val="72"/>
          <w:highlight w:val="none"/>
        </w:rPr>
      </w:pPr>
    </w:p>
    <w:p>
      <w:pPr>
        <w:shd w:val="clear"/>
        <w:jc w:val="center"/>
        <w:rPr>
          <w:rFonts w:ascii="宋体"/>
          <w:b/>
          <w:color w:val="auto"/>
          <w:spacing w:val="-22"/>
          <w:sz w:val="72"/>
          <w:highlight w:val="none"/>
        </w:rPr>
      </w:pPr>
    </w:p>
    <w:p>
      <w:pPr>
        <w:shd w:val="clear"/>
        <w:jc w:val="center"/>
        <w:rPr>
          <w:rFonts w:ascii="宋体"/>
          <w:b/>
          <w:color w:val="auto"/>
          <w:spacing w:val="-22"/>
          <w:sz w:val="72"/>
          <w:highlight w:val="none"/>
        </w:rPr>
      </w:pPr>
    </w:p>
    <w:p>
      <w:pPr>
        <w:shd w:val="clear"/>
        <w:jc w:val="center"/>
        <w:rPr>
          <w:rFonts w:ascii="宋体"/>
          <w:b/>
          <w:color w:val="auto"/>
          <w:spacing w:val="-22"/>
          <w:sz w:val="72"/>
          <w:highlight w:val="none"/>
        </w:rPr>
      </w:pPr>
    </w:p>
    <w:p>
      <w:pPr>
        <w:shd w:val="clear"/>
        <w:jc w:val="left"/>
        <w:rPr>
          <w:color w:val="auto"/>
          <w:highlight w:val="none"/>
        </w:rPr>
      </w:pPr>
    </w:p>
    <w:p>
      <w:pPr>
        <w:pStyle w:val="31"/>
        <w:shd w:val="clear"/>
        <w:rPr>
          <w:color w:val="auto"/>
          <w:highlight w:val="none"/>
        </w:rPr>
      </w:pPr>
    </w:p>
    <w:p>
      <w:pPr>
        <w:pStyle w:val="23"/>
        <w:shd w:val="clear"/>
        <w:rPr>
          <w:color w:val="auto"/>
          <w:highlight w:val="none"/>
        </w:rPr>
      </w:pPr>
    </w:p>
    <w:p>
      <w:pPr>
        <w:shd w:val="clear"/>
        <w:rPr>
          <w:color w:val="auto"/>
          <w:highlight w:val="none"/>
        </w:rPr>
      </w:pPr>
    </w:p>
    <w:p>
      <w:pPr>
        <w:pStyle w:val="31"/>
        <w:shd w:val="clear"/>
        <w:rPr>
          <w:color w:val="auto"/>
          <w:highlight w:val="none"/>
        </w:rPr>
      </w:pPr>
    </w:p>
    <w:p>
      <w:pPr>
        <w:pStyle w:val="4"/>
        <w:shd w:val="clear"/>
        <w:spacing w:before="0" w:after="0" w:line="240" w:lineRule="auto"/>
        <w:jc w:val="center"/>
        <w:rPr>
          <w:rFonts w:hint="eastAsia" w:ascii="宋体" w:hAnsi="宋体" w:cs="宋体"/>
          <w:snapToGrid w:val="0"/>
          <w:color w:val="auto"/>
          <w:sz w:val="36"/>
          <w:szCs w:val="36"/>
          <w:highlight w:val="none"/>
        </w:rPr>
      </w:pPr>
      <w:bookmarkStart w:id="158" w:name="_Toc317341951"/>
      <w:bookmarkStart w:id="159" w:name="_Toc18881"/>
      <w:bookmarkStart w:id="160" w:name="_Toc25035"/>
      <w:bookmarkStart w:id="161" w:name="_Toc19174"/>
      <w:bookmarkStart w:id="162" w:name="_Toc27994"/>
      <w:r>
        <w:rPr>
          <w:rFonts w:hint="eastAsia" w:ascii="宋体" w:hAnsi="宋体" w:cs="宋体"/>
          <w:snapToGrid w:val="0"/>
          <w:color w:val="auto"/>
          <w:sz w:val="36"/>
          <w:szCs w:val="36"/>
          <w:highlight w:val="none"/>
        </w:rPr>
        <w:t>第六章  投标文件的格式</w:t>
      </w:r>
      <w:bookmarkEnd w:id="157"/>
      <w:bookmarkEnd w:id="158"/>
      <w:bookmarkEnd w:id="159"/>
      <w:bookmarkEnd w:id="160"/>
      <w:bookmarkEnd w:id="161"/>
      <w:bookmarkEnd w:id="162"/>
    </w:p>
    <w:p>
      <w:pPr>
        <w:shd w:val="clear"/>
        <w:spacing w:line="320" w:lineRule="exact"/>
        <w:jc w:val="right"/>
        <w:rPr>
          <w:rFonts w:hint="eastAsia" w:ascii="宋体" w:hAnsi="宋体" w:cs="宋体"/>
          <w:color w:val="auto"/>
          <w:szCs w:val="21"/>
          <w:highlight w:val="none"/>
        </w:rPr>
      </w:pPr>
      <w:bookmarkStart w:id="163" w:name="_Toc286416745"/>
      <w:bookmarkStart w:id="164" w:name="_Toc251601950"/>
      <w:bookmarkStart w:id="165" w:name="_Toc251602205"/>
    </w:p>
    <w:p>
      <w:pPr>
        <w:shd w:val="clear"/>
        <w:spacing w:line="320" w:lineRule="exact"/>
        <w:rPr>
          <w:rFonts w:hint="eastAsia" w:ascii="宋体" w:hAnsi="宋体" w:cs="宋体"/>
          <w:color w:val="auto"/>
          <w:szCs w:val="21"/>
          <w:highlight w:val="none"/>
        </w:rPr>
      </w:pPr>
    </w:p>
    <w:p>
      <w:pPr>
        <w:pStyle w:val="5"/>
        <w:shd w:val="clear"/>
        <w:jc w:val="center"/>
        <w:rPr>
          <w:rFonts w:hint="eastAsia" w:ascii="宋体" w:hAnsi="宋体" w:eastAsia="宋体" w:cs="宋体"/>
          <w:color w:val="auto"/>
          <w:sz w:val="24"/>
          <w:highlight w:val="none"/>
        </w:rPr>
      </w:pPr>
      <w:bookmarkStart w:id="166" w:name="_Toc26573"/>
      <w:bookmarkStart w:id="167" w:name="_Toc22205"/>
      <w:bookmarkStart w:id="168" w:name="_Toc318084367"/>
      <w:bookmarkStart w:id="169" w:name="_Toc32085"/>
      <w:bookmarkStart w:id="170" w:name="_Toc4567"/>
      <w:bookmarkStart w:id="171" w:name="_Toc95211197"/>
      <w:bookmarkStart w:id="172" w:name="_Toc32480"/>
      <w:bookmarkStart w:id="173" w:name="_Toc2236"/>
      <w:r>
        <w:rPr>
          <w:rFonts w:hint="eastAsia" w:ascii="宋体" w:hAnsi="宋体" w:eastAsia="宋体" w:cs="宋体"/>
          <w:color w:val="auto"/>
          <w:sz w:val="28"/>
          <w:szCs w:val="28"/>
          <w:highlight w:val="none"/>
        </w:rPr>
        <w:t>一、资格证明文件格式</w:t>
      </w:r>
      <w:bookmarkEnd w:id="163"/>
      <w:bookmarkEnd w:id="166"/>
      <w:bookmarkEnd w:id="167"/>
      <w:bookmarkEnd w:id="168"/>
      <w:bookmarkEnd w:id="169"/>
      <w:bookmarkEnd w:id="170"/>
      <w:bookmarkEnd w:id="171"/>
      <w:bookmarkEnd w:id="172"/>
      <w:bookmarkEnd w:id="173"/>
    </w:p>
    <w:p>
      <w:pPr>
        <w:shd w:val="clea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xml:space="preserve">1、资格证明文件封面格式： </w:t>
      </w: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b/>
          <w:bCs/>
          <w:color w:val="auto"/>
          <w:sz w:val="24"/>
          <w:highlight w:val="none"/>
        </w:rPr>
      </w:pPr>
      <w:r>
        <w:rPr>
          <w:rFonts w:hint="eastAsia" w:ascii="宋体" w:hAnsi="宋体" w:cs="宋体"/>
          <w:color w:val="auto"/>
          <w:sz w:val="24"/>
          <w:highlight w:val="none"/>
        </w:rPr>
        <w:t xml:space="preserve">                                                         </w:t>
      </w:r>
    </w:p>
    <w:p>
      <w:pPr>
        <w:shd w:val="clear"/>
        <w:adjustRightInd w:val="0"/>
        <w:snapToGrid w:val="0"/>
        <w:jc w:val="center"/>
        <w:rPr>
          <w:rFonts w:hint="eastAsia" w:ascii="宋体" w:hAnsi="宋体" w:cs="宋体"/>
          <w:bCs/>
          <w:color w:val="auto"/>
          <w:sz w:val="30"/>
          <w:szCs w:val="30"/>
          <w:highlight w:val="none"/>
        </w:rPr>
      </w:pPr>
      <w:r>
        <w:rPr>
          <w:rFonts w:hint="eastAsia" w:ascii="宋体" w:hAnsi="宋体" w:cs="宋体"/>
          <w:bCs/>
          <w:color w:val="auto"/>
          <w:sz w:val="30"/>
          <w:szCs w:val="30"/>
          <w:highlight w:val="none"/>
        </w:rPr>
        <w:t>×××（投标人名称）</w:t>
      </w:r>
    </w:p>
    <w:p>
      <w:pPr>
        <w:shd w:val="clear"/>
        <w:adjustRightInd w:val="0"/>
        <w:snapToGrid w:val="0"/>
        <w:jc w:val="center"/>
        <w:rPr>
          <w:rFonts w:hint="eastAsia" w:ascii="宋体" w:hAnsi="宋体" w:cs="宋体"/>
          <w:bCs/>
          <w:color w:val="auto"/>
          <w:sz w:val="30"/>
          <w:szCs w:val="30"/>
          <w:highlight w:val="none"/>
        </w:rPr>
      </w:pPr>
    </w:p>
    <w:p>
      <w:pPr>
        <w:shd w:val="clear"/>
        <w:adjustRightInd w:val="0"/>
        <w:snapToGrid w:val="0"/>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资格证明文件</w:t>
      </w:r>
    </w:p>
    <w:p>
      <w:pPr>
        <w:shd w:val="clear"/>
        <w:adjustRightInd w:val="0"/>
        <w:snapToGrid w:val="0"/>
        <w:jc w:val="center"/>
        <w:rPr>
          <w:rFonts w:hint="eastAsia" w:ascii="宋体" w:hAnsi="宋体" w:cs="宋体"/>
          <w:b/>
          <w:bCs/>
          <w:color w:val="auto"/>
          <w:sz w:val="44"/>
          <w:szCs w:val="44"/>
          <w:highlight w:val="none"/>
        </w:rPr>
      </w:pPr>
    </w:p>
    <w:p>
      <w:pPr>
        <w:shd w:val="clear"/>
        <w:adjustRightInd w:val="0"/>
        <w:snapToGrid w:val="0"/>
        <w:jc w:val="center"/>
        <w:rPr>
          <w:rFonts w:hint="eastAsia" w:ascii="宋体" w:hAnsi="宋体" w:cs="宋体"/>
          <w:b/>
          <w:bCs/>
          <w:color w:val="auto"/>
          <w:sz w:val="44"/>
          <w:szCs w:val="44"/>
          <w:highlight w:val="none"/>
        </w:rPr>
      </w:pPr>
    </w:p>
    <w:p>
      <w:pPr>
        <w:shd w:val="clear"/>
        <w:adjustRightInd w:val="0"/>
        <w:snapToGrid w:val="0"/>
        <w:ind w:left="2250" w:leftChars="500" w:hanging="1200" w:hangingChars="500"/>
        <w:rPr>
          <w:rFonts w:hint="eastAsia" w:ascii="宋体" w:hAnsi="宋体" w:cs="宋体"/>
          <w:bCs/>
          <w:color w:val="auto"/>
          <w:sz w:val="24"/>
          <w:highlight w:val="none"/>
        </w:rPr>
      </w:pPr>
      <w:r>
        <w:rPr>
          <w:rFonts w:hint="eastAsia" w:ascii="宋体" w:hAnsi="宋体" w:cs="宋体"/>
          <w:bCs/>
          <w:color w:val="auto"/>
          <w:sz w:val="24"/>
          <w:highlight w:val="none"/>
        </w:rPr>
        <w:t xml:space="preserve">项目名称： </w:t>
      </w:r>
    </w:p>
    <w:p>
      <w:pPr>
        <w:shd w:val="clear"/>
        <w:adjustRightInd w:val="0"/>
        <w:snapToGrid w:val="0"/>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     项目编号：</w:t>
      </w:r>
    </w:p>
    <w:p>
      <w:pPr>
        <w:shd w:val="clear"/>
        <w:adjustRightInd w:val="0"/>
        <w:snapToGrid w:val="0"/>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投标人名称（盖章）：</w:t>
      </w:r>
    </w:p>
    <w:p>
      <w:pPr>
        <w:shd w:val="clear"/>
        <w:adjustRightInd w:val="0"/>
        <w:snapToGrid w:val="0"/>
        <w:ind w:firstLine="1080" w:firstLineChars="450"/>
        <w:rPr>
          <w:rFonts w:hint="eastAsia" w:ascii="宋体" w:hAnsi="宋体" w:cs="宋体"/>
          <w:color w:val="auto"/>
          <w:sz w:val="24"/>
          <w:highlight w:val="none"/>
        </w:rPr>
      </w:pPr>
      <w:r>
        <w:rPr>
          <w:rFonts w:hint="eastAsia" w:ascii="宋体" w:hAnsi="宋体" w:cs="宋体"/>
          <w:color w:val="auto"/>
          <w:sz w:val="24"/>
          <w:highlight w:val="none"/>
        </w:rPr>
        <w:t>投标人地址：</w:t>
      </w:r>
    </w:p>
    <w:p>
      <w:pPr>
        <w:shd w:val="clear"/>
        <w:adjustRightInd w:val="0"/>
        <w:snapToGrid w:val="0"/>
        <w:ind w:firstLine="4080" w:firstLineChars="1700"/>
        <w:rPr>
          <w:rFonts w:hint="eastAsia" w:ascii="宋体" w:hAnsi="宋体" w:cs="宋体"/>
          <w:color w:val="auto"/>
          <w:sz w:val="24"/>
          <w:highlight w:val="none"/>
        </w:rPr>
      </w:pPr>
      <w:r>
        <w:rPr>
          <w:rFonts w:hint="eastAsia" w:ascii="宋体" w:hAnsi="宋体" w:cs="宋体"/>
          <w:color w:val="auto"/>
          <w:sz w:val="24"/>
          <w:highlight w:val="none"/>
        </w:rPr>
        <w:t>授权代表签名或盖章：</w:t>
      </w:r>
    </w:p>
    <w:p>
      <w:pPr>
        <w:shd w:val="clear"/>
        <w:adjustRightInd w:val="0"/>
        <w:snapToGrid w:val="0"/>
        <w:ind w:firstLine="645"/>
        <w:jc w:val="right"/>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pPr>
        <w:shd w:val="clear"/>
        <w:adjustRightInd w:val="0"/>
        <w:snapToGrid w:val="0"/>
        <w:ind w:firstLine="645"/>
        <w:jc w:val="right"/>
        <w:rPr>
          <w:rFonts w:hint="eastAsia" w:ascii="宋体" w:hAnsi="宋体" w:cs="宋体"/>
          <w:color w:val="auto"/>
          <w:sz w:val="24"/>
          <w:highlight w:val="none"/>
        </w:rPr>
      </w:pPr>
    </w:p>
    <w:p>
      <w:pPr>
        <w:shd w:val="clear"/>
        <w:adjustRightInd w:val="0"/>
        <w:snapToGrid w:val="0"/>
        <w:ind w:firstLine="645"/>
        <w:jc w:val="right"/>
        <w:rPr>
          <w:rFonts w:hint="eastAsia" w:ascii="宋体" w:hAnsi="宋体" w:cs="宋体"/>
          <w:color w:val="auto"/>
          <w:sz w:val="24"/>
          <w:highlight w:val="none"/>
        </w:rPr>
      </w:pPr>
    </w:p>
    <w:p>
      <w:pPr>
        <w:shd w:val="clear"/>
        <w:adjustRightInd w:val="0"/>
        <w:snapToGrid w:val="0"/>
        <w:ind w:firstLine="645"/>
        <w:jc w:val="right"/>
        <w:rPr>
          <w:rFonts w:hint="eastAsia" w:ascii="宋体" w:hAnsi="宋体" w:cs="宋体"/>
          <w:color w:val="auto"/>
          <w:sz w:val="24"/>
          <w:highlight w:val="none"/>
        </w:rPr>
      </w:pPr>
    </w:p>
    <w:p>
      <w:pPr>
        <w:pStyle w:val="31"/>
        <w:shd w:val="clear"/>
        <w:rPr>
          <w:rFonts w:hint="eastAsia" w:ascii="宋体" w:hAnsi="宋体" w:cs="宋体"/>
          <w:color w:val="auto"/>
          <w:sz w:val="24"/>
          <w:highlight w:val="none"/>
        </w:rPr>
      </w:pPr>
    </w:p>
    <w:p>
      <w:pPr>
        <w:shd w:val="clear"/>
        <w:rPr>
          <w:rFonts w:hint="eastAsia" w:ascii="宋体" w:hAnsi="宋体" w:cs="宋体"/>
          <w:color w:val="auto"/>
          <w:sz w:val="24"/>
          <w:highlight w:val="none"/>
        </w:rPr>
      </w:pPr>
    </w:p>
    <w:p>
      <w:pPr>
        <w:pStyle w:val="31"/>
        <w:shd w:val="clear"/>
        <w:rPr>
          <w:rFonts w:hint="eastAsia" w:ascii="宋体" w:hAnsi="宋体" w:cs="宋体"/>
          <w:color w:val="auto"/>
          <w:sz w:val="24"/>
          <w:highlight w:val="none"/>
        </w:rPr>
      </w:pPr>
    </w:p>
    <w:p>
      <w:pPr>
        <w:shd w:val="clear"/>
        <w:rPr>
          <w:rFonts w:hint="eastAsia" w:ascii="宋体" w:hAnsi="宋体" w:cs="宋体"/>
          <w:color w:val="auto"/>
          <w:sz w:val="24"/>
          <w:highlight w:val="none"/>
        </w:rPr>
      </w:pPr>
    </w:p>
    <w:p>
      <w:pPr>
        <w:pStyle w:val="31"/>
        <w:shd w:val="clear"/>
        <w:rPr>
          <w:rFonts w:hint="eastAsia" w:ascii="宋体" w:hAnsi="宋体" w:cs="宋体"/>
          <w:color w:val="auto"/>
          <w:sz w:val="24"/>
          <w:highlight w:val="none"/>
        </w:rPr>
      </w:pPr>
    </w:p>
    <w:p>
      <w:pPr>
        <w:shd w:val="clear"/>
        <w:rPr>
          <w:rFonts w:hint="eastAsia" w:ascii="宋体" w:hAnsi="宋体" w:cs="宋体"/>
          <w:color w:val="auto"/>
          <w:sz w:val="24"/>
          <w:highlight w:val="none"/>
        </w:rPr>
      </w:pPr>
    </w:p>
    <w:p>
      <w:pPr>
        <w:pStyle w:val="31"/>
        <w:shd w:val="clear"/>
        <w:rPr>
          <w:rFonts w:hint="eastAsia" w:ascii="宋体" w:hAnsi="宋体" w:cs="宋体"/>
          <w:color w:val="auto"/>
          <w:sz w:val="24"/>
          <w:highlight w:val="none"/>
        </w:rPr>
      </w:pPr>
    </w:p>
    <w:p>
      <w:pPr>
        <w:shd w:val="clear"/>
        <w:rPr>
          <w:rFonts w:hint="eastAsia" w:ascii="宋体" w:hAnsi="宋体" w:cs="宋体"/>
          <w:color w:val="auto"/>
          <w:sz w:val="24"/>
          <w:highlight w:val="none"/>
        </w:rPr>
      </w:pPr>
    </w:p>
    <w:p>
      <w:pPr>
        <w:pStyle w:val="31"/>
        <w:shd w:val="clear"/>
        <w:rPr>
          <w:rFonts w:hint="eastAsia" w:ascii="宋体" w:hAnsi="宋体" w:cs="宋体"/>
          <w:color w:val="auto"/>
          <w:sz w:val="24"/>
          <w:highlight w:val="none"/>
        </w:rPr>
      </w:pPr>
    </w:p>
    <w:p>
      <w:pPr>
        <w:shd w:val="clear"/>
        <w:rPr>
          <w:rFonts w:hint="eastAsia" w:ascii="宋体" w:hAnsi="宋体" w:cs="宋体"/>
          <w:color w:val="auto"/>
          <w:sz w:val="24"/>
          <w:highlight w:val="none"/>
        </w:rPr>
      </w:pPr>
    </w:p>
    <w:p>
      <w:pPr>
        <w:pStyle w:val="31"/>
        <w:shd w:val="clear"/>
        <w:rPr>
          <w:rFonts w:hint="eastAsia" w:ascii="宋体" w:hAnsi="宋体" w:cs="宋体"/>
          <w:color w:val="auto"/>
          <w:sz w:val="24"/>
          <w:highlight w:val="none"/>
        </w:rPr>
      </w:pPr>
    </w:p>
    <w:p>
      <w:pPr>
        <w:shd w:val="clear"/>
        <w:rPr>
          <w:rFonts w:hint="eastAsia" w:ascii="宋体" w:hAnsi="宋体" w:cs="宋体"/>
          <w:color w:val="auto"/>
          <w:sz w:val="24"/>
          <w:highlight w:val="none"/>
        </w:rPr>
      </w:pPr>
    </w:p>
    <w:p>
      <w:pPr>
        <w:pStyle w:val="31"/>
        <w:shd w:val="clear"/>
        <w:rPr>
          <w:rFonts w:hint="eastAsia" w:ascii="宋体" w:hAnsi="宋体" w:cs="宋体"/>
          <w:color w:val="auto"/>
          <w:sz w:val="24"/>
          <w:highlight w:val="none"/>
        </w:rPr>
      </w:pPr>
    </w:p>
    <w:p>
      <w:pPr>
        <w:shd w:val="clear"/>
        <w:rPr>
          <w:rFonts w:hint="eastAsia"/>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ind w:firstLine="0"/>
        <w:jc w:val="left"/>
        <w:rPr>
          <w:rFonts w:hint="eastAsia" w:ascii="宋体" w:hAnsi="宋体" w:cs="宋体"/>
          <w:color w:val="auto"/>
          <w:sz w:val="24"/>
          <w:highlight w:val="none"/>
        </w:rPr>
      </w:pPr>
      <w:r>
        <w:rPr>
          <w:rFonts w:hint="eastAsia" w:ascii="宋体" w:hAnsi="宋体" w:cs="宋体"/>
          <w:color w:val="auto"/>
          <w:sz w:val="24"/>
          <w:highlight w:val="none"/>
        </w:rPr>
        <w:t>2、目录</w:t>
      </w:r>
    </w:p>
    <w:p>
      <w:pPr>
        <w:shd w:val="clear"/>
        <w:adjustRightInd w:val="0"/>
        <w:snapToGrid w:val="0"/>
        <w:spacing w:line="360" w:lineRule="exact"/>
        <w:ind w:firstLine="422" w:firstLineChars="200"/>
        <w:jc w:val="left"/>
        <w:rPr>
          <w:rFonts w:ascii="宋体" w:hAnsi="宋体" w:cs="宋体"/>
          <w:b/>
          <w:szCs w:val="21"/>
          <w:highlight w:val="none"/>
        </w:rPr>
      </w:pPr>
      <w:r>
        <w:rPr>
          <w:rFonts w:hint="eastAsia" w:ascii="宋体" w:hAnsi="宋体" w:cs="宋体"/>
          <w:b/>
          <w:szCs w:val="21"/>
          <w:highlight w:val="none"/>
        </w:rPr>
        <w:t>1、资格证明文件包括：</w:t>
      </w:r>
    </w:p>
    <w:p>
      <w:pPr>
        <w:numPr>
          <w:ilvl w:val="0"/>
          <w:numId w:val="12"/>
        </w:numPr>
        <w:shd w:val="clear"/>
        <w:tabs>
          <w:tab w:val="clear" w:pos="533"/>
        </w:tabs>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投标资格声明书（格式见第六章）；</w:t>
      </w:r>
    </w:p>
    <w:p>
      <w:pPr>
        <w:numPr>
          <w:ilvl w:val="0"/>
          <w:numId w:val="12"/>
        </w:numPr>
        <w:shd w:val="clear"/>
        <w:tabs>
          <w:tab w:val="clear" w:pos="533"/>
        </w:tabs>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营业执照副本复印件；</w:t>
      </w:r>
    </w:p>
    <w:p>
      <w:pPr>
        <w:numPr>
          <w:ilvl w:val="0"/>
          <w:numId w:val="12"/>
        </w:numPr>
        <w:shd w:val="clea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投标人最近依法缴纳税收的完税凭证复印件或不征（免征）税收证明书；或承诺函</w:t>
      </w:r>
    </w:p>
    <w:p>
      <w:pPr>
        <w:numPr>
          <w:ilvl w:val="0"/>
          <w:numId w:val="12"/>
        </w:numPr>
        <w:shd w:val="clear"/>
        <w:tabs>
          <w:tab w:val="clear" w:pos="533"/>
        </w:tabs>
        <w:adjustRightInd w:val="0"/>
        <w:snapToGrid w:val="0"/>
        <w:spacing w:line="360" w:lineRule="exact"/>
        <w:ind w:left="0" w:firstLine="0"/>
        <w:jc w:val="left"/>
        <w:rPr>
          <w:rFonts w:hint="eastAsia" w:ascii="宋体" w:hAnsi="宋体" w:eastAsia="宋体" w:cs="宋体"/>
          <w:szCs w:val="21"/>
          <w:highlight w:val="none"/>
        </w:rPr>
      </w:pPr>
      <w:r>
        <w:rPr>
          <w:rFonts w:hint="eastAsia" w:ascii="宋体" w:hAnsi="宋体" w:eastAsia="宋体" w:cs="宋体"/>
          <w:szCs w:val="21"/>
          <w:highlight w:val="none"/>
        </w:rPr>
        <w:t>投标人最近依法缴纳社保费的凭证复印件或不征（免征）社保证明书；或承诺函</w:t>
      </w:r>
    </w:p>
    <w:p>
      <w:pPr>
        <w:shd w:val="clear"/>
        <w:rPr>
          <w:color w:val="auto"/>
          <w:highlight w:val="none"/>
        </w:rPr>
      </w:pPr>
    </w:p>
    <w:p>
      <w:pPr>
        <w:shd w:val="clear"/>
        <w:rPr>
          <w:color w:val="auto"/>
          <w:highlight w:val="none"/>
        </w:rPr>
      </w:pPr>
    </w:p>
    <w:p>
      <w:pPr>
        <w:pStyle w:val="31"/>
        <w:shd w:val="clear"/>
        <w:rPr>
          <w:color w:val="auto"/>
          <w:highlight w:val="none"/>
        </w:rPr>
      </w:pPr>
    </w:p>
    <w:p>
      <w:pPr>
        <w:shd w:val="clear"/>
        <w:rPr>
          <w:color w:val="auto"/>
          <w:highlight w:val="none"/>
        </w:rPr>
      </w:pPr>
    </w:p>
    <w:p>
      <w:pPr>
        <w:pStyle w:val="31"/>
        <w:shd w:val="clear"/>
        <w:rPr>
          <w:color w:val="auto"/>
          <w:highlight w:val="none"/>
        </w:rPr>
      </w:pPr>
    </w:p>
    <w:p>
      <w:pPr>
        <w:shd w:val="clear"/>
        <w:rPr>
          <w:color w:val="auto"/>
          <w:highlight w:val="none"/>
        </w:rPr>
      </w:pPr>
    </w:p>
    <w:p>
      <w:pPr>
        <w:pStyle w:val="31"/>
        <w:shd w:val="clear"/>
        <w:rPr>
          <w:color w:val="auto"/>
          <w:highlight w:val="none"/>
        </w:rPr>
      </w:pPr>
    </w:p>
    <w:p>
      <w:pPr>
        <w:shd w:val="clear"/>
        <w:rPr>
          <w:color w:val="auto"/>
          <w:highlight w:val="none"/>
        </w:rPr>
      </w:pPr>
    </w:p>
    <w:p>
      <w:pPr>
        <w:pStyle w:val="31"/>
        <w:shd w:val="clear"/>
        <w:rPr>
          <w:color w:val="auto"/>
          <w:highlight w:val="none"/>
        </w:rPr>
      </w:pPr>
    </w:p>
    <w:p>
      <w:pPr>
        <w:shd w:val="clear"/>
        <w:rPr>
          <w:color w:val="auto"/>
          <w:highlight w:val="none"/>
        </w:rPr>
      </w:pPr>
    </w:p>
    <w:p>
      <w:pPr>
        <w:pStyle w:val="31"/>
        <w:shd w:val="clear"/>
        <w:rPr>
          <w:color w:val="auto"/>
          <w:highlight w:val="none"/>
        </w:rPr>
      </w:pPr>
    </w:p>
    <w:p>
      <w:pPr>
        <w:shd w:val="clear"/>
        <w:rPr>
          <w:color w:val="auto"/>
          <w:highlight w:val="none"/>
        </w:rPr>
      </w:pPr>
    </w:p>
    <w:p>
      <w:pPr>
        <w:pStyle w:val="31"/>
        <w:shd w:val="clear"/>
        <w:rPr>
          <w:color w:val="auto"/>
          <w:highlight w:val="none"/>
        </w:rPr>
      </w:pPr>
    </w:p>
    <w:p>
      <w:pPr>
        <w:shd w:val="clear"/>
        <w:rPr>
          <w:color w:val="auto"/>
          <w:highlight w:val="none"/>
        </w:rPr>
      </w:pPr>
    </w:p>
    <w:p>
      <w:pPr>
        <w:pStyle w:val="31"/>
        <w:shd w:val="clear"/>
        <w:rPr>
          <w:color w:val="auto"/>
          <w:highlight w:val="none"/>
        </w:rPr>
      </w:pPr>
    </w:p>
    <w:p>
      <w:pPr>
        <w:shd w:val="clear"/>
        <w:rPr>
          <w:color w:val="auto"/>
          <w:highlight w:val="none"/>
        </w:rPr>
      </w:pPr>
    </w:p>
    <w:p>
      <w:pPr>
        <w:pStyle w:val="31"/>
        <w:shd w:val="clear"/>
        <w:rPr>
          <w:color w:val="auto"/>
          <w:highlight w:val="none"/>
        </w:rPr>
      </w:pPr>
    </w:p>
    <w:p>
      <w:pPr>
        <w:shd w:val="clear"/>
        <w:rPr>
          <w:color w:val="auto"/>
          <w:highlight w:val="none"/>
        </w:rPr>
      </w:pPr>
    </w:p>
    <w:p>
      <w:pPr>
        <w:pStyle w:val="31"/>
        <w:shd w:val="clear"/>
        <w:rPr>
          <w:color w:val="auto"/>
          <w:highlight w:val="none"/>
        </w:rPr>
      </w:pPr>
    </w:p>
    <w:p>
      <w:pPr>
        <w:shd w:val="clear"/>
        <w:rPr>
          <w:color w:val="auto"/>
          <w:highlight w:val="none"/>
        </w:rPr>
      </w:pPr>
    </w:p>
    <w:p>
      <w:pPr>
        <w:pStyle w:val="31"/>
        <w:shd w:val="clear"/>
        <w:rPr>
          <w:color w:val="auto"/>
          <w:highlight w:val="none"/>
        </w:rPr>
      </w:pPr>
    </w:p>
    <w:p>
      <w:pPr>
        <w:shd w:val="clear"/>
        <w:rPr>
          <w:color w:val="auto"/>
          <w:highlight w:val="none"/>
        </w:rPr>
      </w:pPr>
    </w:p>
    <w:p>
      <w:pPr>
        <w:pStyle w:val="31"/>
        <w:shd w:val="clear"/>
        <w:rPr>
          <w:color w:val="auto"/>
          <w:highlight w:val="none"/>
        </w:rPr>
      </w:pPr>
    </w:p>
    <w:p>
      <w:pPr>
        <w:shd w:val="clear"/>
        <w:rPr>
          <w:color w:val="auto"/>
          <w:highlight w:val="none"/>
        </w:rPr>
      </w:pPr>
    </w:p>
    <w:p>
      <w:pPr>
        <w:pStyle w:val="31"/>
        <w:shd w:val="clear"/>
        <w:rPr>
          <w:color w:val="auto"/>
          <w:highlight w:val="none"/>
        </w:rPr>
      </w:pPr>
    </w:p>
    <w:p>
      <w:pPr>
        <w:shd w:val="clear"/>
        <w:rPr>
          <w:color w:val="auto"/>
          <w:highlight w:val="none"/>
        </w:rPr>
      </w:pPr>
    </w:p>
    <w:p>
      <w:pPr>
        <w:pStyle w:val="31"/>
        <w:shd w:val="clear"/>
        <w:rPr>
          <w:color w:val="auto"/>
          <w:highlight w:val="none"/>
        </w:rPr>
      </w:pPr>
    </w:p>
    <w:p>
      <w:pPr>
        <w:pStyle w:val="23"/>
        <w:shd w:val="clear"/>
        <w:rPr>
          <w:color w:val="auto"/>
          <w:highlight w:val="none"/>
        </w:rPr>
      </w:pPr>
    </w:p>
    <w:p>
      <w:pPr>
        <w:shd w:val="clear"/>
        <w:rPr>
          <w:color w:val="auto"/>
          <w:highlight w:val="none"/>
        </w:rPr>
      </w:pPr>
    </w:p>
    <w:p>
      <w:pPr>
        <w:pStyle w:val="31"/>
        <w:shd w:val="clear"/>
        <w:rPr>
          <w:color w:val="auto"/>
          <w:highlight w:val="none"/>
        </w:rPr>
      </w:pPr>
    </w:p>
    <w:p>
      <w:pPr>
        <w:pStyle w:val="23"/>
        <w:shd w:val="clear"/>
        <w:rPr>
          <w:color w:val="auto"/>
          <w:highlight w:val="none"/>
        </w:rPr>
      </w:pPr>
    </w:p>
    <w:p>
      <w:pPr>
        <w:shd w:val="clear"/>
        <w:rPr>
          <w:color w:val="auto"/>
          <w:highlight w:val="none"/>
        </w:rPr>
      </w:pPr>
    </w:p>
    <w:p>
      <w:pPr>
        <w:pStyle w:val="31"/>
        <w:shd w:val="clear"/>
        <w:rPr>
          <w:color w:val="auto"/>
          <w:highlight w:val="none"/>
        </w:rPr>
      </w:pPr>
    </w:p>
    <w:p>
      <w:pPr>
        <w:pStyle w:val="23"/>
        <w:shd w:val="clear"/>
        <w:rPr>
          <w:color w:val="auto"/>
          <w:highlight w:val="none"/>
        </w:rPr>
      </w:pPr>
    </w:p>
    <w:p>
      <w:pPr>
        <w:shd w:val="clear"/>
        <w:rPr>
          <w:color w:val="auto"/>
          <w:highlight w:val="none"/>
        </w:rPr>
      </w:pPr>
    </w:p>
    <w:p>
      <w:pPr>
        <w:pStyle w:val="31"/>
        <w:shd w:val="clear"/>
        <w:rPr>
          <w:color w:val="auto"/>
          <w:highlight w:val="none"/>
        </w:rPr>
      </w:pPr>
    </w:p>
    <w:p>
      <w:pPr>
        <w:pStyle w:val="23"/>
        <w:shd w:val="clear"/>
        <w:rPr>
          <w:highlight w:val="none"/>
        </w:rPr>
      </w:pPr>
    </w:p>
    <w:p>
      <w:pPr>
        <w:pStyle w:val="31"/>
        <w:shd w:val="clear"/>
        <w:rPr>
          <w:color w:val="auto"/>
          <w:highlight w:val="none"/>
        </w:rPr>
      </w:pPr>
    </w:p>
    <w:p>
      <w:pPr>
        <w:pStyle w:val="23"/>
        <w:shd w:val="clear"/>
        <w:rPr>
          <w:highlight w:val="none"/>
        </w:rPr>
      </w:pPr>
    </w:p>
    <w:p>
      <w:pPr>
        <w:shd w:val="clear"/>
        <w:rPr>
          <w:highlight w:val="none"/>
        </w:rPr>
      </w:pPr>
    </w:p>
    <w:p>
      <w:pPr>
        <w:shd w:val="clear"/>
        <w:rPr>
          <w:rFonts w:hint="eastAsia" w:ascii="宋体" w:hAnsi="宋体" w:cs="宋体"/>
          <w:color w:val="auto"/>
          <w:sz w:val="24"/>
          <w:highlight w:val="none"/>
        </w:rPr>
      </w:pPr>
      <w:r>
        <w:rPr>
          <w:rFonts w:hint="eastAsia" w:ascii="宋体" w:hAnsi="宋体" w:cs="宋体"/>
          <w:color w:val="auto"/>
          <w:sz w:val="24"/>
          <w:highlight w:val="none"/>
        </w:rPr>
        <w:t>3、投标资格声明书格式：</w:t>
      </w:r>
    </w:p>
    <w:p>
      <w:pPr>
        <w:shd w:val="clear"/>
        <w:rPr>
          <w:rFonts w:hint="eastAsia"/>
          <w:color w:val="auto"/>
          <w:highlight w:val="none"/>
        </w:rPr>
      </w:pPr>
    </w:p>
    <w:p>
      <w:pPr>
        <w:shd w:val="clear"/>
        <w:adjustRightInd w:val="0"/>
        <w:snapToGrid w:val="0"/>
        <w:jc w:val="center"/>
        <w:rPr>
          <w:rFonts w:hint="eastAsia" w:ascii="宋体" w:hAnsi="宋体" w:cs="宋体"/>
          <w:b/>
          <w:color w:val="auto"/>
          <w:sz w:val="44"/>
          <w:szCs w:val="44"/>
          <w:highlight w:val="none"/>
        </w:rPr>
      </w:pPr>
      <w:r>
        <w:rPr>
          <w:rFonts w:hint="eastAsia" w:ascii="宋体" w:hAnsi="宋体" w:cs="宋体"/>
          <w:b/>
          <w:color w:val="auto"/>
          <w:sz w:val="36"/>
          <w:szCs w:val="36"/>
          <w:highlight w:val="none"/>
        </w:rPr>
        <w:t>投标资格声明书</w:t>
      </w:r>
    </w:p>
    <w:p>
      <w:pPr>
        <w:shd w:val="clear"/>
        <w:adjustRightInd w:val="0"/>
        <w:snapToGrid w:val="0"/>
        <w:spacing w:line="400" w:lineRule="exact"/>
        <w:rPr>
          <w:rFonts w:hint="eastAsia" w:ascii="宋体" w:hAnsi="宋体" w:cs="宋体"/>
          <w:color w:val="auto"/>
          <w:spacing w:val="8"/>
          <w:kern w:val="0"/>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lang w:eastAsia="zh-CN"/>
        </w:rPr>
        <w:t>安吉县林业局</w:t>
      </w:r>
      <w:r>
        <w:rPr>
          <w:rFonts w:hint="eastAsia" w:ascii="宋体" w:hAnsi="宋体" w:cs="宋体"/>
          <w:color w:val="auto"/>
          <w:szCs w:val="21"/>
          <w:highlight w:val="none"/>
          <w:u w:val="single"/>
        </w:rPr>
        <w:t>：</w:t>
      </w:r>
    </w:p>
    <w:p>
      <w:pPr>
        <w:shd w:val="clear"/>
        <w:adjustRightInd w:val="0"/>
        <w:snapToGrid w:val="0"/>
        <w:spacing w:line="40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u w:val="single"/>
        </w:rPr>
        <w:t>安吉精诚采购代理有限公司</w:t>
      </w:r>
      <w:r>
        <w:rPr>
          <w:rFonts w:hint="eastAsia" w:ascii="宋体" w:hAnsi="宋体" w:cs="宋体"/>
          <w:color w:val="auto"/>
          <w:szCs w:val="21"/>
          <w:highlight w:val="none"/>
        </w:rPr>
        <w:t>：</w:t>
      </w:r>
    </w:p>
    <w:p>
      <w:pPr>
        <w:shd w:val="clear"/>
        <w:tabs>
          <w:tab w:val="left" w:pos="1418"/>
        </w:tabs>
        <w:snapToGrid w:val="0"/>
        <w:spacing w:before="50" w:after="5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（投标人名称）系中华人民共和国合法企业，经营地址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hd w:val="clear"/>
        <w:tabs>
          <w:tab w:val="left" w:pos="1418"/>
        </w:tabs>
        <w:snapToGrid w:val="0"/>
        <w:spacing w:before="50" w:after="5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（投标人名称）的法定代表人，我方愿意参加贵方组织的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项目的投标，为便于贵方公正、择优地确定中标人及其投标项目的服务，我方就本次投标有关事项郑重声明如下：</w:t>
      </w:r>
    </w:p>
    <w:p>
      <w:pPr>
        <w:shd w:val="clea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1、我方向贵方提交的所有投标文件、资料都是准确的和真实的；</w:t>
      </w:r>
    </w:p>
    <w:p>
      <w:pPr>
        <w:shd w:val="clea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2、我方不是采购人的附属机构；在获知本项目采购信息后，与采购人聘请的为此项目提供咨询服务的公司及其附属机构没有任何联系。</w:t>
      </w:r>
    </w:p>
    <w:p>
      <w:pPr>
        <w:shd w:val="clea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3、我方承诺已经具备招标文件规定的参加本项目政府采购活动的投标人应当具备的条件：</w:t>
      </w:r>
    </w:p>
    <w:p>
      <w:pPr>
        <w:shd w:val="clea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pPr>
        <w:shd w:val="clea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pPr>
        <w:shd w:val="clea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pPr>
        <w:shd w:val="clea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pPr>
        <w:shd w:val="clea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（5）参加本次政府采购活动前三年内，在经营活动中没有重大违法记录；</w:t>
      </w:r>
    </w:p>
    <w:p>
      <w:pPr>
        <w:shd w:val="clea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（6）至本项目投标截止时间前，我方未列入失信被执行人、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w:t>
      </w:r>
    </w:p>
    <w:p>
      <w:pPr>
        <w:shd w:val="clea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4、以上事项如有虚假或隐瞒，我方愿意承担一切后果和责任。</w:t>
      </w:r>
    </w:p>
    <w:p>
      <w:pPr>
        <w:shd w:val="clear"/>
        <w:adjustRightInd w:val="0"/>
        <w:snapToGrid w:val="0"/>
        <w:spacing w:line="400" w:lineRule="exact"/>
        <w:ind w:firstLine="420" w:firstLineChars="200"/>
        <w:rPr>
          <w:rFonts w:hint="eastAsia" w:ascii="宋体" w:hAnsi="宋体" w:cs="宋体"/>
          <w:color w:val="auto"/>
          <w:szCs w:val="21"/>
          <w:highlight w:val="none"/>
          <w:u w:val="single"/>
        </w:rPr>
      </w:pPr>
    </w:p>
    <w:p>
      <w:pPr>
        <w:shd w:val="clear"/>
        <w:adjustRightInd w:val="0"/>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p>
    <w:p>
      <w:pPr>
        <w:shd w:val="clear"/>
        <w:adjustRightInd w:val="0"/>
        <w:snapToGrid w:val="0"/>
        <w:spacing w:line="400" w:lineRule="exact"/>
        <w:ind w:firstLine="420" w:firstLineChars="200"/>
        <w:rPr>
          <w:rFonts w:hint="eastAsia" w:ascii="宋体" w:hAnsi="宋体" w:cs="宋体"/>
          <w:color w:val="auto"/>
          <w:szCs w:val="21"/>
          <w:highlight w:val="none"/>
          <w:u w:val="single"/>
        </w:rPr>
      </w:pPr>
    </w:p>
    <w:p>
      <w:pPr>
        <w:shd w:val="clear"/>
        <w:adjustRightInd w:val="0"/>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投标人全称（盖章）：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hd w:val="clear"/>
        <w:adjustRightInd w:val="0"/>
        <w:snapToGrid w:val="0"/>
        <w:spacing w:line="400" w:lineRule="exact"/>
        <w:ind w:firstLine="210" w:firstLineChars="100"/>
        <w:jc w:val="right"/>
        <w:rPr>
          <w:rFonts w:hint="eastAsia" w:ascii="宋体" w:hAnsi="宋体" w:cs="宋体"/>
          <w:color w:val="auto"/>
          <w:szCs w:val="21"/>
          <w:highlight w:val="none"/>
        </w:rPr>
      </w:pPr>
      <w:r>
        <w:rPr>
          <w:rFonts w:hint="eastAsia" w:ascii="宋体" w:hAnsi="宋体" w:cs="宋体"/>
          <w:color w:val="auto"/>
          <w:szCs w:val="21"/>
          <w:highlight w:val="none"/>
        </w:rPr>
        <w:t>年    月    日</w:t>
      </w:r>
    </w:p>
    <w:p>
      <w:pPr>
        <w:shd w:val="clear"/>
        <w:rPr>
          <w:rFonts w:hint="eastAsia"/>
          <w:color w:val="auto"/>
          <w:highlight w:val="none"/>
        </w:rPr>
      </w:pPr>
    </w:p>
    <w:p>
      <w:pPr>
        <w:shd w:val="clea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说明：重大违法记录是指因违法经营受到刑事处罚或者责令停产停业、吊销许可证或者执照、较大数额罚款等行政处罚。</w:t>
      </w:r>
    </w:p>
    <w:p>
      <w:pPr>
        <w:shd w:val="clear"/>
        <w:adjustRightInd w:val="0"/>
        <w:snapToGrid w:val="0"/>
        <w:ind w:firstLine="645"/>
        <w:jc w:val="left"/>
        <w:rPr>
          <w:rFonts w:hint="eastAsia" w:ascii="宋体" w:hAnsi="宋体" w:cs="宋体"/>
          <w:color w:val="auto"/>
          <w:sz w:val="24"/>
          <w:highlight w:val="none"/>
        </w:rPr>
      </w:pPr>
    </w:p>
    <w:p>
      <w:pPr>
        <w:shd w:val="clear"/>
        <w:adjustRightInd w:val="0"/>
        <w:snapToGrid w:val="0"/>
        <w:ind w:firstLine="645"/>
        <w:jc w:val="left"/>
        <w:rPr>
          <w:rFonts w:hint="eastAsia" w:ascii="宋体" w:hAnsi="宋体" w:cs="宋体"/>
          <w:color w:val="auto"/>
          <w:sz w:val="24"/>
          <w:highlight w:val="none"/>
        </w:rPr>
      </w:pPr>
    </w:p>
    <w:p>
      <w:pPr>
        <w:shd w:val="clear"/>
        <w:rPr>
          <w:rFonts w:hint="eastAsia" w:ascii="宋体" w:hAnsi="宋体" w:cs="宋体"/>
          <w:color w:val="auto"/>
          <w:sz w:val="24"/>
          <w:highlight w:val="none"/>
        </w:rPr>
      </w:pPr>
    </w:p>
    <w:p>
      <w:pPr>
        <w:shd w:val="clear"/>
        <w:spacing w:line="400" w:lineRule="exact"/>
        <w:rPr>
          <w:rFonts w:hint="eastAsia" w:ascii="宋体" w:hAnsi="宋体" w:cs="宋体"/>
          <w:color w:val="auto"/>
          <w:highlight w:val="none"/>
        </w:rPr>
      </w:pPr>
    </w:p>
    <w:p>
      <w:pPr>
        <w:shd w:val="clear"/>
        <w:rPr>
          <w:rFonts w:hint="eastAsia"/>
          <w:color w:val="auto"/>
          <w:highlight w:val="none"/>
        </w:rPr>
      </w:pPr>
    </w:p>
    <w:p>
      <w:pPr>
        <w:shd w:val="clear"/>
        <w:spacing w:line="400" w:lineRule="exact"/>
        <w:rPr>
          <w:rFonts w:hint="eastAsia" w:ascii="宋体" w:hAnsi="宋体" w:cs="宋体"/>
          <w:color w:val="auto"/>
          <w:highlight w:val="none"/>
        </w:rPr>
      </w:pPr>
    </w:p>
    <w:p>
      <w:pPr>
        <w:shd w:val="clear"/>
        <w:rPr>
          <w:rFonts w:hint="eastAsia"/>
          <w:color w:val="auto"/>
          <w:highlight w:val="none"/>
        </w:rPr>
      </w:pPr>
    </w:p>
    <w:p>
      <w:pPr>
        <w:pStyle w:val="31"/>
        <w:shd w:val="clear"/>
        <w:rPr>
          <w:rFonts w:hint="eastAsia"/>
          <w:color w:val="auto"/>
          <w:highlight w:val="none"/>
        </w:rPr>
      </w:pPr>
    </w:p>
    <w:p>
      <w:pPr>
        <w:shd w:val="clear"/>
        <w:spacing w:line="400" w:lineRule="exact"/>
        <w:rPr>
          <w:rFonts w:hint="eastAsia"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中小/</w:t>
      </w:r>
      <w:r>
        <w:rPr>
          <w:rFonts w:hint="eastAsia" w:ascii="宋体" w:hAnsi="宋体" w:cs="宋体"/>
          <w:color w:val="auto"/>
          <w:highlight w:val="none"/>
        </w:rPr>
        <w:t>小微企业声明函：</w:t>
      </w:r>
    </w:p>
    <w:p>
      <w:pPr>
        <w:shd w:val="clear"/>
        <w:spacing w:line="588" w:lineRule="exact"/>
        <w:jc w:val="center"/>
        <w:rPr>
          <w:rFonts w:hint="eastAsia" w:ascii="宋体" w:hAnsi="宋体" w:cs="宋体"/>
          <w:b/>
          <w:color w:val="auto"/>
          <w:spacing w:val="6"/>
          <w:sz w:val="32"/>
          <w:szCs w:val="32"/>
          <w:highlight w:val="none"/>
        </w:rPr>
      </w:pPr>
    </w:p>
    <w:p>
      <w:pPr>
        <w:shd w:val="clear"/>
        <w:snapToGrid w:val="0"/>
        <w:spacing w:before="50" w:after="50" w:line="500" w:lineRule="exact"/>
        <w:jc w:val="center"/>
        <w:rPr>
          <w:rFonts w:hint="eastAsia" w:ascii="宋体" w:hAnsi="宋体" w:cs="宋体"/>
          <w:b/>
          <w:sz w:val="44"/>
          <w:szCs w:val="44"/>
          <w:highlight w:val="none"/>
        </w:rPr>
      </w:pPr>
      <w:r>
        <w:rPr>
          <w:rFonts w:hint="eastAsia" w:ascii="宋体" w:hAnsi="宋体" w:cs="宋体"/>
          <w:b/>
          <w:sz w:val="44"/>
          <w:szCs w:val="44"/>
          <w:highlight w:val="none"/>
        </w:rPr>
        <w:t>中小企业声明函</w:t>
      </w:r>
    </w:p>
    <w:p>
      <w:pPr>
        <w:shd w:val="clear"/>
        <w:rPr>
          <w:rFonts w:hint="eastAsia" w:ascii="宋体" w:hAnsi="宋体" w:cs="宋体"/>
          <w:highlight w:val="none"/>
        </w:rPr>
      </w:pPr>
    </w:p>
    <w:p>
      <w:pPr>
        <w:widowControl/>
        <w:shd w:val="clear"/>
        <w:ind w:firstLine="620" w:firstLineChars="200"/>
        <w:jc w:val="left"/>
        <w:rPr>
          <w:rFonts w:hint="eastAsia" w:ascii="宋体" w:hAnsi="宋体" w:cs="宋体"/>
          <w:highlight w:val="none"/>
        </w:rPr>
      </w:pPr>
      <w:r>
        <w:rPr>
          <w:rFonts w:hint="eastAsia" w:ascii="宋体" w:hAnsi="宋体" w:cs="宋体"/>
          <w:color w:val="000000"/>
          <w:kern w:val="0"/>
          <w:sz w:val="31"/>
          <w:szCs w:val="31"/>
          <w:highlight w:val="none"/>
          <w:lang w:bidi="ar"/>
        </w:rPr>
        <w:t>本公司（联合体）郑重声明，根据《政府采购促进中小企业发展管理办法》（财库﹝2020﹞46 号）的规定，本公司（联合体）参加</w:t>
      </w:r>
      <w:r>
        <w:rPr>
          <w:rFonts w:hint="eastAsia" w:ascii="宋体" w:hAnsi="宋体" w:cs="宋体"/>
          <w:i/>
          <w:color w:val="000000"/>
          <w:kern w:val="0"/>
          <w:sz w:val="32"/>
          <w:szCs w:val="32"/>
          <w:highlight w:val="none"/>
          <w:u w:val="single"/>
          <w:lang w:bidi="ar"/>
        </w:rPr>
        <w:t>（单位名称）</w:t>
      </w:r>
      <w:r>
        <w:rPr>
          <w:rFonts w:hint="eastAsia" w:ascii="宋体" w:hAnsi="宋体" w:cs="宋体"/>
          <w:color w:val="000000"/>
          <w:kern w:val="0"/>
          <w:sz w:val="31"/>
          <w:szCs w:val="31"/>
          <w:highlight w:val="none"/>
          <w:lang w:bidi="ar"/>
        </w:rPr>
        <w:t>的</w:t>
      </w:r>
      <w:r>
        <w:rPr>
          <w:rFonts w:hint="eastAsia" w:ascii="宋体" w:hAnsi="宋体" w:cs="宋体"/>
          <w:i/>
          <w:color w:val="000000"/>
          <w:kern w:val="0"/>
          <w:sz w:val="32"/>
          <w:szCs w:val="32"/>
          <w:highlight w:val="none"/>
          <w:u w:val="single"/>
          <w:lang w:bidi="ar"/>
        </w:rPr>
        <w:t>（项目名称）</w:t>
      </w:r>
      <w:r>
        <w:rPr>
          <w:rFonts w:hint="eastAsia" w:ascii="宋体" w:hAnsi="宋体" w:cs="宋体"/>
          <w:color w:val="000000"/>
          <w:kern w:val="0"/>
          <w:sz w:val="31"/>
          <w:szCs w:val="31"/>
          <w:highlight w:val="none"/>
          <w:lang w:bidi="ar"/>
        </w:rPr>
        <w:t>采购活动，</w:t>
      </w:r>
      <w:r>
        <w:rPr>
          <w:rFonts w:hint="eastAsia" w:ascii="宋体" w:hAnsi="宋体" w:cs="宋体"/>
          <w:color w:val="000000"/>
          <w:kern w:val="0"/>
          <w:sz w:val="31"/>
          <w:szCs w:val="31"/>
          <w:highlight w:val="none"/>
          <w:lang w:val="en-US" w:eastAsia="zh-CN" w:bidi="ar"/>
        </w:rPr>
        <w:t>服务</w:t>
      </w:r>
      <w:r>
        <w:rPr>
          <w:rFonts w:hint="eastAsia" w:ascii="宋体" w:hAnsi="宋体" w:cs="宋体"/>
          <w:color w:val="000000"/>
          <w:kern w:val="0"/>
          <w:sz w:val="31"/>
          <w:szCs w:val="31"/>
          <w:highlight w:val="none"/>
          <w:lang w:bidi="ar"/>
        </w:rPr>
        <w:t>全部由符合政策要求的中小企业承接）。相关企业（含联合体中的中小企业、签订分包意向协议的中小企业）的具体情况如下：</w:t>
      </w:r>
    </w:p>
    <w:p>
      <w:pPr>
        <w:widowControl/>
        <w:shd w:val="clear"/>
        <w:ind w:firstLine="620" w:firstLineChars="200"/>
        <w:jc w:val="left"/>
        <w:rPr>
          <w:rFonts w:hint="eastAsia" w:ascii="宋体" w:hAnsi="宋体" w:cs="宋体"/>
          <w:highlight w:val="none"/>
        </w:rPr>
      </w:pPr>
      <w:r>
        <w:rPr>
          <w:rFonts w:hint="eastAsia" w:ascii="宋体" w:hAnsi="宋体" w:cs="宋体"/>
          <w:color w:val="000000"/>
          <w:kern w:val="0"/>
          <w:sz w:val="31"/>
          <w:szCs w:val="31"/>
          <w:highlight w:val="none"/>
          <w:lang w:bidi="ar"/>
        </w:rPr>
        <w:t>1.</w:t>
      </w:r>
      <w:r>
        <w:rPr>
          <w:rFonts w:hint="eastAsia" w:ascii="宋体" w:hAnsi="宋体" w:cs="宋体"/>
          <w:color w:val="000000"/>
          <w:kern w:val="0"/>
          <w:sz w:val="31"/>
          <w:szCs w:val="31"/>
          <w:highlight w:val="none"/>
          <w:u w:val="single"/>
          <w:lang w:bidi="ar"/>
        </w:rPr>
        <w:t xml:space="preserve"> </w:t>
      </w:r>
      <w:r>
        <w:rPr>
          <w:rFonts w:hint="eastAsia" w:ascii="宋体" w:hAnsi="宋体" w:cs="宋体"/>
          <w:i/>
          <w:color w:val="000000"/>
          <w:kern w:val="0"/>
          <w:sz w:val="32"/>
          <w:szCs w:val="32"/>
          <w:highlight w:val="none"/>
          <w:u w:val="single"/>
          <w:lang w:bidi="ar"/>
        </w:rPr>
        <w:t xml:space="preserve">（标的名称） </w:t>
      </w:r>
      <w:r>
        <w:rPr>
          <w:rFonts w:hint="eastAsia" w:ascii="宋体" w:hAnsi="宋体" w:cs="宋体"/>
          <w:color w:val="000000"/>
          <w:kern w:val="0"/>
          <w:sz w:val="31"/>
          <w:szCs w:val="31"/>
          <w:highlight w:val="none"/>
          <w:lang w:bidi="ar"/>
        </w:rPr>
        <w:t>，属于</w:t>
      </w:r>
      <w:r>
        <w:rPr>
          <w:rFonts w:hint="eastAsia" w:ascii="宋体" w:hAnsi="宋体" w:cs="宋体"/>
          <w:i/>
          <w:color w:val="000000"/>
          <w:kern w:val="0"/>
          <w:sz w:val="32"/>
          <w:szCs w:val="32"/>
          <w:highlight w:val="none"/>
          <w:u w:val="single"/>
          <w:lang w:bidi="ar"/>
        </w:rPr>
        <w:t>（采购文件中明确的所属行业）</w:t>
      </w:r>
      <w:r>
        <w:rPr>
          <w:rFonts w:hint="eastAsia" w:ascii="宋体" w:hAnsi="宋体" w:cs="宋体"/>
          <w:color w:val="000000"/>
          <w:kern w:val="0"/>
          <w:sz w:val="31"/>
          <w:szCs w:val="31"/>
          <w:highlight w:val="none"/>
          <w:lang w:bidi="ar"/>
        </w:rPr>
        <w:t xml:space="preserve">； </w:t>
      </w:r>
    </w:p>
    <w:p>
      <w:pPr>
        <w:widowControl/>
        <w:shd w:val="clear"/>
        <w:jc w:val="left"/>
        <w:rPr>
          <w:rFonts w:hint="eastAsia" w:ascii="宋体" w:hAnsi="宋体" w:cs="宋体"/>
          <w:highlight w:val="none"/>
        </w:rPr>
      </w:pPr>
      <w:r>
        <w:rPr>
          <w:rFonts w:hint="eastAsia" w:ascii="宋体" w:hAnsi="宋体" w:cs="宋体"/>
          <w:color w:val="000000"/>
          <w:kern w:val="0"/>
          <w:sz w:val="31"/>
          <w:szCs w:val="31"/>
          <w:highlight w:val="none"/>
          <w:lang w:bidi="ar"/>
        </w:rPr>
        <w:t>承建（承接）企业为</w:t>
      </w:r>
      <w:r>
        <w:rPr>
          <w:rFonts w:hint="eastAsia" w:ascii="宋体" w:hAnsi="宋体" w:cs="宋体"/>
          <w:i/>
          <w:color w:val="000000"/>
          <w:kern w:val="0"/>
          <w:sz w:val="32"/>
          <w:szCs w:val="32"/>
          <w:highlight w:val="none"/>
          <w:u w:val="single"/>
          <w:lang w:bidi="ar"/>
        </w:rPr>
        <w:t>（企业名称）</w:t>
      </w:r>
      <w:r>
        <w:rPr>
          <w:rFonts w:hint="eastAsia" w:ascii="宋体" w:hAnsi="宋体" w:cs="宋体"/>
          <w:color w:val="000000"/>
          <w:kern w:val="0"/>
          <w:sz w:val="31"/>
          <w:szCs w:val="31"/>
          <w:highlight w:val="none"/>
          <w:lang w:bidi="ar"/>
        </w:rPr>
        <w:t>，从业人员</w:t>
      </w:r>
      <w:r>
        <w:rPr>
          <w:rFonts w:hint="eastAsia" w:ascii="宋体" w:hAnsi="宋体" w:cs="宋体"/>
          <w:color w:val="000000"/>
          <w:kern w:val="0"/>
          <w:sz w:val="31"/>
          <w:szCs w:val="31"/>
          <w:highlight w:val="none"/>
          <w:u w:val="single"/>
          <w:lang w:bidi="ar"/>
        </w:rPr>
        <w:t xml:space="preserve">  人</w:t>
      </w:r>
      <w:r>
        <w:rPr>
          <w:rFonts w:hint="eastAsia" w:ascii="宋体" w:hAnsi="宋体" w:cs="宋体"/>
          <w:color w:val="000000"/>
          <w:kern w:val="0"/>
          <w:sz w:val="31"/>
          <w:szCs w:val="31"/>
          <w:highlight w:val="none"/>
          <w:lang w:bidi="ar"/>
        </w:rPr>
        <w:t>，营业收入为</w:t>
      </w:r>
      <w:r>
        <w:rPr>
          <w:rFonts w:hint="eastAsia" w:ascii="宋体" w:hAnsi="宋体" w:cs="宋体"/>
          <w:color w:val="000000"/>
          <w:kern w:val="0"/>
          <w:sz w:val="31"/>
          <w:szCs w:val="31"/>
          <w:highlight w:val="none"/>
          <w:u w:val="single"/>
          <w:lang w:bidi="ar"/>
        </w:rPr>
        <w:t xml:space="preserve">  </w:t>
      </w:r>
      <w:r>
        <w:rPr>
          <w:rFonts w:hint="eastAsia" w:ascii="宋体" w:hAnsi="宋体" w:cs="宋体"/>
          <w:color w:val="000000"/>
          <w:kern w:val="0"/>
          <w:sz w:val="31"/>
          <w:szCs w:val="31"/>
          <w:highlight w:val="none"/>
          <w:lang w:bidi="ar"/>
        </w:rPr>
        <w:t>万元，资产总额为</w:t>
      </w:r>
      <w:r>
        <w:rPr>
          <w:rFonts w:hint="eastAsia" w:ascii="宋体" w:hAnsi="宋体" w:cs="宋体"/>
          <w:color w:val="000000"/>
          <w:kern w:val="0"/>
          <w:sz w:val="31"/>
          <w:szCs w:val="31"/>
          <w:highlight w:val="none"/>
          <w:u w:val="single"/>
          <w:lang w:bidi="ar"/>
        </w:rPr>
        <w:t xml:space="preserve">  </w:t>
      </w:r>
      <w:r>
        <w:rPr>
          <w:rFonts w:hint="eastAsia" w:ascii="宋体" w:hAnsi="宋体" w:cs="宋体"/>
          <w:color w:val="000000"/>
          <w:kern w:val="0"/>
          <w:sz w:val="31"/>
          <w:szCs w:val="31"/>
          <w:highlight w:val="none"/>
          <w:lang w:bidi="ar"/>
        </w:rPr>
        <w:t>万元，属于</w:t>
      </w:r>
      <w:r>
        <w:rPr>
          <w:rFonts w:hint="eastAsia" w:ascii="宋体" w:hAnsi="宋体" w:cs="宋体"/>
          <w:i/>
          <w:color w:val="000000"/>
          <w:kern w:val="0"/>
          <w:sz w:val="32"/>
          <w:szCs w:val="32"/>
          <w:highlight w:val="none"/>
          <w:u w:val="single"/>
          <w:lang w:bidi="ar"/>
        </w:rPr>
        <w:t>（中型企业、小型企业、微型企业）</w:t>
      </w:r>
      <w:r>
        <w:rPr>
          <w:rFonts w:hint="eastAsia" w:ascii="宋体" w:hAnsi="宋体" w:cs="宋体"/>
          <w:color w:val="000000"/>
          <w:kern w:val="0"/>
          <w:sz w:val="31"/>
          <w:szCs w:val="31"/>
          <w:highlight w:val="none"/>
          <w:lang w:bidi="ar"/>
        </w:rPr>
        <w:t xml:space="preserve">； </w:t>
      </w:r>
    </w:p>
    <w:p>
      <w:pPr>
        <w:widowControl/>
        <w:shd w:val="clear"/>
        <w:ind w:firstLine="620" w:firstLineChars="200"/>
        <w:jc w:val="left"/>
        <w:rPr>
          <w:rFonts w:hint="eastAsia" w:ascii="宋体" w:hAnsi="宋体" w:cs="宋体"/>
          <w:highlight w:val="none"/>
        </w:rPr>
      </w:pPr>
      <w:r>
        <w:rPr>
          <w:rFonts w:hint="eastAsia" w:ascii="宋体" w:hAnsi="宋体" w:cs="宋体"/>
          <w:color w:val="000000"/>
          <w:kern w:val="0"/>
          <w:sz w:val="31"/>
          <w:szCs w:val="31"/>
          <w:highlight w:val="none"/>
          <w:lang w:bidi="ar"/>
        </w:rPr>
        <w:t xml:space="preserve">2. </w:t>
      </w:r>
      <w:r>
        <w:rPr>
          <w:rFonts w:hint="eastAsia" w:ascii="宋体" w:hAnsi="宋体" w:cs="宋体"/>
          <w:i/>
          <w:color w:val="000000"/>
          <w:kern w:val="0"/>
          <w:sz w:val="32"/>
          <w:szCs w:val="32"/>
          <w:highlight w:val="none"/>
          <w:u w:val="single"/>
          <w:lang w:bidi="ar"/>
        </w:rPr>
        <w:t>（标的名称）</w:t>
      </w:r>
      <w:r>
        <w:rPr>
          <w:rFonts w:hint="eastAsia" w:ascii="宋体" w:hAnsi="宋体" w:cs="宋体"/>
          <w:i/>
          <w:color w:val="000000"/>
          <w:kern w:val="0"/>
          <w:sz w:val="32"/>
          <w:szCs w:val="32"/>
          <w:highlight w:val="none"/>
          <w:lang w:bidi="ar"/>
        </w:rPr>
        <w:t xml:space="preserve"> </w:t>
      </w:r>
      <w:r>
        <w:rPr>
          <w:rFonts w:hint="eastAsia" w:ascii="宋体" w:hAnsi="宋体" w:cs="宋体"/>
          <w:color w:val="000000"/>
          <w:kern w:val="0"/>
          <w:sz w:val="31"/>
          <w:szCs w:val="31"/>
          <w:highlight w:val="none"/>
          <w:lang w:bidi="ar"/>
        </w:rPr>
        <w:t>，属于</w:t>
      </w:r>
      <w:r>
        <w:rPr>
          <w:rFonts w:hint="eastAsia" w:ascii="宋体" w:hAnsi="宋体" w:cs="宋体"/>
          <w:i/>
          <w:color w:val="000000"/>
          <w:kern w:val="0"/>
          <w:sz w:val="32"/>
          <w:szCs w:val="32"/>
          <w:highlight w:val="none"/>
          <w:u w:val="single"/>
          <w:lang w:bidi="ar"/>
        </w:rPr>
        <w:t>（采购文件中明确的所属行业）</w:t>
      </w:r>
      <w:r>
        <w:rPr>
          <w:rFonts w:hint="eastAsia" w:ascii="宋体" w:hAnsi="宋体" w:cs="宋体"/>
          <w:color w:val="000000"/>
          <w:kern w:val="0"/>
          <w:sz w:val="31"/>
          <w:szCs w:val="31"/>
          <w:highlight w:val="none"/>
          <w:lang w:bidi="ar"/>
        </w:rPr>
        <w:t xml:space="preserve">； </w:t>
      </w:r>
    </w:p>
    <w:p>
      <w:pPr>
        <w:widowControl/>
        <w:shd w:val="clear"/>
        <w:jc w:val="left"/>
        <w:rPr>
          <w:rFonts w:hint="eastAsia" w:ascii="宋体" w:hAnsi="宋体" w:cs="宋体"/>
          <w:highlight w:val="none"/>
        </w:rPr>
      </w:pPr>
      <w:r>
        <w:rPr>
          <w:rFonts w:hint="eastAsia" w:ascii="宋体" w:hAnsi="宋体" w:cs="宋体"/>
          <w:color w:val="000000"/>
          <w:kern w:val="0"/>
          <w:sz w:val="31"/>
          <w:szCs w:val="31"/>
          <w:highlight w:val="none"/>
          <w:lang w:bidi="ar"/>
        </w:rPr>
        <w:t>承建（承接）企业为</w:t>
      </w:r>
      <w:r>
        <w:rPr>
          <w:rFonts w:hint="eastAsia" w:ascii="宋体" w:hAnsi="宋体" w:cs="宋体"/>
          <w:i/>
          <w:color w:val="000000"/>
          <w:kern w:val="0"/>
          <w:sz w:val="32"/>
          <w:szCs w:val="32"/>
          <w:highlight w:val="none"/>
          <w:u w:val="single"/>
          <w:lang w:bidi="ar"/>
        </w:rPr>
        <w:t>（企业名称）</w:t>
      </w:r>
      <w:r>
        <w:rPr>
          <w:rFonts w:hint="eastAsia" w:ascii="宋体" w:hAnsi="宋体" w:cs="宋体"/>
          <w:color w:val="000000"/>
          <w:kern w:val="0"/>
          <w:sz w:val="31"/>
          <w:szCs w:val="31"/>
          <w:highlight w:val="none"/>
          <w:lang w:bidi="ar"/>
        </w:rPr>
        <w:t>，从业人员</w:t>
      </w:r>
      <w:r>
        <w:rPr>
          <w:rFonts w:hint="eastAsia" w:ascii="宋体" w:hAnsi="宋体" w:cs="宋体"/>
          <w:color w:val="000000"/>
          <w:kern w:val="0"/>
          <w:sz w:val="31"/>
          <w:szCs w:val="31"/>
          <w:highlight w:val="none"/>
          <w:u w:val="single"/>
          <w:lang w:bidi="ar"/>
        </w:rPr>
        <w:t xml:space="preserve">   </w:t>
      </w:r>
      <w:r>
        <w:rPr>
          <w:rFonts w:hint="eastAsia" w:ascii="宋体" w:hAnsi="宋体" w:cs="宋体"/>
          <w:color w:val="000000"/>
          <w:kern w:val="0"/>
          <w:sz w:val="31"/>
          <w:szCs w:val="31"/>
          <w:highlight w:val="none"/>
          <w:lang w:bidi="ar"/>
        </w:rPr>
        <w:t>人，营业收入为  万元，资产总额为   万元，属于</w:t>
      </w:r>
      <w:r>
        <w:rPr>
          <w:rFonts w:hint="eastAsia" w:ascii="宋体" w:hAnsi="宋体" w:cs="宋体"/>
          <w:i/>
          <w:color w:val="000000"/>
          <w:kern w:val="0"/>
          <w:sz w:val="32"/>
          <w:szCs w:val="32"/>
          <w:highlight w:val="none"/>
          <w:lang w:bidi="ar"/>
        </w:rPr>
        <w:t>（中型企业、小型企业、微型企业）</w:t>
      </w:r>
      <w:r>
        <w:rPr>
          <w:rFonts w:hint="eastAsia" w:ascii="宋体" w:hAnsi="宋体" w:cs="宋体"/>
          <w:color w:val="000000"/>
          <w:kern w:val="0"/>
          <w:sz w:val="31"/>
          <w:szCs w:val="31"/>
          <w:highlight w:val="none"/>
          <w:lang w:bidi="ar"/>
        </w:rPr>
        <w:t xml:space="preserve">； </w:t>
      </w:r>
    </w:p>
    <w:p>
      <w:pPr>
        <w:widowControl/>
        <w:shd w:val="clear"/>
        <w:jc w:val="left"/>
        <w:rPr>
          <w:rFonts w:hint="eastAsia" w:ascii="宋体" w:hAnsi="宋体" w:cs="宋体"/>
          <w:highlight w:val="none"/>
        </w:rPr>
      </w:pPr>
      <w:r>
        <w:rPr>
          <w:rFonts w:hint="eastAsia" w:ascii="宋体" w:hAnsi="宋体" w:cs="宋体"/>
          <w:color w:val="000000"/>
          <w:kern w:val="0"/>
          <w:sz w:val="31"/>
          <w:szCs w:val="31"/>
          <w:highlight w:val="none"/>
          <w:lang w:bidi="ar"/>
        </w:rPr>
        <w:t>……</w:t>
      </w:r>
    </w:p>
    <w:p>
      <w:pPr>
        <w:widowControl/>
        <w:shd w:val="clear"/>
        <w:ind w:firstLine="620" w:firstLineChars="200"/>
        <w:jc w:val="left"/>
        <w:rPr>
          <w:rFonts w:hint="eastAsia" w:ascii="宋体" w:hAnsi="宋体" w:cs="宋体"/>
          <w:highlight w:val="none"/>
        </w:rPr>
      </w:pPr>
      <w:r>
        <w:rPr>
          <w:rFonts w:hint="eastAsia" w:ascii="宋体" w:hAnsi="宋体" w:cs="宋体"/>
          <w:color w:val="000000"/>
          <w:kern w:val="0"/>
          <w:sz w:val="31"/>
          <w:szCs w:val="31"/>
          <w:highlight w:val="none"/>
          <w:lang w:bidi="ar"/>
        </w:rPr>
        <w:t>以上企业，不属于大企业的分支机构，不存在控股股东为大企业的情形，也不存在与大企业的负责人为同一人的情形。</w:t>
      </w:r>
    </w:p>
    <w:p>
      <w:pPr>
        <w:widowControl/>
        <w:shd w:val="clear"/>
        <w:ind w:firstLine="620" w:firstLineChars="200"/>
        <w:jc w:val="left"/>
        <w:rPr>
          <w:rFonts w:hint="eastAsia" w:ascii="宋体" w:hAnsi="宋体" w:cs="宋体"/>
          <w:highlight w:val="none"/>
        </w:rPr>
      </w:pPr>
      <w:r>
        <w:rPr>
          <w:rFonts w:hint="eastAsia" w:ascii="宋体" w:hAnsi="宋体" w:cs="宋体"/>
          <w:color w:val="000000"/>
          <w:kern w:val="0"/>
          <w:sz w:val="31"/>
          <w:szCs w:val="31"/>
          <w:highlight w:val="none"/>
          <w:lang w:bidi="ar"/>
        </w:rPr>
        <w:t xml:space="preserve">本企业对上述声明内容的真实性负责。如有虚假，将依法承担相应责任。 </w:t>
      </w:r>
    </w:p>
    <w:p>
      <w:pPr>
        <w:widowControl/>
        <w:shd w:val="clear"/>
        <w:jc w:val="right"/>
        <w:rPr>
          <w:rFonts w:hint="eastAsia" w:ascii="宋体" w:hAnsi="宋体" w:cs="宋体"/>
          <w:highlight w:val="none"/>
        </w:rPr>
      </w:pPr>
      <w:r>
        <w:rPr>
          <w:rFonts w:hint="eastAsia" w:ascii="宋体" w:hAnsi="宋体" w:cs="宋体"/>
          <w:color w:val="000000"/>
          <w:kern w:val="0"/>
          <w:sz w:val="31"/>
          <w:szCs w:val="31"/>
          <w:highlight w:val="none"/>
          <w:lang w:bidi="ar"/>
        </w:rPr>
        <w:t xml:space="preserve">企业名称（盖章）： </w:t>
      </w:r>
    </w:p>
    <w:p>
      <w:pPr>
        <w:widowControl/>
        <w:shd w:val="clear"/>
        <w:spacing w:line="440" w:lineRule="exact"/>
        <w:ind w:firstLine="930" w:firstLineChars="300"/>
        <w:jc w:val="right"/>
        <w:rPr>
          <w:rFonts w:ascii="宋体" w:hAnsi="宋体" w:cs="宋体"/>
          <w:color w:val="auto"/>
          <w:sz w:val="24"/>
          <w:highlight w:val="none"/>
        </w:rPr>
      </w:pPr>
      <w:r>
        <w:rPr>
          <w:rFonts w:hint="eastAsia" w:ascii="宋体" w:hAnsi="宋体" w:cs="宋体"/>
          <w:color w:val="000000"/>
          <w:kern w:val="0"/>
          <w:sz w:val="31"/>
          <w:szCs w:val="31"/>
          <w:highlight w:val="none"/>
          <w:lang w:bidi="ar"/>
        </w:rPr>
        <w:t>日 期：</w:t>
      </w:r>
    </w:p>
    <w:p>
      <w:pPr>
        <w:widowControl/>
        <w:shd w:val="clear"/>
        <w:spacing w:line="400" w:lineRule="exact"/>
        <w:jc w:val="left"/>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说明：1、从业人员、营业收入、资产总额填报上一年度数据，无上一年度数据的新成立企业可不填报。</w:t>
      </w:r>
      <w:r>
        <w:rPr>
          <w:rFonts w:hint="eastAsia" w:ascii="宋体" w:hAnsi="宋体" w:eastAsia="宋体" w:cs="宋体"/>
          <w:color w:val="auto"/>
          <w:kern w:val="0"/>
          <w:szCs w:val="21"/>
          <w:highlight w:val="none"/>
          <w:lang w:bidi="ar"/>
        </w:rPr>
        <w:t>为</w:t>
      </w:r>
      <w:r>
        <w:rPr>
          <w:rFonts w:hint="eastAsia" w:ascii="宋体" w:hAnsi="宋体" w:cs="宋体"/>
          <w:color w:val="auto"/>
          <w:kern w:val="0"/>
          <w:szCs w:val="21"/>
          <w:highlight w:val="none"/>
          <w:lang w:bidi="ar"/>
        </w:rPr>
        <w:t>本项目提供</w:t>
      </w:r>
      <w:r>
        <w:rPr>
          <w:rFonts w:hint="eastAsia" w:ascii="宋体" w:hAnsi="宋体" w:cs="宋体"/>
          <w:color w:val="auto"/>
          <w:kern w:val="0"/>
          <w:szCs w:val="21"/>
          <w:highlight w:val="none"/>
          <w:lang w:eastAsia="zh-CN" w:bidi="ar"/>
        </w:rPr>
        <w:t>服务</w:t>
      </w:r>
      <w:r>
        <w:rPr>
          <w:rFonts w:hint="eastAsia" w:ascii="宋体" w:hAnsi="宋体" w:cs="宋体"/>
          <w:color w:val="auto"/>
          <w:kern w:val="0"/>
          <w:szCs w:val="21"/>
          <w:highlight w:val="none"/>
          <w:lang w:bidi="ar"/>
        </w:rPr>
        <w:t>的企业按照《关于印发中小企业划型标准规定的通知》（工信部联企业〔2011〕300号）的所属行业</w:t>
      </w:r>
      <w:r>
        <w:rPr>
          <w:rFonts w:hint="eastAsia" w:ascii="宋体" w:hAnsi="宋体" w:cs="宋体"/>
          <w:b/>
          <w:color w:val="auto"/>
          <w:kern w:val="0"/>
          <w:szCs w:val="21"/>
          <w:highlight w:val="none"/>
          <w:lang w:bidi="ar"/>
        </w:rPr>
        <w:t>分类为</w:t>
      </w:r>
      <w:r>
        <w:rPr>
          <w:rFonts w:hint="eastAsia" w:ascii="宋体" w:hAnsi="宋体" w:cs="宋体"/>
          <w:b/>
          <w:color w:val="auto"/>
          <w:kern w:val="0"/>
          <w:sz w:val="24"/>
          <w:szCs w:val="24"/>
          <w:highlight w:val="none"/>
          <w:lang w:bidi="ar"/>
        </w:rPr>
        <w:t>租赁和商务服务业</w:t>
      </w:r>
      <w:r>
        <w:rPr>
          <w:rStyle w:val="37"/>
          <w:rFonts w:hint="eastAsia" w:hAnsi="宋体" w:cs="宋体"/>
          <w:color w:val="auto"/>
          <w:sz w:val="21"/>
          <w:szCs w:val="21"/>
          <w:highlight w:val="none"/>
          <w:shd w:val="clear" w:color="auto" w:fill="FFFFFF"/>
          <w:lang w:eastAsia="zh-CN"/>
        </w:rPr>
        <w:t>。</w:t>
      </w:r>
    </w:p>
    <w:p>
      <w:pPr>
        <w:widowControl/>
        <w:shd w:val="clear"/>
        <w:spacing w:line="400" w:lineRule="exact"/>
        <w:ind w:firstLine="630" w:firstLineChars="300"/>
        <w:jc w:val="left"/>
        <w:rPr>
          <w:rFonts w:hint="eastAsia"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2、中小企业划分为中型、小型、微型三种类型，具体标准根据企业从业人员、营业收入、资产总额等指标，结合行业特点制定。各行业划型标准为：</w:t>
      </w:r>
    </w:p>
    <w:p>
      <w:pPr>
        <w:shd w:val="clear"/>
        <w:rPr>
          <w:rFonts w:hint="eastAsia"/>
          <w:highlight w:val="none"/>
        </w:rPr>
      </w:pPr>
    </w:p>
    <w:p>
      <w:pPr>
        <w:pStyle w:val="28"/>
        <w:shd w:val="clear" w:color="auto"/>
        <w:spacing w:before="0" w:beforeAutospacing="0" w:after="0" w:afterAutospacing="0" w:line="260" w:lineRule="exact"/>
        <w:ind w:firstLine="632" w:firstLineChars="300"/>
        <w:jc w:val="both"/>
        <w:rPr>
          <w:rFonts w:hint="eastAsia" w:hAnsi="宋体" w:cs="宋体"/>
          <w:color w:val="auto"/>
          <w:sz w:val="21"/>
          <w:szCs w:val="21"/>
          <w:highlight w:val="none"/>
        </w:rPr>
      </w:pPr>
      <w:r>
        <w:rPr>
          <w:rStyle w:val="37"/>
          <w:rFonts w:hint="eastAsia" w:hAnsi="宋体" w:cs="宋体"/>
          <w:color w:val="auto"/>
          <w:sz w:val="21"/>
          <w:szCs w:val="21"/>
          <w:highlight w:val="none"/>
          <w:shd w:val="clear" w:color="auto" w:fill="FFFFFF"/>
        </w:rPr>
        <w:t>（一）农、林、牧、渔业</w:t>
      </w:r>
    </w:p>
    <w:p>
      <w:pPr>
        <w:pStyle w:val="28"/>
        <w:shd w:val="clear" w:color="auto"/>
        <w:spacing w:before="0" w:beforeAutospacing="0" w:after="0" w:afterAutospacing="0" w:line="260" w:lineRule="exact"/>
        <w:ind w:firstLine="630" w:firstLineChars="300"/>
        <w:jc w:val="both"/>
        <w:rPr>
          <w:rFonts w:hint="eastAsia" w:hAnsi="宋体" w:cs="宋体"/>
          <w:color w:val="auto"/>
          <w:sz w:val="21"/>
          <w:szCs w:val="21"/>
          <w:highlight w:val="none"/>
        </w:rPr>
      </w:pPr>
      <w:r>
        <w:rPr>
          <w:rFonts w:hint="eastAsia" w:hAnsi="宋体" w:cs="宋体"/>
          <w:color w:val="auto"/>
          <w:sz w:val="21"/>
          <w:szCs w:val="21"/>
          <w:highlight w:val="none"/>
          <w:shd w:val="clear" w:color="auto" w:fill="FFFFFF"/>
        </w:rPr>
        <w:t>营业收入20000万元以下的为中小微型企业。其中，营业收入500万元及以上的为中型企业，营业收入50万元及以上的为小型企业，营业收入50万元以下的为微型企业。</w:t>
      </w:r>
    </w:p>
    <w:p>
      <w:pPr>
        <w:pStyle w:val="28"/>
        <w:shd w:val="clear" w:color="auto"/>
        <w:spacing w:before="0" w:beforeAutospacing="0" w:after="0" w:afterAutospacing="0" w:line="260" w:lineRule="exact"/>
        <w:ind w:firstLine="632" w:firstLineChars="300"/>
        <w:rPr>
          <w:rFonts w:hint="eastAsia" w:hAnsi="宋体" w:cs="宋体"/>
          <w:color w:val="auto"/>
          <w:sz w:val="21"/>
          <w:szCs w:val="21"/>
          <w:highlight w:val="none"/>
        </w:rPr>
      </w:pPr>
      <w:r>
        <w:rPr>
          <w:rStyle w:val="37"/>
          <w:rFonts w:hint="eastAsia" w:hAnsi="宋体" w:cs="宋体"/>
          <w:color w:val="auto"/>
          <w:sz w:val="21"/>
          <w:szCs w:val="21"/>
          <w:highlight w:val="none"/>
          <w:shd w:val="clear" w:color="auto" w:fill="FFFFFF"/>
        </w:rPr>
        <w:t>（二）工业</w:t>
      </w:r>
    </w:p>
    <w:p>
      <w:pPr>
        <w:pStyle w:val="28"/>
        <w:shd w:val="clear" w:color="auto"/>
        <w:spacing w:before="0" w:beforeAutospacing="0" w:after="0" w:afterAutospacing="0" w:line="260" w:lineRule="exact"/>
        <w:ind w:firstLine="630" w:firstLineChars="300"/>
        <w:jc w:val="both"/>
        <w:rPr>
          <w:rFonts w:hint="eastAsia" w:hAnsi="宋体" w:cs="宋体"/>
          <w:color w:val="auto"/>
          <w:sz w:val="21"/>
          <w:szCs w:val="21"/>
          <w:highlight w:val="none"/>
        </w:rPr>
      </w:pPr>
      <w:r>
        <w:rPr>
          <w:rFonts w:hint="eastAsia" w:hAnsi="宋体" w:cs="宋体"/>
          <w:color w:val="auto"/>
          <w:sz w:val="21"/>
          <w:szCs w:val="21"/>
          <w:highlight w:val="none"/>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8"/>
        <w:shd w:val="clear" w:color="auto"/>
        <w:spacing w:before="0" w:beforeAutospacing="0" w:after="0" w:afterAutospacing="0" w:line="260" w:lineRule="exact"/>
        <w:ind w:firstLine="632" w:firstLineChars="300"/>
        <w:rPr>
          <w:rFonts w:hint="eastAsia" w:hAnsi="宋体" w:cs="宋体"/>
          <w:color w:val="auto"/>
          <w:sz w:val="21"/>
          <w:szCs w:val="21"/>
          <w:highlight w:val="none"/>
        </w:rPr>
      </w:pPr>
      <w:r>
        <w:rPr>
          <w:rStyle w:val="37"/>
          <w:rFonts w:hint="eastAsia" w:hAnsi="宋体" w:cs="宋体"/>
          <w:color w:val="auto"/>
          <w:sz w:val="21"/>
          <w:szCs w:val="21"/>
          <w:highlight w:val="none"/>
          <w:shd w:val="clear" w:color="auto" w:fill="FFFFFF"/>
        </w:rPr>
        <w:t>（三）建筑业</w:t>
      </w:r>
    </w:p>
    <w:p>
      <w:pPr>
        <w:pStyle w:val="28"/>
        <w:shd w:val="clear" w:color="auto"/>
        <w:spacing w:before="0" w:beforeAutospacing="0" w:after="0" w:afterAutospacing="0" w:line="260" w:lineRule="exact"/>
        <w:ind w:firstLine="630" w:firstLineChars="300"/>
        <w:jc w:val="both"/>
        <w:rPr>
          <w:rFonts w:hint="eastAsia" w:hAnsi="宋体" w:cs="宋体"/>
          <w:color w:val="auto"/>
          <w:sz w:val="21"/>
          <w:szCs w:val="21"/>
          <w:highlight w:val="none"/>
        </w:rPr>
      </w:pPr>
      <w:r>
        <w:rPr>
          <w:rFonts w:hint="eastAsia" w:hAnsi="宋体" w:cs="宋体"/>
          <w:color w:val="auto"/>
          <w:sz w:val="21"/>
          <w:szCs w:val="21"/>
          <w:highlight w:val="none"/>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28"/>
        <w:shd w:val="clear" w:color="auto"/>
        <w:spacing w:before="0" w:beforeAutospacing="0" w:after="0" w:afterAutospacing="0" w:line="260" w:lineRule="exact"/>
        <w:ind w:firstLine="422" w:firstLineChars="200"/>
        <w:rPr>
          <w:rFonts w:hint="eastAsia" w:hAnsi="宋体" w:cs="宋体"/>
          <w:color w:val="auto"/>
          <w:sz w:val="21"/>
          <w:szCs w:val="21"/>
          <w:highlight w:val="none"/>
        </w:rPr>
      </w:pPr>
      <w:r>
        <w:rPr>
          <w:rStyle w:val="37"/>
          <w:rFonts w:hint="eastAsia" w:hAnsi="宋体" w:cs="宋体"/>
          <w:color w:val="auto"/>
          <w:sz w:val="21"/>
          <w:szCs w:val="21"/>
          <w:highlight w:val="none"/>
          <w:shd w:val="clear" w:color="auto" w:fill="FFFFFF"/>
        </w:rPr>
        <w:t>（四）批发业</w:t>
      </w:r>
    </w:p>
    <w:p>
      <w:pPr>
        <w:pStyle w:val="28"/>
        <w:shd w:val="clear" w:color="auto"/>
        <w:spacing w:before="0" w:beforeAutospacing="0" w:after="0" w:afterAutospacing="0" w:line="260" w:lineRule="exact"/>
        <w:ind w:firstLine="630" w:firstLineChars="300"/>
        <w:jc w:val="both"/>
        <w:rPr>
          <w:rFonts w:hint="eastAsia" w:hAnsi="宋体" w:cs="宋体"/>
          <w:color w:val="auto"/>
          <w:sz w:val="21"/>
          <w:szCs w:val="21"/>
          <w:highlight w:val="none"/>
        </w:rPr>
      </w:pPr>
      <w:r>
        <w:rPr>
          <w:rFonts w:hint="eastAsia" w:hAnsi="宋体" w:cs="宋体"/>
          <w:color w:val="auto"/>
          <w:sz w:val="21"/>
          <w:szCs w:val="21"/>
          <w:highlight w:val="none"/>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28"/>
        <w:shd w:val="clear" w:color="auto"/>
        <w:spacing w:before="0" w:beforeAutospacing="0" w:after="0" w:afterAutospacing="0" w:line="260" w:lineRule="exact"/>
        <w:ind w:firstLine="422" w:firstLineChars="200"/>
        <w:rPr>
          <w:rFonts w:hint="eastAsia" w:hAnsi="宋体" w:cs="宋体"/>
          <w:color w:val="auto"/>
          <w:sz w:val="21"/>
          <w:szCs w:val="21"/>
          <w:highlight w:val="none"/>
        </w:rPr>
      </w:pPr>
      <w:r>
        <w:rPr>
          <w:rStyle w:val="37"/>
          <w:rFonts w:hint="eastAsia" w:hAnsi="宋体" w:cs="宋体"/>
          <w:color w:val="auto"/>
          <w:sz w:val="21"/>
          <w:szCs w:val="21"/>
          <w:highlight w:val="none"/>
          <w:shd w:val="clear" w:color="auto" w:fill="FFFFFF"/>
        </w:rPr>
        <w:t>（五）零售业</w:t>
      </w:r>
    </w:p>
    <w:p>
      <w:pPr>
        <w:pStyle w:val="28"/>
        <w:shd w:val="clear" w:color="auto"/>
        <w:spacing w:before="0" w:beforeAutospacing="0" w:after="0" w:afterAutospacing="0" w:line="260" w:lineRule="exact"/>
        <w:ind w:firstLine="630" w:firstLineChars="300"/>
        <w:jc w:val="both"/>
        <w:rPr>
          <w:rFonts w:hint="eastAsia" w:hAnsi="宋体" w:cs="宋体"/>
          <w:color w:val="auto"/>
          <w:sz w:val="21"/>
          <w:szCs w:val="21"/>
          <w:highlight w:val="none"/>
        </w:rPr>
      </w:pPr>
      <w:r>
        <w:rPr>
          <w:rFonts w:hint="eastAsia" w:hAnsi="宋体" w:cs="宋体"/>
          <w:color w:val="auto"/>
          <w:sz w:val="21"/>
          <w:szCs w:val="21"/>
          <w:highlight w:val="none"/>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28"/>
        <w:shd w:val="clear" w:color="auto"/>
        <w:spacing w:before="0" w:beforeAutospacing="0" w:after="0" w:afterAutospacing="0" w:line="260" w:lineRule="exact"/>
        <w:ind w:firstLine="422" w:firstLineChars="200"/>
        <w:rPr>
          <w:rFonts w:hint="eastAsia" w:hAnsi="宋体" w:cs="宋体"/>
          <w:color w:val="auto"/>
          <w:sz w:val="21"/>
          <w:szCs w:val="21"/>
          <w:highlight w:val="none"/>
        </w:rPr>
      </w:pPr>
      <w:r>
        <w:rPr>
          <w:rStyle w:val="37"/>
          <w:rFonts w:hint="eastAsia" w:hAnsi="宋体" w:cs="宋体"/>
          <w:color w:val="auto"/>
          <w:sz w:val="21"/>
          <w:szCs w:val="21"/>
          <w:highlight w:val="none"/>
          <w:shd w:val="clear" w:color="auto" w:fill="FFFFFF"/>
        </w:rPr>
        <w:t>（六）交通运输业</w:t>
      </w:r>
    </w:p>
    <w:p>
      <w:pPr>
        <w:pStyle w:val="28"/>
        <w:shd w:val="clear" w:color="auto"/>
        <w:spacing w:before="0" w:beforeAutospacing="0" w:after="0" w:afterAutospacing="0" w:line="260" w:lineRule="exact"/>
        <w:jc w:val="both"/>
        <w:rPr>
          <w:rFonts w:hint="eastAsia" w:hAnsi="宋体" w:cs="宋体"/>
          <w:color w:val="auto"/>
          <w:sz w:val="21"/>
          <w:szCs w:val="21"/>
          <w:highlight w:val="none"/>
        </w:rPr>
      </w:pPr>
      <w:r>
        <w:rPr>
          <w:rFonts w:hint="eastAsia" w:hAnsi="宋体" w:cs="宋体"/>
          <w:color w:val="auto"/>
          <w:sz w:val="21"/>
          <w:szCs w:val="21"/>
          <w:highlight w:val="none"/>
          <w:shd w:val="clear" w:color="auto" w:fill="FFFFFF"/>
        </w:rPr>
        <w:t>从业人员1000人以下或营业收入30000万元以下的为中小微型企业。</w:t>
      </w:r>
    </w:p>
    <w:p>
      <w:pPr>
        <w:pStyle w:val="28"/>
        <w:shd w:val="clear" w:color="auto"/>
        <w:spacing w:before="0" w:beforeAutospacing="0" w:after="0" w:afterAutospacing="0" w:line="260" w:lineRule="exact"/>
        <w:ind w:firstLine="422" w:firstLineChars="200"/>
        <w:rPr>
          <w:rFonts w:hint="eastAsia" w:hAnsi="宋体" w:cs="宋体"/>
          <w:color w:val="auto"/>
          <w:sz w:val="21"/>
          <w:szCs w:val="21"/>
          <w:highlight w:val="none"/>
        </w:rPr>
      </w:pPr>
      <w:r>
        <w:rPr>
          <w:rStyle w:val="37"/>
          <w:rFonts w:hint="eastAsia" w:hAnsi="宋体" w:cs="宋体"/>
          <w:color w:val="auto"/>
          <w:sz w:val="21"/>
          <w:szCs w:val="21"/>
          <w:highlight w:val="none"/>
          <w:shd w:val="clear" w:color="auto" w:fill="FFFFFF"/>
        </w:rPr>
        <w:t>（七）仓储业</w:t>
      </w:r>
    </w:p>
    <w:p>
      <w:pPr>
        <w:pStyle w:val="28"/>
        <w:shd w:val="clear" w:color="auto"/>
        <w:spacing w:before="0" w:beforeAutospacing="0" w:after="0" w:afterAutospacing="0" w:line="26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28"/>
        <w:shd w:val="clear" w:color="auto"/>
        <w:spacing w:before="0" w:beforeAutospacing="0" w:after="0" w:afterAutospacing="0" w:line="260" w:lineRule="exact"/>
        <w:ind w:firstLine="211" w:firstLineChars="100"/>
        <w:rPr>
          <w:rFonts w:hint="eastAsia" w:hAnsi="宋体" w:cs="宋体"/>
          <w:color w:val="auto"/>
          <w:sz w:val="21"/>
          <w:szCs w:val="21"/>
          <w:highlight w:val="none"/>
        </w:rPr>
      </w:pPr>
      <w:r>
        <w:rPr>
          <w:rStyle w:val="37"/>
          <w:rFonts w:hint="eastAsia" w:hAnsi="宋体" w:cs="宋体"/>
          <w:color w:val="auto"/>
          <w:sz w:val="21"/>
          <w:szCs w:val="21"/>
          <w:highlight w:val="none"/>
          <w:shd w:val="clear" w:color="auto" w:fill="FFFFFF"/>
        </w:rPr>
        <w:t>（八）邮政业</w:t>
      </w:r>
    </w:p>
    <w:p>
      <w:pPr>
        <w:pStyle w:val="28"/>
        <w:shd w:val="clear" w:color="auto"/>
        <w:spacing w:before="0" w:beforeAutospacing="0" w:after="0" w:afterAutospacing="0" w:line="26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28"/>
        <w:shd w:val="clear" w:color="auto"/>
        <w:spacing w:before="0" w:beforeAutospacing="0" w:after="0" w:afterAutospacing="0" w:line="260" w:lineRule="exact"/>
        <w:ind w:firstLine="211" w:firstLineChars="100"/>
        <w:rPr>
          <w:rFonts w:hint="eastAsia" w:hAnsi="宋体" w:cs="宋体"/>
          <w:color w:val="auto"/>
          <w:sz w:val="21"/>
          <w:szCs w:val="21"/>
          <w:highlight w:val="none"/>
        </w:rPr>
      </w:pPr>
      <w:r>
        <w:rPr>
          <w:rStyle w:val="37"/>
          <w:rFonts w:hint="eastAsia" w:hAnsi="宋体" w:cs="宋体"/>
          <w:color w:val="auto"/>
          <w:sz w:val="21"/>
          <w:szCs w:val="21"/>
          <w:highlight w:val="none"/>
          <w:shd w:val="clear" w:color="auto" w:fill="FFFFFF"/>
        </w:rPr>
        <w:t>（九）住宿业</w:t>
      </w:r>
    </w:p>
    <w:p>
      <w:pPr>
        <w:pStyle w:val="28"/>
        <w:shd w:val="clear" w:color="auto"/>
        <w:spacing w:before="0" w:beforeAutospacing="0" w:after="0" w:afterAutospacing="0" w:line="26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8"/>
        <w:shd w:val="clear" w:color="auto"/>
        <w:spacing w:before="0" w:beforeAutospacing="0" w:after="0" w:afterAutospacing="0" w:line="260" w:lineRule="exact"/>
        <w:ind w:firstLine="211" w:firstLineChars="100"/>
        <w:rPr>
          <w:rFonts w:hint="eastAsia" w:hAnsi="宋体" w:cs="宋体"/>
          <w:color w:val="auto"/>
          <w:sz w:val="21"/>
          <w:szCs w:val="21"/>
          <w:highlight w:val="none"/>
        </w:rPr>
      </w:pPr>
      <w:r>
        <w:rPr>
          <w:rStyle w:val="37"/>
          <w:rFonts w:hint="eastAsia" w:hAnsi="宋体" w:cs="宋体"/>
          <w:color w:val="auto"/>
          <w:sz w:val="21"/>
          <w:szCs w:val="21"/>
          <w:highlight w:val="none"/>
          <w:shd w:val="clear" w:color="auto" w:fill="FFFFFF"/>
        </w:rPr>
        <w:t>（十）餐饮业</w:t>
      </w:r>
    </w:p>
    <w:p>
      <w:pPr>
        <w:pStyle w:val="28"/>
        <w:shd w:val="clear" w:color="auto"/>
        <w:spacing w:before="0" w:beforeAutospacing="0" w:after="0" w:afterAutospacing="0" w:line="260" w:lineRule="exact"/>
        <w:jc w:val="both"/>
        <w:rPr>
          <w:rFonts w:hint="eastAsia" w:hAnsi="宋体" w:cs="宋体"/>
          <w:color w:val="auto"/>
          <w:sz w:val="21"/>
          <w:szCs w:val="21"/>
          <w:highlight w:val="none"/>
        </w:rPr>
      </w:pPr>
      <w:r>
        <w:rPr>
          <w:rFonts w:hint="eastAsia" w:hAnsi="宋体" w:cs="宋体"/>
          <w:color w:val="auto"/>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8"/>
        <w:shd w:val="clear" w:color="auto"/>
        <w:spacing w:before="0" w:beforeAutospacing="0" w:after="0" w:afterAutospacing="0" w:line="260" w:lineRule="exact"/>
        <w:ind w:firstLine="211" w:firstLineChars="100"/>
        <w:rPr>
          <w:rFonts w:hint="eastAsia" w:hAnsi="宋体" w:cs="宋体"/>
          <w:color w:val="auto"/>
          <w:sz w:val="21"/>
          <w:szCs w:val="21"/>
          <w:highlight w:val="none"/>
        </w:rPr>
      </w:pPr>
      <w:r>
        <w:rPr>
          <w:rStyle w:val="37"/>
          <w:rFonts w:hint="eastAsia" w:hAnsi="宋体" w:cs="宋体"/>
          <w:color w:val="auto"/>
          <w:sz w:val="21"/>
          <w:szCs w:val="21"/>
          <w:highlight w:val="none"/>
          <w:shd w:val="clear" w:color="auto" w:fill="FFFFFF"/>
        </w:rPr>
        <w:t>（十一）信息传输业</w:t>
      </w:r>
    </w:p>
    <w:p>
      <w:pPr>
        <w:pStyle w:val="28"/>
        <w:shd w:val="clear" w:color="auto"/>
        <w:spacing w:before="0" w:beforeAutospacing="0" w:after="0" w:afterAutospacing="0" w:line="26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8"/>
        <w:shd w:val="clear" w:color="auto"/>
        <w:spacing w:before="0" w:beforeAutospacing="0" w:after="0" w:afterAutospacing="0" w:line="260" w:lineRule="exact"/>
        <w:ind w:firstLine="211" w:firstLineChars="100"/>
        <w:rPr>
          <w:rFonts w:hint="eastAsia" w:hAnsi="宋体" w:cs="宋体"/>
          <w:color w:val="auto"/>
          <w:sz w:val="21"/>
          <w:szCs w:val="21"/>
          <w:highlight w:val="none"/>
        </w:rPr>
      </w:pPr>
      <w:r>
        <w:rPr>
          <w:rStyle w:val="37"/>
          <w:rFonts w:hint="eastAsia" w:hAnsi="宋体" w:cs="宋体"/>
          <w:color w:val="auto"/>
          <w:sz w:val="21"/>
          <w:szCs w:val="21"/>
          <w:highlight w:val="none"/>
          <w:shd w:val="clear" w:color="auto" w:fill="FFFFFF"/>
        </w:rPr>
        <w:t>（十二）软件和信息技术服务业</w:t>
      </w:r>
    </w:p>
    <w:p>
      <w:pPr>
        <w:pStyle w:val="28"/>
        <w:shd w:val="clear" w:color="auto"/>
        <w:spacing w:before="0" w:beforeAutospacing="0" w:after="0" w:afterAutospacing="0" w:line="26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8"/>
        <w:shd w:val="clear" w:color="auto"/>
        <w:spacing w:before="0" w:beforeAutospacing="0" w:after="0" w:afterAutospacing="0" w:line="260" w:lineRule="exact"/>
        <w:ind w:firstLine="211" w:firstLineChars="100"/>
        <w:rPr>
          <w:rFonts w:hint="eastAsia" w:hAnsi="宋体" w:cs="宋体"/>
          <w:color w:val="auto"/>
          <w:sz w:val="21"/>
          <w:szCs w:val="21"/>
          <w:highlight w:val="none"/>
        </w:rPr>
      </w:pPr>
      <w:r>
        <w:rPr>
          <w:rStyle w:val="37"/>
          <w:rFonts w:hint="eastAsia" w:hAnsi="宋体" w:cs="宋体"/>
          <w:color w:val="auto"/>
          <w:sz w:val="21"/>
          <w:szCs w:val="21"/>
          <w:highlight w:val="none"/>
          <w:shd w:val="clear" w:color="auto" w:fill="FFFFFF"/>
        </w:rPr>
        <w:t>（十三）房地产开发经营</w:t>
      </w:r>
    </w:p>
    <w:p>
      <w:pPr>
        <w:pStyle w:val="28"/>
        <w:shd w:val="clear" w:color="auto"/>
        <w:spacing w:before="0" w:beforeAutospacing="0" w:after="0" w:afterAutospacing="0" w:line="26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28"/>
        <w:shd w:val="clear" w:color="auto"/>
        <w:spacing w:before="0" w:beforeAutospacing="0" w:after="0" w:afterAutospacing="0" w:line="260" w:lineRule="exact"/>
        <w:ind w:firstLine="211" w:firstLineChars="100"/>
        <w:rPr>
          <w:rFonts w:hint="eastAsia" w:hAnsi="宋体" w:cs="宋体"/>
          <w:color w:val="auto"/>
          <w:sz w:val="21"/>
          <w:szCs w:val="21"/>
          <w:highlight w:val="none"/>
        </w:rPr>
      </w:pPr>
      <w:r>
        <w:rPr>
          <w:rStyle w:val="37"/>
          <w:rFonts w:hint="eastAsia" w:hAnsi="宋体" w:cs="宋体"/>
          <w:color w:val="auto"/>
          <w:sz w:val="21"/>
          <w:szCs w:val="21"/>
          <w:highlight w:val="none"/>
          <w:shd w:val="clear" w:color="auto" w:fill="FFFFFF"/>
        </w:rPr>
        <w:t>（十四）物业管理</w:t>
      </w:r>
    </w:p>
    <w:p>
      <w:pPr>
        <w:pStyle w:val="28"/>
        <w:shd w:val="clear" w:color="auto"/>
        <w:spacing w:before="0" w:beforeAutospacing="0" w:after="0" w:afterAutospacing="0" w:line="26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28"/>
        <w:shd w:val="clear" w:color="auto"/>
        <w:spacing w:before="0" w:beforeAutospacing="0" w:after="0" w:afterAutospacing="0" w:line="260" w:lineRule="exact"/>
        <w:ind w:firstLine="211" w:firstLineChars="100"/>
        <w:rPr>
          <w:rFonts w:hint="eastAsia" w:hAnsi="宋体" w:cs="宋体"/>
          <w:color w:val="auto"/>
          <w:sz w:val="21"/>
          <w:szCs w:val="21"/>
          <w:highlight w:val="none"/>
        </w:rPr>
      </w:pPr>
      <w:r>
        <w:rPr>
          <w:rStyle w:val="37"/>
          <w:rFonts w:hint="eastAsia" w:hAnsi="宋体" w:cs="宋体"/>
          <w:color w:val="auto"/>
          <w:sz w:val="21"/>
          <w:szCs w:val="21"/>
          <w:highlight w:val="none"/>
          <w:shd w:val="clear" w:color="auto" w:fill="FFFFFF"/>
        </w:rPr>
        <w:t>（十五）租赁和商务服务业</w:t>
      </w:r>
    </w:p>
    <w:p>
      <w:pPr>
        <w:pStyle w:val="28"/>
        <w:shd w:val="clear" w:color="auto"/>
        <w:spacing w:before="0" w:beforeAutospacing="0" w:after="0" w:afterAutospacing="0" w:line="26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28"/>
        <w:shd w:val="clear" w:color="auto"/>
        <w:spacing w:before="0" w:beforeAutospacing="0" w:after="0" w:afterAutospacing="0" w:line="260" w:lineRule="exact"/>
        <w:ind w:firstLine="211" w:firstLineChars="100"/>
        <w:rPr>
          <w:rFonts w:hint="eastAsia" w:hAnsi="宋体" w:cs="宋体"/>
          <w:color w:val="auto"/>
          <w:sz w:val="21"/>
          <w:szCs w:val="21"/>
          <w:highlight w:val="none"/>
        </w:rPr>
      </w:pPr>
      <w:r>
        <w:rPr>
          <w:rStyle w:val="37"/>
          <w:rFonts w:hint="eastAsia" w:hAnsi="宋体" w:cs="宋体"/>
          <w:color w:val="auto"/>
          <w:sz w:val="21"/>
          <w:szCs w:val="21"/>
          <w:highlight w:val="none"/>
          <w:shd w:val="clear" w:color="auto" w:fill="FFFFFF"/>
        </w:rPr>
        <w:t>（十六）其他未列明行业</w:t>
      </w:r>
    </w:p>
    <w:p>
      <w:pPr>
        <w:pStyle w:val="28"/>
        <w:shd w:val="clear" w:color="auto"/>
        <w:spacing w:before="0" w:beforeAutospacing="0" w:after="0" w:afterAutospacing="0" w:line="260" w:lineRule="exact"/>
        <w:ind w:firstLine="210" w:firstLineChars="100"/>
        <w:jc w:val="both"/>
        <w:rPr>
          <w:rFonts w:hint="eastAsia" w:hAnsi="宋体" w:cs="宋体"/>
          <w:color w:val="auto"/>
          <w:sz w:val="21"/>
          <w:szCs w:val="21"/>
          <w:highlight w:val="none"/>
          <w:shd w:val="clear" w:color="auto" w:fill="FFFFFF"/>
        </w:rPr>
      </w:pPr>
      <w:r>
        <w:rPr>
          <w:rFonts w:hint="eastAsia" w:hAnsi="宋体" w:cs="宋体"/>
          <w:color w:val="auto"/>
          <w:sz w:val="21"/>
          <w:szCs w:val="21"/>
          <w:highlight w:val="none"/>
          <w:shd w:val="clear" w:color="auto" w:fill="FFFFFF"/>
        </w:rPr>
        <w:t>从业人员300人以下的为中小微型企业。其中，从业人员100人及以上的为中型企业；从业人员10人及以上的为小型企业；从业人员10人以下的为微型企业。</w:t>
      </w:r>
    </w:p>
    <w:p>
      <w:pPr>
        <w:pStyle w:val="4"/>
        <w:shd w:val="clear"/>
        <w:spacing w:line="260" w:lineRule="exact"/>
        <w:rPr>
          <w:rFonts w:hint="eastAsia"/>
          <w:color w:val="auto"/>
          <w:highlight w:val="none"/>
        </w:rPr>
        <w:sectPr>
          <w:headerReference r:id="rId3" w:type="default"/>
          <w:footerReference r:id="rId4" w:type="default"/>
          <w:pgSz w:w="11906" w:h="16838"/>
          <w:pgMar w:top="1247" w:right="1247" w:bottom="1247" w:left="1247" w:header="851" w:footer="992" w:gutter="0"/>
          <w:pgNumType w:fmt="decimal"/>
          <w:cols w:space="720" w:num="1"/>
          <w:docGrid w:linePitch="312" w:charSpace="0"/>
        </w:sectPr>
      </w:pPr>
    </w:p>
    <w:p>
      <w:pPr>
        <w:pStyle w:val="5"/>
        <w:shd w:val="clear"/>
        <w:jc w:val="center"/>
        <w:rPr>
          <w:rFonts w:hint="eastAsia" w:ascii="宋体" w:hAnsi="宋体" w:eastAsia="宋体" w:cs="宋体"/>
          <w:color w:val="auto"/>
          <w:sz w:val="28"/>
          <w:szCs w:val="28"/>
          <w:highlight w:val="none"/>
        </w:rPr>
      </w:pPr>
      <w:bookmarkStart w:id="174" w:name="_Toc19603"/>
      <w:bookmarkStart w:id="175" w:name="_Toc8549"/>
      <w:bookmarkStart w:id="176" w:name="_Toc17582"/>
      <w:bookmarkStart w:id="177" w:name="_Toc95211198"/>
      <w:bookmarkStart w:id="178" w:name="_Toc5664"/>
      <w:bookmarkStart w:id="179" w:name="_Toc24255"/>
      <w:r>
        <w:rPr>
          <w:rFonts w:hint="eastAsia" w:ascii="宋体" w:hAnsi="宋体" w:eastAsia="宋体" w:cs="宋体"/>
          <w:color w:val="auto"/>
          <w:sz w:val="28"/>
          <w:szCs w:val="28"/>
          <w:highlight w:val="none"/>
        </w:rPr>
        <w:t>二、技术资信文件格式</w:t>
      </w:r>
      <w:bookmarkEnd w:id="174"/>
      <w:bookmarkEnd w:id="175"/>
      <w:bookmarkEnd w:id="176"/>
      <w:bookmarkEnd w:id="177"/>
      <w:bookmarkEnd w:id="178"/>
      <w:bookmarkEnd w:id="179"/>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xml:space="preserve">1、技术资信文件封面格式： </w:t>
      </w: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b/>
          <w:bCs/>
          <w:color w:val="auto"/>
          <w:sz w:val="24"/>
          <w:highlight w:val="none"/>
        </w:rPr>
      </w:pPr>
      <w:r>
        <w:rPr>
          <w:rFonts w:hint="eastAsia" w:ascii="宋体" w:hAnsi="宋体" w:cs="宋体"/>
          <w:color w:val="auto"/>
          <w:sz w:val="24"/>
          <w:highlight w:val="none"/>
        </w:rPr>
        <w:t xml:space="preserve">                                                         </w:t>
      </w:r>
    </w:p>
    <w:p>
      <w:pPr>
        <w:shd w:val="clear"/>
        <w:adjustRightInd w:val="0"/>
        <w:snapToGrid w:val="0"/>
        <w:jc w:val="center"/>
        <w:rPr>
          <w:rFonts w:hint="eastAsia" w:ascii="宋体" w:hAnsi="宋体" w:cs="宋体"/>
          <w:bCs/>
          <w:color w:val="auto"/>
          <w:sz w:val="30"/>
          <w:szCs w:val="30"/>
          <w:highlight w:val="none"/>
        </w:rPr>
      </w:pPr>
      <w:r>
        <w:rPr>
          <w:rFonts w:hint="eastAsia" w:ascii="宋体" w:hAnsi="宋体" w:cs="宋体"/>
          <w:bCs/>
          <w:color w:val="auto"/>
          <w:sz w:val="30"/>
          <w:szCs w:val="30"/>
          <w:highlight w:val="none"/>
        </w:rPr>
        <w:t>×××（投标人名称）</w:t>
      </w:r>
    </w:p>
    <w:p>
      <w:pPr>
        <w:shd w:val="clear"/>
        <w:adjustRightInd w:val="0"/>
        <w:snapToGrid w:val="0"/>
        <w:jc w:val="center"/>
        <w:rPr>
          <w:rFonts w:hint="eastAsia" w:ascii="宋体" w:hAnsi="宋体" w:cs="宋体"/>
          <w:bCs/>
          <w:color w:val="auto"/>
          <w:sz w:val="30"/>
          <w:szCs w:val="30"/>
          <w:highlight w:val="none"/>
        </w:rPr>
      </w:pPr>
    </w:p>
    <w:p>
      <w:pPr>
        <w:shd w:val="clear"/>
        <w:adjustRightInd w:val="0"/>
        <w:snapToGrid w:val="0"/>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技术资信文件</w:t>
      </w:r>
    </w:p>
    <w:p>
      <w:pPr>
        <w:shd w:val="clear"/>
        <w:adjustRightInd w:val="0"/>
        <w:snapToGrid w:val="0"/>
        <w:jc w:val="center"/>
        <w:rPr>
          <w:rFonts w:hint="eastAsia" w:ascii="宋体" w:hAnsi="宋体" w:cs="宋体"/>
          <w:b/>
          <w:bCs/>
          <w:color w:val="auto"/>
          <w:sz w:val="44"/>
          <w:szCs w:val="44"/>
          <w:highlight w:val="none"/>
        </w:rPr>
      </w:pPr>
    </w:p>
    <w:p>
      <w:pPr>
        <w:shd w:val="clear"/>
        <w:adjustRightInd w:val="0"/>
        <w:snapToGrid w:val="0"/>
        <w:ind w:left="2250" w:leftChars="500" w:hanging="1200" w:hangingChars="500"/>
        <w:rPr>
          <w:rFonts w:hint="eastAsia" w:ascii="宋体" w:hAnsi="宋体" w:cs="宋体"/>
          <w:bCs/>
          <w:color w:val="auto"/>
          <w:sz w:val="24"/>
          <w:highlight w:val="none"/>
        </w:rPr>
      </w:pPr>
      <w:r>
        <w:rPr>
          <w:rFonts w:hint="eastAsia" w:ascii="宋体" w:hAnsi="宋体" w:cs="宋体"/>
          <w:bCs/>
          <w:color w:val="auto"/>
          <w:sz w:val="24"/>
          <w:highlight w:val="none"/>
        </w:rPr>
        <w:t xml:space="preserve">项目名称： </w:t>
      </w:r>
    </w:p>
    <w:p>
      <w:pPr>
        <w:shd w:val="clear"/>
        <w:adjustRightInd w:val="0"/>
        <w:snapToGrid w:val="0"/>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     项目编号：</w:t>
      </w:r>
    </w:p>
    <w:p>
      <w:pPr>
        <w:shd w:val="clear"/>
        <w:adjustRightInd w:val="0"/>
        <w:snapToGrid w:val="0"/>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投标人名称（盖章）：</w:t>
      </w:r>
    </w:p>
    <w:p>
      <w:pPr>
        <w:shd w:val="clear"/>
        <w:adjustRightInd w:val="0"/>
        <w:snapToGrid w:val="0"/>
        <w:ind w:firstLine="1080" w:firstLineChars="450"/>
        <w:rPr>
          <w:rFonts w:hint="eastAsia" w:ascii="宋体" w:hAnsi="宋体" w:cs="宋体"/>
          <w:color w:val="auto"/>
          <w:sz w:val="24"/>
          <w:highlight w:val="none"/>
        </w:rPr>
      </w:pPr>
      <w:r>
        <w:rPr>
          <w:rFonts w:hint="eastAsia" w:ascii="宋体" w:hAnsi="宋体" w:cs="宋体"/>
          <w:color w:val="auto"/>
          <w:sz w:val="24"/>
          <w:highlight w:val="none"/>
        </w:rPr>
        <w:t>投标人地址：</w:t>
      </w:r>
    </w:p>
    <w:p>
      <w:pPr>
        <w:shd w:val="clear"/>
        <w:adjustRightInd w:val="0"/>
        <w:snapToGrid w:val="0"/>
        <w:ind w:firstLine="4080" w:firstLineChars="1700"/>
        <w:rPr>
          <w:rFonts w:hint="eastAsia" w:ascii="宋体" w:hAnsi="宋体" w:cs="宋体"/>
          <w:color w:val="auto"/>
          <w:sz w:val="24"/>
          <w:highlight w:val="none"/>
        </w:rPr>
      </w:pPr>
      <w:r>
        <w:rPr>
          <w:rFonts w:hint="eastAsia" w:ascii="宋体" w:hAnsi="宋体" w:cs="宋体"/>
          <w:color w:val="auto"/>
          <w:sz w:val="24"/>
          <w:highlight w:val="none"/>
        </w:rPr>
        <w:t>授权代表签名或盖章：</w:t>
      </w:r>
    </w:p>
    <w:p>
      <w:pPr>
        <w:shd w:val="clear"/>
        <w:adjustRightInd w:val="0"/>
        <w:snapToGrid w:val="0"/>
        <w:ind w:firstLine="645"/>
        <w:jc w:val="right"/>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p>
    <w:p>
      <w:pPr>
        <w:pStyle w:val="31"/>
        <w:shd w:val="clear"/>
        <w:rPr>
          <w:rFonts w:hint="eastAsia"/>
          <w:highlight w:val="none"/>
        </w:rPr>
      </w:pPr>
    </w:p>
    <w:p>
      <w:pPr>
        <w:shd w:val="clear"/>
        <w:tabs>
          <w:tab w:val="left" w:pos="8280"/>
        </w:tabs>
        <w:adjustRightInd w:val="0"/>
        <w:snapToGrid w:val="0"/>
        <w:rPr>
          <w:rFonts w:hint="eastAsia" w:ascii="宋体" w:hAnsi="宋体" w:cs="宋体"/>
          <w:color w:val="auto"/>
          <w:sz w:val="32"/>
          <w:highlight w:val="none"/>
        </w:rPr>
      </w:pPr>
      <w:r>
        <w:rPr>
          <w:rFonts w:hint="eastAsia" w:ascii="宋体" w:hAnsi="宋体" w:cs="宋体"/>
          <w:color w:val="auto"/>
          <w:sz w:val="28"/>
          <w:szCs w:val="21"/>
          <w:highlight w:val="none"/>
        </w:rPr>
        <w:t>3</w:t>
      </w:r>
      <w:r>
        <w:rPr>
          <w:rFonts w:hint="eastAsia" w:ascii="宋体" w:hAnsi="宋体" w:cs="宋体"/>
          <w:color w:val="auto"/>
          <w:sz w:val="36"/>
          <w:highlight w:val="none"/>
        </w:rPr>
        <w:t>、</w:t>
      </w:r>
      <w:r>
        <w:rPr>
          <w:rFonts w:hint="eastAsia" w:ascii="宋体" w:hAnsi="宋体" w:cs="宋体"/>
          <w:color w:val="auto"/>
          <w:sz w:val="32"/>
          <w:highlight w:val="none"/>
        </w:rPr>
        <w:t>目录</w:t>
      </w:r>
    </w:p>
    <w:p>
      <w:pPr>
        <w:numPr>
          <w:ilvl w:val="0"/>
          <w:numId w:val="13"/>
        </w:numPr>
        <w:shd w:val="clear"/>
        <w:tabs>
          <w:tab w:val="clear" w:pos="533"/>
        </w:tabs>
        <w:adjustRightInd w:val="0"/>
        <w:snapToGrid w:val="0"/>
        <w:spacing w:line="36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投标函（格式见第六章）；</w:t>
      </w:r>
    </w:p>
    <w:p>
      <w:pPr>
        <w:numPr>
          <w:ilvl w:val="0"/>
          <w:numId w:val="13"/>
        </w:numPr>
        <w:shd w:val="clear"/>
        <w:tabs>
          <w:tab w:val="clear" w:pos="533"/>
        </w:tabs>
        <w:adjustRightInd w:val="0"/>
        <w:snapToGrid w:val="0"/>
        <w:spacing w:line="36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营业执照复印件</w:t>
      </w:r>
    </w:p>
    <w:p>
      <w:pPr>
        <w:numPr>
          <w:ilvl w:val="0"/>
          <w:numId w:val="13"/>
        </w:numPr>
        <w:shd w:val="clear"/>
        <w:tabs>
          <w:tab w:val="clear" w:pos="533"/>
        </w:tabs>
        <w:adjustRightInd w:val="0"/>
        <w:snapToGrid w:val="0"/>
        <w:spacing w:line="36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法定代表人身份证明书、法定代表人授权委托书（格式见第六章）</w:t>
      </w:r>
    </w:p>
    <w:p>
      <w:pPr>
        <w:numPr>
          <w:ilvl w:val="0"/>
          <w:numId w:val="13"/>
        </w:numPr>
        <w:shd w:val="clear"/>
        <w:tabs>
          <w:tab w:val="clear" w:pos="533"/>
        </w:tabs>
        <w:adjustRightInd w:val="0"/>
        <w:snapToGrid w:val="0"/>
        <w:spacing w:line="36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投标单位情况表（格式见第六章）；</w:t>
      </w:r>
    </w:p>
    <w:p>
      <w:pPr>
        <w:numPr>
          <w:ilvl w:val="0"/>
          <w:numId w:val="13"/>
        </w:numPr>
        <w:shd w:val="clear"/>
        <w:tabs>
          <w:tab w:val="clear" w:pos="533"/>
        </w:tabs>
        <w:adjustRightInd w:val="0"/>
        <w:snapToGrid w:val="0"/>
        <w:spacing w:line="36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技术响应表（格式见第六章）；</w:t>
      </w:r>
    </w:p>
    <w:p>
      <w:pPr>
        <w:numPr>
          <w:ilvl w:val="0"/>
          <w:numId w:val="13"/>
        </w:numPr>
        <w:shd w:val="clear"/>
        <w:tabs>
          <w:tab w:val="clear" w:pos="533"/>
        </w:tabs>
        <w:adjustRightInd w:val="0"/>
        <w:snapToGrid w:val="0"/>
        <w:spacing w:line="36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项目建设总体方案</w:t>
      </w:r>
      <w:r>
        <w:rPr>
          <w:rFonts w:hint="eastAsia" w:ascii="宋体" w:hAnsi="宋体" w:eastAsia="宋体" w:cs="宋体"/>
          <w:szCs w:val="21"/>
          <w:highlight w:val="none"/>
          <w:lang w:eastAsia="zh-CN"/>
        </w:rPr>
        <w:t>；</w:t>
      </w:r>
    </w:p>
    <w:p>
      <w:pPr>
        <w:numPr>
          <w:ilvl w:val="0"/>
          <w:numId w:val="13"/>
        </w:numPr>
        <w:shd w:val="clear"/>
        <w:tabs>
          <w:tab w:val="clear" w:pos="533"/>
        </w:tabs>
        <w:adjustRightInd w:val="0"/>
        <w:snapToGrid w:val="0"/>
        <w:spacing w:line="36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监控点位挂高选址方案及高空监控资源；</w:t>
      </w:r>
    </w:p>
    <w:p>
      <w:pPr>
        <w:numPr>
          <w:ilvl w:val="0"/>
          <w:numId w:val="13"/>
        </w:numPr>
        <w:shd w:val="clear"/>
        <w:tabs>
          <w:tab w:val="clear" w:pos="533"/>
        </w:tabs>
        <w:adjustRightInd w:val="0"/>
        <w:snapToGrid w:val="0"/>
        <w:spacing w:line="36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培训方案；</w:t>
      </w:r>
    </w:p>
    <w:p>
      <w:pPr>
        <w:numPr>
          <w:ilvl w:val="0"/>
          <w:numId w:val="13"/>
        </w:numPr>
        <w:shd w:val="clear"/>
        <w:tabs>
          <w:tab w:val="clear" w:pos="533"/>
        </w:tabs>
        <w:adjustRightInd w:val="0"/>
        <w:snapToGrid w:val="0"/>
        <w:spacing w:line="360" w:lineRule="exact"/>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拟投入实施的团队人员配置（格式见第六章）</w:t>
      </w:r>
      <w:r>
        <w:rPr>
          <w:rFonts w:hint="eastAsia" w:ascii="宋体" w:hAnsi="宋体" w:eastAsia="宋体" w:cs="宋体"/>
          <w:szCs w:val="21"/>
          <w:highlight w:val="none"/>
          <w:lang w:val="en-US" w:eastAsia="zh-CN"/>
        </w:rPr>
        <w:t>；</w:t>
      </w:r>
    </w:p>
    <w:p>
      <w:pPr>
        <w:numPr>
          <w:ilvl w:val="0"/>
          <w:numId w:val="13"/>
        </w:numPr>
        <w:shd w:val="clear"/>
        <w:tabs>
          <w:tab w:val="clear" w:pos="533"/>
        </w:tabs>
        <w:adjustRightInd w:val="0"/>
        <w:snapToGrid w:val="0"/>
        <w:spacing w:line="36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售后服务；</w:t>
      </w:r>
    </w:p>
    <w:p>
      <w:pPr>
        <w:numPr>
          <w:ilvl w:val="0"/>
          <w:numId w:val="13"/>
        </w:numPr>
        <w:shd w:val="clear"/>
        <w:tabs>
          <w:tab w:val="clear" w:pos="533"/>
        </w:tabs>
        <w:adjustRightInd w:val="0"/>
        <w:snapToGrid w:val="0"/>
        <w:spacing w:line="36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体系认证</w:t>
      </w:r>
      <w:r>
        <w:rPr>
          <w:rFonts w:hint="eastAsia" w:ascii="宋体" w:hAnsi="宋体" w:eastAsia="宋体" w:cs="宋体"/>
          <w:szCs w:val="21"/>
          <w:highlight w:val="none"/>
          <w:lang w:val="en-US" w:eastAsia="zh-CN"/>
        </w:rPr>
        <w:t>证书</w:t>
      </w:r>
      <w:r>
        <w:rPr>
          <w:rFonts w:hint="eastAsia" w:ascii="宋体" w:hAnsi="宋体" w:eastAsia="宋体" w:cs="宋体"/>
          <w:szCs w:val="21"/>
          <w:highlight w:val="none"/>
          <w:lang w:eastAsia="zh-CN"/>
        </w:rPr>
        <w:t>；</w:t>
      </w:r>
    </w:p>
    <w:p>
      <w:pPr>
        <w:numPr>
          <w:ilvl w:val="0"/>
          <w:numId w:val="13"/>
        </w:numPr>
        <w:shd w:val="clear"/>
        <w:tabs>
          <w:tab w:val="clear" w:pos="533"/>
        </w:tabs>
        <w:adjustRightInd w:val="0"/>
        <w:snapToGrid w:val="0"/>
        <w:spacing w:line="36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商务响应表（格式见第六章）；</w:t>
      </w:r>
    </w:p>
    <w:p>
      <w:pPr>
        <w:numPr>
          <w:ilvl w:val="0"/>
          <w:numId w:val="13"/>
        </w:numPr>
        <w:shd w:val="clear"/>
        <w:tabs>
          <w:tab w:val="clear" w:pos="533"/>
        </w:tabs>
        <w:adjustRightInd w:val="0"/>
        <w:snapToGrid w:val="0"/>
        <w:spacing w:line="36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同类项目实施情况一览表（格式见第六章）；</w:t>
      </w:r>
    </w:p>
    <w:p>
      <w:pPr>
        <w:numPr>
          <w:ilvl w:val="0"/>
          <w:numId w:val="13"/>
        </w:numPr>
        <w:shd w:val="clea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lang w:eastAsia="zh-CN"/>
        </w:rPr>
        <w:t>根据评分表及项目需求情况，自行添加相关表格及资料</w:t>
      </w:r>
      <w:r>
        <w:rPr>
          <w:rFonts w:hint="eastAsia" w:ascii="宋体" w:hAnsi="宋体" w:cs="宋体"/>
          <w:szCs w:val="21"/>
          <w:highlight w:val="none"/>
          <w:lang w:eastAsia="zh-CN"/>
        </w:rPr>
        <w:t>。</w:t>
      </w:r>
    </w:p>
    <w:p>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pPr>
        <w:numPr>
          <w:ilvl w:val="0"/>
          <w:numId w:val="0"/>
        </w:numPr>
        <w:shd w:val="clear"/>
        <w:tabs>
          <w:tab w:val="left" w:pos="533"/>
        </w:tabs>
        <w:adjustRightInd w:val="0"/>
        <w:snapToGrid w:val="0"/>
        <w:spacing w:line="360" w:lineRule="exact"/>
        <w:ind w:left="113" w:firstLine="0"/>
        <w:jc w:val="left"/>
        <w:rPr>
          <w:rFonts w:hint="eastAsia" w:ascii="宋体" w:hAnsi="宋体" w:eastAsia="宋体" w:cs="宋体"/>
          <w:szCs w:val="24"/>
          <w:highlight w:val="none"/>
        </w:rPr>
      </w:pPr>
    </w:p>
    <w:p>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pPr>
        <w:pStyle w:val="2"/>
        <w:shd w:val="clear"/>
        <w:rPr>
          <w:rFonts w:hint="eastAsia"/>
          <w:highlight w:val="none"/>
        </w:rPr>
      </w:pPr>
    </w:p>
    <w:p>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pPr>
        <w:pStyle w:val="31"/>
        <w:shd w:val="clear"/>
        <w:rPr>
          <w:rFonts w:hint="eastAsia"/>
          <w:highlight w:val="none"/>
        </w:rPr>
      </w:pPr>
    </w:p>
    <w:p>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r>
        <w:rPr>
          <w:rFonts w:hint="eastAsia" w:ascii="宋体" w:hAnsi="宋体" w:cs="宋体"/>
          <w:color w:val="auto"/>
          <w:sz w:val="24"/>
          <w:highlight w:val="none"/>
        </w:rPr>
        <w:t>4、投标函格式</w:t>
      </w:r>
    </w:p>
    <w:p>
      <w:pPr>
        <w:shd w:val="clear"/>
        <w:spacing w:line="360" w:lineRule="auto"/>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投 标 函</w:t>
      </w:r>
    </w:p>
    <w:p>
      <w:pPr>
        <w:shd w:val="clear"/>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致：</w:t>
      </w:r>
      <w:r>
        <w:rPr>
          <w:rFonts w:hint="eastAsia" w:ascii="宋体" w:hAnsi="宋体" w:cs="宋体"/>
          <w:color w:val="auto"/>
          <w:szCs w:val="21"/>
          <w:highlight w:val="none"/>
          <w:u w:val="single"/>
          <w:lang w:eastAsia="zh-CN"/>
        </w:rPr>
        <w:t>安吉县林业局</w:t>
      </w:r>
      <w:r>
        <w:rPr>
          <w:rFonts w:hint="eastAsia" w:ascii="宋体" w:hAnsi="宋体" w:cs="宋体"/>
          <w:color w:val="auto"/>
          <w:szCs w:val="21"/>
          <w:highlight w:val="none"/>
          <w:u w:val="single"/>
        </w:rPr>
        <w:t>：</w:t>
      </w:r>
    </w:p>
    <w:p>
      <w:pPr>
        <w:shd w:val="clear"/>
        <w:spacing w:line="420" w:lineRule="exact"/>
        <w:ind w:firstLine="210" w:firstLineChars="100"/>
        <w:rPr>
          <w:rFonts w:hint="eastAsia" w:ascii="宋体" w:hAnsi="宋体" w:cs="宋体"/>
          <w:color w:val="auto"/>
          <w:szCs w:val="21"/>
          <w:highlight w:val="none"/>
          <w:u w:val="single"/>
        </w:rPr>
      </w:pPr>
      <w:r>
        <w:rPr>
          <w:rFonts w:hint="eastAsia" w:ascii="宋体" w:hAnsi="宋体" w:cs="宋体"/>
          <w:color w:val="auto"/>
          <w:szCs w:val="21"/>
          <w:highlight w:val="none"/>
          <w:u w:val="single"/>
        </w:rPr>
        <w:t>安吉精诚采购代理有限公司：</w:t>
      </w:r>
    </w:p>
    <w:p>
      <w:pPr>
        <w:shd w:val="clea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根据已收到贵方的招标文件编号</w:t>
      </w:r>
      <w:r>
        <w:rPr>
          <w:rFonts w:hint="eastAsia" w:ascii="宋体" w:hAnsi="宋体" w:cs="宋体"/>
          <w:color w:val="auto"/>
          <w:szCs w:val="21"/>
          <w:highlight w:val="none"/>
          <w:u w:val="single"/>
          <w:lang w:eastAsia="zh-CN"/>
        </w:rPr>
        <w:t>JCGK2024-008</w:t>
      </w:r>
      <w:r>
        <w:rPr>
          <w:rFonts w:hint="eastAsia" w:ascii="宋体" w:hAnsi="宋体" w:cs="宋体"/>
          <w:color w:val="auto"/>
          <w:szCs w:val="21"/>
          <w:highlight w:val="none"/>
        </w:rPr>
        <w:t xml:space="preserve">的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安吉县林业局林长制视频监控服务政府采购项目</w:t>
      </w:r>
      <w:r>
        <w:rPr>
          <w:rFonts w:hint="eastAsia" w:ascii="宋体" w:hAnsi="宋体" w:cs="宋体"/>
          <w:color w:val="auto"/>
          <w:szCs w:val="21"/>
          <w:highlight w:val="none"/>
          <w:u w:val="single"/>
        </w:rPr>
        <w:t>》</w:t>
      </w:r>
      <w:r>
        <w:rPr>
          <w:rFonts w:hint="eastAsia" w:ascii="宋体" w:hAnsi="宋体" w:cs="宋体"/>
          <w:color w:val="auto"/>
          <w:szCs w:val="21"/>
          <w:highlight w:val="none"/>
        </w:rPr>
        <w:t>招标文件，正式授权下述签字人：</w:t>
      </w:r>
      <w:r>
        <w:rPr>
          <w:rFonts w:hint="eastAsia" w:ascii="宋体" w:hAnsi="宋体" w:cs="宋体"/>
          <w:color w:val="auto"/>
          <w:szCs w:val="21"/>
          <w:highlight w:val="none"/>
          <w:u w:val="single"/>
        </w:rPr>
        <w:t>（姓名和职务）</w:t>
      </w:r>
      <w:r>
        <w:rPr>
          <w:rFonts w:hint="eastAsia" w:ascii="宋体" w:hAnsi="宋体" w:cs="宋体"/>
          <w:color w:val="auto"/>
          <w:szCs w:val="21"/>
          <w:highlight w:val="none"/>
        </w:rPr>
        <w:t>为我公司在职职工，代表</w:t>
      </w:r>
      <w:r>
        <w:rPr>
          <w:rFonts w:hint="eastAsia" w:ascii="宋体" w:hAnsi="宋体" w:cs="宋体"/>
          <w:color w:val="auto"/>
          <w:szCs w:val="21"/>
          <w:highlight w:val="none"/>
          <w:u w:val="single"/>
        </w:rPr>
        <w:t xml:space="preserve"> 投标人（即投标单位）</w:t>
      </w:r>
      <w:r>
        <w:rPr>
          <w:rFonts w:hint="eastAsia" w:ascii="宋体" w:hAnsi="宋体" w:cs="宋体"/>
          <w:color w:val="auto"/>
          <w:szCs w:val="21"/>
          <w:highlight w:val="none"/>
        </w:rPr>
        <w:t>，按招标文件要求提交投标文件。</w:t>
      </w:r>
    </w:p>
    <w:p>
      <w:pPr>
        <w:shd w:val="clea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据此函，签字人兹宣布同意如下：</w:t>
      </w:r>
    </w:p>
    <w:p>
      <w:pPr>
        <w:shd w:val="clea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我单位已详细审核全部招标文件，包括招标文件、招标文件的补充、修改通知、投标答疑纪要的所有内容，均没有异议。在完全理解和接受的前提下，完全知道必须放弃因含糊不清或误解而对招标文件提出质疑的权利;</w:t>
      </w:r>
    </w:p>
    <w:p>
      <w:pPr>
        <w:shd w:val="clea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2、投标人在投标之前已经与贵方进行了充分的沟通，完全理解并接受招标文件的各项规定和要求，对招标文件的合理性、合法性不再有异议。</w:t>
      </w:r>
    </w:p>
    <w:p>
      <w:pPr>
        <w:shd w:val="clear"/>
        <w:adjustRightInd w:val="0"/>
        <w:snapToGrid w:val="0"/>
        <w:spacing w:line="420" w:lineRule="exact"/>
        <w:ind w:firstLine="420" w:firstLineChars="200"/>
        <w:rPr>
          <w:rFonts w:hint="eastAsia" w:ascii="宋体" w:hAnsi="宋体" w:cs="宋体"/>
          <w:color w:val="auto"/>
          <w:sz w:val="24"/>
          <w:highlight w:val="none"/>
        </w:rPr>
      </w:pPr>
      <w:r>
        <w:rPr>
          <w:rFonts w:hint="eastAsia" w:ascii="宋体" w:hAnsi="宋体" w:cs="宋体"/>
          <w:color w:val="auto"/>
          <w:szCs w:val="21"/>
          <w:highlight w:val="none"/>
        </w:rPr>
        <w:t>3. 本投标有效期自开标日起</w:t>
      </w:r>
      <w:r>
        <w:rPr>
          <w:rFonts w:hint="eastAsia" w:ascii="宋体" w:hAnsi="宋体" w:cs="宋体"/>
          <w:color w:val="auto"/>
          <w:szCs w:val="21"/>
          <w:highlight w:val="none"/>
          <w:u w:val="single"/>
        </w:rPr>
        <w:t xml:space="preserve"> 90个</w:t>
      </w:r>
      <w:r>
        <w:rPr>
          <w:rFonts w:hint="eastAsia" w:ascii="宋体" w:hAnsi="宋体" w:cs="宋体"/>
          <w:color w:val="auto"/>
          <w:szCs w:val="21"/>
          <w:highlight w:val="none"/>
        </w:rPr>
        <w:t>日历天；</w:t>
      </w:r>
    </w:p>
    <w:p>
      <w:pPr>
        <w:shd w:val="clea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我单位同意提供采购人和采购代理机构可能另外要求的与其招标有关的任何数据或资料；</w:t>
      </w:r>
    </w:p>
    <w:p>
      <w:pPr>
        <w:shd w:val="clea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 我单位同意按照招标文件中规定的服务期限如期提供服务；</w:t>
      </w:r>
    </w:p>
    <w:p>
      <w:pPr>
        <w:shd w:val="clea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 我单位保证所供服务项目质量符合国家强制性规范和标准，达到招标文件规定的要求；</w:t>
      </w:r>
    </w:p>
    <w:p>
      <w:pPr>
        <w:shd w:val="clea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 我单位同意所提交的投标文件在招标有效期内有效，在此期间我方的投标有可能中标，我方将受此约束；</w:t>
      </w:r>
    </w:p>
    <w:p>
      <w:pPr>
        <w:shd w:val="clea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 除非另外达成协议并生效，招标文件、招标文件补充、修改通知、技术规范、中标通知书和本投标文件将构成约束我们双方的合同。</w:t>
      </w:r>
    </w:p>
    <w:p>
      <w:pPr>
        <w:shd w:val="clear"/>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 与本次投标有关的一切正式往来函件信息如下：</w:t>
      </w:r>
    </w:p>
    <w:p>
      <w:pPr>
        <w:shd w:val="clear"/>
        <w:spacing w:line="42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电子邮箱：</w:t>
      </w:r>
      <w:r>
        <w:rPr>
          <w:rFonts w:hint="eastAsia" w:ascii="宋体" w:hAnsi="宋体" w:cs="宋体"/>
          <w:color w:val="auto"/>
          <w:szCs w:val="21"/>
          <w:highlight w:val="none"/>
          <w:u w:val="single"/>
        </w:rPr>
        <w:t xml:space="preserve">            </w:t>
      </w:r>
    </w:p>
    <w:p>
      <w:pPr>
        <w:shd w:val="clear"/>
        <w:spacing w:line="42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邮编：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传真： </w:t>
      </w:r>
      <w:r>
        <w:rPr>
          <w:rFonts w:hint="eastAsia" w:ascii="宋体" w:hAnsi="宋体" w:cs="宋体"/>
          <w:color w:val="auto"/>
          <w:szCs w:val="21"/>
          <w:highlight w:val="none"/>
          <w:u w:val="single"/>
        </w:rPr>
        <w:t xml:space="preserve">     </w:t>
      </w:r>
    </w:p>
    <w:p>
      <w:pPr>
        <w:shd w:val="clear"/>
        <w:spacing w:line="42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银行帐号：</w:t>
      </w:r>
      <w:r>
        <w:rPr>
          <w:rFonts w:hint="eastAsia" w:ascii="宋体" w:hAnsi="宋体" w:cs="宋体"/>
          <w:color w:val="auto"/>
          <w:szCs w:val="21"/>
          <w:highlight w:val="none"/>
          <w:u w:val="single"/>
        </w:rPr>
        <w:t xml:space="preserve">         </w:t>
      </w:r>
    </w:p>
    <w:p>
      <w:pPr>
        <w:shd w:val="clear"/>
        <w:spacing w:line="42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投标人代表姓名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pPr>
        <w:shd w:val="clear"/>
        <w:spacing w:line="42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p>
    <w:p>
      <w:pPr>
        <w:pStyle w:val="13"/>
        <w:shd w:val="clear"/>
        <w:tabs>
          <w:tab w:val="left" w:pos="939"/>
        </w:tabs>
        <w:snapToGrid w:val="0"/>
        <w:spacing w:line="420" w:lineRule="exact"/>
        <w:ind w:left="0" w:leftChars="0" w:firstLine="420" w:firstLineChars="200"/>
        <w:rPr>
          <w:rFonts w:hint="eastAsia" w:ascii="宋体" w:hAnsi="宋体" w:cs="宋体"/>
          <w:color w:val="auto"/>
          <w:szCs w:val="21"/>
          <w:highlight w:val="none"/>
        </w:rPr>
      </w:pPr>
    </w:p>
    <w:p>
      <w:pPr>
        <w:pStyle w:val="13"/>
        <w:shd w:val="clear"/>
        <w:tabs>
          <w:tab w:val="left" w:pos="939"/>
        </w:tabs>
        <w:snapToGrid w:val="0"/>
        <w:spacing w:line="420" w:lineRule="exact"/>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投标人全称（公章）：</w:t>
      </w:r>
    </w:p>
    <w:p>
      <w:pPr>
        <w:shd w:val="clear"/>
        <w:ind w:firstLine="420" w:firstLineChars="200"/>
        <w:rPr>
          <w:rFonts w:hint="eastAsia" w:ascii="宋体" w:hAnsi="宋体" w:cs="宋体"/>
          <w:color w:val="auto"/>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5、法定代表人身份证明书格式</w:t>
      </w:r>
    </w:p>
    <w:p>
      <w:pPr>
        <w:shd w:val="clear"/>
        <w:adjustRightInd w:val="0"/>
        <w:snapToGrid w:val="0"/>
        <w:jc w:val="center"/>
        <w:rPr>
          <w:rFonts w:hint="eastAsia" w:ascii="宋体" w:hAnsi="宋体" w:cs="宋体"/>
          <w:b/>
          <w:color w:val="auto"/>
          <w:sz w:val="36"/>
          <w:szCs w:val="36"/>
          <w:highlight w:val="none"/>
        </w:rPr>
      </w:pPr>
    </w:p>
    <w:p>
      <w:pPr>
        <w:shd w:val="clear"/>
        <w:adjustRightInd w:val="0"/>
        <w:snapToGrid w:val="0"/>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法定代表人身份证明书</w:t>
      </w:r>
    </w:p>
    <w:p>
      <w:pPr>
        <w:shd w:val="clear"/>
        <w:spacing w:line="480" w:lineRule="auto"/>
        <w:ind w:firstLine="403" w:firstLineChars="192"/>
        <w:rPr>
          <w:rFonts w:hint="eastAsia" w:ascii="宋体" w:hAnsi="宋体" w:cs="宋体"/>
          <w:color w:val="auto"/>
          <w:szCs w:val="21"/>
          <w:highlight w:val="none"/>
        </w:rPr>
      </w:pPr>
    </w:p>
    <w:p>
      <w:pPr>
        <w:shd w:val="clear"/>
        <w:adjustRightInd w:val="0"/>
        <w:snapToGrid w:val="0"/>
        <w:jc w:val="left"/>
        <w:rPr>
          <w:rFonts w:hint="eastAsia" w:ascii="宋体" w:hAnsi="宋体" w:cs="宋体"/>
          <w:color w:val="auto"/>
          <w:sz w:val="24"/>
          <w:highlight w:val="none"/>
        </w:rPr>
      </w:pPr>
      <w:bookmarkStart w:id="180" w:name="_Toc24953114"/>
      <w:r>
        <w:rPr>
          <w:rFonts w:hint="eastAsia" w:ascii="宋体" w:hAnsi="宋体" w:cs="宋体"/>
          <w:color w:val="auto"/>
          <w:sz w:val="24"/>
          <w:highlight w:val="none"/>
        </w:rPr>
        <w:t>致</w:t>
      </w:r>
      <w:r>
        <w:rPr>
          <w:rFonts w:hint="eastAsia" w:ascii="宋体" w:hAnsi="宋体" w:cs="宋体"/>
          <w:color w:val="auto"/>
          <w:sz w:val="24"/>
          <w:highlight w:val="none"/>
          <w:lang w:eastAsia="zh-CN"/>
        </w:rPr>
        <w:t>安吉县林业局</w:t>
      </w:r>
      <w:r>
        <w:rPr>
          <w:rFonts w:hint="eastAsia" w:ascii="宋体" w:hAnsi="宋体" w:cs="宋体"/>
          <w:color w:val="auto"/>
          <w:sz w:val="24"/>
          <w:highlight w:val="none"/>
        </w:rPr>
        <w:t>：</w:t>
      </w:r>
    </w:p>
    <w:p>
      <w:pPr>
        <w:shd w:val="clear"/>
        <w:adjustRightInd w:val="0"/>
        <w:snapToGrid w:val="0"/>
        <w:jc w:val="left"/>
        <w:rPr>
          <w:rFonts w:hint="eastAsia" w:ascii="宋体" w:hAnsi="宋体" w:cs="宋体"/>
          <w:color w:val="auto"/>
          <w:sz w:val="24"/>
          <w:highlight w:val="none"/>
        </w:rPr>
      </w:pPr>
      <w:r>
        <w:rPr>
          <w:rFonts w:hint="eastAsia" w:ascii="宋体" w:hAnsi="宋体" w:cs="宋体"/>
          <w:color w:val="auto"/>
          <w:sz w:val="24"/>
          <w:highlight w:val="none"/>
        </w:rPr>
        <w:t>安吉精诚采购代理有限公司：</w:t>
      </w:r>
    </w:p>
    <w:p>
      <w:pPr>
        <w:shd w:val="clear"/>
        <w:adjustRightInd w:val="0"/>
        <w:snapToGrid w:val="0"/>
        <w:jc w:val="left"/>
        <w:rPr>
          <w:rFonts w:hint="eastAsia" w:ascii="宋体" w:hAnsi="宋体" w:cs="宋体"/>
          <w:color w:val="auto"/>
          <w:sz w:val="24"/>
          <w:highlight w:val="none"/>
        </w:rPr>
      </w:pPr>
      <w:r>
        <w:rPr>
          <w:rFonts w:hint="eastAsia" w:ascii="宋体" w:hAnsi="宋体" w:cs="宋体"/>
          <w:color w:val="auto"/>
          <w:sz w:val="24"/>
          <w:highlight w:val="none"/>
        </w:rPr>
        <w:t xml:space="preserve">    </w:t>
      </w:r>
    </w:p>
    <w:p>
      <w:pPr>
        <w:shd w:val="clear"/>
        <w:adjustRightInd w:val="0"/>
        <w:snapToGrid w:val="0"/>
        <w:ind w:firstLine="600" w:firstLineChars="250"/>
        <w:jc w:val="left"/>
        <w:rPr>
          <w:rFonts w:hint="eastAsia" w:ascii="宋体" w:hAnsi="宋体" w:cs="宋体"/>
          <w:color w:val="auto"/>
          <w:sz w:val="24"/>
          <w:highlight w:val="none"/>
          <w:u w:val="single"/>
        </w:rPr>
      </w:pPr>
      <w:r>
        <w:rPr>
          <w:rFonts w:hint="eastAsia" w:ascii="宋体" w:hAnsi="宋体" w:cs="宋体"/>
          <w:color w:val="auto"/>
          <w:sz w:val="24"/>
          <w:highlight w:val="none"/>
        </w:rPr>
        <w:t xml:space="preserve"> 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，性别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，是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的法定代表人。联系电话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传真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通讯地址：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hd w:val="clear"/>
        <w:adjustRightInd w:val="0"/>
        <w:snapToGrid w:val="0"/>
        <w:jc w:val="center"/>
        <w:rPr>
          <w:rFonts w:hint="eastAsia" w:ascii="宋体" w:hAnsi="宋体" w:cs="宋体"/>
          <w:color w:val="auto"/>
          <w:sz w:val="24"/>
          <w:highlight w:val="none"/>
        </w:rPr>
      </w:pPr>
    </w:p>
    <w:p>
      <w:pPr>
        <w:shd w:val="clea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特此证明</w:t>
      </w:r>
    </w:p>
    <w:p>
      <w:pPr>
        <w:shd w:val="clear"/>
        <w:adjustRightInd w:val="0"/>
        <w:snapToGrid w:val="0"/>
        <w:jc w:val="center"/>
        <w:rPr>
          <w:rFonts w:hint="eastAsia" w:ascii="宋体" w:hAnsi="宋体" w:cs="宋体"/>
          <w:color w:val="auto"/>
          <w:sz w:val="24"/>
          <w:highlight w:val="none"/>
        </w:rPr>
      </w:pPr>
    </w:p>
    <w:p>
      <w:pPr>
        <w:shd w:val="clea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 xml:space="preserve">                      投标人全称：（公章）</w:t>
      </w:r>
      <w:r>
        <w:rPr>
          <w:rFonts w:hint="eastAsia" w:ascii="宋体" w:hAnsi="宋体" w:cs="宋体"/>
          <w:color w:val="auto"/>
          <w:sz w:val="24"/>
          <w:highlight w:val="none"/>
          <w:u w:val="single"/>
        </w:rPr>
        <w:t xml:space="preserve">              </w:t>
      </w:r>
    </w:p>
    <w:p>
      <w:pPr>
        <w:shd w:val="clear"/>
        <w:wordWrap w:val="0"/>
        <w:adjustRightInd w:val="0"/>
        <w:snapToGrid w:val="0"/>
        <w:jc w:val="right"/>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月</w:t>
      </w:r>
      <w:r>
        <w:rPr>
          <w:rFonts w:hint="eastAsia" w:ascii="宋体" w:hAnsi="宋体" w:cs="宋体"/>
          <w:color w:val="auto"/>
          <w:sz w:val="24"/>
          <w:highlight w:val="none"/>
          <w:u w:val="single"/>
        </w:rPr>
        <w:t xml:space="preserve">      日</w:t>
      </w:r>
    </w:p>
    <w:p>
      <w:pPr>
        <w:shd w:val="clear"/>
        <w:adjustRightInd w:val="0"/>
        <w:snapToGrid w:val="0"/>
        <w:jc w:val="right"/>
        <w:rPr>
          <w:rFonts w:hint="eastAsia" w:ascii="宋体" w:hAnsi="宋体" w:cs="宋体"/>
          <w:color w:val="auto"/>
          <w:sz w:val="24"/>
          <w:highlight w:val="none"/>
          <w:u w:val="single"/>
        </w:rPr>
      </w:pPr>
    </w:p>
    <w:p>
      <w:pPr>
        <w:shd w:val="clear"/>
        <w:adjustRightInd w:val="0"/>
        <w:snapToGrid w:val="0"/>
        <w:jc w:val="right"/>
        <w:rPr>
          <w:rFonts w:hint="eastAsia" w:ascii="宋体" w:hAnsi="宋体" w:cs="宋体"/>
          <w:color w:val="auto"/>
          <w:sz w:val="24"/>
          <w:highlight w:val="none"/>
          <w:u w:val="single"/>
        </w:rPr>
      </w:pPr>
    </w:p>
    <w:p>
      <w:pPr>
        <w:shd w:val="clear"/>
        <w:adjustRightInd w:val="0"/>
        <w:snapToGrid w:val="0"/>
        <w:jc w:val="right"/>
        <w:rPr>
          <w:rFonts w:hint="eastAsia" w:ascii="宋体" w:hAnsi="宋体" w:cs="宋体"/>
          <w:color w:val="auto"/>
          <w:sz w:val="24"/>
          <w:highlight w:val="none"/>
        </w:rPr>
      </w:pPr>
      <w:r>
        <w:rPr>
          <w:rFonts w:hint="eastAsia" w:ascii="宋体" w:hAnsi="宋体" w:cs="宋体"/>
          <w:color w:val="auto"/>
          <w:sz w:val="24"/>
          <w:highlight w:val="none"/>
        </w:rPr>
        <w:t>---------------------------------------------------------------------------------</w:t>
      </w:r>
    </w:p>
    <w:p>
      <w:pPr>
        <w:shd w:val="clear"/>
        <w:adjustRightInd w:val="0"/>
        <w:snapToGrid w:val="0"/>
        <w:jc w:val="center"/>
        <w:rPr>
          <w:rFonts w:hint="eastAsia" w:ascii="宋体" w:hAnsi="宋体" w:cs="宋体"/>
          <w:color w:val="auto"/>
          <w:sz w:val="24"/>
          <w:highlight w:val="none"/>
        </w:rPr>
      </w:pPr>
    </w:p>
    <w:p>
      <w:pPr>
        <w:shd w:val="clea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法定代表人身份证复印件黏贴处</w:t>
      </w:r>
    </w:p>
    <w:p>
      <w:pPr>
        <w:shd w:val="clear"/>
        <w:adjustRightInd w:val="0"/>
        <w:snapToGrid w:val="0"/>
        <w:rPr>
          <w:rFonts w:hint="eastAsia" w:ascii="宋体" w:hAnsi="宋体" w:cs="宋体"/>
          <w:color w:val="auto"/>
          <w:sz w:val="24"/>
          <w:highlight w:val="none"/>
          <w:u w:val="single"/>
        </w:rPr>
      </w:pPr>
      <w:r>
        <w:rPr>
          <w:rFonts w:hint="eastAsia" w:ascii="宋体" w:hAnsi="宋体" w:cs="宋体"/>
          <w:bCs/>
          <w:color w:val="auto"/>
          <w:sz w:val="24"/>
          <w:highlight w:val="none"/>
        </w:rPr>
        <w:br w:type="page"/>
      </w:r>
      <w:bookmarkEnd w:id="180"/>
      <w:bookmarkStart w:id="181" w:name="_Toc251602206"/>
      <w:bookmarkStart w:id="182" w:name="_Toc251601951"/>
      <w:r>
        <w:rPr>
          <w:rFonts w:hint="eastAsia" w:ascii="宋体" w:hAnsi="宋体" w:cs="宋体"/>
          <w:bCs/>
          <w:color w:val="auto"/>
          <w:sz w:val="24"/>
          <w:highlight w:val="none"/>
        </w:rPr>
        <w:t>6</w:t>
      </w:r>
      <w:r>
        <w:rPr>
          <w:rFonts w:hint="eastAsia" w:ascii="宋体" w:hAnsi="宋体" w:cs="宋体"/>
          <w:color w:val="auto"/>
          <w:sz w:val="24"/>
          <w:highlight w:val="none"/>
        </w:rPr>
        <w:t>、法定代表人授权委托书格式：</w:t>
      </w:r>
    </w:p>
    <w:p>
      <w:pPr>
        <w:shd w:val="clear"/>
        <w:spacing w:line="360" w:lineRule="auto"/>
        <w:jc w:val="center"/>
        <w:rPr>
          <w:rFonts w:hint="eastAsia" w:ascii="宋体" w:hAnsi="宋体" w:cs="宋体"/>
          <w:b/>
          <w:color w:val="auto"/>
          <w:sz w:val="28"/>
          <w:szCs w:val="28"/>
          <w:highlight w:val="none"/>
        </w:rPr>
      </w:pPr>
    </w:p>
    <w:p>
      <w:pPr>
        <w:shd w:val="clear"/>
        <w:adjustRightInd w:val="0"/>
        <w:snapToGrid w:val="0"/>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法定代表人授权委托书</w:t>
      </w:r>
      <w:bookmarkEnd w:id="181"/>
      <w:bookmarkEnd w:id="182"/>
    </w:p>
    <w:p>
      <w:pPr>
        <w:shd w:val="clear"/>
        <w:spacing w:line="360" w:lineRule="auto"/>
        <w:jc w:val="center"/>
        <w:rPr>
          <w:rFonts w:hint="eastAsia" w:ascii="宋体" w:hAnsi="宋体" w:cs="宋体"/>
          <w:b/>
          <w:color w:val="auto"/>
          <w:sz w:val="28"/>
          <w:szCs w:val="28"/>
          <w:highlight w:val="none"/>
        </w:rPr>
      </w:pPr>
    </w:p>
    <w:p>
      <w:pPr>
        <w:shd w:val="clea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本授权委托书声明: 我 </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（投标人名称）</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为我公司授权代表，以本公司的名义参加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安吉县林业局</w:t>
      </w:r>
      <w:r>
        <w:rPr>
          <w:rFonts w:hint="eastAsia" w:ascii="宋体" w:hAnsi="宋体" w:cs="宋体"/>
          <w:color w:val="auto"/>
          <w:szCs w:val="21"/>
          <w:highlight w:val="none"/>
        </w:rPr>
        <w:t>的</w:t>
      </w:r>
      <w:r>
        <w:rPr>
          <w:rFonts w:hint="eastAsia" w:ascii="宋体" w:hAnsi="宋体" w:cs="宋体"/>
          <w:color w:val="auto"/>
          <w:szCs w:val="21"/>
          <w:highlight w:val="none"/>
          <w:u w:val="single"/>
          <w:lang w:eastAsia="zh-CN"/>
        </w:rPr>
        <w:t>安吉县林业局林长制视频监控服务政府采购项目</w:t>
      </w:r>
      <w:r>
        <w:rPr>
          <w:rFonts w:hint="eastAsia" w:ascii="宋体" w:hAnsi="宋体" w:cs="宋体"/>
          <w:color w:val="auto"/>
          <w:szCs w:val="21"/>
          <w:highlight w:val="none"/>
        </w:rPr>
        <w:t>的投标活动。授权代表在开标、询标、合同招标过程中所签署的一切文件和处理与之有关的一切事务，我均予以承认。</w:t>
      </w:r>
    </w:p>
    <w:p>
      <w:pPr>
        <w:shd w:val="clea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授权代表无转委托权。特此委托。</w:t>
      </w:r>
    </w:p>
    <w:p>
      <w:pPr>
        <w:pStyle w:val="16"/>
        <w:shd w:val="clear"/>
        <w:spacing w:line="480" w:lineRule="auto"/>
        <w:ind w:left="5250"/>
        <w:rPr>
          <w:rFonts w:hint="eastAsia" w:ascii="宋体" w:eastAsia="宋体" w:cs="宋体"/>
          <w:color w:val="auto"/>
          <w:sz w:val="21"/>
          <w:szCs w:val="21"/>
          <w:highlight w:val="none"/>
        </w:rPr>
      </w:pPr>
    </w:p>
    <w:p>
      <w:pPr>
        <w:shd w:val="clea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授权代表（签字）：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性  别：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  龄：</w:t>
      </w:r>
      <w:r>
        <w:rPr>
          <w:rFonts w:hint="eastAsia" w:ascii="宋体" w:hAnsi="宋体" w:cs="宋体"/>
          <w:color w:val="auto"/>
          <w:szCs w:val="21"/>
          <w:highlight w:val="none"/>
          <w:u w:val="single"/>
        </w:rPr>
        <w:t xml:space="preserve">            </w:t>
      </w:r>
    </w:p>
    <w:p>
      <w:pPr>
        <w:shd w:val="clea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w:t>
      </w:r>
    </w:p>
    <w:p>
      <w:pPr>
        <w:shd w:val="clear"/>
        <w:spacing w:line="4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部    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   务： </w:t>
      </w:r>
      <w:r>
        <w:rPr>
          <w:rFonts w:hint="eastAsia" w:ascii="宋体" w:hAnsi="宋体" w:cs="宋体"/>
          <w:color w:val="auto"/>
          <w:szCs w:val="21"/>
          <w:highlight w:val="none"/>
          <w:u w:val="single"/>
        </w:rPr>
        <w:t xml:space="preserve">  　　　　　　　　　　</w:t>
      </w:r>
    </w:p>
    <w:p>
      <w:pPr>
        <w:shd w:val="clear"/>
        <w:spacing w:line="4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投标人 (盖章)：</w:t>
      </w:r>
      <w:r>
        <w:rPr>
          <w:rFonts w:hint="eastAsia" w:ascii="宋体" w:hAnsi="宋体" w:cs="宋体"/>
          <w:color w:val="auto"/>
          <w:szCs w:val="21"/>
          <w:highlight w:val="none"/>
          <w:u w:val="single"/>
        </w:rPr>
        <w:t xml:space="preserve">                                   </w:t>
      </w:r>
    </w:p>
    <w:p>
      <w:pPr>
        <w:shd w:val="clea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法定代表人(签字)： </w:t>
      </w:r>
      <w:r>
        <w:rPr>
          <w:rFonts w:hint="eastAsia" w:ascii="宋体" w:hAnsi="宋体" w:cs="宋体"/>
          <w:color w:val="auto"/>
          <w:szCs w:val="21"/>
          <w:highlight w:val="none"/>
          <w:u w:val="single"/>
        </w:rPr>
        <w:t xml:space="preserve">                         </w:t>
      </w:r>
    </w:p>
    <w:p>
      <w:pPr>
        <w:pStyle w:val="16"/>
        <w:shd w:val="clear"/>
        <w:spacing w:line="480" w:lineRule="auto"/>
        <w:ind w:left="5250"/>
        <w:rPr>
          <w:rFonts w:hint="eastAsia" w:ascii="宋体" w:eastAsia="宋体" w:cs="宋体"/>
          <w:color w:val="auto"/>
          <w:sz w:val="21"/>
          <w:szCs w:val="21"/>
          <w:highlight w:val="none"/>
        </w:rPr>
      </w:pPr>
    </w:p>
    <w:p>
      <w:pPr>
        <w:shd w:val="clea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hd w:val="clear"/>
        <w:snapToGrid w:val="0"/>
        <w:spacing w:line="360" w:lineRule="auto"/>
        <w:rPr>
          <w:rFonts w:hint="eastAsia" w:ascii="宋体" w:hAnsi="宋体" w:cs="宋体"/>
          <w:b/>
          <w:color w:val="auto"/>
          <w:sz w:val="24"/>
          <w:highlight w:val="none"/>
          <w:u w:val="dash"/>
        </w:rPr>
      </w:pPr>
      <w:r>
        <w:rPr>
          <w:rFonts w:hint="eastAsia" w:ascii="宋体" w:hAnsi="宋体" w:cs="宋体"/>
          <w:b/>
          <w:color w:val="auto"/>
          <w:sz w:val="24"/>
          <w:highlight w:val="none"/>
          <w:u w:val="dash"/>
        </w:rPr>
        <w:t xml:space="preserve">                                                                              </w:t>
      </w:r>
    </w:p>
    <w:p>
      <w:pPr>
        <w:shd w:val="clear"/>
        <w:spacing w:line="360" w:lineRule="auto"/>
        <w:jc w:val="center"/>
        <w:rPr>
          <w:rFonts w:hint="eastAsia" w:ascii="宋体" w:hAnsi="宋体" w:cs="宋体"/>
          <w:bCs/>
          <w:color w:val="auto"/>
          <w:sz w:val="24"/>
          <w:highlight w:val="none"/>
        </w:rPr>
      </w:pPr>
    </w:p>
    <w:p>
      <w:pPr>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被授权人身份证复印件黏贴处</w:t>
      </w:r>
    </w:p>
    <w:p>
      <w:pPr>
        <w:shd w:val="clear"/>
        <w:spacing w:line="540" w:lineRule="exact"/>
        <w:rPr>
          <w:rFonts w:hint="eastAsia" w:ascii="宋体" w:hAnsi="宋体" w:cs="宋体"/>
          <w:color w:val="auto"/>
          <w:sz w:val="32"/>
          <w:szCs w:val="32"/>
          <w:highlight w:val="none"/>
        </w:rPr>
      </w:pPr>
    </w:p>
    <w:p>
      <w:pPr>
        <w:shd w:val="clear"/>
        <w:spacing w:line="540" w:lineRule="exact"/>
        <w:rPr>
          <w:rFonts w:hint="eastAsia" w:ascii="宋体" w:hAnsi="宋体" w:cs="宋体"/>
          <w:color w:val="auto"/>
          <w:sz w:val="32"/>
          <w:szCs w:val="32"/>
          <w:highlight w:val="none"/>
        </w:rPr>
      </w:pPr>
    </w:p>
    <w:p>
      <w:pPr>
        <w:shd w:val="clear"/>
        <w:spacing w:line="540" w:lineRule="exact"/>
        <w:rPr>
          <w:rFonts w:hint="eastAsia" w:ascii="宋体" w:hAnsi="宋体" w:cs="宋体"/>
          <w:color w:val="auto"/>
          <w:sz w:val="32"/>
          <w:szCs w:val="32"/>
          <w:highlight w:val="none"/>
        </w:rPr>
      </w:pPr>
    </w:p>
    <w:p>
      <w:pPr>
        <w:shd w:val="clear"/>
        <w:spacing w:line="540" w:lineRule="exact"/>
        <w:rPr>
          <w:rFonts w:hint="eastAsia" w:ascii="宋体" w:hAnsi="宋体" w:cs="宋体"/>
          <w:color w:val="auto"/>
          <w:sz w:val="32"/>
          <w:szCs w:val="32"/>
          <w:highlight w:val="none"/>
        </w:rPr>
      </w:pPr>
    </w:p>
    <w:p>
      <w:pPr>
        <w:shd w:val="clear"/>
        <w:spacing w:line="540" w:lineRule="exact"/>
        <w:rPr>
          <w:rFonts w:hint="eastAsia" w:ascii="宋体" w:hAnsi="宋体" w:cs="宋体"/>
          <w:color w:val="auto"/>
          <w:sz w:val="32"/>
          <w:szCs w:val="32"/>
          <w:highlight w:val="none"/>
        </w:rPr>
      </w:pPr>
    </w:p>
    <w:p>
      <w:pPr>
        <w:shd w:val="clear"/>
        <w:spacing w:line="540" w:lineRule="exact"/>
        <w:rPr>
          <w:rFonts w:hint="eastAsia" w:ascii="宋体" w:hAnsi="宋体" w:cs="宋体"/>
          <w:color w:val="auto"/>
          <w:sz w:val="32"/>
          <w:szCs w:val="32"/>
          <w:highlight w:val="none"/>
        </w:rPr>
      </w:pPr>
    </w:p>
    <w:p>
      <w:pPr>
        <w:pStyle w:val="31"/>
        <w:shd w:val="clear"/>
        <w:rPr>
          <w:rFonts w:hint="eastAsia"/>
          <w:color w:val="auto"/>
          <w:highlight w:val="none"/>
        </w:rPr>
      </w:pPr>
    </w:p>
    <w:p>
      <w:pPr>
        <w:shd w:val="clear"/>
        <w:spacing w:line="540" w:lineRule="exact"/>
        <w:rPr>
          <w:rFonts w:hint="eastAsia" w:ascii="宋体" w:hAnsi="宋体" w:cs="宋体"/>
          <w:color w:val="auto"/>
          <w:sz w:val="32"/>
          <w:szCs w:val="32"/>
          <w:highlight w:val="none"/>
        </w:rPr>
      </w:pPr>
    </w:p>
    <w:p>
      <w:pPr>
        <w:shd w:val="clear"/>
        <w:adjustRightInd w:val="0"/>
        <w:snapToGrid w:val="0"/>
        <w:jc w:val="left"/>
        <w:rPr>
          <w:rFonts w:hint="eastAsia" w:ascii="宋体" w:hAnsi="宋体" w:cs="宋体"/>
          <w:color w:val="auto"/>
          <w:sz w:val="24"/>
          <w:highlight w:val="none"/>
        </w:rPr>
      </w:pPr>
    </w:p>
    <w:p>
      <w:pPr>
        <w:shd w:val="clear"/>
        <w:adjustRightInd w:val="0"/>
        <w:snapToGrid w:val="0"/>
        <w:jc w:val="left"/>
        <w:rPr>
          <w:rFonts w:hint="eastAsia" w:ascii="宋体" w:hAnsi="宋体" w:cs="宋体"/>
          <w:color w:val="auto"/>
          <w:sz w:val="24"/>
          <w:highlight w:val="none"/>
        </w:rPr>
      </w:pPr>
      <w:r>
        <w:rPr>
          <w:rFonts w:hint="eastAsia" w:ascii="宋体" w:hAnsi="宋体" w:cs="宋体"/>
          <w:color w:val="auto"/>
          <w:sz w:val="24"/>
          <w:highlight w:val="none"/>
        </w:rPr>
        <w:t>7、投标单位情况表格式：</w:t>
      </w:r>
    </w:p>
    <w:p>
      <w:pPr>
        <w:shd w:val="clear"/>
        <w:spacing w:line="360" w:lineRule="exact"/>
        <w:ind w:firstLine="281" w:firstLineChars="100"/>
        <w:jc w:val="center"/>
        <w:rPr>
          <w:rFonts w:hint="eastAsia" w:ascii="宋体" w:hAnsi="宋体" w:cs="宋体"/>
          <w:b/>
          <w:color w:val="auto"/>
          <w:sz w:val="28"/>
          <w:szCs w:val="28"/>
          <w:highlight w:val="none"/>
        </w:rPr>
      </w:pPr>
    </w:p>
    <w:p>
      <w:pPr>
        <w:shd w:val="clear"/>
        <w:adjustRightInd w:val="0"/>
        <w:snapToGrid w:val="0"/>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投标单位情况表</w:t>
      </w:r>
    </w:p>
    <w:p>
      <w:pPr>
        <w:shd w:val="clear"/>
        <w:spacing w:line="36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项目名称：                                                         项目编号：</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108"/>
        <w:gridCol w:w="1054"/>
        <w:gridCol w:w="1722"/>
        <w:gridCol w:w="880"/>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964" w:type="dxa"/>
            <w:noWrap w:val="0"/>
            <w:vAlign w:val="center"/>
          </w:tcPr>
          <w:p>
            <w:pPr>
              <w:pStyle w:val="8"/>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投标单位（盖章）</w:t>
            </w:r>
          </w:p>
        </w:tc>
        <w:tc>
          <w:tcPr>
            <w:tcW w:w="2162" w:type="dxa"/>
            <w:gridSpan w:val="2"/>
            <w:noWrap w:val="0"/>
            <w:vAlign w:val="center"/>
          </w:tcPr>
          <w:p>
            <w:pPr>
              <w:pStyle w:val="8"/>
              <w:shd w:val="clear"/>
              <w:ind w:firstLine="0"/>
              <w:jc w:val="center"/>
              <w:rPr>
                <w:rFonts w:hint="eastAsia" w:ascii="宋体" w:hAnsi="宋体" w:cs="宋体"/>
                <w:color w:val="auto"/>
                <w:szCs w:val="21"/>
                <w:highlight w:val="none"/>
              </w:rPr>
            </w:pPr>
          </w:p>
        </w:tc>
        <w:tc>
          <w:tcPr>
            <w:tcW w:w="1722" w:type="dxa"/>
            <w:noWrap w:val="0"/>
            <w:vAlign w:val="center"/>
          </w:tcPr>
          <w:p>
            <w:pPr>
              <w:pStyle w:val="8"/>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注册时间</w:t>
            </w:r>
          </w:p>
        </w:tc>
        <w:tc>
          <w:tcPr>
            <w:tcW w:w="2747" w:type="dxa"/>
            <w:gridSpan w:val="2"/>
            <w:noWrap w:val="0"/>
            <w:vAlign w:val="center"/>
          </w:tcPr>
          <w:p>
            <w:pPr>
              <w:pStyle w:val="8"/>
              <w:shd w:val="clear"/>
              <w:ind w:firstLine="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64" w:type="dxa"/>
            <w:noWrap w:val="0"/>
            <w:vAlign w:val="center"/>
          </w:tcPr>
          <w:p>
            <w:pPr>
              <w:pStyle w:val="8"/>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注册地址</w:t>
            </w:r>
          </w:p>
        </w:tc>
        <w:tc>
          <w:tcPr>
            <w:tcW w:w="2162" w:type="dxa"/>
            <w:gridSpan w:val="2"/>
            <w:noWrap w:val="0"/>
            <w:vAlign w:val="center"/>
          </w:tcPr>
          <w:p>
            <w:pPr>
              <w:pStyle w:val="8"/>
              <w:shd w:val="clear"/>
              <w:ind w:firstLine="0"/>
              <w:jc w:val="center"/>
              <w:rPr>
                <w:rFonts w:hint="eastAsia" w:ascii="宋体" w:hAnsi="宋体" w:cs="宋体"/>
                <w:color w:val="auto"/>
                <w:szCs w:val="21"/>
                <w:highlight w:val="none"/>
              </w:rPr>
            </w:pPr>
          </w:p>
        </w:tc>
        <w:tc>
          <w:tcPr>
            <w:tcW w:w="1722" w:type="dxa"/>
            <w:noWrap w:val="0"/>
            <w:vAlign w:val="center"/>
          </w:tcPr>
          <w:p>
            <w:pPr>
              <w:pStyle w:val="8"/>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2747" w:type="dxa"/>
            <w:gridSpan w:val="2"/>
            <w:noWrap w:val="0"/>
            <w:vAlign w:val="center"/>
          </w:tcPr>
          <w:p>
            <w:pPr>
              <w:pStyle w:val="8"/>
              <w:shd w:val="clear"/>
              <w:ind w:firstLine="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64" w:type="dxa"/>
            <w:noWrap w:val="0"/>
            <w:vAlign w:val="center"/>
          </w:tcPr>
          <w:p>
            <w:pPr>
              <w:pStyle w:val="8"/>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资质</w:t>
            </w:r>
          </w:p>
        </w:tc>
        <w:tc>
          <w:tcPr>
            <w:tcW w:w="2162" w:type="dxa"/>
            <w:gridSpan w:val="2"/>
            <w:noWrap w:val="0"/>
            <w:vAlign w:val="center"/>
          </w:tcPr>
          <w:p>
            <w:pPr>
              <w:pStyle w:val="8"/>
              <w:shd w:val="clear"/>
              <w:ind w:firstLine="0"/>
              <w:jc w:val="center"/>
              <w:rPr>
                <w:rFonts w:hint="eastAsia" w:ascii="宋体" w:hAnsi="宋体" w:cs="宋体"/>
                <w:color w:val="auto"/>
                <w:szCs w:val="21"/>
                <w:highlight w:val="none"/>
              </w:rPr>
            </w:pPr>
          </w:p>
        </w:tc>
        <w:tc>
          <w:tcPr>
            <w:tcW w:w="1722" w:type="dxa"/>
            <w:noWrap w:val="0"/>
            <w:vAlign w:val="center"/>
          </w:tcPr>
          <w:p>
            <w:pPr>
              <w:pStyle w:val="8"/>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注册资金</w:t>
            </w:r>
          </w:p>
        </w:tc>
        <w:tc>
          <w:tcPr>
            <w:tcW w:w="2747" w:type="dxa"/>
            <w:gridSpan w:val="2"/>
            <w:noWrap w:val="0"/>
            <w:vAlign w:val="center"/>
          </w:tcPr>
          <w:p>
            <w:pPr>
              <w:pStyle w:val="8"/>
              <w:shd w:val="clear"/>
              <w:ind w:firstLine="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64" w:type="dxa"/>
            <w:noWrap w:val="0"/>
            <w:vAlign w:val="center"/>
          </w:tcPr>
          <w:p>
            <w:pPr>
              <w:pStyle w:val="8"/>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1108" w:type="dxa"/>
            <w:noWrap w:val="0"/>
            <w:vAlign w:val="center"/>
          </w:tcPr>
          <w:p>
            <w:pPr>
              <w:pStyle w:val="8"/>
              <w:shd w:val="clear"/>
              <w:ind w:firstLine="0"/>
              <w:jc w:val="center"/>
              <w:rPr>
                <w:rFonts w:hint="eastAsia" w:ascii="宋体" w:hAnsi="宋体" w:cs="宋体"/>
                <w:color w:val="auto"/>
                <w:szCs w:val="21"/>
                <w:highlight w:val="none"/>
              </w:rPr>
            </w:pPr>
          </w:p>
        </w:tc>
        <w:tc>
          <w:tcPr>
            <w:tcW w:w="1054" w:type="dxa"/>
            <w:noWrap w:val="0"/>
            <w:vAlign w:val="center"/>
          </w:tcPr>
          <w:p>
            <w:pPr>
              <w:pStyle w:val="8"/>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1722" w:type="dxa"/>
            <w:noWrap w:val="0"/>
            <w:vAlign w:val="center"/>
          </w:tcPr>
          <w:p>
            <w:pPr>
              <w:pStyle w:val="8"/>
              <w:shd w:val="clear"/>
              <w:ind w:firstLine="0"/>
              <w:jc w:val="center"/>
              <w:rPr>
                <w:rFonts w:hint="eastAsia" w:ascii="宋体" w:hAnsi="宋体" w:cs="宋体"/>
                <w:color w:val="auto"/>
                <w:szCs w:val="21"/>
                <w:highlight w:val="none"/>
              </w:rPr>
            </w:pPr>
          </w:p>
        </w:tc>
        <w:tc>
          <w:tcPr>
            <w:tcW w:w="880" w:type="dxa"/>
            <w:noWrap w:val="0"/>
            <w:vAlign w:val="center"/>
          </w:tcPr>
          <w:p>
            <w:pPr>
              <w:pStyle w:val="8"/>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传真</w:t>
            </w:r>
          </w:p>
        </w:tc>
        <w:tc>
          <w:tcPr>
            <w:tcW w:w="1867" w:type="dxa"/>
            <w:noWrap w:val="0"/>
            <w:vAlign w:val="center"/>
          </w:tcPr>
          <w:p>
            <w:pPr>
              <w:pStyle w:val="8"/>
              <w:shd w:val="clear"/>
              <w:ind w:firstLine="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64" w:type="dxa"/>
            <w:noWrap w:val="0"/>
            <w:vAlign w:val="center"/>
          </w:tcPr>
          <w:p>
            <w:pPr>
              <w:pStyle w:val="8"/>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2162" w:type="dxa"/>
            <w:gridSpan w:val="2"/>
            <w:noWrap w:val="0"/>
            <w:vAlign w:val="center"/>
          </w:tcPr>
          <w:p>
            <w:pPr>
              <w:pStyle w:val="8"/>
              <w:shd w:val="clear"/>
              <w:ind w:firstLine="0"/>
              <w:jc w:val="center"/>
              <w:rPr>
                <w:rFonts w:hint="eastAsia" w:ascii="宋体" w:hAnsi="宋体" w:cs="宋体"/>
                <w:color w:val="auto"/>
                <w:szCs w:val="21"/>
                <w:highlight w:val="none"/>
              </w:rPr>
            </w:pPr>
          </w:p>
        </w:tc>
        <w:tc>
          <w:tcPr>
            <w:tcW w:w="1722" w:type="dxa"/>
            <w:noWrap w:val="0"/>
            <w:vAlign w:val="center"/>
          </w:tcPr>
          <w:p>
            <w:pPr>
              <w:pStyle w:val="8"/>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2747" w:type="dxa"/>
            <w:gridSpan w:val="2"/>
            <w:noWrap w:val="0"/>
            <w:vAlign w:val="center"/>
          </w:tcPr>
          <w:p>
            <w:pPr>
              <w:pStyle w:val="8"/>
              <w:shd w:val="clear"/>
              <w:ind w:firstLine="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964" w:type="dxa"/>
            <w:noWrap w:val="0"/>
            <w:vAlign w:val="center"/>
          </w:tcPr>
          <w:p>
            <w:pPr>
              <w:pStyle w:val="8"/>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职工人数</w:t>
            </w:r>
          </w:p>
        </w:tc>
        <w:tc>
          <w:tcPr>
            <w:tcW w:w="6631" w:type="dxa"/>
            <w:gridSpan w:val="5"/>
            <w:noWrap w:val="0"/>
            <w:vAlign w:val="center"/>
          </w:tcPr>
          <w:p>
            <w:pPr>
              <w:pStyle w:val="8"/>
              <w:shd w:val="clear"/>
              <w:ind w:firstLine="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964" w:type="dxa"/>
            <w:noWrap w:val="0"/>
            <w:vAlign w:val="center"/>
          </w:tcPr>
          <w:p>
            <w:pPr>
              <w:pStyle w:val="8"/>
              <w:shd w:val="clear"/>
              <w:ind w:firstLine="0"/>
              <w:rPr>
                <w:rFonts w:hint="eastAsia" w:ascii="宋体" w:hAnsi="宋体" w:cs="宋体"/>
                <w:color w:val="auto"/>
                <w:szCs w:val="21"/>
                <w:highlight w:val="none"/>
              </w:rPr>
            </w:pPr>
            <w:r>
              <w:rPr>
                <w:rFonts w:hint="eastAsia" w:ascii="宋体" w:hAnsi="宋体" w:cs="宋体"/>
                <w:color w:val="auto"/>
                <w:szCs w:val="21"/>
                <w:highlight w:val="none"/>
              </w:rPr>
              <w:t>可从事业务范围</w:t>
            </w:r>
          </w:p>
        </w:tc>
        <w:tc>
          <w:tcPr>
            <w:tcW w:w="6631" w:type="dxa"/>
            <w:gridSpan w:val="5"/>
            <w:noWrap w:val="0"/>
            <w:vAlign w:val="center"/>
          </w:tcPr>
          <w:p>
            <w:pPr>
              <w:pStyle w:val="8"/>
              <w:shd w:val="clear"/>
              <w:ind w:firstLine="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964" w:type="dxa"/>
            <w:noWrap w:val="0"/>
            <w:vAlign w:val="center"/>
          </w:tcPr>
          <w:p>
            <w:pPr>
              <w:pStyle w:val="8"/>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公司简介</w:t>
            </w:r>
          </w:p>
        </w:tc>
        <w:tc>
          <w:tcPr>
            <w:tcW w:w="6631" w:type="dxa"/>
            <w:gridSpan w:val="5"/>
            <w:noWrap w:val="0"/>
            <w:vAlign w:val="center"/>
          </w:tcPr>
          <w:p>
            <w:pPr>
              <w:pStyle w:val="8"/>
              <w:shd w:val="clear"/>
              <w:ind w:firstLine="0"/>
              <w:jc w:val="center"/>
              <w:rPr>
                <w:rFonts w:hint="eastAsia" w:ascii="宋体" w:hAnsi="宋体" w:cs="宋体"/>
                <w:color w:val="auto"/>
                <w:szCs w:val="21"/>
                <w:highlight w:val="none"/>
              </w:rPr>
            </w:pPr>
          </w:p>
        </w:tc>
      </w:tr>
    </w:tbl>
    <w:p>
      <w:pPr>
        <w:shd w:val="clear"/>
        <w:spacing w:line="360" w:lineRule="exact"/>
        <w:rPr>
          <w:rFonts w:hint="eastAsia" w:ascii="宋体" w:hAnsi="宋体" w:cs="宋体"/>
          <w:color w:val="auto"/>
          <w:szCs w:val="21"/>
          <w:highlight w:val="none"/>
        </w:rPr>
      </w:pPr>
    </w:p>
    <w:p>
      <w:pPr>
        <w:shd w:val="clea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注：除此表外，可另附文字和资料加以说明。</w:t>
      </w:r>
    </w:p>
    <w:p>
      <w:pPr>
        <w:shd w:val="clear"/>
        <w:tabs>
          <w:tab w:val="left" w:pos="450"/>
          <w:tab w:val="left" w:pos="8280"/>
        </w:tabs>
        <w:spacing w:line="400" w:lineRule="exact"/>
        <w:jc w:val="right"/>
        <w:rPr>
          <w:rFonts w:hint="eastAsia" w:ascii="宋体" w:hAnsi="宋体" w:cs="宋体"/>
          <w:color w:val="auto"/>
          <w:sz w:val="24"/>
          <w:highlight w:val="none"/>
        </w:rPr>
      </w:pPr>
      <w:r>
        <w:rPr>
          <w:rFonts w:hint="eastAsia" w:ascii="宋体" w:hAnsi="宋体" w:cs="宋体"/>
          <w:color w:val="auto"/>
          <w:sz w:val="24"/>
          <w:highlight w:val="none"/>
        </w:rPr>
        <w:t>投标人全称：（盖章）</w:t>
      </w:r>
    </w:p>
    <w:p>
      <w:pPr>
        <w:shd w:val="clear"/>
        <w:tabs>
          <w:tab w:val="left" w:pos="450"/>
          <w:tab w:val="left" w:pos="8280"/>
        </w:tabs>
        <w:spacing w:line="400" w:lineRule="exact"/>
        <w:jc w:val="right"/>
        <w:rPr>
          <w:rFonts w:hint="eastAsia" w:ascii="宋体" w:hAnsi="宋体" w:cs="宋体"/>
          <w:color w:val="auto"/>
          <w:sz w:val="24"/>
          <w:highlight w:val="none"/>
        </w:rPr>
      </w:pPr>
      <w:r>
        <w:rPr>
          <w:rFonts w:hint="eastAsia" w:ascii="宋体" w:hAnsi="宋体" w:cs="宋体"/>
          <w:color w:val="auto"/>
          <w:sz w:val="24"/>
          <w:highlight w:val="none"/>
        </w:rPr>
        <w:t>授权代表或法定代表人签名：</w:t>
      </w:r>
    </w:p>
    <w:p>
      <w:pPr>
        <w:shd w:val="clear"/>
        <w:tabs>
          <w:tab w:val="left" w:pos="450"/>
          <w:tab w:val="left" w:pos="8280"/>
        </w:tabs>
        <w:spacing w:line="400" w:lineRule="exact"/>
        <w:jc w:val="right"/>
        <w:rPr>
          <w:rFonts w:hint="eastAsia" w:ascii="宋体" w:hAnsi="宋体" w:cs="宋体"/>
          <w:color w:val="auto"/>
          <w:sz w:val="24"/>
          <w:highlight w:val="none"/>
        </w:rPr>
      </w:pPr>
      <w:r>
        <w:rPr>
          <w:rFonts w:hint="eastAsia" w:ascii="宋体" w:hAnsi="宋体" w:cs="宋体"/>
          <w:color w:val="auto"/>
          <w:sz w:val="24"/>
          <w:highlight w:val="none"/>
        </w:rPr>
        <w:t>年     月    日</w:t>
      </w:r>
    </w:p>
    <w:p>
      <w:pPr>
        <w:shd w:val="clear"/>
        <w:spacing w:line="480" w:lineRule="exact"/>
        <w:ind w:firstLine="420" w:firstLineChars="200"/>
        <w:rPr>
          <w:rFonts w:hint="eastAsia" w:ascii="宋体" w:hAnsi="宋体" w:cs="宋体"/>
          <w:color w:val="auto"/>
          <w:szCs w:val="21"/>
          <w:highlight w:val="none"/>
        </w:rPr>
      </w:pPr>
    </w:p>
    <w:p>
      <w:pPr>
        <w:shd w:val="clear"/>
        <w:spacing w:line="480" w:lineRule="exact"/>
        <w:ind w:firstLine="420" w:firstLineChars="200"/>
        <w:rPr>
          <w:rFonts w:hint="eastAsia" w:ascii="宋体" w:hAnsi="宋体" w:cs="宋体"/>
          <w:color w:val="auto"/>
          <w:szCs w:val="21"/>
          <w:highlight w:val="none"/>
        </w:rPr>
      </w:pPr>
    </w:p>
    <w:p>
      <w:pPr>
        <w:shd w:val="clear"/>
        <w:spacing w:line="480" w:lineRule="exact"/>
        <w:ind w:firstLine="420" w:firstLineChars="200"/>
        <w:rPr>
          <w:rFonts w:hint="eastAsia" w:ascii="宋体" w:hAnsi="宋体" w:cs="宋体"/>
          <w:color w:val="auto"/>
          <w:szCs w:val="21"/>
          <w:highlight w:val="none"/>
        </w:rPr>
      </w:pPr>
    </w:p>
    <w:p>
      <w:pPr>
        <w:shd w:val="clear"/>
        <w:spacing w:line="480" w:lineRule="exact"/>
        <w:ind w:firstLine="420" w:firstLineChars="200"/>
        <w:rPr>
          <w:rFonts w:hint="eastAsia" w:ascii="宋体" w:hAnsi="宋体" w:cs="宋体"/>
          <w:color w:val="auto"/>
          <w:szCs w:val="21"/>
          <w:highlight w:val="none"/>
        </w:rPr>
      </w:pPr>
    </w:p>
    <w:p>
      <w:pPr>
        <w:shd w:val="clear"/>
        <w:tabs>
          <w:tab w:val="left" w:pos="450"/>
          <w:tab w:val="left" w:pos="8280"/>
        </w:tabs>
        <w:rPr>
          <w:rFonts w:hint="eastAsia" w:ascii="宋体" w:hAnsi="宋体" w:cs="宋体"/>
          <w:color w:val="auto"/>
          <w:sz w:val="24"/>
          <w:highlight w:val="none"/>
        </w:rPr>
        <w:sectPr>
          <w:headerReference r:id="rId5" w:type="default"/>
          <w:footerReference r:id="rId6" w:type="default"/>
          <w:footerReference r:id="rId7" w:type="even"/>
          <w:pgSz w:w="11906" w:h="16838"/>
          <w:pgMar w:top="1247" w:right="1247" w:bottom="1247" w:left="1247" w:header="851" w:footer="992" w:gutter="0"/>
          <w:pgNumType w:fmt="decimal"/>
          <w:cols w:space="720" w:num="1"/>
          <w:docGrid w:linePitch="312" w:charSpace="0"/>
        </w:sectPr>
      </w:pPr>
    </w:p>
    <w:p>
      <w:pPr>
        <w:shd w:val="clear"/>
        <w:tabs>
          <w:tab w:val="left" w:pos="450"/>
          <w:tab w:val="left" w:pos="828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8、同类项目实施情况一览表格式</w:t>
      </w:r>
    </w:p>
    <w:p>
      <w:pPr>
        <w:shd w:val="clear"/>
        <w:rPr>
          <w:rFonts w:hint="eastAsia"/>
          <w:color w:val="auto"/>
          <w:highlight w:val="none"/>
        </w:rPr>
      </w:pPr>
    </w:p>
    <w:p>
      <w:pPr>
        <w:shd w:val="clear"/>
        <w:rPr>
          <w:rFonts w:hint="eastAsia"/>
          <w:color w:val="auto"/>
          <w:highlight w:val="none"/>
        </w:rPr>
      </w:pPr>
    </w:p>
    <w:p>
      <w:pPr>
        <w:shd w:val="clear"/>
        <w:adjustRightInd w:val="0"/>
        <w:snapToGrid w:val="0"/>
        <w:spacing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投标人同类项目实施情况一览表</w:t>
      </w:r>
    </w:p>
    <w:p>
      <w:pPr>
        <w:shd w:val="clear"/>
        <w:spacing w:line="380" w:lineRule="exact"/>
        <w:rPr>
          <w:rFonts w:hint="eastAsia" w:ascii="宋体" w:hAnsi="宋体" w:cs="宋体"/>
          <w:color w:val="auto"/>
          <w:szCs w:val="21"/>
          <w:highlight w:val="none"/>
        </w:rPr>
      </w:pPr>
      <w:r>
        <w:rPr>
          <w:rFonts w:hint="eastAsia" w:ascii="宋体" w:hAnsi="宋体" w:cs="宋体"/>
          <w:color w:val="auto"/>
          <w:szCs w:val="21"/>
          <w:highlight w:val="none"/>
        </w:rPr>
        <w:t xml:space="preserve">项目名称：  </w:t>
      </w:r>
    </w:p>
    <w:p>
      <w:pPr>
        <w:shd w:val="clear"/>
        <w:spacing w:line="380" w:lineRule="exact"/>
        <w:rPr>
          <w:rFonts w:hint="eastAsia" w:ascii="宋体" w:hAnsi="宋体" w:cs="宋体"/>
          <w:color w:val="auto"/>
          <w:szCs w:val="21"/>
          <w:highlight w:val="none"/>
        </w:rPr>
      </w:pPr>
      <w:r>
        <w:rPr>
          <w:rFonts w:hint="eastAsia" w:ascii="宋体" w:hAnsi="宋体" w:cs="宋体"/>
          <w:color w:val="auto"/>
          <w:szCs w:val="21"/>
          <w:highlight w:val="none"/>
        </w:rPr>
        <w:t xml:space="preserve">项目编号： </w:t>
      </w:r>
    </w:p>
    <w:p>
      <w:pPr>
        <w:shd w:val="clear"/>
        <w:autoSpaceDE w:val="0"/>
        <w:autoSpaceDN w:val="0"/>
        <w:adjustRightInd w:val="0"/>
        <w:snapToGrid w:val="0"/>
        <w:spacing w:line="440" w:lineRule="exact"/>
        <w:jc w:val="center"/>
        <w:rPr>
          <w:rFonts w:hint="eastAsia" w:ascii="宋体" w:hAnsi="宋体" w:cs="宋体"/>
          <w:b/>
          <w:color w:val="auto"/>
          <w:szCs w:val="21"/>
          <w:highlight w:val="none"/>
        </w:rPr>
      </w:pPr>
    </w:p>
    <w:tbl>
      <w:tblPr>
        <w:tblStyle w:val="34"/>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153"/>
        <w:gridCol w:w="1551"/>
        <w:gridCol w:w="1832"/>
        <w:gridCol w:w="1936"/>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62" w:type="dxa"/>
            <w:noWrap w:val="0"/>
            <w:vAlign w:val="center"/>
          </w:tcPr>
          <w:p>
            <w:pPr>
              <w:shd w:val="clea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153" w:type="dxa"/>
            <w:noWrap w:val="0"/>
            <w:vAlign w:val="center"/>
          </w:tcPr>
          <w:p>
            <w:pPr>
              <w:shd w:val="clea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551" w:type="dxa"/>
            <w:noWrap w:val="0"/>
            <w:vAlign w:val="center"/>
          </w:tcPr>
          <w:p>
            <w:pPr>
              <w:shd w:val="clea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项目服务时间</w:t>
            </w:r>
          </w:p>
        </w:tc>
        <w:tc>
          <w:tcPr>
            <w:tcW w:w="1832" w:type="dxa"/>
            <w:noWrap w:val="0"/>
            <w:vAlign w:val="center"/>
          </w:tcPr>
          <w:p>
            <w:pPr>
              <w:shd w:val="clea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采购人名称</w:t>
            </w:r>
          </w:p>
        </w:tc>
        <w:tc>
          <w:tcPr>
            <w:tcW w:w="1936" w:type="dxa"/>
            <w:noWrap w:val="0"/>
            <w:vAlign w:val="center"/>
          </w:tcPr>
          <w:p>
            <w:pPr>
              <w:shd w:val="clea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联系人</w:t>
            </w:r>
          </w:p>
        </w:tc>
        <w:tc>
          <w:tcPr>
            <w:tcW w:w="1182" w:type="dxa"/>
            <w:noWrap w:val="0"/>
            <w:vAlign w:val="center"/>
          </w:tcPr>
          <w:p>
            <w:pPr>
              <w:shd w:val="clea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0"/>
            <w:vAlign w:val="center"/>
          </w:tcPr>
          <w:p>
            <w:pPr>
              <w:shd w:val="clear"/>
              <w:spacing w:line="360" w:lineRule="exact"/>
              <w:jc w:val="center"/>
              <w:rPr>
                <w:rFonts w:hint="eastAsia" w:ascii="宋体" w:hAnsi="宋体" w:cs="宋体"/>
                <w:color w:val="auto"/>
                <w:szCs w:val="21"/>
                <w:highlight w:val="none"/>
              </w:rPr>
            </w:pPr>
          </w:p>
        </w:tc>
        <w:tc>
          <w:tcPr>
            <w:tcW w:w="1153" w:type="dxa"/>
            <w:noWrap w:val="0"/>
            <w:vAlign w:val="center"/>
          </w:tcPr>
          <w:p>
            <w:pPr>
              <w:shd w:val="clear"/>
              <w:spacing w:line="360" w:lineRule="exact"/>
              <w:jc w:val="center"/>
              <w:rPr>
                <w:rFonts w:hint="eastAsia" w:ascii="宋体" w:hAnsi="宋体" w:cs="宋体"/>
                <w:color w:val="auto"/>
                <w:szCs w:val="21"/>
                <w:highlight w:val="none"/>
              </w:rPr>
            </w:pPr>
          </w:p>
        </w:tc>
        <w:tc>
          <w:tcPr>
            <w:tcW w:w="1551" w:type="dxa"/>
            <w:noWrap w:val="0"/>
            <w:vAlign w:val="center"/>
          </w:tcPr>
          <w:p>
            <w:pPr>
              <w:shd w:val="clear"/>
              <w:spacing w:line="360" w:lineRule="exact"/>
              <w:jc w:val="center"/>
              <w:rPr>
                <w:rFonts w:hint="eastAsia" w:ascii="宋体" w:hAnsi="宋体" w:cs="宋体"/>
                <w:color w:val="auto"/>
                <w:szCs w:val="21"/>
                <w:highlight w:val="none"/>
              </w:rPr>
            </w:pPr>
          </w:p>
        </w:tc>
        <w:tc>
          <w:tcPr>
            <w:tcW w:w="1832" w:type="dxa"/>
            <w:noWrap w:val="0"/>
            <w:vAlign w:val="center"/>
          </w:tcPr>
          <w:p>
            <w:pPr>
              <w:shd w:val="clear"/>
              <w:spacing w:line="360" w:lineRule="exact"/>
              <w:jc w:val="center"/>
              <w:rPr>
                <w:rFonts w:hint="eastAsia" w:ascii="宋体" w:hAnsi="宋体" w:cs="宋体"/>
                <w:color w:val="auto"/>
                <w:szCs w:val="21"/>
                <w:highlight w:val="none"/>
              </w:rPr>
            </w:pPr>
          </w:p>
        </w:tc>
        <w:tc>
          <w:tcPr>
            <w:tcW w:w="1936" w:type="dxa"/>
            <w:noWrap w:val="0"/>
            <w:vAlign w:val="center"/>
          </w:tcPr>
          <w:p>
            <w:pPr>
              <w:shd w:val="clear"/>
              <w:spacing w:line="360" w:lineRule="exact"/>
              <w:jc w:val="center"/>
              <w:rPr>
                <w:rFonts w:hint="eastAsia" w:ascii="宋体" w:hAnsi="宋体" w:cs="宋体"/>
                <w:color w:val="auto"/>
                <w:szCs w:val="21"/>
                <w:highlight w:val="none"/>
              </w:rPr>
            </w:pPr>
          </w:p>
        </w:tc>
        <w:tc>
          <w:tcPr>
            <w:tcW w:w="1182" w:type="dxa"/>
            <w:noWrap w:val="0"/>
            <w:vAlign w:val="center"/>
          </w:tcPr>
          <w:p>
            <w:pPr>
              <w:shd w:val="clear"/>
              <w:spacing w:line="36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0"/>
            <w:vAlign w:val="center"/>
          </w:tcPr>
          <w:p>
            <w:pPr>
              <w:shd w:val="clear"/>
              <w:spacing w:line="360" w:lineRule="exact"/>
              <w:jc w:val="center"/>
              <w:rPr>
                <w:rFonts w:hint="eastAsia" w:ascii="宋体" w:hAnsi="宋体" w:cs="宋体"/>
                <w:color w:val="auto"/>
                <w:szCs w:val="21"/>
                <w:highlight w:val="none"/>
              </w:rPr>
            </w:pPr>
          </w:p>
        </w:tc>
        <w:tc>
          <w:tcPr>
            <w:tcW w:w="1153" w:type="dxa"/>
            <w:noWrap w:val="0"/>
            <w:vAlign w:val="center"/>
          </w:tcPr>
          <w:p>
            <w:pPr>
              <w:shd w:val="clear"/>
              <w:spacing w:line="360" w:lineRule="exact"/>
              <w:jc w:val="center"/>
              <w:rPr>
                <w:rFonts w:hint="eastAsia" w:ascii="宋体" w:hAnsi="宋体" w:cs="宋体"/>
                <w:color w:val="auto"/>
                <w:szCs w:val="21"/>
                <w:highlight w:val="none"/>
              </w:rPr>
            </w:pPr>
          </w:p>
        </w:tc>
        <w:tc>
          <w:tcPr>
            <w:tcW w:w="1551" w:type="dxa"/>
            <w:noWrap w:val="0"/>
            <w:vAlign w:val="center"/>
          </w:tcPr>
          <w:p>
            <w:pPr>
              <w:shd w:val="clear"/>
              <w:spacing w:line="360" w:lineRule="exact"/>
              <w:jc w:val="center"/>
              <w:rPr>
                <w:rFonts w:hint="eastAsia" w:ascii="宋体" w:hAnsi="宋体" w:cs="宋体"/>
                <w:color w:val="auto"/>
                <w:szCs w:val="21"/>
                <w:highlight w:val="none"/>
              </w:rPr>
            </w:pPr>
          </w:p>
        </w:tc>
        <w:tc>
          <w:tcPr>
            <w:tcW w:w="1832" w:type="dxa"/>
            <w:noWrap w:val="0"/>
            <w:vAlign w:val="center"/>
          </w:tcPr>
          <w:p>
            <w:pPr>
              <w:shd w:val="clear"/>
              <w:spacing w:line="360" w:lineRule="exact"/>
              <w:jc w:val="center"/>
              <w:rPr>
                <w:rFonts w:hint="eastAsia" w:ascii="宋体" w:hAnsi="宋体" w:cs="宋体"/>
                <w:color w:val="auto"/>
                <w:szCs w:val="21"/>
                <w:highlight w:val="none"/>
              </w:rPr>
            </w:pPr>
          </w:p>
        </w:tc>
        <w:tc>
          <w:tcPr>
            <w:tcW w:w="1936" w:type="dxa"/>
            <w:noWrap w:val="0"/>
            <w:vAlign w:val="center"/>
          </w:tcPr>
          <w:p>
            <w:pPr>
              <w:shd w:val="clear"/>
              <w:spacing w:line="360" w:lineRule="exact"/>
              <w:jc w:val="center"/>
              <w:rPr>
                <w:rFonts w:hint="eastAsia" w:ascii="宋体" w:hAnsi="宋体" w:cs="宋体"/>
                <w:color w:val="auto"/>
                <w:szCs w:val="21"/>
                <w:highlight w:val="none"/>
              </w:rPr>
            </w:pPr>
          </w:p>
        </w:tc>
        <w:tc>
          <w:tcPr>
            <w:tcW w:w="1182" w:type="dxa"/>
            <w:noWrap w:val="0"/>
            <w:vAlign w:val="center"/>
          </w:tcPr>
          <w:p>
            <w:pPr>
              <w:shd w:val="clear"/>
              <w:spacing w:line="36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0"/>
            <w:vAlign w:val="center"/>
          </w:tcPr>
          <w:p>
            <w:pPr>
              <w:shd w:val="clear"/>
              <w:spacing w:line="360" w:lineRule="exact"/>
              <w:jc w:val="center"/>
              <w:rPr>
                <w:rFonts w:hint="eastAsia" w:ascii="宋体" w:hAnsi="宋体" w:cs="宋体"/>
                <w:color w:val="auto"/>
                <w:szCs w:val="21"/>
                <w:highlight w:val="none"/>
              </w:rPr>
            </w:pPr>
          </w:p>
        </w:tc>
        <w:tc>
          <w:tcPr>
            <w:tcW w:w="1153" w:type="dxa"/>
            <w:noWrap w:val="0"/>
            <w:vAlign w:val="center"/>
          </w:tcPr>
          <w:p>
            <w:pPr>
              <w:shd w:val="clear"/>
              <w:spacing w:line="360" w:lineRule="exact"/>
              <w:jc w:val="center"/>
              <w:rPr>
                <w:rFonts w:hint="eastAsia" w:ascii="宋体" w:hAnsi="宋体" w:cs="宋体"/>
                <w:color w:val="auto"/>
                <w:szCs w:val="21"/>
                <w:highlight w:val="none"/>
              </w:rPr>
            </w:pPr>
          </w:p>
        </w:tc>
        <w:tc>
          <w:tcPr>
            <w:tcW w:w="1551" w:type="dxa"/>
            <w:noWrap w:val="0"/>
            <w:vAlign w:val="center"/>
          </w:tcPr>
          <w:p>
            <w:pPr>
              <w:shd w:val="clear"/>
              <w:spacing w:line="360" w:lineRule="exact"/>
              <w:jc w:val="center"/>
              <w:rPr>
                <w:rFonts w:hint="eastAsia" w:ascii="宋体" w:hAnsi="宋体" w:cs="宋体"/>
                <w:color w:val="auto"/>
                <w:szCs w:val="21"/>
                <w:highlight w:val="none"/>
              </w:rPr>
            </w:pPr>
          </w:p>
        </w:tc>
        <w:tc>
          <w:tcPr>
            <w:tcW w:w="1832" w:type="dxa"/>
            <w:noWrap w:val="0"/>
            <w:vAlign w:val="center"/>
          </w:tcPr>
          <w:p>
            <w:pPr>
              <w:shd w:val="clear"/>
              <w:spacing w:line="360" w:lineRule="exact"/>
              <w:jc w:val="center"/>
              <w:rPr>
                <w:rFonts w:hint="eastAsia" w:ascii="宋体" w:hAnsi="宋体" w:cs="宋体"/>
                <w:color w:val="auto"/>
                <w:szCs w:val="21"/>
                <w:highlight w:val="none"/>
              </w:rPr>
            </w:pPr>
          </w:p>
        </w:tc>
        <w:tc>
          <w:tcPr>
            <w:tcW w:w="1936" w:type="dxa"/>
            <w:noWrap w:val="0"/>
            <w:vAlign w:val="center"/>
          </w:tcPr>
          <w:p>
            <w:pPr>
              <w:shd w:val="clear"/>
              <w:spacing w:line="360" w:lineRule="exact"/>
              <w:jc w:val="center"/>
              <w:rPr>
                <w:rFonts w:hint="eastAsia" w:ascii="宋体" w:hAnsi="宋体" w:cs="宋体"/>
                <w:color w:val="auto"/>
                <w:szCs w:val="21"/>
                <w:highlight w:val="none"/>
              </w:rPr>
            </w:pPr>
          </w:p>
        </w:tc>
        <w:tc>
          <w:tcPr>
            <w:tcW w:w="1182" w:type="dxa"/>
            <w:noWrap w:val="0"/>
            <w:vAlign w:val="center"/>
          </w:tcPr>
          <w:p>
            <w:pPr>
              <w:shd w:val="clear"/>
              <w:spacing w:line="36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0"/>
            <w:vAlign w:val="center"/>
          </w:tcPr>
          <w:p>
            <w:pPr>
              <w:shd w:val="clear"/>
              <w:spacing w:line="360" w:lineRule="exact"/>
              <w:jc w:val="center"/>
              <w:rPr>
                <w:rFonts w:hint="eastAsia" w:ascii="宋体" w:hAnsi="宋体" w:cs="宋体"/>
                <w:color w:val="auto"/>
                <w:szCs w:val="21"/>
                <w:highlight w:val="none"/>
              </w:rPr>
            </w:pPr>
          </w:p>
        </w:tc>
        <w:tc>
          <w:tcPr>
            <w:tcW w:w="1153" w:type="dxa"/>
            <w:noWrap w:val="0"/>
            <w:vAlign w:val="center"/>
          </w:tcPr>
          <w:p>
            <w:pPr>
              <w:shd w:val="clear"/>
              <w:spacing w:line="360" w:lineRule="exact"/>
              <w:jc w:val="center"/>
              <w:rPr>
                <w:rFonts w:hint="eastAsia" w:ascii="宋体" w:hAnsi="宋体" w:cs="宋体"/>
                <w:color w:val="auto"/>
                <w:szCs w:val="21"/>
                <w:highlight w:val="none"/>
              </w:rPr>
            </w:pPr>
          </w:p>
        </w:tc>
        <w:tc>
          <w:tcPr>
            <w:tcW w:w="1551" w:type="dxa"/>
            <w:noWrap w:val="0"/>
            <w:vAlign w:val="center"/>
          </w:tcPr>
          <w:p>
            <w:pPr>
              <w:shd w:val="clear"/>
              <w:spacing w:line="360" w:lineRule="exact"/>
              <w:jc w:val="center"/>
              <w:rPr>
                <w:rFonts w:hint="eastAsia" w:ascii="宋体" w:hAnsi="宋体" w:cs="宋体"/>
                <w:color w:val="auto"/>
                <w:szCs w:val="21"/>
                <w:highlight w:val="none"/>
              </w:rPr>
            </w:pPr>
          </w:p>
        </w:tc>
        <w:tc>
          <w:tcPr>
            <w:tcW w:w="1832" w:type="dxa"/>
            <w:noWrap w:val="0"/>
            <w:vAlign w:val="center"/>
          </w:tcPr>
          <w:p>
            <w:pPr>
              <w:shd w:val="clear"/>
              <w:spacing w:line="360" w:lineRule="exact"/>
              <w:jc w:val="center"/>
              <w:rPr>
                <w:rFonts w:hint="eastAsia" w:ascii="宋体" w:hAnsi="宋体" w:cs="宋体"/>
                <w:color w:val="auto"/>
                <w:szCs w:val="21"/>
                <w:highlight w:val="none"/>
              </w:rPr>
            </w:pPr>
          </w:p>
        </w:tc>
        <w:tc>
          <w:tcPr>
            <w:tcW w:w="1936" w:type="dxa"/>
            <w:noWrap w:val="0"/>
            <w:vAlign w:val="center"/>
          </w:tcPr>
          <w:p>
            <w:pPr>
              <w:shd w:val="clear"/>
              <w:spacing w:line="360" w:lineRule="exact"/>
              <w:jc w:val="center"/>
              <w:rPr>
                <w:rFonts w:hint="eastAsia" w:ascii="宋体" w:hAnsi="宋体" w:cs="宋体"/>
                <w:color w:val="auto"/>
                <w:szCs w:val="21"/>
                <w:highlight w:val="none"/>
              </w:rPr>
            </w:pPr>
          </w:p>
        </w:tc>
        <w:tc>
          <w:tcPr>
            <w:tcW w:w="1182" w:type="dxa"/>
            <w:noWrap w:val="0"/>
            <w:vAlign w:val="center"/>
          </w:tcPr>
          <w:p>
            <w:pPr>
              <w:shd w:val="clear"/>
              <w:spacing w:line="36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0"/>
            <w:vAlign w:val="center"/>
          </w:tcPr>
          <w:p>
            <w:pPr>
              <w:shd w:val="clear"/>
              <w:spacing w:line="360" w:lineRule="exact"/>
              <w:jc w:val="center"/>
              <w:rPr>
                <w:rFonts w:hint="eastAsia" w:ascii="宋体" w:hAnsi="宋体" w:cs="宋体"/>
                <w:color w:val="auto"/>
                <w:szCs w:val="21"/>
                <w:highlight w:val="none"/>
              </w:rPr>
            </w:pPr>
          </w:p>
        </w:tc>
        <w:tc>
          <w:tcPr>
            <w:tcW w:w="1153" w:type="dxa"/>
            <w:noWrap w:val="0"/>
            <w:vAlign w:val="center"/>
          </w:tcPr>
          <w:p>
            <w:pPr>
              <w:shd w:val="clear"/>
              <w:spacing w:line="360" w:lineRule="exact"/>
              <w:jc w:val="center"/>
              <w:rPr>
                <w:rFonts w:hint="eastAsia" w:ascii="宋体" w:hAnsi="宋体" w:cs="宋体"/>
                <w:color w:val="auto"/>
                <w:szCs w:val="21"/>
                <w:highlight w:val="none"/>
              </w:rPr>
            </w:pPr>
          </w:p>
        </w:tc>
        <w:tc>
          <w:tcPr>
            <w:tcW w:w="1551" w:type="dxa"/>
            <w:noWrap w:val="0"/>
            <w:vAlign w:val="center"/>
          </w:tcPr>
          <w:p>
            <w:pPr>
              <w:shd w:val="clear"/>
              <w:spacing w:line="360" w:lineRule="exact"/>
              <w:jc w:val="center"/>
              <w:rPr>
                <w:rFonts w:hint="eastAsia" w:ascii="宋体" w:hAnsi="宋体" w:cs="宋体"/>
                <w:color w:val="auto"/>
                <w:szCs w:val="21"/>
                <w:highlight w:val="none"/>
              </w:rPr>
            </w:pPr>
          </w:p>
        </w:tc>
        <w:tc>
          <w:tcPr>
            <w:tcW w:w="1832" w:type="dxa"/>
            <w:noWrap w:val="0"/>
            <w:vAlign w:val="center"/>
          </w:tcPr>
          <w:p>
            <w:pPr>
              <w:shd w:val="clear"/>
              <w:spacing w:line="360" w:lineRule="exact"/>
              <w:jc w:val="center"/>
              <w:rPr>
                <w:rFonts w:hint="eastAsia" w:ascii="宋体" w:hAnsi="宋体" w:cs="宋体"/>
                <w:color w:val="auto"/>
                <w:szCs w:val="21"/>
                <w:highlight w:val="none"/>
              </w:rPr>
            </w:pPr>
          </w:p>
        </w:tc>
        <w:tc>
          <w:tcPr>
            <w:tcW w:w="1936" w:type="dxa"/>
            <w:noWrap w:val="0"/>
            <w:vAlign w:val="center"/>
          </w:tcPr>
          <w:p>
            <w:pPr>
              <w:shd w:val="clear"/>
              <w:spacing w:line="360" w:lineRule="exact"/>
              <w:jc w:val="center"/>
              <w:rPr>
                <w:rFonts w:hint="eastAsia" w:ascii="宋体" w:hAnsi="宋体" w:cs="宋体"/>
                <w:color w:val="auto"/>
                <w:szCs w:val="21"/>
                <w:highlight w:val="none"/>
              </w:rPr>
            </w:pPr>
          </w:p>
        </w:tc>
        <w:tc>
          <w:tcPr>
            <w:tcW w:w="1182" w:type="dxa"/>
            <w:noWrap w:val="0"/>
            <w:vAlign w:val="center"/>
          </w:tcPr>
          <w:p>
            <w:pPr>
              <w:shd w:val="clear"/>
              <w:spacing w:line="36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0"/>
            <w:vAlign w:val="center"/>
          </w:tcPr>
          <w:p>
            <w:pPr>
              <w:shd w:val="clear"/>
              <w:spacing w:line="360" w:lineRule="exact"/>
              <w:jc w:val="center"/>
              <w:rPr>
                <w:rFonts w:hint="eastAsia" w:ascii="宋体" w:hAnsi="宋体" w:cs="宋体"/>
                <w:color w:val="auto"/>
                <w:szCs w:val="21"/>
                <w:highlight w:val="none"/>
              </w:rPr>
            </w:pPr>
          </w:p>
        </w:tc>
        <w:tc>
          <w:tcPr>
            <w:tcW w:w="1153" w:type="dxa"/>
            <w:noWrap w:val="0"/>
            <w:vAlign w:val="center"/>
          </w:tcPr>
          <w:p>
            <w:pPr>
              <w:shd w:val="clear"/>
              <w:spacing w:line="360" w:lineRule="exact"/>
              <w:jc w:val="center"/>
              <w:rPr>
                <w:rFonts w:hint="eastAsia" w:ascii="宋体" w:hAnsi="宋体" w:cs="宋体"/>
                <w:color w:val="auto"/>
                <w:szCs w:val="21"/>
                <w:highlight w:val="none"/>
              </w:rPr>
            </w:pPr>
          </w:p>
        </w:tc>
        <w:tc>
          <w:tcPr>
            <w:tcW w:w="1551" w:type="dxa"/>
            <w:noWrap w:val="0"/>
            <w:vAlign w:val="center"/>
          </w:tcPr>
          <w:p>
            <w:pPr>
              <w:shd w:val="clear"/>
              <w:spacing w:line="360" w:lineRule="exact"/>
              <w:jc w:val="center"/>
              <w:rPr>
                <w:rFonts w:hint="eastAsia" w:ascii="宋体" w:hAnsi="宋体" w:cs="宋体"/>
                <w:color w:val="auto"/>
                <w:szCs w:val="21"/>
                <w:highlight w:val="none"/>
              </w:rPr>
            </w:pPr>
          </w:p>
        </w:tc>
        <w:tc>
          <w:tcPr>
            <w:tcW w:w="1832" w:type="dxa"/>
            <w:noWrap w:val="0"/>
            <w:vAlign w:val="center"/>
          </w:tcPr>
          <w:p>
            <w:pPr>
              <w:shd w:val="clear"/>
              <w:spacing w:line="360" w:lineRule="exact"/>
              <w:jc w:val="center"/>
              <w:rPr>
                <w:rFonts w:hint="eastAsia" w:ascii="宋体" w:hAnsi="宋体" w:cs="宋体"/>
                <w:color w:val="auto"/>
                <w:szCs w:val="21"/>
                <w:highlight w:val="none"/>
              </w:rPr>
            </w:pPr>
          </w:p>
        </w:tc>
        <w:tc>
          <w:tcPr>
            <w:tcW w:w="1936" w:type="dxa"/>
            <w:noWrap w:val="0"/>
            <w:vAlign w:val="center"/>
          </w:tcPr>
          <w:p>
            <w:pPr>
              <w:shd w:val="clear"/>
              <w:spacing w:line="360" w:lineRule="exact"/>
              <w:jc w:val="center"/>
              <w:rPr>
                <w:rFonts w:hint="eastAsia" w:ascii="宋体" w:hAnsi="宋体" w:cs="宋体"/>
                <w:color w:val="auto"/>
                <w:szCs w:val="21"/>
                <w:highlight w:val="none"/>
              </w:rPr>
            </w:pPr>
          </w:p>
        </w:tc>
        <w:tc>
          <w:tcPr>
            <w:tcW w:w="1182" w:type="dxa"/>
            <w:noWrap w:val="0"/>
            <w:vAlign w:val="center"/>
          </w:tcPr>
          <w:p>
            <w:pPr>
              <w:shd w:val="clear"/>
              <w:spacing w:line="36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0"/>
            <w:vAlign w:val="center"/>
          </w:tcPr>
          <w:p>
            <w:pPr>
              <w:shd w:val="clear"/>
              <w:spacing w:line="360" w:lineRule="exact"/>
              <w:jc w:val="center"/>
              <w:rPr>
                <w:rFonts w:hint="eastAsia" w:ascii="宋体" w:hAnsi="宋体" w:cs="宋体"/>
                <w:color w:val="auto"/>
                <w:szCs w:val="21"/>
                <w:highlight w:val="none"/>
              </w:rPr>
            </w:pPr>
          </w:p>
        </w:tc>
        <w:tc>
          <w:tcPr>
            <w:tcW w:w="1153" w:type="dxa"/>
            <w:noWrap w:val="0"/>
            <w:vAlign w:val="center"/>
          </w:tcPr>
          <w:p>
            <w:pPr>
              <w:shd w:val="clear"/>
              <w:spacing w:line="360" w:lineRule="exact"/>
              <w:jc w:val="center"/>
              <w:rPr>
                <w:rFonts w:hint="eastAsia" w:ascii="宋体" w:hAnsi="宋体" w:cs="宋体"/>
                <w:color w:val="auto"/>
                <w:szCs w:val="21"/>
                <w:highlight w:val="none"/>
              </w:rPr>
            </w:pPr>
          </w:p>
        </w:tc>
        <w:tc>
          <w:tcPr>
            <w:tcW w:w="1551" w:type="dxa"/>
            <w:noWrap w:val="0"/>
            <w:vAlign w:val="center"/>
          </w:tcPr>
          <w:p>
            <w:pPr>
              <w:shd w:val="clear"/>
              <w:spacing w:line="360" w:lineRule="exact"/>
              <w:jc w:val="center"/>
              <w:rPr>
                <w:rFonts w:hint="eastAsia" w:ascii="宋体" w:hAnsi="宋体" w:cs="宋体"/>
                <w:color w:val="auto"/>
                <w:szCs w:val="21"/>
                <w:highlight w:val="none"/>
              </w:rPr>
            </w:pPr>
          </w:p>
        </w:tc>
        <w:tc>
          <w:tcPr>
            <w:tcW w:w="1832" w:type="dxa"/>
            <w:noWrap w:val="0"/>
            <w:vAlign w:val="center"/>
          </w:tcPr>
          <w:p>
            <w:pPr>
              <w:shd w:val="clear"/>
              <w:spacing w:line="360" w:lineRule="exact"/>
              <w:jc w:val="center"/>
              <w:rPr>
                <w:rFonts w:hint="eastAsia" w:ascii="宋体" w:hAnsi="宋体" w:cs="宋体"/>
                <w:color w:val="auto"/>
                <w:szCs w:val="21"/>
                <w:highlight w:val="none"/>
              </w:rPr>
            </w:pPr>
          </w:p>
        </w:tc>
        <w:tc>
          <w:tcPr>
            <w:tcW w:w="1936" w:type="dxa"/>
            <w:noWrap w:val="0"/>
            <w:vAlign w:val="center"/>
          </w:tcPr>
          <w:p>
            <w:pPr>
              <w:shd w:val="clear"/>
              <w:spacing w:line="360" w:lineRule="exact"/>
              <w:jc w:val="center"/>
              <w:rPr>
                <w:rFonts w:hint="eastAsia" w:ascii="宋体" w:hAnsi="宋体" w:cs="宋体"/>
                <w:color w:val="auto"/>
                <w:szCs w:val="21"/>
                <w:highlight w:val="none"/>
              </w:rPr>
            </w:pPr>
          </w:p>
        </w:tc>
        <w:tc>
          <w:tcPr>
            <w:tcW w:w="1182" w:type="dxa"/>
            <w:noWrap w:val="0"/>
            <w:vAlign w:val="center"/>
          </w:tcPr>
          <w:p>
            <w:pPr>
              <w:shd w:val="clear"/>
              <w:spacing w:line="36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0"/>
            <w:vAlign w:val="center"/>
          </w:tcPr>
          <w:p>
            <w:pPr>
              <w:shd w:val="clear"/>
              <w:spacing w:line="360" w:lineRule="exact"/>
              <w:jc w:val="center"/>
              <w:rPr>
                <w:rFonts w:hint="eastAsia" w:ascii="宋体" w:hAnsi="宋体" w:cs="宋体"/>
                <w:color w:val="auto"/>
                <w:szCs w:val="21"/>
                <w:highlight w:val="none"/>
              </w:rPr>
            </w:pPr>
          </w:p>
        </w:tc>
        <w:tc>
          <w:tcPr>
            <w:tcW w:w="1153" w:type="dxa"/>
            <w:noWrap w:val="0"/>
            <w:vAlign w:val="center"/>
          </w:tcPr>
          <w:p>
            <w:pPr>
              <w:shd w:val="clear"/>
              <w:spacing w:line="360" w:lineRule="exact"/>
              <w:jc w:val="center"/>
              <w:rPr>
                <w:rFonts w:hint="eastAsia" w:ascii="宋体" w:hAnsi="宋体" w:cs="宋体"/>
                <w:color w:val="auto"/>
                <w:szCs w:val="21"/>
                <w:highlight w:val="none"/>
              </w:rPr>
            </w:pPr>
          </w:p>
        </w:tc>
        <w:tc>
          <w:tcPr>
            <w:tcW w:w="1551" w:type="dxa"/>
            <w:noWrap w:val="0"/>
            <w:vAlign w:val="center"/>
          </w:tcPr>
          <w:p>
            <w:pPr>
              <w:shd w:val="clear"/>
              <w:spacing w:line="360" w:lineRule="exact"/>
              <w:jc w:val="center"/>
              <w:rPr>
                <w:rFonts w:hint="eastAsia" w:ascii="宋体" w:hAnsi="宋体" w:cs="宋体"/>
                <w:color w:val="auto"/>
                <w:szCs w:val="21"/>
                <w:highlight w:val="none"/>
              </w:rPr>
            </w:pPr>
          </w:p>
        </w:tc>
        <w:tc>
          <w:tcPr>
            <w:tcW w:w="1832" w:type="dxa"/>
            <w:noWrap w:val="0"/>
            <w:vAlign w:val="center"/>
          </w:tcPr>
          <w:p>
            <w:pPr>
              <w:shd w:val="clear"/>
              <w:spacing w:line="360" w:lineRule="exact"/>
              <w:jc w:val="center"/>
              <w:rPr>
                <w:rFonts w:hint="eastAsia" w:ascii="宋体" w:hAnsi="宋体" w:cs="宋体"/>
                <w:color w:val="auto"/>
                <w:szCs w:val="21"/>
                <w:highlight w:val="none"/>
              </w:rPr>
            </w:pPr>
          </w:p>
        </w:tc>
        <w:tc>
          <w:tcPr>
            <w:tcW w:w="1936" w:type="dxa"/>
            <w:noWrap w:val="0"/>
            <w:vAlign w:val="center"/>
          </w:tcPr>
          <w:p>
            <w:pPr>
              <w:shd w:val="clear"/>
              <w:spacing w:line="360" w:lineRule="exact"/>
              <w:jc w:val="center"/>
              <w:rPr>
                <w:rFonts w:hint="eastAsia" w:ascii="宋体" w:hAnsi="宋体" w:cs="宋体"/>
                <w:color w:val="auto"/>
                <w:szCs w:val="21"/>
                <w:highlight w:val="none"/>
              </w:rPr>
            </w:pPr>
          </w:p>
        </w:tc>
        <w:tc>
          <w:tcPr>
            <w:tcW w:w="1182" w:type="dxa"/>
            <w:noWrap w:val="0"/>
            <w:vAlign w:val="center"/>
          </w:tcPr>
          <w:p>
            <w:pPr>
              <w:shd w:val="clear"/>
              <w:spacing w:line="36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0"/>
            <w:vAlign w:val="center"/>
          </w:tcPr>
          <w:p>
            <w:pPr>
              <w:shd w:val="clear"/>
              <w:spacing w:line="360" w:lineRule="exact"/>
              <w:jc w:val="center"/>
              <w:rPr>
                <w:rFonts w:hint="eastAsia" w:ascii="宋体" w:hAnsi="宋体" w:cs="宋体"/>
                <w:color w:val="auto"/>
                <w:szCs w:val="21"/>
                <w:highlight w:val="none"/>
              </w:rPr>
            </w:pPr>
          </w:p>
        </w:tc>
        <w:tc>
          <w:tcPr>
            <w:tcW w:w="1153" w:type="dxa"/>
            <w:noWrap w:val="0"/>
            <w:vAlign w:val="center"/>
          </w:tcPr>
          <w:p>
            <w:pPr>
              <w:shd w:val="clear"/>
              <w:spacing w:line="360" w:lineRule="exact"/>
              <w:jc w:val="center"/>
              <w:rPr>
                <w:rFonts w:hint="eastAsia" w:ascii="宋体" w:hAnsi="宋体" w:cs="宋体"/>
                <w:color w:val="auto"/>
                <w:szCs w:val="21"/>
                <w:highlight w:val="none"/>
              </w:rPr>
            </w:pPr>
          </w:p>
        </w:tc>
        <w:tc>
          <w:tcPr>
            <w:tcW w:w="1551" w:type="dxa"/>
            <w:noWrap w:val="0"/>
            <w:vAlign w:val="center"/>
          </w:tcPr>
          <w:p>
            <w:pPr>
              <w:shd w:val="clear"/>
              <w:spacing w:line="360" w:lineRule="exact"/>
              <w:jc w:val="center"/>
              <w:rPr>
                <w:rFonts w:hint="eastAsia" w:ascii="宋体" w:hAnsi="宋体" w:cs="宋体"/>
                <w:color w:val="auto"/>
                <w:szCs w:val="21"/>
                <w:highlight w:val="none"/>
              </w:rPr>
            </w:pPr>
          </w:p>
        </w:tc>
        <w:tc>
          <w:tcPr>
            <w:tcW w:w="1832" w:type="dxa"/>
            <w:noWrap w:val="0"/>
            <w:vAlign w:val="center"/>
          </w:tcPr>
          <w:p>
            <w:pPr>
              <w:shd w:val="clear"/>
              <w:spacing w:line="360" w:lineRule="exact"/>
              <w:jc w:val="center"/>
              <w:rPr>
                <w:rFonts w:hint="eastAsia" w:ascii="宋体" w:hAnsi="宋体" w:cs="宋体"/>
                <w:color w:val="auto"/>
                <w:szCs w:val="21"/>
                <w:highlight w:val="none"/>
              </w:rPr>
            </w:pPr>
          </w:p>
        </w:tc>
        <w:tc>
          <w:tcPr>
            <w:tcW w:w="1936" w:type="dxa"/>
            <w:noWrap w:val="0"/>
            <w:vAlign w:val="center"/>
          </w:tcPr>
          <w:p>
            <w:pPr>
              <w:shd w:val="clear"/>
              <w:spacing w:line="360" w:lineRule="exact"/>
              <w:jc w:val="center"/>
              <w:rPr>
                <w:rFonts w:hint="eastAsia" w:ascii="宋体" w:hAnsi="宋体" w:cs="宋体"/>
                <w:color w:val="auto"/>
                <w:szCs w:val="21"/>
                <w:highlight w:val="none"/>
              </w:rPr>
            </w:pPr>
          </w:p>
        </w:tc>
        <w:tc>
          <w:tcPr>
            <w:tcW w:w="1182" w:type="dxa"/>
            <w:noWrap w:val="0"/>
            <w:vAlign w:val="center"/>
          </w:tcPr>
          <w:p>
            <w:pPr>
              <w:shd w:val="clear"/>
              <w:spacing w:line="36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0"/>
            <w:vAlign w:val="center"/>
          </w:tcPr>
          <w:p>
            <w:pPr>
              <w:shd w:val="clear"/>
              <w:spacing w:line="360" w:lineRule="exact"/>
              <w:jc w:val="center"/>
              <w:rPr>
                <w:rFonts w:hint="eastAsia" w:ascii="宋体" w:hAnsi="宋体" w:cs="宋体"/>
                <w:color w:val="auto"/>
                <w:szCs w:val="21"/>
                <w:highlight w:val="none"/>
              </w:rPr>
            </w:pPr>
          </w:p>
        </w:tc>
        <w:tc>
          <w:tcPr>
            <w:tcW w:w="1153" w:type="dxa"/>
            <w:noWrap w:val="0"/>
            <w:vAlign w:val="center"/>
          </w:tcPr>
          <w:p>
            <w:pPr>
              <w:shd w:val="clear"/>
              <w:spacing w:line="360" w:lineRule="exact"/>
              <w:jc w:val="center"/>
              <w:rPr>
                <w:rFonts w:hint="eastAsia" w:ascii="宋体" w:hAnsi="宋体" w:cs="宋体"/>
                <w:color w:val="auto"/>
                <w:szCs w:val="21"/>
                <w:highlight w:val="none"/>
              </w:rPr>
            </w:pPr>
          </w:p>
        </w:tc>
        <w:tc>
          <w:tcPr>
            <w:tcW w:w="1551" w:type="dxa"/>
            <w:noWrap w:val="0"/>
            <w:vAlign w:val="center"/>
          </w:tcPr>
          <w:p>
            <w:pPr>
              <w:shd w:val="clear"/>
              <w:spacing w:line="360" w:lineRule="exact"/>
              <w:jc w:val="center"/>
              <w:rPr>
                <w:rFonts w:hint="eastAsia" w:ascii="宋体" w:hAnsi="宋体" w:cs="宋体"/>
                <w:color w:val="auto"/>
                <w:szCs w:val="21"/>
                <w:highlight w:val="none"/>
              </w:rPr>
            </w:pPr>
          </w:p>
        </w:tc>
        <w:tc>
          <w:tcPr>
            <w:tcW w:w="1832" w:type="dxa"/>
            <w:noWrap w:val="0"/>
            <w:vAlign w:val="center"/>
          </w:tcPr>
          <w:p>
            <w:pPr>
              <w:shd w:val="clear"/>
              <w:spacing w:line="360" w:lineRule="exact"/>
              <w:jc w:val="center"/>
              <w:rPr>
                <w:rFonts w:hint="eastAsia" w:ascii="宋体" w:hAnsi="宋体" w:cs="宋体"/>
                <w:color w:val="auto"/>
                <w:szCs w:val="21"/>
                <w:highlight w:val="none"/>
              </w:rPr>
            </w:pPr>
          </w:p>
        </w:tc>
        <w:tc>
          <w:tcPr>
            <w:tcW w:w="1936" w:type="dxa"/>
            <w:noWrap w:val="0"/>
            <w:vAlign w:val="center"/>
          </w:tcPr>
          <w:p>
            <w:pPr>
              <w:shd w:val="clear"/>
              <w:spacing w:line="360" w:lineRule="exact"/>
              <w:jc w:val="center"/>
              <w:rPr>
                <w:rFonts w:hint="eastAsia" w:ascii="宋体" w:hAnsi="宋体" w:cs="宋体"/>
                <w:color w:val="auto"/>
                <w:szCs w:val="21"/>
                <w:highlight w:val="none"/>
              </w:rPr>
            </w:pPr>
          </w:p>
        </w:tc>
        <w:tc>
          <w:tcPr>
            <w:tcW w:w="1182" w:type="dxa"/>
            <w:noWrap w:val="0"/>
            <w:vAlign w:val="center"/>
          </w:tcPr>
          <w:p>
            <w:pPr>
              <w:shd w:val="clear"/>
              <w:spacing w:line="36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0"/>
            <w:vAlign w:val="center"/>
          </w:tcPr>
          <w:p>
            <w:pPr>
              <w:shd w:val="clear"/>
              <w:spacing w:line="360" w:lineRule="exact"/>
              <w:jc w:val="center"/>
              <w:rPr>
                <w:rFonts w:hint="eastAsia" w:ascii="宋体" w:hAnsi="宋体" w:cs="宋体"/>
                <w:color w:val="auto"/>
                <w:szCs w:val="21"/>
                <w:highlight w:val="none"/>
              </w:rPr>
            </w:pPr>
          </w:p>
        </w:tc>
        <w:tc>
          <w:tcPr>
            <w:tcW w:w="1153" w:type="dxa"/>
            <w:noWrap w:val="0"/>
            <w:vAlign w:val="center"/>
          </w:tcPr>
          <w:p>
            <w:pPr>
              <w:shd w:val="clear"/>
              <w:spacing w:line="360" w:lineRule="exact"/>
              <w:jc w:val="center"/>
              <w:rPr>
                <w:rFonts w:hint="eastAsia" w:ascii="宋体" w:hAnsi="宋体" w:cs="宋体"/>
                <w:color w:val="auto"/>
                <w:szCs w:val="21"/>
                <w:highlight w:val="none"/>
              </w:rPr>
            </w:pPr>
          </w:p>
        </w:tc>
        <w:tc>
          <w:tcPr>
            <w:tcW w:w="1551" w:type="dxa"/>
            <w:noWrap w:val="0"/>
            <w:vAlign w:val="center"/>
          </w:tcPr>
          <w:p>
            <w:pPr>
              <w:shd w:val="clear"/>
              <w:spacing w:line="360" w:lineRule="exact"/>
              <w:jc w:val="center"/>
              <w:rPr>
                <w:rFonts w:hint="eastAsia" w:ascii="宋体" w:hAnsi="宋体" w:cs="宋体"/>
                <w:color w:val="auto"/>
                <w:szCs w:val="21"/>
                <w:highlight w:val="none"/>
              </w:rPr>
            </w:pPr>
          </w:p>
        </w:tc>
        <w:tc>
          <w:tcPr>
            <w:tcW w:w="1832" w:type="dxa"/>
            <w:noWrap w:val="0"/>
            <w:vAlign w:val="center"/>
          </w:tcPr>
          <w:p>
            <w:pPr>
              <w:shd w:val="clear"/>
              <w:spacing w:line="360" w:lineRule="exact"/>
              <w:jc w:val="center"/>
              <w:rPr>
                <w:rFonts w:hint="eastAsia" w:ascii="宋体" w:hAnsi="宋体" w:cs="宋体"/>
                <w:color w:val="auto"/>
                <w:szCs w:val="21"/>
                <w:highlight w:val="none"/>
              </w:rPr>
            </w:pPr>
          </w:p>
        </w:tc>
        <w:tc>
          <w:tcPr>
            <w:tcW w:w="1936" w:type="dxa"/>
            <w:noWrap w:val="0"/>
            <w:vAlign w:val="center"/>
          </w:tcPr>
          <w:p>
            <w:pPr>
              <w:shd w:val="clear"/>
              <w:spacing w:line="360" w:lineRule="exact"/>
              <w:jc w:val="center"/>
              <w:rPr>
                <w:rFonts w:hint="eastAsia" w:ascii="宋体" w:hAnsi="宋体" w:cs="宋体"/>
                <w:color w:val="auto"/>
                <w:szCs w:val="21"/>
                <w:highlight w:val="none"/>
              </w:rPr>
            </w:pPr>
          </w:p>
        </w:tc>
        <w:tc>
          <w:tcPr>
            <w:tcW w:w="1182" w:type="dxa"/>
            <w:noWrap w:val="0"/>
            <w:vAlign w:val="center"/>
          </w:tcPr>
          <w:p>
            <w:pPr>
              <w:shd w:val="clear"/>
              <w:spacing w:line="360" w:lineRule="exact"/>
              <w:jc w:val="center"/>
              <w:rPr>
                <w:rFonts w:hint="eastAsia" w:ascii="宋体" w:hAnsi="宋体" w:cs="宋体"/>
                <w:color w:val="auto"/>
                <w:szCs w:val="21"/>
                <w:highlight w:val="none"/>
              </w:rPr>
            </w:pPr>
          </w:p>
        </w:tc>
      </w:tr>
    </w:tbl>
    <w:p>
      <w:pPr>
        <w:shd w:val="clear"/>
        <w:snapToGrid w:val="0"/>
        <w:spacing w:line="440" w:lineRule="exact"/>
        <w:rPr>
          <w:rFonts w:hint="eastAsia" w:ascii="宋体" w:hAnsi="宋体" w:cs="宋体"/>
          <w:color w:val="auto"/>
          <w:szCs w:val="21"/>
          <w:highlight w:val="none"/>
        </w:rPr>
      </w:pPr>
    </w:p>
    <w:p>
      <w:pPr>
        <w:shd w:val="clear"/>
        <w:snapToGrid w:val="0"/>
        <w:spacing w:line="440" w:lineRule="exact"/>
        <w:rPr>
          <w:rFonts w:hint="eastAsia" w:ascii="宋体" w:hAnsi="宋体" w:cs="宋体"/>
          <w:color w:val="auto"/>
          <w:szCs w:val="21"/>
          <w:highlight w:val="none"/>
          <w:u w:val="single"/>
        </w:rPr>
      </w:pPr>
      <w:r>
        <w:rPr>
          <w:rFonts w:hint="eastAsia" w:ascii="宋体" w:hAnsi="宋体" w:cs="宋体"/>
          <w:color w:val="auto"/>
          <w:szCs w:val="21"/>
          <w:highlight w:val="none"/>
        </w:rPr>
        <w:t>授权代表签名：</w:t>
      </w:r>
      <w:r>
        <w:rPr>
          <w:rFonts w:hint="eastAsia" w:ascii="宋体" w:hAnsi="宋体" w:cs="宋体"/>
          <w:color w:val="auto"/>
          <w:szCs w:val="21"/>
          <w:highlight w:val="none"/>
          <w:u w:val="single"/>
        </w:rPr>
        <w:t xml:space="preserve">              </w:t>
      </w:r>
    </w:p>
    <w:p>
      <w:pPr>
        <w:pStyle w:val="12"/>
        <w:shd w:val="clear"/>
        <w:adjustRightInd w:val="0"/>
        <w:snapToGrid w:val="0"/>
        <w:spacing w:after="0" w:line="440" w:lineRule="exact"/>
        <w:rPr>
          <w:rFonts w:hint="eastAsia" w:ascii="宋体" w:hAnsi="宋体" w:cs="宋体"/>
          <w:color w:val="auto"/>
          <w:szCs w:val="21"/>
          <w:highlight w:val="none"/>
        </w:rPr>
      </w:pPr>
      <w:r>
        <w:rPr>
          <w:rFonts w:hint="eastAsia" w:ascii="宋体" w:hAnsi="宋体" w:cs="宋体"/>
          <w:color w:val="auto"/>
          <w:szCs w:val="21"/>
          <w:highlight w:val="none"/>
        </w:rPr>
        <w:t>投标人盖章：</w:t>
      </w:r>
      <w:r>
        <w:rPr>
          <w:rFonts w:hint="eastAsia" w:ascii="宋体" w:hAnsi="宋体" w:cs="宋体"/>
          <w:color w:val="auto"/>
          <w:szCs w:val="21"/>
          <w:highlight w:val="none"/>
          <w:u w:val="single"/>
        </w:rPr>
        <w:t xml:space="preserve">                </w:t>
      </w:r>
    </w:p>
    <w:p>
      <w:pPr>
        <w:shd w:val="clear"/>
        <w:adjustRightInd w:val="0"/>
        <w:snapToGrid w:val="0"/>
        <w:spacing w:line="440" w:lineRule="exact"/>
        <w:rPr>
          <w:rFonts w:hint="eastAsia" w:ascii="宋体" w:hAnsi="宋体" w:cs="宋体"/>
          <w:bCs/>
          <w:color w:val="auto"/>
          <w:szCs w:val="21"/>
          <w:highlight w:val="none"/>
        </w:rPr>
      </w:pP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w:t>
      </w:r>
    </w:p>
    <w:p>
      <w:pPr>
        <w:shd w:val="clear"/>
        <w:adjustRightInd w:val="0"/>
        <w:snapToGrid w:val="0"/>
        <w:jc w:val="left"/>
        <w:rPr>
          <w:rFonts w:hint="eastAsia" w:ascii="宋体" w:hAnsi="宋体" w:cs="宋体"/>
          <w:color w:val="auto"/>
          <w:sz w:val="24"/>
          <w:highlight w:val="none"/>
        </w:rPr>
      </w:pPr>
    </w:p>
    <w:p>
      <w:pPr>
        <w:shd w:val="clear"/>
        <w:adjustRightInd w:val="0"/>
        <w:snapToGrid w:val="0"/>
        <w:jc w:val="left"/>
        <w:rPr>
          <w:rFonts w:hint="eastAsia" w:ascii="宋体" w:hAnsi="宋体" w:cs="宋体"/>
          <w:color w:val="auto"/>
          <w:sz w:val="24"/>
          <w:highlight w:val="none"/>
        </w:rPr>
      </w:pPr>
    </w:p>
    <w:p>
      <w:pPr>
        <w:shd w:val="clear"/>
        <w:autoSpaceDE w:val="0"/>
        <w:autoSpaceDN w:val="0"/>
        <w:adjustRightInd w:val="0"/>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注：1、</w:t>
      </w:r>
      <w:r>
        <w:rPr>
          <w:rFonts w:hint="eastAsia" w:ascii="宋体" w:hAnsi="宋体" w:cs="宋体"/>
          <w:color w:val="auto"/>
          <w:szCs w:val="21"/>
          <w:highlight w:val="none"/>
          <w:lang w:val="en-US" w:eastAsia="zh-CN"/>
        </w:rPr>
        <w:t>附件资料</w:t>
      </w:r>
      <w:r>
        <w:rPr>
          <w:rFonts w:hint="eastAsia" w:ascii="宋体" w:hAnsi="宋体" w:cs="宋体"/>
          <w:color w:val="auto"/>
          <w:szCs w:val="21"/>
          <w:highlight w:val="none"/>
        </w:rPr>
        <w:t>按评分标准提供。</w:t>
      </w:r>
    </w:p>
    <w:p>
      <w:pPr>
        <w:shd w:val="clear"/>
        <w:adjustRightInd w:val="0"/>
        <w:snapToGrid w:val="0"/>
        <w:jc w:val="left"/>
        <w:rPr>
          <w:rFonts w:hint="eastAsia" w:ascii="宋体" w:hAnsi="宋体" w:cs="宋体"/>
          <w:color w:val="auto"/>
          <w:sz w:val="24"/>
          <w:highlight w:val="none"/>
        </w:rPr>
      </w:pPr>
    </w:p>
    <w:p>
      <w:pPr>
        <w:shd w:val="clear"/>
        <w:adjustRightInd w:val="0"/>
        <w:snapToGrid w:val="0"/>
        <w:jc w:val="left"/>
        <w:rPr>
          <w:rFonts w:hint="eastAsia" w:ascii="宋体" w:hAnsi="宋体" w:cs="宋体"/>
          <w:color w:val="auto"/>
          <w:sz w:val="24"/>
          <w:highlight w:val="none"/>
        </w:rPr>
      </w:pPr>
    </w:p>
    <w:p>
      <w:pPr>
        <w:shd w:val="clear"/>
        <w:adjustRightInd w:val="0"/>
        <w:snapToGrid w:val="0"/>
        <w:jc w:val="left"/>
        <w:rPr>
          <w:rFonts w:hint="eastAsia" w:ascii="宋体" w:hAnsi="宋体" w:cs="宋体"/>
          <w:color w:val="auto"/>
          <w:sz w:val="24"/>
          <w:highlight w:val="none"/>
        </w:rPr>
      </w:pPr>
    </w:p>
    <w:p>
      <w:pPr>
        <w:shd w:val="clear"/>
        <w:adjustRightInd w:val="0"/>
        <w:snapToGrid w:val="0"/>
        <w:jc w:val="left"/>
        <w:rPr>
          <w:rFonts w:hint="eastAsia" w:ascii="宋体" w:hAnsi="宋体" w:cs="宋体"/>
          <w:color w:val="auto"/>
          <w:sz w:val="24"/>
          <w:highlight w:val="none"/>
        </w:rPr>
      </w:pPr>
    </w:p>
    <w:p>
      <w:pPr>
        <w:shd w:val="clear"/>
        <w:adjustRightInd w:val="0"/>
        <w:snapToGrid w:val="0"/>
        <w:jc w:val="left"/>
        <w:rPr>
          <w:rFonts w:hint="eastAsia" w:ascii="宋体" w:hAnsi="宋体" w:cs="宋体"/>
          <w:color w:val="auto"/>
          <w:sz w:val="24"/>
          <w:highlight w:val="none"/>
        </w:rPr>
      </w:pPr>
    </w:p>
    <w:p>
      <w:pPr>
        <w:shd w:val="clear"/>
        <w:adjustRightInd w:val="0"/>
        <w:snapToGrid w:val="0"/>
        <w:jc w:val="left"/>
        <w:rPr>
          <w:rFonts w:hint="eastAsia" w:ascii="宋体" w:hAnsi="宋体" w:cs="宋体"/>
          <w:color w:val="auto"/>
          <w:sz w:val="24"/>
          <w:highlight w:val="none"/>
        </w:rPr>
      </w:pPr>
    </w:p>
    <w:p>
      <w:pPr>
        <w:shd w:val="clear"/>
        <w:adjustRightInd w:val="0"/>
        <w:snapToGrid w:val="0"/>
        <w:jc w:val="left"/>
        <w:rPr>
          <w:rFonts w:hint="eastAsia" w:ascii="宋体" w:hAnsi="宋体" w:cs="宋体"/>
          <w:color w:val="auto"/>
          <w:sz w:val="24"/>
          <w:highlight w:val="none"/>
        </w:rPr>
      </w:pPr>
    </w:p>
    <w:p>
      <w:pPr>
        <w:shd w:val="clear"/>
        <w:adjustRightInd w:val="0"/>
        <w:snapToGrid w:val="0"/>
        <w:jc w:val="left"/>
        <w:rPr>
          <w:rFonts w:hint="eastAsia" w:ascii="宋体" w:hAnsi="宋体" w:cs="宋体"/>
          <w:color w:val="auto"/>
          <w:sz w:val="24"/>
          <w:highlight w:val="none"/>
        </w:rPr>
      </w:pPr>
    </w:p>
    <w:p>
      <w:pPr>
        <w:shd w:val="clear"/>
        <w:adjustRightInd w:val="0"/>
        <w:snapToGrid w:val="0"/>
        <w:jc w:val="left"/>
        <w:rPr>
          <w:rFonts w:hint="eastAsia" w:ascii="宋体" w:hAnsi="宋体" w:cs="宋体"/>
          <w:color w:val="auto"/>
          <w:sz w:val="24"/>
          <w:highlight w:val="none"/>
        </w:rPr>
      </w:pPr>
    </w:p>
    <w:p>
      <w:pPr>
        <w:shd w:val="clear"/>
        <w:adjustRightInd w:val="0"/>
        <w:snapToGrid w:val="0"/>
        <w:jc w:val="left"/>
        <w:rPr>
          <w:rFonts w:hint="eastAsia" w:ascii="宋体" w:hAnsi="宋体" w:cs="宋体"/>
          <w:color w:val="auto"/>
          <w:sz w:val="24"/>
          <w:highlight w:val="none"/>
        </w:rPr>
      </w:pPr>
    </w:p>
    <w:p>
      <w:pPr>
        <w:shd w:val="clear"/>
        <w:adjustRightInd w:val="0"/>
        <w:snapToGrid w:val="0"/>
        <w:jc w:val="left"/>
        <w:rPr>
          <w:rFonts w:hint="eastAsia" w:ascii="宋体" w:hAnsi="宋体" w:cs="宋体"/>
          <w:b/>
          <w:color w:val="auto"/>
          <w:sz w:val="24"/>
          <w:highlight w:val="none"/>
        </w:rPr>
      </w:pPr>
      <w:r>
        <w:rPr>
          <w:rFonts w:hint="eastAsia" w:ascii="宋体" w:hAnsi="宋体" w:cs="宋体"/>
          <w:b/>
          <w:color w:val="auto"/>
          <w:sz w:val="24"/>
          <w:highlight w:val="none"/>
        </w:rPr>
        <w:t>9、商务响应表格式:</w:t>
      </w:r>
    </w:p>
    <w:p>
      <w:pPr>
        <w:shd w:val="clear"/>
        <w:adjustRightInd w:val="0"/>
        <w:snapToGrid w:val="0"/>
        <w:rPr>
          <w:rFonts w:hint="eastAsia" w:ascii="宋体" w:hAnsi="宋体" w:cs="宋体"/>
          <w:b/>
          <w:color w:val="auto"/>
          <w:sz w:val="44"/>
          <w:szCs w:val="44"/>
          <w:highlight w:val="none"/>
        </w:rPr>
      </w:pPr>
    </w:p>
    <w:p>
      <w:pPr>
        <w:shd w:val="clear"/>
        <w:adjustRightInd w:val="0"/>
        <w:snapToGrid w:val="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商务响应表</w:t>
      </w:r>
    </w:p>
    <w:p>
      <w:pPr>
        <w:shd w:val="clear"/>
        <w:spacing w:line="380" w:lineRule="exact"/>
        <w:rPr>
          <w:rFonts w:hint="eastAsia" w:ascii="宋体" w:hAnsi="宋体" w:cs="宋体"/>
          <w:color w:val="auto"/>
          <w:szCs w:val="21"/>
          <w:highlight w:val="none"/>
        </w:rPr>
      </w:pPr>
      <w:r>
        <w:rPr>
          <w:rFonts w:hint="eastAsia" w:ascii="宋体" w:hAnsi="宋体" w:cs="宋体"/>
          <w:color w:val="auto"/>
          <w:szCs w:val="21"/>
          <w:highlight w:val="none"/>
        </w:rPr>
        <w:t xml:space="preserve">项目名称：  </w:t>
      </w:r>
    </w:p>
    <w:p>
      <w:pPr>
        <w:shd w:val="clear"/>
        <w:spacing w:line="380" w:lineRule="exact"/>
        <w:rPr>
          <w:rFonts w:hint="eastAsia" w:ascii="宋体" w:hAnsi="宋体" w:cs="宋体"/>
          <w:color w:val="auto"/>
          <w:szCs w:val="21"/>
          <w:highlight w:val="none"/>
        </w:rPr>
      </w:pPr>
      <w:r>
        <w:rPr>
          <w:rFonts w:hint="eastAsia" w:ascii="宋体" w:hAnsi="宋体" w:cs="宋体"/>
          <w:color w:val="auto"/>
          <w:szCs w:val="21"/>
          <w:highlight w:val="none"/>
        </w:rPr>
        <w:t xml:space="preserve">项目编号： </w:t>
      </w:r>
    </w:p>
    <w:tbl>
      <w:tblPr>
        <w:tblStyle w:val="34"/>
        <w:tblW w:w="8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043"/>
        <w:gridCol w:w="1265"/>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20" w:type="dxa"/>
            <w:noWrap w:val="0"/>
            <w:vAlign w:val="center"/>
          </w:tcPr>
          <w:p>
            <w:pPr>
              <w:shd w:val="clear"/>
              <w:adjustRightInd w:val="0"/>
              <w:snapToGrid w:val="0"/>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项目</w:t>
            </w:r>
          </w:p>
        </w:tc>
        <w:tc>
          <w:tcPr>
            <w:tcW w:w="4043" w:type="dxa"/>
            <w:noWrap w:val="0"/>
            <w:vAlign w:val="center"/>
          </w:tcPr>
          <w:p>
            <w:pPr>
              <w:shd w:val="clear"/>
              <w:adjustRightInd w:val="0"/>
              <w:snapToGrid w:val="0"/>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招标文件要求</w:t>
            </w:r>
          </w:p>
        </w:tc>
        <w:tc>
          <w:tcPr>
            <w:tcW w:w="1265" w:type="dxa"/>
            <w:noWrap w:val="0"/>
            <w:vAlign w:val="center"/>
          </w:tcPr>
          <w:p>
            <w:pPr>
              <w:shd w:val="clear"/>
              <w:adjustRightInd w:val="0"/>
              <w:snapToGrid w:val="0"/>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是否响应</w:t>
            </w:r>
          </w:p>
        </w:tc>
        <w:tc>
          <w:tcPr>
            <w:tcW w:w="1596" w:type="dxa"/>
            <w:noWrap w:val="0"/>
            <w:vAlign w:val="center"/>
          </w:tcPr>
          <w:p>
            <w:pPr>
              <w:shd w:val="clear"/>
              <w:adjustRightInd w:val="0"/>
              <w:snapToGrid w:val="0"/>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pPr>
              <w:shd w:val="clear"/>
              <w:adjustRightInd w:val="0"/>
              <w:snapToGrid w:val="0"/>
              <w:rPr>
                <w:rFonts w:ascii="宋体" w:hAnsi="宋体" w:cs="宋体"/>
                <w:b/>
                <w:color w:val="auto"/>
                <w:sz w:val="18"/>
                <w:szCs w:val="18"/>
                <w:highlight w:val="none"/>
              </w:rPr>
            </w:pPr>
          </w:p>
        </w:tc>
        <w:tc>
          <w:tcPr>
            <w:tcW w:w="4043" w:type="dxa"/>
            <w:noWrap w:val="0"/>
            <w:vAlign w:val="center"/>
          </w:tcPr>
          <w:p>
            <w:pPr>
              <w:shd w:val="clear"/>
              <w:adjustRightInd w:val="0"/>
              <w:snapToGrid w:val="0"/>
              <w:rPr>
                <w:rFonts w:hint="eastAsia" w:ascii="宋体" w:hAnsi="宋体" w:cs="宋体"/>
                <w:color w:val="auto"/>
                <w:sz w:val="18"/>
                <w:szCs w:val="18"/>
                <w:highlight w:val="none"/>
              </w:rPr>
            </w:pPr>
          </w:p>
        </w:tc>
        <w:tc>
          <w:tcPr>
            <w:tcW w:w="1265" w:type="dxa"/>
            <w:noWrap w:val="0"/>
            <w:vAlign w:val="center"/>
          </w:tcPr>
          <w:p>
            <w:pPr>
              <w:shd w:val="clear"/>
              <w:adjustRightInd w:val="0"/>
              <w:snapToGrid w:val="0"/>
              <w:spacing w:line="240" w:lineRule="exact"/>
              <w:jc w:val="center"/>
              <w:rPr>
                <w:rFonts w:hint="eastAsia" w:ascii="宋体" w:hAnsi="宋体" w:cs="宋体"/>
                <w:b/>
                <w:color w:val="auto"/>
                <w:sz w:val="18"/>
                <w:szCs w:val="18"/>
                <w:highlight w:val="none"/>
              </w:rPr>
            </w:pPr>
          </w:p>
        </w:tc>
        <w:tc>
          <w:tcPr>
            <w:tcW w:w="1596" w:type="dxa"/>
            <w:noWrap w:val="0"/>
            <w:vAlign w:val="center"/>
          </w:tcPr>
          <w:p>
            <w:pPr>
              <w:shd w:val="clear"/>
              <w:adjustRightInd w:val="0"/>
              <w:snapToGrid w:val="0"/>
              <w:spacing w:line="240" w:lineRule="exact"/>
              <w:jc w:val="center"/>
              <w:rPr>
                <w:rFonts w:hint="eastAsia" w:ascii="宋体" w:hAnsi="宋体" w:cs="宋体"/>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pPr>
              <w:shd w:val="clear"/>
              <w:adjustRightInd w:val="0"/>
              <w:snapToGrid w:val="0"/>
              <w:rPr>
                <w:rFonts w:ascii="宋体" w:hAnsi="宋体" w:cs="宋体"/>
                <w:b/>
                <w:color w:val="auto"/>
                <w:sz w:val="18"/>
                <w:szCs w:val="18"/>
                <w:highlight w:val="none"/>
              </w:rPr>
            </w:pPr>
          </w:p>
        </w:tc>
        <w:tc>
          <w:tcPr>
            <w:tcW w:w="4043" w:type="dxa"/>
            <w:noWrap w:val="0"/>
            <w:vAlign w:val="top"/>
          </w:tcPr>
          <w:p>
            <w:pPr>
              <w:shd w:val="clear"/>
              <w:adjustRightInd w:val="0"/>
              <w:snapToGrid w:val="0"/>
              <w:ind w:firstLine="360" w:firstLineChars="200"/>
              <w:rPr>
                <w:rFonts w:hint="eastAsia" w:ascii="宋体" w:hAnsi="宋体" w:cs="宋体"/>
                <w:color w:val="auto"/>
                <w:sz w:val="18"/>
                <w:szCs w:val="18"/>
                <w:highlight w:val="none"/>
              </w:rPr>
            </w:pPr>
          </w:p>
        </w:tc>
        <w:tc>
          <w:tcPr>
            <w:tcW w:w="1265" w:type="dxa"/>
            <w:noWrap w:val="0"/>
            <w:vAlign w:val="center"/>
          </w:tcPr>
          <w:p>
            <w:pPr>
              <w:shd w:val="clear"/>
              <w:adjustRightInd w:val="0"/>
              <w:snapToGrid w:val="0"/>
              <w:spacing w:line="240" w:lineRule="exact"/>
              <w:rPr>
                <w:rFonts w:hint="eastAsia" w:ascii="宋体" w:hAnsi="宋体" w:cs="宋体"/>
                <w:color w:val="auto"/>
                <w:sz w:val="18"/>
                <w:szCs w:val="18"/>
                <w:highlight w:val="none"/>
              </w:rPr>
            </w:pPr>
          </w:p>
        </w:tc>
        <w:tc>
          <w:tcPr>
            <w:tcW w:w="1596" w:type="dxa"/>
            <w:noWrap w:val="0"/>
            <w:vAlign w:val="center"/>
          </w:tcPr>
          <w:p>
            <w:pPr>
              <w:shd w:val="clear"/>
              <w:adjustRightInd w:val="0"/>
              <w:snapToGrid w:val="0"/>
              <w:spacing w:line="240" w:lineRule="exact"/>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pPr>
              <w:shd w:val="clear"/>
              <w:adjustRightInd w:val="0"/>
              <w:snapToGrid w:val="0"/>
              <w:rPr>
                <w:rFonts w:hint="eastAsia" w:ascii="宋体" w:hAnsi="宋体" w:cs="宋体"/>
                <w:b/>
                <w:color w:val="auto"/>
                <w:sz w:val="18"/>
                <w:szCs w:val="18"/>
                <w:highlight w:val="none"/>
              </w:rPr>
            </w:pPr>
          </w:p>
        </w:tc>
        <w:tc>
          <w:tcPr>
            <w:tcW w:w="4043" w:type="dxa"/>
            <w:noWrap w:val="0"/>
            <w:vAlign w:val="top"/>
          </w:tcPr>
          <w:p>
            <w:pPr>
              <w:shd w:val="clear"/>
              <w:adjustRightInd w:val="0"/>
              <w:snapToGrid w:val="0"/>
              <w:rPr>
                <w:rFonts w:hint="eastAsia" w:ascii="宋体" w:hAnsi="宋体" w:cs="宋体"/>
                <w:b/>
                <w:color w:val="auto"/>
                <w:sz w:val="18"/>
                <w:szCs w:val="18"/>
                <w:highlight w:val="none"/>
              </w:rPr>
            </w:pPr>
          </w:p>
        </w:tc>
        <w:tc>
          <w:tcPr>
            <w:tcW w:w="1265" w:type="dxa"/>
            <w:noWrap w:val="0"/>
            <w:vAlign w:val="top"/>
          </w:tcPr>
          <w:p>
            <w:pPr>
              <w:shd w:val="clear"/>
              <w:adjustRightInd w:val="0"/>
              <w:snapToGrid w:val="0"/>
              <w:spacing w:line="240" w:lineRule="exact"/>
              <w:rPr>
                <w:rFonts w:hint="eastAsia" w:ascii="宋体" w:hAnsi="宋体" w:cs="宋体"/>
                <w:color w:val="auto"/>
                <w:sz w:val="18"/>
                <w:szCs w:val="18"/>
                <w:highlight w:val="none"/>
              </w:rPr>
            </w:pPr>
          </w:p>
        </w:tc>
        <w:tc>
          <w:tcPr>
            <w:tcW w:w="1596" w:type="dxa"/>
            <w:noWrap w:val="0"/>
            <w:vAlign w:val="top"/>
          </w:tcPr>
          <w:p>
            <w:pPr>
              <w:shd w:val="clear"/>
              <w:adjustRightInd w:val="0"/>
              <w:snapToGrid w:val="0"/>
              <w:spacing w:line="240" w:lineRule="exact"/>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pPr>
              <w:shd w:val="clear"/>
              <w:adjustRightInd w:val="0"/>
              <w:snapToGrid w:val="0"/>
              <w:jc w:val="center"/>
              <w:rPr>
                <w:rFonts w:hint="eastAsia" w:ascii="宋体" w:hAnsi="宋体" w:cs="宋体"/>
                <w:b/>
                <w:color w:val="auto"/>
                <w:sz w:val="18"/>
                <w:szCs w:val="18"/>
                <w:highlight w:val="none"/>
              </w:rPr>
            </w:pPr>
          </w:p>
        </w:tc>
        <w:tc>
          <w:tcPr>
            <w:tcW w:w="4043" w:type="dxa"/>
            <w:noWrap w:val="0"/>
            <w:vAlign w:val="top"/>
          </w:tcPr>
          <w:p>
            <w:pPr>
              <w:shd w:val="clear"/>
              <w:adjustRightInd w:val="0"/>
              <w:snapToGrid w:val="0"/>
              <w:rPr>
                <w:rFonts w:hint="eastAsia" w:ascii="宋体" w:hAnsi="宋体" w:cs="宋体"/>
                <w:color w:val="auto"/>
                <w:sz w:val="18"/>
                <w:szCs w:val="18"/>
                <w:highlight w:val="none"/>
              </w:rPr>
            </w:pPr>
          </w:p>
        </w:tc>
        <w:tc>
          <w:tcPr>
            <w:tcW w:w="1265" w:type="dxa"/>
            <w:noWrap w:val="0"/>
            <w:vAlign w:val="top"/>
          </w:tcPr>
          <w:p>
            <w:pPr>
              <w:shd w:val="clear"/>
              <w:adjustRightInd w:val="0"/>
              <w:snapToGrid w:val="0"/>
              <w:spacing w:line="240" w:lineRule="exact"/>
              <w:rPr>
                <w:rFonts w:hint="eastAsia" w:ascii="宋体" w:hAnsi="宋体" w:cs="宋体"/>
                <w:color w:val="auto"/>
                <w:sz w:val="18"/>
                <w:szCs w:val="18"/>
                <w:highlight w:val="none"/>
              </w:rPr>
            </w:pPr>
          </w:p>
        </w:tc>
        <w:tc>
          <w:tcPr>
            <w:tcW w:w="1596" w:type="dxa"/>
            <w:noWrap w:val="0"/>
            <w:vAlign w:val="top"/>
          </w:tcPr>
          <w:p>
            <w:pPr>
              <w:shd w:val="clear"/>
              <w:adjustRightInd w:val="0"/>
              <w:snapToGrid w:val="0"/>
              <w:spacing w:line="240" w:lineRule="exact"/>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pPr>
              <w:shd w:val="clear"/>
              <w:adjustRightInd w:val="0"/>
              <w:snapToGrid w:val="0"/>
              <w:jc w:val="center"/>
              <w:rPr>
                <w:rFonts w:hint="eastAsia" w:ascii="宋体" w:hAnsi="宋体" w:cs="宋体"/>
                <w:b/>
                <w:color w:val="auto"/>
                <w:sz w:val="18"/>
                <w:szCs w:val="18"/>
                <w:highlight w:val="none"/>
              </w:rPr>
            </w:pPr>
          </w:p>
        </w:tc>
        <w:tc>
          <w:tcPr>
            <w:tcW w:w="4043" w:type="dxa"/>
            <w:noWrap w:val="0"/>
            <w:vAlign w:val="top"/>
          </w:tcPr>
          <w:p>
            <w:pPr>
              <w:shd w:val="clear"/>
              <w:autoSpaceDE w:val="0"/>
              <w:autoSpaceDN w:val="0"/>
              <w:adjustRightInd w:val="0"/>
              <w:ind w:right="-100"/>
              <w:jc w:val="left"/>
              <w:rPr>
                <w:rFonts w:hint="eastAsia" w:ascii="宋体" w:hAnsi="宋体" w:cs="宋体"/>
                <w:color w:val="auto"/>
                <w:kern w:val="0"/>
                <w:sz w:val="18"/>
                <w:szCs w:val="18"/>
                <w:highlight w:val="none"/>
              </w:rPr>
            </w:pPr>
          </w:p>
        </w:tc>
        <w:tc>
          <w:tcPr>
            <w:tcW w:w="1265" w:type="dxa"/>
            <w:noWrap w:val="0"/>
            <w:vAlign w:val="top"/>
          </w:tcPr>
          <w:p>
            <w:pPr>
              <w:shd w:val="clear"/>
              <w:adjustRightInd w:val="0"/>
              <w:snapToGrid w:val="0"/>
              <w:spacing w:line="240" w:lineRule="exact"/>
              <w:rPr>
                <w:rFonts w:hint="eastAsia" w:ascii="宋体" w:hAnsi="宋体" w:cs="宋体"/>
                <w:color w:val="auto"/>
                <w:sz w:val="18"/>
                <w:szCs w:val="18"/>
                <w:highlight w:val="none"/>
              </w:rPr>
            </w:pPr>
          </w:p>
        </w:tc>
        <w:tc>
          <w:tcPr>
            <w:tcW w:w="1596" w:type="dxa"/>
            <w:noWrap w:val="0"/>
            <w:vAlign w:val="top"/>
          </w:tcPr>
          <w:p>
            <w:pPr>
              <w:shd w:val="clear"/>
              <w:adjustRightInd w:val="0"/>
              <w:snapToGrid w:val="0"/>
              <w:spacing w:line="240" w:lineRule="exact"/>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pPr>
              <w:shd w:val="clear"/>
              <w:adjustRightInd w:val="0"/>
              <w:snapToGrid w:val="0"/>
              <w:jc w:val="center"/>
              <w:rPr>
                <w:rFonts w:hint="eastAsia" w:ascii="宋体" w:hAnsi="宋体" w:cs="宋体"/>
                <w:b/>
                <w:color w:val="auto"/>
                <w:sz w:val="18"/>
                <w:szCs w:val="18"/>
                <w:highlight w:val="none"/>
              </w:rPr>
            </w:pPr>
          </w:p>
        </w:tc>
        <w:tc>
          <w:tcPr>
            <w:tcW w:w="4043" w:type="dxa"/>
            <w:noWrap w:val="0"/>
            <w:vAlign w:val="center"/>
          </w:tcPr>
          <w:p>
            <w:pPr>
              <w:shd w:val="clear"/>
              <w:adjustRightInd w:val="0"/>
              <w:snapToGrid w:val="0"/>
              <w:rPr>
                <w:rFonts w:hint="eastAsia" w:ascii="宋体" w:hAnsi="宋体" w:cs="宋体"/>
                <w:color w:val="auto"/>
                <w:sz w:val="18"/>
                <w:szCs w:val="18"/>
                <w:highlight w:val="none"/>
              </w:rPr>
            </w:pPr>
          </w:p>
        </w:tc>
        <w:tc>
          <w:tcPr>
            <w:tcW w:w="1265" w:type="dxa"/>
            <w:noWrap w:val="0"/>
            <w:vAlign w:val="top"/>
          </w:tcPr>
          <w:p>
            <w:pPr>
              <w:shd w:val="clear"/>
              <w:adjustRightInd w:val="0"/>
              <w:snapToGrid w:val="0"/>
              <w:spacing w:line="240" w:lineRule="exact"/>
              <w:rPr>
                <w:rFonts w:hint="eastAsia" w:ascii="宋体" w:hAnsi="宋体" w:cs="宋体"/>
                <w:color w:val="auto"/>
                <w:sz w:val="18"/>
                <w:szCs w:val="18"/>
                <w:highlight w:val="none"/>
              </w:rPr>
            </w:pPr>
          </w:p>
        </w:tc>
        <w:tc>
          <w:tcPr>
            <w:tcW w:w="1596" w:type="dxa"/>
            <w:noWrap w:val="0"/>
            <w:vAlign w:val="top"/>
          </w:tcPr>
          <w:p>
            <w:pPr>
              <w:shd w:val="clear"/>
              <w:adjustRightInd w:val="0"/>
              <w:snapToGrid w:val="0"/>
              <w:spacing w:line="240" w:lineRule="exact"/>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pPr>
              <w:shd w:val="clear"/>
              <w:adjustRightInd w:val="0"/>
              <w:snapToGrid w:val="0"/>
              <w:jc w:val="center"/>
              <w:rPr>
                <w:rFonts w:hint="eastAsia" w:ascii="宋体" w:hAnsi="宋体" w:cs="宋体"/>
                <w:b/>
                <w:color w:val="auto"/>
                <w:sz w:val="18"/>
                <w:szCs w:val="18"/>
                <w:highlight w:val="none"/>
              </w:rPr>
            </w:pPr>
          </w:p>
        </w:tc>
        <w:tc>
          <w:tcPr>
            <w:tcW w:w="4043" w:type="dxa"/>
            <w:noWrap w:val="0"/>
            <w:vAlign w:val="center"/>
          </w:tcPr>
          <w:p>
            <w:pPr>
              <w:shd w:val="clear"/>
              <w:rPr>
                <w:rFonts w:hint="eastAsia" w:ascii="宋体" w:hAnsi="宋体" w:cs="宋体"/>
                <w:color w:val="auto"/>
                <w:sz w:val="18"/>
                <w:szCs w:val="18"/>
                <w:highlight w:val="none"/>
              </w:rPr>
            </w:pPr>
          </w:p>
        </w:tc>
        <w:tc>
          <w:tcPr>
            <w:tcW w:w="1265" w:type="dxa"/>
            <w:noWrap w:val="0"/>
            <w:vAlign w:val="top"/>
          </w:tcPr>
          <w:p>
            <w:pPr>
              <w:shd w:val="clear"/>
              <w:adjustRightInd w:val="0"/>
              <w:snapToGrid w:val="0"/>
              <w:spacing w:line="240" w:lineRule="exact"/>
              <w:rPr>
                <w:rFonts w:hint="eastAsia" w:ascii="宋体" w:hAnsi="宋体" w:cs="宋体"/>
                <w:color w:val="auto"/>
                <w:sz w:val="18"/>
                <w:szCs w:val="18"/>
                <w:highlight w:val="none"/>
              </w:rPr>
            </w:pPr>
          </w:p>
        </w:tc>
        <w:tc>
          <w:tcPr>
            <w:tcW w:w="1596" w:type="dxa"/>
            <w:noWrap w:val="0"/>
            <w:vAlign w:val="top"/>
          </w:tcPr>
          <w:p>
            <w:pPr>
              <w:shd w:val="clear"/>
              <w:adjustRightInd w:val="0"/>
              <w:snapToGrid w:val="0"/>
              <w:spacing w:line="240" w:lineRule="exact"/>
              <w:rPr>
                <w:rFonts w:hint="eastAsia" w:ascii="宋体" w:hAnsi="宋体" w:cs="宋体"/>
                <w:color w:val="auto"/>
                <w:sz w:val="18"/>
                <w:szCs w:val="18"/>
                <w:highlight w:val="none"/>
              </w:rPr>
            </w:pPr>
          </w:p>
        </w:tc>
      </w:tr>
    </w:tbl>
    <w:p>
      <w:pPr>
        <w:shd w:val="clear"/>
        <w:snapToGrid w:val="0"/>
        <w:spacing w:before="50" w:after="50"/>
        <w:rPr>
          <w:rFonts w:hint="eastAsia" w:ascii="宋体" w:hAnsi="宋体" w:cs="宋体"/>
          <w:color w:val="auto"/>
          <w:sz w:val="24"/>
          <w:highlight w:val="none"/>
          <w:u w:val="single"/>
        </w:rPr>
      </w:pPr>
      <w:r>
        <w:rPr>
          <w:rFonts w:hint="eastAsia" w:ascii="宋体" w:hAnsi="宋体" w:cs="宋体"/>
          <w:color w:val="auto"/>
          <w:sz w:val="24"/>
          <w:highlight w:val="none"/>
        </w:rPr>
        <w:t>授权代表签名：</w:t>
      </w:r>
      <w:r>
        <w:rPr>
          <w:rFonts w:hint="eastAsia" w:ascii="宋体" w:hAnsi="宋体" w:cs="宋体"/>
          <w:color w:val="auto"/>
          <w:sz w:val="24"/>
          <w:highlight w:val="none"/>
          <w:u w:val="single"/>
        </w:rPr>
        <w:t xml:space="preserve">        </w:t>
      </w:r>
    </w:p>
    <w:p>
      <w:pPr>
        <w:pStyle w:val="12"/>
        <w:shd w:val="clear"/>
        <w:snapToGrid w:val="0"/>
        <w:ind w:right="280"/>
        <w:rPr>
          <w:rFonts w:cs="宋体"/>
          <w:color w:val="auto"/>
          <w:sz w:val="24"/>
          <w:highlight w:val="none"/>
        </w:rPr>
      </w:pPr>
      <w:r>
        <w:rPr>
          <w:rFonts w:cs="宋体"/>
          <w:color w:val="auto"/>
          <w:sz w:val="24"/>
          <w:highlight w:val="none"/>
        </w:rPr>
        <w:t>投标人全称（盖章）：</w:t>
      </w:r>
      <w:r>
        <w:rPr>
          <w:rFonts w:cs="宋体"/>
          <w:color w:val="auto"/>
          <w:sz w:val="24"/>
          <w:highlight w:val="none"/>
          <w:u w:val="single"/>
        </w:rPr>
        <w:t xml:space="preserve">               </w:t>
      </w:r>
      <w:r>
        <w:rPr>
          <w:rFonts w:cs="宋体"/>
          <w:color w:val="auto"/>
          <w:sz w:val="24"/>
          <w:highlight w:val="none"/>
        </w:rPr>
        <w:t xml:space="preserve">              年    月　 日</w:t>
      </w:r>
    </w:p>
    <w:p>
      <w:pPr>
        <w:shd w:val="clear"/>
        <w:adjustRightInd w:val="0"/>
        <w:snapToGrid w:val="0"/>
        <w:jc w:val="left"/>
        <w:rPr>
          <w:rFonts w:hint="eastAsia" w:ascii="宋体" w:hAnsi="宋体" w:cs="宋体"/>
          <w:color w:val="auto"/>
          <w:sz w:val="24"/>
          <w:highlight w:val="none"/>
        </w:rPr>
      </w:pPr>
    </w:p>
    <w:p>
      <w:pPr>
        <w:shd w:val="clear"/>
        <w:adjustRightInd w:val="0"/>
        <w:snapToGrid w:val="0"/>
        <w:jc w:val="left"/>
        <w:rPr>
          <w:rFonts w:hint="eastAsia" w:ascii="宋体" w:hAnsi="宋体" w:cs="宋体"/>
          <w:color w:val="auto"/>
          <w:sz w:val="24"/>
          <w:highlight w:val="none"/>
        </w:rPr>
      </w:pPr>
    </w:p>
    <w:p>
      <w:pPr>
        <w:pStyle w:val="11"/>
        <w:shd w:val="clear"/>
        <w:adjustRightInd w:val="0"/>
        <w:snapToGrid w:val="0"/>
        <w:spacing w:after="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注：按招标文件第二章</w:t>
      </w:r>
      <w:r>
        <w:rPr>
          <w:rFonts w:hint="eastAsia" w:ascii="宋体" w:hAnsi="宋体" w:cs="宋体"/>
          <w:color w:val="auto"/>
          <w:sz w:val="21"/>
          <w:szCs w:val="21"/>
          <w:highlight w:val="none"/>
          <w:lang w:val="en-US" w:eastAsia="zh-CN"/>
        </w:rPr>
        <w:t>商务</w:t>
      </w:r>
      <w:r>
        <w:rPr>
          <w:rFonts w:hint="eastAsia" w:ascii="宋体" w:hAnsi="宋体" w:cs="宋体"/>
          <w:color w:val="auto"/>
          <w:sz w:val="21"/>
          <w:szCs w:val="21"/>
          <w:highlight w:val="none"/>
        </w:rPr>
        <w:t>要求列表，对照招标文件要求在“偏离情况”栏注明“正偏离”、“负偏离”或“无偏离”</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不填写视同无偏离。</w:t>
      </w:r>
    </w:p>
    <w:p>
      <w:pPr>
        <w:pStyle w:val="11"/>
        <w:shd w:val="clear"/>
        <w:adjustRightInd w:val="0"/>
        <w:snapToGrid w:val="0"/>
        <w:spacing w:after="0"/>
        <w:rPr>
          <w:rFonts w:hint="eastAsia" w:ascii="宋体" w:hAnsi="宋体" w:cs="宋体"/>
          <w:color w:val="auto"/>
          <w:sz w:val="21"/>
          <w:szCs w:val="21"/>
          <w:highlight w:val="none"/>
          <w:lang w:val="en-US" w:eastAsia="zh-CN"/>
        </w:rPr>
      </w:pPr>
    </w:p>
    <w:p>
      <w:pPr>
        <w:pStyle w:val="11"/>
        <w:shd w:val="clear"/>
        <w:adjustRightInd w:val="0"/>
        <w:snapToGrid w:val="0"/>
        <w:spacing w:after="0"/>
        <w:rPr>
          <w:rFonts w:hint="eastAsia" w:ascii="宋体" w:hAnsi="宋体" w:cs="宋体"/>
          <w:color w:val="auto"/>
          <w:sz w:val="21"/>
          <w:szCs w:val="21"/>
          <w:highlight w:val="none"/>
          <w:lang w:val="en-US" w:eastAsia="zh-CN"/>
        </w:rPr>
      </w:pPr>
    </w:p>
    <w:p>
      <w:pPr>
        <w:pStyle w:val="11"/>
        <w:shd w:val="clear"/>
        <w:adjustRightInd w:val="0"/>
        <w:snapToGrid w:val="0"/>
        <w:spacing w:after="0"/>
        <w:rPr>
          <w:rFonts w:hint="eastAsia" w:ascii="宋体" w:hAnsi="宋体" w:cs="宋体"/>
          <w:color w:val="auto"/>
          <w:sz w:val="21"/>
          <w:szCs w:val="21"/>
          <w:highlight w:val="none"/>
          <w:lang w:val="en-US" w:eastAsia="zh-CN"/>
        </w:rPr>
      </w:pPr>
    </w:p>
    <w:p>
      <w:pPr>
        <w:pStyle w:val="11"/>
        <w:shd w:val="clear"/>
        <w:adjustRightInd w:val="0"/>
        <w:snapToGrid w:val="0"/>
        <w:spacing w:after="0"/>
        <w:rPr>
          <w:rFonts w:hint="eastAsia" w:ascii="宋体" w:hAnsi="宋体" w:cs="宋体"/>
          <w:color w:val="auto"/>
          <w:sz w:val="21"/>
          <w:szCs w:val="21"/>
          <w:highlight w:val="none"/>
          <w:lang w:val="en-US" w:eastAsia="zh-CN"/>
        </w:rPr>
      </w:pPr>
    </w:p>
    <w:p>
      <w:pPr>
        <w:pStyle w:val="11"/>
        <w:shd w:val="clear"/>
        <w:adjustRightInd w:val="0"/>
        <w:snapToGrid w:val="0"/>
        <w:spacing w:after="0"/>
        <w:rPr>
          <w:rFonts w:hint="eastAsia" w:ascii="宋体" w:hAnsi="宋体" w:cs="宋体"/>
          <w:color w:val="auto"/>
          <w:sz w:val="21"/>
          <w:szCs w:val="21"/>
          <w:highlight w:val="none"/>
          <w:lang w:val="en-US" w:eastAsia="zh-CN"/>
        </w:rPr>
      </w:pPr>
    </w:p>
    <w:p>
      <w:pPr>
        <w:pStyle w:val="11"/>
        <w:shd w:val="clear"/>
        <w:adjustRightInd w:val="0"/>
        <w:snapToGrid w:val="0"/>
        <w:spacing w:after="0"/>
        <w:rPr>
          <w:rFonts w:hint="eastAsia" w:ascii="宋体" w:hAnsi="宋体" w:cs="宋体"/>
          <w:color w:val="auto"/>
          <w:sz w:val="21"/>
          <w:szCs w:val="21"/>
          <w:highlight w:val="none"/>
          <w:lang w:val="en-US" w:eastAsia="zh-CN"/>
        </w:rPr>
      </w:pPr>
    </w:p>
    <w:p>
      <w:pPr>
        <w:pStyle w:val="11"/>
        <w:shd w:val="clear"/>
        <w:adjustRightInd w:val="0"/>
        <w:snapToGrid w:val="0"/>
        <w:spacing w:after="0"/>
        <w:rPr>
          <w:rFonts w:hint="eastAsia" w:ascii="宋体" w:hAnsi="宋体" w:cs="宋体"/>
          <w:color w:val="auto"/>
          <w:sz w:val="21"/>
          <w:szCs w:val="21"/>
          <w:highlight w:val="none"/>
          <w:lang w:val="en-US" w:eastAsia="zh-CN"/>
        </w:rPr>
      </w:pPr>
    </w:p>
    <w:p>
      <w:pPr>
        <w:pStyle w:val="11"/>
        <w:shd w:val="clear"/>
        <w:adjustRightInd w:val="0"/>
        <w:snapToGrid w:val="0"/>
        <w:spacing w:after="0"/>
        <w:rPr>
          <w:rFonts w:hint="eastAsia" w:ascii="宋体" w:hAnsi="宋体" w:cs="宋体"/>
          <w:color w:val="auto"/>
          <w:sz w:val="21"/>
          <w:szCs w:val="21"/>
          <w:highlight w:val="none"/>
          <w:lang w:val="en-US" w:eastAsia="zh-CN"/>
        </w:rPr>
      </w:pPr>
    </w:p>
    <w:p>
      <w:pPr>
        <w:pStyle w:val="11"/>
        <w:shd w:val="clear"/>
        <w:adjustRightInd w:val="0"/>
        <w:snapToGrid w:val="0"/>
        <w:spacing w:after="0"/>
        <w:rPr>
          <w:rFonts w:hint="eastAsia" w:ascii="宋体" w:hAnsi="宋体" w:cs="宋体"/>
          <w:color w:val="auto"/>
          <w:sz w:val="21"/>
          <w:szCs w:val="21"/>
          <w:highlight w:val="none"/>
          <w:lang w:val="en-US" w:eastAsia="zh-CN"/>
        </w:rPr>
      </w:pPr>
    </w:p>
    <w:p>
      <w:pPr>
        <w:pStyle w:val="11"/>
        <w:shd w:val="clear"/>
        <w:adjustRightInd w:val="0"/>
        <w:snapToGrid w:val="0"/>
        <w:spacing w:after="0"/>
        <w:rPr>
          <w:rFonts w:hint="eastAsia" w:ascii="宋体" w:hAnsi="宋体" w:cs="宋体"/>
          <w:color w:val="auto"/>
          <w:sz w:val="21"/>
          <w:szCs w:val="21"/>
          <w:highlight w:val="none"/>
          <w:lang w:val="en-US" w:eastAsia="zh-CN"/>
        </w:rPr>
      </w:pPr>
    </w:p>
    <w:p>
      <w:pPr>
        <w:pStyle w:val="11"/>
        <w:shd w:val="clear"/>
        <w:adjustRightInd w:val="0"/>
        <w:snapToGrid w:val="0"/>
        <w:spacing w:after="0"/>
        <w:rPr>
          <w:rFonts w:hint="eastAsia" w:ascii="宋体" w:hAnsi="宋体" w:cs="宋体"/>
          <w:color w:val="auto"/>
          <w:sz w:val="21"/>
          <w:szCs w:val="21"/>
          <w:highlight w:val="none"/>
          <w:lang w:val="en-US" w:eastAsia="zh-CN"/>
        </w:rPr>
      </w:pPr>
    </w:p>
    <w:p>
      <w:pPr>
        <w:pStyle w:val="11"/>
        <w:shd w:val="clear"/>
        <w:adjustRightInd w:val="0"/>
        <w:snapToGrid w:val="0"/>
        <w:spacing w:after="0"/>
        <w:rPr>
          <w:rFonts w:hint="eastAsia" w:ascii="宋体" w:hAnsi="宋体" w:cs="宋体"/>
          <w:color w:val="auto"/>
          <w:sz w:val="21"/>
          <w:szCs w:val="21"/>
          <w:highlight w:val="none"/>
          <w:lang w:val="en-US" w:eastAsia="zh-CN"/>
        </w:rPr>
      </w:pPr>
    </w:p>
    <w:p>
      <w:pPr>
        <w:pStyle w:val="11"/>
        <w:shd w:val="clear"/>
        <w:adjustRightInd w:val="0"/>
        <w:snapToGrid w:val="0"/>
        <w:spacing w:after="0"/>
        <w:rPr>
          <w:rFonts w:hint="eastAsia" w:ascii="宋体" w:hAnsi="宋体" w:cs="宋体"/>
          <w:color w:val="auto"/>
          <w:sz w:val="21"/>
          <w:szCs w:val="21"/>
          <w:highlight w:val="none"/>
          <w:lang w:val="en-US" w:eastAsia="zh-CN"/>
        </w:rPr>
      </w:pPr>
    </w:p>
    <w:p>
      <w:pPr>
        <w:pStyle w:val="11"/>
        <w:shd w:val="clear"/>
        <w:adjustRightInd w:val="0"/>
        <w:snapToGrid w:val="0"/>
        <w:spacing w:after="0"/>
        <w:rPr>
          <w:rFonts w:hint="eastAsia" w:ascii="宋体" w:hAnsi="宋体" w:cs="宋体"/>
          <w:color w:val="auto"/>
          <w:sz w:val="21"/>
          <w:szCs w:val="21"/>
          <w:highlight w:val="none"/>
          <w:lang w:val="en-US" w:eastAsia="zh-CN"/>
        </w:rPr>
      </w:pPr>
    </w:p>
    <w:p>
      <w:pPr>
        <w:pStyle w:val="11"/>
        <w:shd w:val="clear"/>
        <w:adjustRightInd w:val="0"/>
        <w:snapToGrid w:val="0"/>
        <w:spacing w:after="0"/>
        <w:rPr>
          <w:rFonts w:hint="eastAsia" w:ascii="宋体" w:hAnsi="宋体" w:cs="宋体"/>
          <w:color w:val="auto"/>
          <w:sz w:val="21"/>
          <w:szCs w:val="21"/>
          <w:highlight w:val="none"/>
          <w:lang w:val="en-US" w:eastAsia="zh-CN"/>
        </w:rPr>
      </w:pPr>
    </w:p>
    <w:p>
      <w:pPr>
        <w:pStyle w:val="11"/>
        <w:shd w:val="clear"/>
        <w:adjustRightInd w:val="0"/>
        <w:snapToGrid w:val="0"/>
        <w:spacing w:after="0"/>
        <w:rPr>
          <w:rFonts w:hint="eastAsia" w:ascii="宋体" w:hAnsi="宋体" w:cs="宋体"/>
          <w:color w:val="auto"/>
          <w:sz w:val="21"/>
          <w:szCs w:val="21"/>
          <w:highlight w:val="none"/>
          <w:lang w:val="en-US" w:eastAsia="zh-CN"/>
        </w:rPr>
      </w:pPr>
    </w:p>
    <w:p>
      <w:pPr>
        <w:pStyle w:val="11"/>
        <w:shd w:val="clear"/>
        <w:adjustRightInd w:val="0"/>
        <w:snapToGrid w:val="0"/>
        <w:spacing w:after="0"/>
        <w:rPr>
          <w:rFonts w:hint="eastAsia" w:ascii="宋体" w:hAnsi="宋体" w:cs="宋体"/>
          <w:color w:val="auto"/>
          <w:sz w:val="21"/>
          <w:szCs w:val="21"/>
          <w:highlight w:val="none"/>
          <w:lang w:val="en-US" w:eastAsia="zh-CN"/>
        </w:rPr>
      </w:pPr>
    </w:p>
    <w:p>
      <w:pPr>
        <w:pStyle w:val="11"/>
        <w:shd w:val="clear"/>
        <w:adjustRightInd w:val="0"/>
        <w:snapToGrid w:val="0"/>
        <w:spacing w:after="0"/>
        <w:rPr>
          <w:rFonts w:hint="eastAsia" w:ascii="宋体" w:hAnsi="宋体" w:cs="宋体"/>
          <w:color w:val="auto"/>
          <w:sz w:val="21"/>
          <w:szCs w:val="21"/>
          <w:highlight w:val="none"/>
          <w:lang w:val="en-US" w:eastAsia="zh-CN"/>
        </w:rPr>
      </w:pPr>
    </w:p>
    <w:p>
      <w:pPr>
        <w:pStyle w:val="11"/>
        <w:shd w:val="clear"/>
        <w:adjustRightInd w:val="0"/>
        <w:snapToGrid w:val="0"/>
        <w:spacing w:after="0"/>
        <w:rPr>
          <w:rFonts w:hint="eastAsia" w:ascii="宋体" w:hAnsi="宋体" w:cs="宋体"/>
          <w:color w:val="auto"/>
          <w:sz w:val="21"/>
          <w:szCs w:val="21"/>
          <w:highlight w:val="none"/>
          <w:lang w:val="en-US" w:eastAsia="zh-CN"/>
        </w:rPr>
      </w:pPr>
    </w:p>
    <w:p>
      <w:pPr>
        <w:pStyle w:val="11"/>
        <w:shd w:val="clear"/>
        <w:adjustRightInd w:val="0"/>
        <w:snapToGrid w:val="0"/>
        <w:spacing w:after="0"/>
        <w:rPr>
          <w:rFonts w:hint="eastAsia" w:ascii="宋体" w:hAnsi="宋体" w:cs="宋体"/>
          <w:color w:val="auto"/>
          <w:sz w:val="21"/>
          <w:szCs w:val="21"/>
          <w:highlight w:val="none"/>
          <w:lang w:val="en-US" w:eastAsia="zh-CN"/>
        </w:rPr>
      </w:pPr>
    </w:p>
    <w:p>
      <w:pPr>
        <w:shd w:val="clear"/>
        <w:adjustRightInd w:val="0"/>
        <w:snapToGrid w:val="0"/>
        <w:jc w:val="left"/>
        <w:rPr>
          <w:rFonts w:hint="eastAsia" w:ascii="宋体" w:hAnsi="宋体" w:cs="宋体"/>
          <w:b/>
          <w:color w:val="auto"/>
          <w:sz w:val="24"/>
          <w:highlight w:val="none"/>
        </w:rPr>
      </w:pPr>
      <w:r>
        <w:rPr>
          <w:rFonts w:hint="eastAsia" w:ascii="宋体" w:hAnsi="宋体" w:cs="宋体"/>
          <w:b/>
          <w:color w:val="auto"/>
          <w:sz w:val="24"/>
          <w:highlight w:val="none"/>
          <w:lang w:val="en-US" w:eastAsia="zh-CN"/>
        </w:rPr>
        <w:t>10.技术</w:t>
      </w:r>
      <w:r>
        <w:rPr>
          <w:rFonts w:hint="eastAsia" w:ascii="宋体" w:hAnsi="宋体" w:cs="宋体"/>
          <w:b/>
          <w:color w:val="auto"/>
          <w:sz w:val="24"/>
          <w:highlight w:val="none"/>
        </w:rPr>
        <w:t>响应表格式:</w:t>
      </w:r>
    </w:p>
    <w:p>
      <w:pPr>
        <w:shd w:val="clear"/>
        <w:adjustRightInd w:val="0"/>
        <w:snapToGrid w:val="0"/>
        <w:rPr>
          <w:rFonts w:hint="eastAsia" w:ascii="宋体" w:hAnsi="宋体" w:cs="宋体"/>
          <w:b/>
          <w:color w:val="auto"/>
          <w:sz w:val="44"/>
          <w:szCs w:val="44"/>
          <w:highlight w:val="none"/>
        </w:rPr>
      </w:pPr>
    </w:p>
    <w:p>
      <w:pPr>
        <w:shd w:val="clear"/>
        <w:adjustRightInd w:val="0"/>
        <w:snapToGrid w:val="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lang w:val="en-US" w:eastAsia="zh-CN"/>
        </w:rPr>
        <w:t>技术</w:t>
      </w:r>
      <w:r>
        <w:rPr>
          <w:rFonts w:hint="eastAsia" w:ascii="宋体" w:hAnsi="宋体" w:cs="宋体"/>
          <w:b/>
          <w:color w:val="auto"/>
          <w:sz w:val="44"/>
          <w:szCs w:val="44"/>
          <w:highlight w:val="none"/>
        </w:rPr>
        <w:t>响应表</w:t>
      </w:r>
    </w:p>
    <w:p>
      <w:pPr>
        <w:shd w:val="clear"/>
        <w:spacing w:line="380" w:lineRule="exact"/>
        <w:rPr>
          <w:rFonts w:hint="eastAsia" w:ascii="宋体" w:hAnsi="宋体" w:cs="宋体"/>
          <w:color w:val="auto"/>
          <w:szCs w:val="21"/>
          <w:highlight w:val="none"/>
        </w:rPr>
      </w:pPr>
      <w:r>
        <w:rPr>
          <w:rFonts w:hint="eastAsia" w:ascii="宋体" w:hAnsi="宋体" w:cs="宋体"/>
          <w:color w:val="auto"/>
          <w:szCs w:val="21"/>
          <w:highlight w:val="none"/>
        </w:rPr>
        <w:t xml:space="preserve">项目名称：  </w:t>
      </w:r>
    </w:p>
    <w:p>
      <w:pPr>
        <w:shd w:val="clear"/>
        <w:spacing w:line="380" w:lineRule="exact"/>
        <w:rPr>
          <w:rFonts w:hint="eastAsia" w:ascii="宋体" w:hAnsi="宋体" w:cs="宋体"/>
          <w:color w:val="auto"/>
          <w:szCs w:val="21"/>
          <w:highlight w:val="none"/>
        </w:rPr>
      </w:pPr>
      <w:r>
        <w:rPr>
          <w:rFonts w:hint="eastAsia" w:ascii="宋体" w:hAnsi="宋体" w:cs="宋体"/>
          <w:color w:val="auto"/>
          <w:szCs w:val="21"/>
          <w:highlight w:val="none"/>
        </w:rPr>
        <w:t xml:space="preserve">项目编号： </w:t>
      </w:r>
    </w:p>
    <w:tbl>
      <w:tblPr>
        <w:tblStyle w:val="34"/>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043"/>
        <w:gridCol w:w="1265"/>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20" w:type="dxa"/>
            <w:noWrap w:val="0"/>
            <w:vAlign w:val="center"/>
          </w:tcPr>
          <w:p>
            <w:pPr>
              <w:shd w:val="clear"/>
              <w:adjustRightInd w:val="0"/>
              <w:snapToGrid w:val="0"/>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项目</w:t>
            </w:r>
          </w:p>
        </w:tc>
        <w:tc>
          <w:tcPr>
            <w:tcW w:w="4043" w:type="dxa"/>
            <w:noWrap w:val="0"/>
            <w:vAlign w:val="center"/>
          </w:tcPr>
          <w:p>
            <w:pPr>
              <w:shd w:val="clear"/>
              <w:adjustRightInd w:val="0"/>
              <w:snapToGrid w:val="0"/>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招标文件要求</w:t>
            </w:r>
          </w:p>
        </w:tc>
        <w:tc>
          <w:tcPr>
            <w:tcW w:w="1265" w:type="dxa"/>
            <w:noWrap w:val="0"/>
            <w:vAlign w:val="center"/>
          </w:tcPr>
          <w:p>
            <w:pPr>
              <w:shd w:val="clear"/>
              <w:adjustRightInd w:val="0"/>
              <w:snapToGrid w:val="0"/>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是否响应</w:t>
            </w:r>
          </w:p>
        </w:tc>
        <w:tc>
          <w:tcPr>
            <w:tcW w:w="2204" w:type="dxa"/>
            <w:noWrap w:val="0"/>
            <w:vAlign w:val="center"/>
          </w:tcPr>
          <w:p>
            <w:pPr>
              <w:shd w:val="clear"/>
              <w:adjustRightInd w:val="0"/>
              <w:snapToGrid w:val="0"/>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pPr>
              <w:shd w:val="clear"/>
              <w:adjustRightInd w:val="0"/>
              <w:snapToGrid w:val="0"/>
              <w:rPr>
                <w:rFonts w:ascii="宋体" w:hAnsi="宋体" w:cs="宋体"/>
                <w:b/>
                <w:color w:val="auto"/>
                <w:sz w:val="18"/>
                <w:szCs w:val="18"/>
                <w:highlight w:val="none"/>
              </w:rPr>
            </w:pPr>
          </w:p>
        </w:tc>
        <w:tc>
          <w:tcPr>
            <w:tcW w:w="4043" w:type="dxa"/>
            <w:noWrap w:val="0"/>
            <w:vAlign w:val="center"/>
          </w:tcPr>
          <w:p>
            <w:pPr>
              <w:shd w:val="clear"/>
              <w:adjustRightInd w:val="0"/>
              <w:snapToGrid w:val="0"/>
              <w:rPr>
                <w:rFonts w:hint="eastAsia" w:ascii="宋体" w:hAnsi="宋体" w:cs="宋体"/>
                <w:color w:val="auto"/>
                <w:sz w:val="18"/>
                <w:szCs w:val="18"/>
                <w:highlight w:val="none"/>
              </w:rPr>
            </w:pPr>
          </w:p>
        </w:tc>
        <w:tc>
          <w:tcPr>
            <w:tcW w:w="1265" w:type="dxa"/>
            <w:noWrap w:val="0"/>
            <w:vAlign w:val="center"/>
          </w:tcPr>
          <w:p>
            <w:pPr>
              <w:shd w:val="clear"/>
              <w:adjustRightInd w:val="0"/>
              <w:snapToGrid w:val="0"/>
              <w:spacing w:line="240" w:lineRule="exact"/>
              <w:jc w:val="center"/>
              <w:rPr>
                <w:rFonts w:hint="eastAsia" w:ascii="宋体" w:hAnsi="宋体" w:cs="宋体"/>
                <w:b/>
                <w:color w:val="auto"/>
                <w:sz w:val="18"/>
                <w:szCs w:val="18"/>
                <w:highlight w:val="none"/>
              </w:rPr>
            </w:pPr>
          </w:p>
        </w:tc>
        <w:tc>
          <w:tcPr>
            <w:tcW w:w="2204" w:type="dxa"/>
            <w:noWrap w:val="0"/>
            <w:vAlign w:val="center"/>
          </w:tcPr>
          <w:p>
            <w:pPr>
              <w:shd w:val="clear"/>
              <w:adjustRightInd w:val="0"/>
              <w:snapToGrid w:val="0"/>
              <w:spacing w:line="240" w:lineRule="exact"/>
              <w:jc w:val="center"/>
              <w:rPr>
                <w:rFonts w:hint="eastAsia" w:ascii="宋体" w:hAnsi="宋体" w:cs="宋体"/>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pPr>
              <w:shd w:val="clear"/>
              <w:adjustRightInd w:val="0"/>
              <w:snapToGrid w:val="0"/>
              <w:rPr>
                <w:rFonts w:ascii="宋体" w:hAnsi="宋体" w:cs="宋体"/>
                <w:b/>
                <w:color w:val="auto"/>
                <w:sz w:val="18"/>
                <w:szCs w:val="18"/>
                <w:highlight w:val="none"/>
              </w:rPr>
            </w:pPr>
          </w:p>
        </w:tc>
        <w:tc>
          <w:tcPr>
            <w:tcW w:w="4043" w:type="dxa"/>
            <w:noWrap w:val="0"/>
            <w:vAlign w:val="top"/>
          </w:tcPr>
          <w:p>
            <w:pPr>
              <w:shd w:val="clear"/>
              <w:adjustRightInd w:val="0"/>
              <w:snapToGrid w:val="0"/>
              <w:ind w:firstLine="360" w:firstLineChars="200"/>
              <w:rPr>
                <w:rFonts w:hint="eastAsia" w:ascii="宋体" w:hAnsi="宋体" w:cs="宋体"/>
                <w:color w:val="auto"/>
                <w:sz w:val="18"/>
                <w:szCs w:val="18"/>
                <w:highlight w:val="none"/>
              </w:rPr>
            </w:pPr>
          </w:p>
        </w:tc>
        <w:tc>
          <w:tcPr>
            <w:tcW w:w="1265" w:type="dxa"/>
            <w:noWrap w:val="0"/>
            <w:vAlign w:val="center"/>
          </w:tcPr>
          <w:p>
            <w:pPr>
              <w:shd w:val="clear"/>
              <w:adjustRightInd w:val="0"/>
              <w:snapToGrid w:val="0"/>
              <w:spacing w:line="240" w:lineRule="exact"/>
              <w:rPr>
                <w:rFonts w:hint="eastAsia" w:ascii="宋体" w:hAnsi="宋体" w:cs="宋体"/>
                <w:color w:val="auto"/>
                <w:sz w:val="18"/>
                <w:szCs w:val="18"/>
                <w:highlight w:val="none"/>
              </w:rPr>
            </w:pPr>
          </w:p>
        </w:tc>
        <w:tc>
          <w:tcPr>
            <w:tcW w:w="2204" w:type="dxa"/>
            <w:noWrap w:val="0"/>
            <w:vAlign w:val="center"/>
          </w:tcPr>
          <w:p>
            <w:pPr>
              <w:shd w:val="clear"/>
              <w:adjustRightInd w:val="0"/>
              <w:snapToGrid w:val="0"/>
              <w:spacing w:line="240" w:lineRule="exact"/>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pPr>
              <w:shd w:val="clear"/>
              <w:adjustRightInd w:val="0"/>
              <w:snapToGrid w:val="0"/>
              <w:rPr>
                <w:rFonts w:hint="eastAsia" w:ascii="宋体" w:hAnsi="宋体" w:cs="宋体"/>
                <w:b/>
                <w:color w:val="auto"/>
                <w:sz w:val="18"/>
                <w:szCs w:val="18"/>
                <w:highlight w:val="none"/>
              </w:rPr>
            </w:pPr>
          </w:p>
        </w:tc>
        <w:tc>
          <w:tcPr>
            <w:tcW w:w="4043" w:type="dxa"/>
            <w:noWrap w:val="0"/>
            <w:vAlign w:val="top"/>
          </w:tcPr>
          <w:p>
            <w:pPr>
              <w:shd w:val="clear"/>
              <w:adjustRightInd w:val="0"/>
              <w:snapToGrid w:val="0"/>
              <w:rPr>
                <w:rFonts w:hint="eastAsia" w:ascii="宋体" w:hAnsi="宋体" w:cs="宋体"/>
                <w:b/>
                <w:color w:val="auto"/>
                <w:sz w:val="18"/>
                <w:szCs w:val="18"/>
                <w:highlight w:val="none"/>
              </w:rPr>
            </w:pPr>
          </w:p>
        </w:tc>
        <w:tc>
          <w:tcPr>
            <w:tcW w:w="1265" w:type="dxa"/>
            <w:noWrap w:val="0"/>
            <w:vAlign w:val="top"/>
          </w:tcPr>
          <w:p>
            <w:pPr>
              <w:shd w:val="clear"/>
              <w:adjustRightInd w:val="0"/>
              <w:snapToGrid w:val="0"/>
              <w:spacing w:line="240" w:lineRule="exact"/>
              <w:rPr>
                <w:rFonts w:hint="eastAsia" w:ascii="宋体" w:hAnsi="宋体" w:cs="宋体"/>
                <w:color w:val="auto"/>
                <w:sz w:val="18"/>
                <w:szCs w:val="18"/>
                <w:highlight w:val="none"/>
              </w:rPr>
            </w:pPr>
          </w:p>
        </w:tc>
        <w:tc>
          <w:tcPr>
            <w:tcW w:w="2204" w:type="dxa"/>
            <w:noWrap w:val="0"/>
            <w:vAlign w:val="top"/>
          </w:tcPr>
          <w:p>
            <w:pPr>
              <w:shd w:val="clear"/>
              <w:adjustRightInd w:val="0"/>
              <w:snapToGrid w:val="0"/>
              <w:spacing w:line="240" w:lineRule="exact"/>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pPr>
              <w:shd w:val="clear"/>
              <w:adjustRightInd w:val="0"/>
              <w:snapToGrid w:val="0"/>
              <w:jc w:val="center"/>
              <w:rPr>
                <w:rFonts w:hint="eastAsia" w:ascii="宋体" w:hAnsi="宋体" w:cs="宋体"/>
                <w:b/>
                <w:color w:val="auto"/>
                <w:sz w:val="18"/>
                <w:szCs w:val="18"/>
                <w:highlight w:val="none"/>
              </w:rPr>
            </w:pPr>
          </w:p>
        </w:tc>
        <w:tc>
          <w:tcPr>
            <w:tcW w:w="4043" w:type="dxa"/>
            <w:noWrap w:val="0"/>
            <w:vAlign w:val="top"/>
          </w:tcPr>
          <w:p>
            <w:pPr>
              <w:shd w:val="clear"/>
              <w:adjustRightInd w:val="0"/>
              <w:snapToGrid w:val="0"/>
              <w:rPr>
                <w:rFonts w:hint="eastAsia" w:ascii="宋体" w:hAnsi="宋体" w:cs="宋体"/>
                <w:color w:val="auto"/>
                <w:sz w:val="18"/>
                <w:szCs w:val="18"/>
                <w:highlight w:val="none"/>
              </w:rPr>
            </w:pPr>
          </w:p>
        </w:tc>
        <w:tc>
          <w:tcPr>
            <w:tcW w:w="1265" w:type="dxa"/>
            <w:noWrap w:val="0"/>
            <w:vAlign w:val="top"/>
          </w:tcPr>
          <w:p>
            <w:pPr>
              <w:shd w:val="clear"/>
              <w:adjustRightInd w:val="0"/>
              <w:snapToGrid w:val="0"/>
              <w:spacing w:line="240" w:lineRule="exact"/>
              <w:rPr>
                <w:rFonts w:hint="eastAsia" w:ascii="宋体" w:hAnsi="宋体" w:cs="宋体"/>
                <w:color w:val="auto"/>
                <w:sz w:val="18"/>
                <w:szCs w:val="18"/>
                <w:highlight w:val="none"/>
              </w:rPr>
            </w:pPr>
          </w:p>
        </w:tc>
        <w:tc>
          <w:tcPr>
            <w:tcW w:w="2204" w:type="dxa"/>
            <w:noWrap w:val="0"/>
            <w:vAlign w:val="top"/>
          </w:tcPr>
          <w:p>
            <w:pPr>
              <w:shd w:val="clear"/>
              <w:adjustRightInd w:val="0"/>
              <w:snapToGrid w:val="0"/>
              <w:spacing w:line="240" w:lineRule="exact"/>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pPr>
              <w:shd w:val="clear"/>
              <w:adjustRightInd w:val="0"/>
              <w:snapToGrid w:val="0"/>
              <w:jc w:val="center"/>
              <w:rPr>
                <w:rFonts w:hint="eastAsia" w:ascii="宋体" w:hAnsi="宋体" w:cs="宋体"/>
                <w:b/>
                <w:color w:val="auto"/>
                <w:sz w:val="18"/>
                <w:szCs w:val="18"/>
                <w:highlight w:val="none"/>
              </w:rPr>
            </w:pPr>
          </w:p>
        </w:tc>
        <w:tc>
          <w:tcPr>
            <w:tcW w:w="4043" w:type="dxa"/>
            <w:noWrap w:val="0"/>
            <w:vAlign w:val="top"/>
          </w:tcPr>
          <w:p>
            <w:pPr>
              <w:shd w:val="clear"/>
              <w:autoSpaceDE w:val="0"/>
              <w:autoSpaceDN w:val="0"/>
              <w:adjustRightInd w:val="0"/>
              <w:ind w:right="-100"/>
              <w:jc w:val="left"/>
              <w:rPr>
                <w:rFonts w:hint="eastAsia" w:ascii="宋体" w:hAnsi="宋体" w:cs="宋体"/>
                <w:color w:val="auto"/>
                <w:kern w:val="0"/>
                <w:sz w:val="18"/>
                <w:szCs w:val="18"/>
                <w:highlight w:val="none"/>
              </w:rPr>
            </w:pPr>
          </w:p>
        </w:tc>
        <w:tc>
          <w:tcPr>
            <w:tcW w:w="1265" w:type="dxa"/>
            <w:noWrap w:val="0"/>
            <w:vAlign w:val="top"/>
          </w:tcPr>
          <w:p>
            <w:pPr>
              <w:shd w:val="clear"/>
              <w:adjustRightInd w:val="0"/>
              <w:snapToGrid w:val="0"/>
              <w:spacing w:line="240" w:lineRule="exact"/>
              <w:rPr>
                <w:rFonts w:hint="eastAsia" w:ascii="宋体" w:hAnsi="宋体" w:cs="宋体"/>
                <w:color w:val="auto"/>
                <w:sz w:val="18"/>
                <w:szCs w:val="18"/>
                <w:highlight w:val="none"/>
              </w:rPr>
            </w:pPr>
          </w:p>
        </w:tc>
        <w:tc>
          <w:tcPr>
            <w:tcW w:w="2204" w:type="dxa"/>
            <w:noWrap w:val="0"/>
            <w:vAlign w:val="top"/>
          </w:tcPr>
          <w:p>
            <w:pPr>
              <w:shd w:val="clear"/>
              <w:adjustRightInd w:val="0"/>
              <w:snapToGrid w:val="0"/>
              <w:spacing w:line="240" w:lineRule="exact"/>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pPr>
              <w:shd w:val="clear"/>
              <w:adjustRightInd w:val="0"/>
              <w:snapToGrid w:val="0"/>
              <w:jc w:val="center"/>
              <w:rPr>
                <w:rFonts w:hint="eastAsia" w:ascii="宋体" w:hAnsi="宋体" w:cs="宋体"/>
                <w:b/>
                <w:color w:val="auto"/>
                <w:sz w:val="18"/>
                <w:szCs w:val="18"/>
                <w:highlight w:val="none"/>
              </w:rPr>
            </w:pPr>
          </w:p>
        </w:tc>
        <w:tc>
          <w:tcPr>
            <w:tcW w:w="4043" w:type="dxa"/>
            <w:noWrap w:val="0"/>
            <w:vAlign w:val="center"/>
          </w:tcPr>
          <w:p>
            <w:pPr>
              <w:shd w:val="clear"/>
              <w:adjustRightInd w:val="0"/>
              <w:snapToGrid w:val="0"/>
              <w:rPr>
                <w:rFonts w:hint="eastAsia" w:ascii="宋体" w:hAnsi="宋体" w:cs="宋体"/>
                <w:color w:val="auto"/>
                <w:sz w:val="18"/>
                <w:szCs w:val="18"/>
                <w:highlight w:val="none"/>
              </w:rPr>
            </w:pPr>
          </w:p>
        </w:tc>
        <w:tc>
          <w:tcPr>
            <w:tcW w:w="1265" w:type="dxa"/>
            <w:noWrap w:val="0"/>
            <w:vAlign w:val="top"/>
          </w:tcPr>
          <w:p>
            <w:pPr>
              <w:shd w:val="clear"/>
              <w:adjustRightInd w:val="0"/>
              <w:snapToGrid w:val="0"/>
              <w:spacing w:line="240" w:lineRule="exact"/>
              <w:rPr>
                <w:rFonts w:hint="eastAsia" w:ascii="宋体" w:hAnsi="宋体" w:cs="宋体"/>
                <w:color w:val="auto"/>
                <w:sz w:val="18"/>
                <w:szCs w:val="18"/>
                <w:highlight w:val="none"/>
              </w:rPr>
            </w:pPr>
          </w:p>
        </w:tc>
        <w:tc>
          <w:tcPr>
            <w:tcW w:w="2204" w:type="dxa"/>
            <w:noWrap w:val="0"/>
            <w:vAlign w:val="top"/>
          </w:tcPr>
          <w:p>
            <w:pPr>
              <w:shd w:val="clear"/>
              <w:adjustRightInd w:val="0"/>
              <w:snapToGrid w:val="0"/>
              <w:spacing w:line="240" w:lineRule="exact"/>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pPr>
              <w:shd w:val="clear"/>
              <w:adjustRightInd w:val="0"/>
              <w:snapToGrid w:val="0"/>
              <w:jc w:val="center"/>
              <w:rPr>
                <w:rFonts w:hint="eastAsia" w:ascii="宋体" w:hAnsi="宋体" w:cs="宋体"/>
                <w:b/>
                <w:color w:val="auto"/>
                <w:sz w:val="18"/>
                <w:szCs w:val="18"/>
                <w:highlight w:val="none"/>
              </w:rPr>
            </w:pPr>
          </w:p>
        </w:tc>
        <w:tc>
          <w:tcPr>
            <w:tcW w:w="4043" w:type="dxa"/>
            <w:noWrap w:val="0"/>
            <w:vAlign w:val="center"/>
          </w:tcPr>
          <w:p>
            <w:pPr>
              <w:shd w:val="clear"/>
              <w:rPr>
                <w:rFonts w:hint="eastAsia" w:ascii="宋体" w:hAnsi="宋体" w:cs="宋体"/>
                <w:color w:val="auto"/>
                <w:sz w:val="18"/>
                <w:szCs w:val="18"/>
                <w:highlight w:val="none"/>
              </w:rPr>
            </w:pPr>
          </w:p>
        </w:tc>
        <w:tc>
          <w:tcPr>
            <w:tcW w:w="1265" w:type="dxa"/>
            <w:noWrap w:val="0"/>
            <w:vAlign w:val="top"/>
          </w:tcPr>
          <w:p>
            <w:pPr>
              <w:shd w:val="clear"/>
              <w:adjustRightInd w:val="0"/>
              <w:snapToGrid w:val="0"/>
              <w:spacing w:line="240" w:lineRule="exact"/>
              <w:rPr>
                <w:rFonts w:hint="eastAsia" w:ascii="宋体" w:hAnsi="宋体" w:cs="宋体"/>
                <w:color w:val="auto"/>
                <w:sz w:val="18"/>
                <w:szCs w:val="18"/>
                <w:highlight w:val="none"/>
              </w:rPr>
            </w:pPr>
          </w:p>
        </w:tc>
        <w:tc>
          <w:tcPr>
            <w:tcW w:w="2204" w:type="dxa"/>
            <w:noWrap w:val="0"/>
            <w:vAlign w:val="top"/>
          </w:tcPr>
          <w:p>
            <w:pPr>
              <w:shd w:val="clear"/>
              <w:adjustRightInd w:val="0"/>
              <w:snapToGrid w:val="0"/>
              <w:spacing w:line="240" w:lineRule="exact"/>
              <w:rPr>
                <w:rFonts w:hint="eastAsia" w:ascii="宋体" w:hAnsi="宋体" w:cs="宋体"/>
                <w:color w:val="auto"/>
                <w:sz w:val="18"/>
                <w:szCs w:val="18"/>
                <w:highlight w:val="none"/>
              </w:rPr>
            </w:pPr>
          </w:p>
        </w:tc>
      </w:tr>
    </w:tbl>
    <w:p>
      <w:pPr>
        <w:shd w:val="clear"/>
        <w:snapToGrid w:val="0"/>
        <w:spacing w:before="50" w:after="50"/>
        <w:rPr>
          <w:rFonts w:hint="eastAsia" w:ascii="宋体" w:hAnsi="宋体" w:cs="宋体"/>
          <w:color w:val="auto"/>
          <w:sz w:val="24"/>
          <w:highlight w:val="none"/>
          <w:u w:val="single"/>
        </w:rPr>
      </w:pPr>
      <w:r>
        <w:rPr>
          <w:rFonts w:hint="eastAsia" w:ascii="宋体" w:hAnsi="宋体" w:cs="宋体"/>
          <w:color w:val="auto"/>
          <w:sz w:val="24"/>
          <w:highlight w:val="none"/>
        </w:rPr>
        <w:t>授权代表签名：</w:t>
      </w:r>
      <w:r>
        <w:rPr>
          <w:rFonts w:hint="eastAsia" w:ascii="宋体" w:hAnsi="宋体" w:cs="宋体"/>
          <w:color w:val="auto"/>
          <w:sz w:val="24"/>
          <w:highlight w:val="none"/>
          <w:u w:val="single"/>
        </w:rPr>
        <w:t xml:space="preserve">        </w:t>
      </w:r>
    </w:p>
    <w:p>
      <w:pPr>
        <w:pStyle w:val="12"/>
        <w:shd w:val="clear"/>
        <w:snapToGrid w:val="0"/>
        <w:ind w:right="280"/>
        <w:rPr>
          <w:rFonts w:cs="宋体"/>
          <w:color w:val="auto"/>
          <w:sz w:val="24"/>
          <w:highlight w:val="none"/>
        </w:rPr>
      </w:pPr>
      <w:r>
        <w:rPr>
          <w:rFonts w:cs="宋体"/>
          <w:color w:val="auto"/>
          <w:sz w:val="24"/>
          <w:highlight w:val="none"/>
        </w:rPr>
        <w:t>投标人全称（盖章）：</w:t>
      </w:r>
      <w:r>
        <w:rPr>
          <w:rFonts w:cs="宋体"/>
          <w:color w:val="auto"/>
          <w:sz w:val="24"/>
          <w:highlight w:val="none"/>
          <w:u w:val="single"/>
        </w:rPr>
        <w:t xml:space="preserve">               </w:t>
      </w:r>
      <w:r>
        <w:rPr>
          <w:rFonts w:cs="宋体"/>
          <w:color w:val="auto"/>
          <w:sz w:val="24"/>
          <w:highlight w:val="none"/>
        </w:rPr>
        <w:t xml:space="preserve">              年    月　 日</w:t>
      </w:r>
    </w:p>
    <w:p>
      <w:pPr>
        <w:shd w:val="clear"/>
        <w:adjustRightInd w:val="0"/>
        <w:snapToGrid w:val="0"/>
        <w:jc w:val="left"/>
        <w:rPr>
          <w:rFonts w:hint="eastAsia" w:ascii="宋体" w:hAnsi="宋体" w:cs="宋体"/>
          <w:color w:val="auto"/>
          <w:sz w:val="24"/>
          <w:highlight w:val="none"/>
        </w:rPr>
      </w:pPr>
    </w:p>
    <w:p>
      <w:pPr>
        <w:shd w:val="clear"/>
        <w:adjustRightInd w:val="0"/>
        <w:snapToGrid w:val="0"/>
        <w:jc w:val="left"/>
        <w:rPr>
          <w:rFonts w:hint="eastAsia" w:ascii="宋体" w:hAnsi="宋体" w:cs="宋体"/>
          <w:color w:val="auto"/>
          <w:sz w:val="24"/>
          <w:highlight w:val="none"/>
        </w:rPr>
      </w:pPr>
    </w:p>
    <w:p>
      <w:pPr>
        <w:pStyle w:val="11"/>
        <w:shd w:val="clear"/>
        <w:adjustRightInd w:val="0"/>
        <w:snapToGrid w:val="0"/>
        <w:spacing w:after="0"/>
        <w:rPr>
          <w:rFonts w:hint="default" w:ascii="宋体" w:hAnsi="宋体" w:cs="宋体"/>
          <w:color w:val="auto"/>
          <w:sz w:val="21"/>
          <w:szCs w:val="21"/>
          <w:highlight w:val="none"/>
          <w:lang w:val="en-US" w:eastAsia="zh-CN"/>
        </w:rPr>
        <w:sectPr>
          <w:pgSz w:w="11906" w:h="16838"/>
          <w:pgMar w:top="1247" w:right="1247" w:bottom="1247" w:left="1247" w:header="851" w:footer="992" w:gutter="0"/>
          <w:pgNumType w:fmt="decimal"/>
          <w:cols w:space="720" w:num="1"/>
          <w:docGrid w:linePitch="313" w:charSpace="0"/>
        </w:sectPr>
      </w:pPr>
      <w:r>
        <w:rPr>
          <w:rFonts w:hint="eastAsia" w:ascii="宋体" w:hAnsi="宋体" w:cs="宋体"/>
          <w:color w:val="auto"/>
          <w:sz w:val="21"/>
          <w:szCs w:val="21"/>
          <w:highlight w:val="none"/>
        </w:rPr>
        <w:t>注：按招标文件要求列表，对照招标文件要求在“偏离情况”栏注明“正偏离”、“负偏离”或“无偏离”</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不填写视同无偏离。</w:t>
      </w:r>
    </w:p>
    <w:p>
      <w:pPr>
        <w:shd w:val="clear"/>
        <w:adjustRightInd w:val="0"/>
        <w:snapToGrid w:val="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拟</w:t>
      </w:r>
      <w:r>
        <w:rPr>
          <w:rFonts w:hint="eastAsia" w:ascii="宋体" w:hAnsi="宋体" w:cs="宋体"/>
          <w:color w:val="auto"/>
          <w:sz w:val="24"/>
          <w:highlight w:val="none"/>
        </w:rPr>
        <w:t>投入</w:t>
      </w:r>
      <w:r>
        <w:rPr>
          <w:rFonts w:hint="eastAsia" w:ascii="宋体" w:hAnsi="宋体" w:cs="宋体"/>
          <w:color w:val="auto"/>
          <w:sz w:val="24"/>
          <w:highlight w:val="none"/>
          <w:lang w:val="en-US" w:eastAsia="zh-CN"/>
        </w:rPr>
        <w:t>实施的团队</w:t>
      </w:r>
      <w:r>
        <w:rPr>
          <w:rFonts w:hint="eastAsia" w:ascii="宋体" w:hAnsi="宋体" w:cs="宋体"/>
          <w:color w:val="auto"/>
          <w:sz w:val="24"/>
          <w:highlight w:val="none"/>
        </w:rPr>
        <w:t>人员</w:t>
      </w:r>
      <w:r>
        <w:rPr>
          <w:rFonts w:hint="eastAsia" w:ascii="宋体" w:hAnsi="宋体" w:cs="宋体"/>
          <w:color w:val="auto"/>
          <w:sz w:val="24"/>
          <w:highlight w:val="none"/>
          <w:lang w:val="en-US" w:eastAsia="zh-CN"/>
        </w:rPr>
        <w:t>配置</w:t>
      </w:r>
      <w:r>
        <w:rPr>
          <w:rFonts w:hint="eastAsia" w:ascii="宋体" w:hAnsi="宋体" w:cs="宋体"/>
          <w:color w:val="auto"/>
          <w:sz w:val="24"/>
          <w:highlight w:val="none"/>
        </w:rPr>
        <w:t>表</w:t>
      </w:r>
      <w:r>
        <w:rPr>
          <w:rFonts w:hint="eastAsia" w:ascii="宋体" w:hAnsi="宋体" w:cs="宋体"/>
          <w:color w:val="auto"/>
          <w:sz w:val="24"/>
          <w:highlight w:val="none"/>
          <w:lang w:val="en-US" w:eastAsia="zh-CN"/>
        </w:rPr>
        <w:t>格式</w:t>
      </w:r>
    </w:p>
    <w:p>
      <w:pPr>
        <w:shd w:val="clear"/>
        <w:adjustRightInd w:val="0"/>
        <w:snapToGrid w:val="0"/>
        <w:jc w:val="left"/>
        <w:rPr>
          <w:rFonts w:hint="eastAsia" w:ascii="宋体" w:hAnsi="宋体" w:cs="宋体"/>
          <w:color w:val="auto"/>
          <w:sz w:val="24"/>
          <w:highlight w:val="none"/>
        </w:rPr>
      </w:pPr>
    </w:p>
    <w:p>
      <w:pPr>
        <w:shd w:val="clear"/>
        <w:adjustRightInd w:val="0"/>
        <w:snapToGrid w:val="0"/>
        <w:spacing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kern w:val="2"/>
          <w:sz w:val="28"/>
          <w:szCs w:val="28"/>
          <w:highlight w:val="none"/>
        </w:rPr>
        <w:t>拟投</w:t>
      </w:r>
      <w:r>
        <w:rPr>
          <w:rFonts w:hint="eastAsia" w:ascii="宋体" w:hAnsi="宋体" w:eastAsia="宋体" w:cs="宋体"/>
          <w:b/>
          <w:color w:val="auto"/>
          <w:sz w:val="28"/>
          <w:szCs w:val="28"/>
          <w:highlight w:val="none"/>
        </w:rPr>
        <w:t>入实施的团队人员配置表</w:t>
      </w:r>
    </w:p>
    <w:p>
      <w:pPr>
        <w:shd w:val="clear"/>
        <w:adjustRightInd w:val="0"/>
        <w:snapToGrid w:val="0"/>
        <w:spacing w:line="440" w:lineRule="exact"/>
        <w:jc w:val="center"/>
        <w:rPr>
          <w:rFonts w:hint="eastAsia" w:ascii="宋体" w:hAnsi="宋体" w:cs="宋体"/>
          <w:b/>
          <w:color w:val="auto"/>
          <w:sz w:val="28"/>
          <w:szCs w:val="28"/>
          <w:highlight w:val="none"/>
        </w:rPr>
      </w:pPr>
    </w:p>
    <w:p>
      <w:pPr>
        <w:shd w:val="clear"/>
        <w:adjustRightInd w:val="0"/>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项目名称：                </w:t>
      </w:r>
    </w:p>
    <w:p>
      <w:pPr>
        <w:shd w:val="clear"/>
        <w:adjustRightInd w:val="0"/>
        <w:snapToGrid w:val="0"/>
        <w:spacing w:line="440" w:lineRule="exact"/>
        <w:rPr>
          <w:rFonts w:hint="eastAsia" w:ascii="宋体" w:hAnsi="宋体" w:cs="宋体"/>
          <w:b/>
          <w:color w:val="auto"/>
          <w:sz w:val="28"/>
          <w:szCs w:val="28"/>
          <w:highlight w:val="none"/>
        </w:rPr>
      </w:pPr>
      <w:r>
        <w:rPr>
          <w:rFonts w:hint="eastAsia" w:ascii="宋体" w:hAnsi="宋体" w:cs="宋体"/>
          <w:color w:val="auto"/>
          <w:sz w:val="24"/>
          <w:highlight w:val="none"/>
        </w:rPr>
        <w:t>项目编号：</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039"/>
        <w:gridCol w:w="595"/>
        <w:gridCol w:w="564"/>
        <w:gridCol w:w="941"/>
        <w:gridCol w:w="1163"/>
        <w:gridCol w:w="1317"/>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3" w:type="dxa"/>
            <w:tcBorders>
              <w:top w:val="single" w:color="auto" w:sz="12" w:space="0"/>
              <w:left w:val="single" w:color="auto" w:sz="12" w:space="0"/>
              <w:bottom w:val="single" w:color="auto" w:sz="12" w:space="0"/>
            </w:tcBorders>
            <w:noWrap w:val="0"/>
            <w:vAlign w:val="center"/>
          </w:tcPr>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2039" w:type="dxa"/>
            <w:tcBorders>
              <w:top w:val="single" w:color="auto" w:sz="12" w:space="0"/>
              <w:bottom w:val="single" w:color="auto" w:sz="12" w:space="0"/>
            </w:tcBorders>
            <w:noWrap w:val="0"/>
            <w:vAlign w:val="center"/>
          </w:tcPr>
          <w:p>
            <w:pPr>
              <w:shd w:val="clea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本项目拟任</w:t>
            </w:r>
          </w:p>
          <w:p>
            <w:pPr>
              <w:shd w:val="clea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岗    位</w:t>
            </w:r>
          </w:p>
        </w:tc>
        <w:tc>
          <w:tcPr>
            <w:tcW w:w="595" w:type="dxa"/>
            <w:tcBorders>
              <w:top w:val="single" w:color="auto" w:sz="12" w:space="0"/>
              <w:bottom w:val="single" w:color="auto" w:sz="12" w:space="0"/>
            </w:tcBorders>
            <w:noWrap w:val="0"/>
            <w:vAlign w:val="center"/>
          </w:tcPr>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564" w:type="dxa"/>
            <w:tcBorders>
              <w:top w:val="single" w:color="auto" w:sz="12" w:space="0"/>
              <w:bottom w:val="single" w:color="auto" w:sz="12" w:space="0"/>
            </w:tcBorders>
            <w:noWrap w:val="0"/>
            <w:vAlign w:val="center"/>
          </w:tcPr>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941" w:type="dxa"/>
            <w:tcBorders>
              <w:top w:val="single" w:color="auto" w:sz="12" w:space="0"/>
              <w:bottom w:val="single" w:color="auto" w:sz="12" w:space="0"/>
            </w:tcBorders>
            <w:noWrap w:val="0"/>
            <w:vAlign w:val="center"/>
          </w:tcPr>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专 业</w:t>
            </w:r>
          </w:p>
        </w:tc>
        <w:tc>
          <w:tcPr>
            <w:tcW w:w="1163" w:type="dxa"/>
            <w:tcBorders>
              <w:top w:val="single" w:color="auto" w:sz="12" w:space="0"/>
              <w:bottom w:val="single" w:color="auto" w:sz="12" w:space="0"/>
            </w:tcBorders>
            <w:noWrap w:val="0"/>
            <w:vAlign w:val="center"/>
          </w:tcPr>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职 称与证书</w:t>
            </w:r>
          </w:p>
        </w:tc>
        <w:tc>
          <w:tcPr>
            <w:tcW w:w="1317" w:type="dxa"/>
            <w:tcBorders>
              <w:top w:val="single" w:color="auto" w:sz="12" w:space="0"/>
              <w:bottom w:val="single" w:color="auto" w:sz="12" w:space="0"/>
            </w:tcBorders>
            <w:noWrap w:val="0"/>
            <w:vAlign w:val="center"/>
          </w:tcPr>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安排上岗起止时间</w:t>
            </w:r>
          </w:p>
        </w:tc>
        <w:tc>
          <w:tcPr>
            <w:tcW w:w="1232" w:type="dxa"/>
            <w:tcBorders>
              <w:top w:val="single" w:color="auto" w:sz="12" w:space="0"/>
              <w:bottom w:val="single" w:color="auto" w:sz="12" w:space="0"/>
              <w:right w:val="single" w:color="auto" w:sz="12" w:space="0"/>
            </w:tcBorders>
            <w:noWrap w:val="0"/>
            <w:vAlign w:val="center"/>
          </w:tcPr>
          <w:p>
            <w:pPr>
              <w:shd w:val="clear"/>
              <w:spacing w:line="480" w:lineRule="exact"/>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top w:val="single" w:color="auto" w:sz="12" w:space="0"/>
              <w:left w:val="single" w:color="auto" w:sz="12" w:space="0"/>
            </w:tcBorders>
            <w:noWrap w:val="0"/>
            <w:vAlign w:val="center"/>
          </w:tcPr>
          <w:p>
            <w:pPr>
              <w:shd w:val="clear"/>
              <w:spacing w:line="360" w:lineRule="auto"/>
              <w:rPr>
                <w:rFonts w:hint="eastAsia" w:ascii="宋体" w:hAnsi="宋体" w:cs="宋体"/>
                <w:color w:val="auto"/>
                <w:szCs w:val="21"/>
                <w:highlight w:val="none"/>
              </w:rPr>
            </w:pPr>
          </w:p>
        </w:tc>
        <w:tc>
          <w:tcPr>
            <w:tcW w:w="2039" w:type="dxa"/>
            <w:tcBorders>
              <w:top w:val="single" w:color="auto" w:sz="12" w:space="0"/>
            </w:tcBorders>
            <w:noWrap w:val="0"/>
            <w:vAlign w:val="center"/>
          </w:tcPr>
          <w:p>
            <w:pPr>
              <w:shd w:val="clear"/>
              <w:spacing w:line="360" w:lineRule="auto"/>
              <w:rPr>
                <w:rFonts w:hint="eastAsia" w:ascii="宋体" w:hAnsi="宋体" w:cs="宋体"/>
                <w:color w:val="auto"/>
                <w:szCs w:val="21"/>
                <w:highlight w:val="none"/>
              </w:rPr>
            </w:pPr>
          </w:p>
        </w:tc>
        <w:tc>
          <w:tcPr>
            <w:tcW w:w="595" w:type="dxa"/>
            <w:tcBorders>
              <w:top w:val="single" w:color="auto" w:sz="12" w:space="0"/>
            </w:tcBorders>
            <w:noWrap w:val="0"/>
            <w:vAlign w:val="center"/>
          </w:tcPr>
          <w:p>
            <w:pPr>
              <w:shd w:val="clear"/>
              <w:spacing w:line="360" w:lineRule="auto"/>
              <w:rPr>
                <w:rFonts w:hint="eastAsia" w:ascii="宋体" w:hAnsi="宋体" w:cs="宋体"/>
                <w:color w:val="auto"/>
                <w:szCs w:val="21"/>
                <w:highlight w:val="none"/>
              </w:rPr>
            </w:pPr>
          </w:p>
        </w:tc>
        <w:tc>
          <w:tcPr>
            <w:tcW w:w="564" w:type="dxa"/>
            <w:tcBorders>
              <w:top w:val="single" w:color="auto" w:sz="12" w:space="0"/>
            </w:tcBorders>
            <w:noWrap w:val="0"/>
            <w:vAlign w:val="center"/>
          </w:tcPr>
          <w:p>
            <w:pPr>
              <w:shd w:val="clear"/>
              <w:spacing w:line="360" w:lineRule="auto"/>
              <w:rPr>
                <w:rFonts w:hint="eastAsia" w:ascii="宋体" w:hAnsi="宋体" w:cs="宋体"/>
                <w:color w:val="auto"/>
                <w:szCs w:val="21"/>
                <w:highlight w:val="none"/>
              </w:rPr>
            </w:pPr>
          </w:p>
        </w:tc>
        <w:tc>
          <w:tcPr>
            <w:tcW w:w="941" w:type="dxa"/>
            <w:tcBorders>
              <w:top w:val="single" w:color="auto" w:sz="12" w:space="0"/>
            </w:tcBorders>
            <w:noWrap w:val="0"/>
            <w:vAlign w:val="center"/>
          </w:tcPr>
          <w:p>
            <w:pPr>
              <w:shd w:val="clear"/>
              <w:spacing w:line="360" w:lineRule="auto"/>
              <w:rPr>
                <w:rFonts w:hint="eastAsia" w:ascii="宋体" w:hAnsi="宋体" w:cs="宋体"/>
                <w:color w:val="auto"/>
                <w:szCs w:val="21"/>
                <w:highlight w:val="none"/>
              </w:rPr>
            </w:pPr>
          </w:p>
        </w:tc>
        <w:tc>
          <w:tcPr>
            <w:tcW w:w="1163" w:type="dxa"/>
            <w:tcBorders>
              <w:top w:val="single" w:color="auto" w:sz="12" w:space="0"/>
            </w:tcBorders>
            <w:noWrap w:val="0"/>
            <w:vAlign w:val="center"/>
          </w:tcPr>
          <w:p>
            <w:pPr>
              <w:shd w:val="clear"/>
              <w:spacing w:line="360" w:lineRule="auto"/>
              <w:rPr>
                <w:rFonts w:hint="eastAsia" w:ascii="宋体" w:hAnsi="宋体" w:cs="宋体"/>
                <w:color w:val="auto"/>
                <w:szCs w:val="21"/>
                <w:highlight w:val="none"/>
              </w:rPr>
            </w:pPr>
          </w:p>
        </w:tc>
        <w:tc>
          <w:tcPr>
            <w:tcW w:w="1317" w:type="dxa"/>
            <w:tcBorders>
              <w:top w:val="single" w:color="auto" w:sz="12" w:space="0"/>
            </w:tcBorders>
            <w:noWrap w:val="0"/>
            <w:vAlign w:val="center"/>
          </w:tcPr>
          <w:p>
            <w:pPr>
              <w:pStyle w:val="16"/>
              <w:shd w:val="clear"/>
              <w:spacing w:line="360" w:lineRule="auto"/>
              <w:ind w:left="5250"/>
              <w:rPr>
                <w:rFonts w:hint="eastAsia" w:ascii="宋体" w:eastAsia="宋体" w:cs="宋体"/>
                <w:color w:val="auto"/>
                <w:sz w:val="21"/>
                <w:szCs w:val="21"/>
                <w:highlight w:val="none"/>
              </w:rPr>
            </w:pPr>
          </w:p>
        </w:tc>
        <w:tc>
          <w:tcPr>
            <w:tcW w:w="1232" w:type="dxa"/>
            <w:tcBorders>
              <w:top w:val="single" w:color="auto" w:sz="12" w:space="0"/>
              <w:right w:val="single" w:color="auto" w:sz="12" w:space="0"/>
            </w:tcBorders>
            <w:noWrap w:val="0"/>
            <w:vAlign w:val="center"/>
          </w:tcPr>
          <w:p>
            <w:pPr>
              <w:shd w:val="clea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0"/>
            <w:vAlign w:val="center"/>
          </w:tcPr>
          <w:p>
            <w:pPr>
              <w:shd w:val="clear"/>
              <w:spacing w:line="360" w:lineRule="auto"/>
              <w:rPr>
                <w:rFonts w:hint="eastAsia" w:ascii="宋体" w:hAnsi="宋体" w:cs="宋体"/>
                <w:color w:val="auto"/>
                <w:szCs w:val="21"/>
                <w:highlight w:val="none"/>
              </w:rPr>
            </w:pPr>
          </w:p>
        </w:tc>
        <w:tc>
          <w:tcPr>
            <w:tcW w:w="2039" w:type="dxa"/>
            <w:noWrap w:val="0"/>
            <w:vAlign w:val="center"/>
          </w:tcPr>
          <w:p>
            <w:pPr>
              <w:shd w:val="clear"/>
              <w:spacing w:line="360" w:lineRule="auto"/>
              <w:rPr>
                <w:rFonts w:hint="eastAsia" w:ascii="宋体" w:hAnsi="宋体" w:cs="宋体"/>
                <w:color w:val="auto"/>
                <w:szCs w:val="21"/>
                <w:highlight w:val="none"/>
              </w:rPr>
            </w:pPr>
          </w:p>
        </w:tc>
        <w:tc>
          <w:tcPr>
            <w:tcW w:w="595" w:type="dxa"/>
            <w:noWrap w:val="0"/>
            <w:vAlign w:val="center"/>
          </w:tcPr>
          <w:p>
            <w:pPr>
              <w:shd w:val="clear"/>
              <w:spacing w:line="360" w:lineRule="auto"/>
              <w:rPr>
                <w:rFonts w:hint="eastAsia" w:ascii="宋体" w:hAnsi="宋体" w:cs="宋体"/>
                <w:color w:val="auto"/>
                <w:szCs w:val="21"/>
                <w:highlight w:val="none"/>
              </w:rPr>
            </w:pPr>
          </w:p>
        </w:tc>
        <w:tc>
          <w:tcPr>
            <w:tcW w:w="564" w:type="dxa"/>
            <w:noWrap w:val="0"/>
            <w:vAlign w:val="center"/>
          </w:tcPr>
          <w:p>
            <w:pPr>
              <w:shd w:val="clear"/>
              <w:spacing w:line="360" w:lineRule="auto"/>
              <w:rPr>
                <w:rFonts w:hint="eastAsia" w:ascii="宋体" w:hAnsi="宋体" w:cs="宋体"/>
                <w:color w:val="auto"/>
                <w:szCs w:val="21"/>
                <w:highlight w:val="none"/>
              </w:rPr>
            </w:pPr>
          </w:p>
        </w:tc>
        <w:tc>
          <w:tcPr>
            <w:tcW w:w="941" w:type="dxa"/>
            <w:noWrap w:val="0"/>
            <w:vAlign w:val="center"/>
          </w:tcPr>
          <w:p>
            <w:pPr>
              <w:shd w:val="clear"/>
              <w:spacing w:line="360" w:lineRule="auto"/>
              <w:rPr>
                <w:rFonts w:hint="eastAsia" w:ascii="宋体" w:hAnsi="宋体" w:cs="宋体"/>
                <w:color w:val="auto"/>
                <w:szCs w:val="21"/>
                <w:highlight w:val="none"/>
              </w:rPr>
            </w:pPr>
          </w:p>
        </w:tc>
        <w:tc>
          <w:tcPr>
            <w:tcW w:w="1163" w:type="dxa"/>
            <w:noWrap w:val="0"/>
            <w:vAlign w:val="center"/>
          </w:tcPr>
          <w:p>
            <w:pPr>
              <w:shd w:val="clear"/>
              <w:spacing w:line="360" w:lineRule="auto"/>
              <w:rPr>
                <w:rFonts w:hint="eastAsia" w:ascii="宋体" w:hAnsi="宋体" w:cs="宋体"/>
                <w:color w:val="auto"/>
                <w:szCs w:val="21"/>
                <w:highlight w:val="none"/>
              </w:rPr>
            </w:pPr>
          </w:p>
        </w:tc>
        <w:tc>
          <w:tcPr>
            <w:tcW w:w="1317" w:type="dxa"/>
            <w:noWrap w:val="0"/>
            <w:vAlign w:val="center"/>
          </w:tcPr>
          <w:p>
            <w:pPr>
              <w:shd w:val="clear"/>
              <w:spacing w:line="360" w:lineRule="auto"/>
              <w:rPr>
                <w:rFonts w:hint="eastAsia" w:ascii="宋体" w:hAnsi="宋体" w:cs="宋体"/>
                <w:color w:val="auto"/>
                <w:szCs w:val="21"/>
                <w:highlight w:val="none"/>
              </w:rPr>
            </w:pPr>
          </w:p>
        </w:tc>
        <w:tc>
          <w:tcPr>
            <w:tcW w:w="1232" w:type="dxa"/>
            <w:tcBorders>
              <w:right w:val="single" w:color="auto" w:sz="12" w:space="0"/>
            </w:tcBorders>
            <w:noWrap w:val="0"/>
            <w:vAlign w:val="center"/>
          </w:tcPr>
          <w:p>
            <w:pPr>
              <w:shd w:val="clea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0"/>
            <w:vAlign w:val="center"/>
          </w:tcPr>
          <w:p>
            <w:pPr>
              <w:shd w:val="clear"/>
              <w:spacing w:line="360" w:lineRule="auto"/>
              <w:rPr>
                <w:rFonts w:hint="eastAsia" w:ascii="宋体" w:hAnsi="宋体" w:cs="宋体"/>
                <w:color w:val="auto"/>
                <w:szCs w:val="21"/>
                <w:highlight w:val="none"/>
              </w:rPr>
            </w:pPr>
          </w:p>
        </w:tc>
        <w:tc>
          <w:tcPr>
            <w:tcW w:w="2039" w:type="dxa"/>
            <w:noWrap w:val="0"/>
            <w:vAlign w:val="center"/>
          </w:tcPr>
          <w:p>
            <w:pPr>
              <w:shd w:val="clear"/>
              <w:spacing w:line="360" w:lineRule="auto"/>
              <w:rPr>
                <w:rFonts w:hint="eastAsia" w:ascii="宋体" w:hAnsi="宋体" w:cs="宋体"/>
                <w:color w:val="auto"/>
                <w:szCs w:val="21"/>
                <w:highlight w:val="none"/>
              </w:rPr>
            </w:pPr>
          </w:p>
        </w:tc>
        <w:tc>
          <w:tcPr>
            <w:tcW w:w="595" w:type="dxa"/>
            <w:noWrap w:val="0"/>
            <w:vAlign w:val="center"/>
          </w:tcPr>
          <w:p>
            <w:pPr>
              <w:shd w:val="clear"/>
              <w:spacing w:line="360" w:lineRule="auto"/>
              <w:rPr>
                <w:rFonts w:hint="eastAsia" w:ascii="宋体" w:hAnsi="宋体" w:cs="宋体"/>
                <w:color w:val="auto"/>
                <w:szCs w:val="21"/>
                <w:highlight w:val="none"/>
              </w:rPr>
            </w:pPr>
          </w:p>
        </w:tc>
        <w:tc>
          <w:tcPr>
            <w:tcW w:w="564" w:type="dxa"/>
            <w:noWrap w:val="0"/>
            <w:vAlign w:val="center"/>
          </w:tcPr>
          <w:p>
            <w:pPr>
              <w:shd w:val="clear"/>
              <w:spacing w:line="360" w:lineRule="auto"/>
              <w:rPr>
                <w:rFonts w:hint="eastAsia" w:ascii="宋体" w:hAnsi="宋体" w:cs="宋体"/>
                <w:color w:val="auto"/>
                <w:szCs w:val="21"/>
                <w:highlight w:val="none"/>
              </w:rPr>
            </w:pPr>
          </w:p>
        </w:tc>
        <w:tc>
          <w:tcPr>
            <w:tcW w:w="941" w:type="dxa"/>
            <w:noWrap w:val="0"/>
            <w:vAlign w:val="center"/>
          </w:tcPr>
          <w:p>
            <w:pPr>
              <w:shd w:val="clear"/>
              <w:spacing w:line="360" w:lineRule="auto"/>
              <w:rPr>
                <w:rFonts w:hint="eastAsia" w:ascii="宋体" w:hAnsi="宋体" w:cs="宋体"/>
                <w:color w:val="auto"/>
                <w:szCs w:val="21"/>
                <w:highlight w:val="none"/>
              </w:rPr>
            </w:pPr>
          </w:p>
        </w:tc>
        <w:tc>
          <w:tcPr>
            <w:tcW w:w="1163" w:type="dxa"/>
            <w:noWrap w:val="0"/>
            <w:vAlign w:val="center"/>
          </w:tcPr>
          <w:p>
            <w:pPr>
              <w:shd w:val="clear"/>
              <w:spacing w:line="360" w:lineRule="auto"/>
              <w:rPr>
                <w:rFonts w:hint="eastAsia" w:ascii="宋体" w:hAnsi="宋体" w:cs="宋体"/>
                <w:color w:val="auto"/>
                <w:szCs w:val="21"/>
                <w:highlight w:val="none"/>
              </w:rPr>
            </w:pPr>
          </w:p>
        </w:tc>
        <w:tc>
          <w:tcPr>
            <w:tcW w:w="1317" w:type="dxa"/>
            <w:noWrap w:val="0"/>
            <w:vAlign w:val="center"/>
          </w:tcPr>
          <w:p>
            <w:pPr>
              <w:shd w:val="clear"/>
              <w:spacing w:line="360" w:lineRule="auto"/>
              <w:rPr>
                <w:rFonts w:hint="eastAsia" w:ascii="宋体" w:hAnsi="宋体" w:cs="宋体"/>
                <w:color w:val="auto"/>
                <w:szCs w:val="21"/>
                <w:highlight w:val="none"/>
              </w:rPr>
            </w:pPr>
          </w:p>
        </w:tc>
        <w:tc>
          <w:tcPr>
            <w:tcW w:w="1232" w:type="dxa"/>
            <w:tcBorders>
              <w:right w:val="single" w:color="auto" w:sz="12" w:space="0"/>
            </w:tcBorders>
            <w:noWrap w:val="0"/>
            <w:vAlign w:val="center"/>
          </w:tcPr>
          <w:p>
            <w:pPr>
              <w:shd w:val="clea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0"/>
            <w:vAlign w:val="center"/>
          </w:tcPr>
          <w:p>
            <w:pPr>
              <w:shd w:val="clear"/>
              <w:spacing w:line="360" w:lineRule="auto"/>
              <w:rPr>
                <w:rFonts w:hint="eastAsia" w:ascii="宋体" w:hAnsi="宋体" w:cs="宋体"/>
                <w:color w:val="auto"/>
                <w:szCs w:val="21"/>
                <w:highlight w:val="none"/>
              </w:rPr>
            </w:pPr>
          </w:p>
        </w:tc>
        <w:tc>
          <w:tcPr>
            <w:tcW w:w="2039" w:type="dxa"/>
            <w:noWrap w:val="0"/>
            <w:vAlign w:val="center"/>
          </w:tcPr>
          <w:p>
            <w:pPr>
              <w:shd w:val="clear"/>
              <w:spacing w:line="360" w:lineRule="auto"/>
              <w:rPr>
                <w:rFonts w:hint="eastAsia" w:ascii="宋体" w:hAnsi="宋体" w:cs="宋体"/>
                <w:color w:val="auto"/>
                <w:szCs w:val="21"/>
                <w:highlight w:val="none"/>
              </w:rPr>
            </w:pPr>
          </w:p>
        </w:tc>
        <w:tc>
          <w:tcPr>
            <w:tcW w:w="595" w:type="dxa"/>
            <w:noWrap w:val="0"/>
            <w:vAlign w:val="center"/>
          </w:tcPr>
          <w:p>
            <w:pPr>
              <w:shd w:val="clear"/>
              <w:spacing w:line="360" w:lineRule="auto"/>
              <w:rPr>
                <w:rFonts w:hint="eastAsia" w:ascii="宋体" w:hAnsi="宋体" w:cs="宋体"/>
                <w:color w:val="auto"/>
                <w:szCs w:val="21"/>
                <w:highlight w:val="none"/>
              </w:rPr>
            </w:pPr>
          </w:p>
        </w:tc>
        <w:tc>
          <w:tcPr>
            <w:tcW w:w="564" w:type="dxa"/>
            <w:noWrap w:val="0"/>
            <w:vAlign w:val="center"/>
          </w:tcPr>
          <w:p>
            <w:pPr>
              <w:shd w:val="clear"/>
              <w:spacing w:line="360" w:lineRule="auto"/>
              <w:rPr>
                <w:rFonts w:hint="eastAsia" w:ascii="宋体" w:hAnsi="宋体" w:cs="宋体"/>
                <w:color w:val="auto"/>
                <w:szCs w:val="21"/>
                <w:highlight w:val="none"/>
              </w:rPr>
            </w:pPr>
          </w:p>
        </w:tc>
        <w:tc>
          <w:tcPr>
            <w:tcW w:w="941" w:type="dxa"/>
            <w:noWrap w:val="0"/>
            <w:vAlign w:val="center"/>
          </w:tcPr>
          <w:p>
            <w:pPr>
              <w:shd w:val="clear"/>
              <w:spacing w:line="360" w:lineRule="auto"/>
              <w:rPr>
                <w:rFonts w:hint="eastAsia" w:ascii="宋体" w:hAnsi="宋体" w:cs="宋体"/>
                <w:color w:val="auto"/>
                <w:szCs w:val="21"/>
                <w:highlight w:val="none"/>
              </w:rPr>
            </w:pPr>
          </w:p>
        </w:tc>
        <w:tc>
          <w:tcPr>
            <w:tcW w:w="1163" w:type="dxa"/>
            <w:noWrap w:val="0"/>
            <w:vAlign w:val="center"/>
          </w:tcPr>
          <w:p>
            <w:pPr>
              <w:shd w:val="clear"/>
              <w:spacing w:line="360" w:lineRule="auto"/>
              <w:rPr>
                <w:rFonts w:hint="eastAsia" w:ascii="宋体" w:hAnsi="宋体" w:cs="宋体"/>
                <w:color w:val="auto"/>
                <w:szCs w:val="21"/>
                <w:highlight w:val="none"/>
              </w:rPr>
            </w:pPr>
          </w:p>
        </w:tc>
        <w:tc>
          <w:tcPr>
            <w:tcW w:w="1317" w:type="dxa"/>
            <w:noWrap w:val="0"/>
            <w:vAlign w:val="center"/>
          </w:tcPr>
          <w:p>
            <w:pPr>
              <w:shd w:val="clear"/>
              <w:spacing w:line="360" w:lineRule="auto"/>
              <w:rPr>
                <w:rFonts w:hint="eastAsia" w:ascii="宋体" w:hAnsi="宋体" w:cs="宋体"/>
                <w:color w:val="auto"/>
                <w:szCs w:val="21"/>
                <w:highlight w:val="none"/>
              </w:rPr>
            </w:pPr>
          </w:p>
        </w:tc>
        <w:tc>
          <w:tcPr>
            <w:tcW w:w="1232" w:type="dxa"/>
            <w:tcBorders>
              <w:right w:val="single" w:color="auto" w:sz="12" w:space="0"/>
            </w:tcBorders>
            <w:noWrap w:val="0"/>
            <w:vAlign w:val="center"/>
          </w:tcPr>
          <w:p>
            <w:pPr>
              <w:shd w:val="clea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0"/>
            <w:vAlign w:val="center"/>
          </w:tcPr>
          <w:p>
            <w:pPr>
              <w:shd w:val="clear"/>
              <w:spacing w:line="360" w:lineRule="auto"/>
              <w:rPr>
                <w:rFonts w:hint="eastAsia" w:ascii="宋体" w:hAnsi="宋体" w:cs="宋体"/>
                <w:color w:val="auto"/>
                <w:szCs w:val="21"/>
                <w:highlight w:val="none"/>
              </w:rPr>
            </w:pPr>
          </w:p>
        </w:tc>
        <w:tc>
          <w:tcPr>
            <w:tcW w:w="2039" w:type="dxa"/>
            <w:noWrap w:val="0"/>
            <w:vAlign w:val="center"/>
          </w:tcPr>
          <w:p>
            <w:pPr>
              <w:shd w:val="clear"/>
              <w:spacing w:line="360" w:lineRule="auto"/>
              <w:rPr>
                <w:rFonts w:hint="eastAsia" w:ascii="宋体" w:hAnsi="宋体" w:cs="宋体"/>
                <w:color w:val="auto"/>
                <w:szCs w:val="21"/>
                <w:highlight w:val="none"/>
              </w:rPr>
            </w:pPr>
          </w:p>
        </w:tc>
        <w:tc>
          <w:tcPr>
            <w:tcW w:w="595" w:type="dxa"/>
            <w:noWrap w:val="0"/>
            <w:vAlign w:val="center"/>
          </w:tcPr>
          <w:p>
            <w:pPr>
              <w:shd w:val="clear"/>
              <w:spacing w:line="360" w:lineRule="auto"/>
              <w:rPr>
                <w:rFonts w:hint="eastAsia" w:ascii="宋体" w:hAnsi="宋体" w:cs="宋体"/>
                <w:color w:val="auto"/>
                <w:szCs w:val="21"/>
                <w:highlight w:val="none"/>
              </w:rPr>
            </w:pPr>
          </w:p>
        </w:tc>
        <w:tc>
          <w:tcPr>
            <w:tcW w:w="564" w:type="dxa"/>
            <w:noWrap w:val="0"/>
            <w:vAlign w:val="center"/>
          </w:tcPr>
          <w:p>
            <w:pPr>
              <w:shd w:val="clear"/>
              <w:spacing w:line="360" w:lineRule="auto"/>
              <w:rPr>
                <w:rFonts w:hint="eastAsia" w:ascii="宋体" w:hAnsi="宋体" w:cs="宋体"/>
                <w:color w:val="auto"/>
                <w:szCs w:val="21"/>
                <w:highlight w:val="none"/>
              </w:rPr>
            </w:pPr>
          </w:p>
        </w:tc>
        <w:tc>
          <w:tcPr>
            <w:tcW w:w="941" w:type="dxa"/>
            <w:noWrap w:val="0"/>
            <w:vAlign w:val="center"/>
          </w:tcPr>
          <w:p>
            <w:pPr>
              <w:shd w:val="clear"/>
              <w:spacing w:line="360" w:lineRule="auto"/>
              <w:rPr>
                <w:rFonts w:hint="eastAsia" w:ascii="宋体" w:hAnsi="宋体" w:cs="宋体"/>
                <w:color w:val="auto"/>
                <w:szCs w:val="21"/>
                <w:highlight w:val="none"/>
              </w:rPr>
            </w:pPr>
          </w:p>
        </w:tc>
        <w:tc>
          <w:tcPr>
            <w:tcW w:w="1163" w:type="dxa"/>
            <w:noWrap w:val="0"/>
            <w:vAlign w:val="center"/>
          </w:tcPr>
          <w:p>
            <w:pPr>
              <w:shd w:val="clear"/>
              <w:spacing w:line="360" w:lineRule="auto"/>
              <w:rPr>
                <w:rFonts w:hint="eastAsia" w:ascii="宋体" w:hAnsi="宋体" w:cs="宋体"/>
                <w:color w:val="auto"/>
                <w:szCs w:val="21"/>
                <w:highlight w:val="none"/>
              </w:rPr>
            </w:pPr>
          </w:p>
        </w:tc>
        <w:tc>
          <w:tcPr>
            <w:tcW w:w="1317" w:type="dxa"/>
            <w:noWrap w:val="0"/>
            <w:vAlign w:val="center"/>
          </w:tcPr>
          <w:p>
            <w:pPr>
              <w:shd w:val="clear"/>
              <w:spacing w:line="360" w:lineRule="auto"/>
              <w:rPr>
                <w:rFonts w:hint="eastAsia" w:ascii="宋体" w:hAnsi="宋体" w:cs="宋体"/>
                <w:color w:val="auto"/>
                <w:szCs w:val="21"/>
                <w:highlight w:val="none"/>
              </w:rPr>
            </w:pPr>
          </w:p>
        </w:tc>
        <w:tc>
          <w:tcPr>
            <w:tcW w:w="1232" w:type="dxa"/>
            <w:tcBorders>
              <w:right w:val="single" w:color="auto" w:sz="12" w:space="0"/>
            </w:tcBorders>
            <w:noWrap w:val="0"/>
            <w:vAlign w:val="center"/>
          </w:tcPr>
          <w:p>
            <w:pPr>
              <w:shd w:val="clea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0"/>
            <w:vAlign w:val="center"/>
          </w:tcPr>
          <w:p>
            <w:pPr>
              <w:shd w:val="clear"/>
              <w:spacing w:line="360" w:lineRule="auto"/>
              <w:rPr>
                <w:rFonts w:hint="eastAsia" w:ascii="宋体" w:hAnsi="宋体" w:cs="宋体"/>
                <w:color w:val="auto"/>
                <w:szCs w:val="21"/>
                <w:highlight w:val="none"/>
              </w:rPr>
            </w:pPr>
          </w:p>
        </w:tc>
        <w:tc>
          <w:tcPr>
            <w:tcW w:w="2039" w:type="dxa"/>
            <w:noWrap w:val="0"/>
            <w:vAlign w:val="center"/>
          </w:tcPr>
          <w:p>
            <w:pPr>
              <w:shd w:val="clear"/>
              <w:spacing w:line="360" w:lineRule="auto"/>
              <w:rPr>
                <w:rFonts w:hint="eastAsia" w:ascii="宋体" w:hAnsi="宋体" w:cs="宋体"/>
                <w:color w:val="auto"/>
                <w:szCs w:val="21"/>
                <w:highlight w:val="none"/>
              </w:rPr>
            </w:pPr>
          </w:p>
        </w:tc>
        <w:tc>
          <w:tcPr>
            <w:tcW w:w="595" w:type="dxa"/>
            <w:noWrap w:val="0"/>
            <w:vAlign w:val="center"/>
          </w:tcPr>
          <w:p>
            <w:pPr>
              <w:shd w:val="clear"/>
              <w:spacing w:line="360" w:lineRule="auto"/>
              <w:rPr>
                <w:rFonts w:hint="eastAsia" w:ascii="宋体" w:hAnsi="宋体" w:cs="宋体"/>
                <w:color w:val="auto"/>
                <w:szCs w:val="21"/>
                <w:highlight w:val="none"/>
              </w:rPr>
            </w:pPr>
          </w:p>
        </w:tc>
        <w:tc>
          <w:tcPr>
            <w:tcW w:w="564" w:type="dxa"/>
            <w:noWrap w:val="0"/>
            <w:vAlign w:val="center"/>
          </w:tcPr>
          <w:p>
            <w:pPr>
              <w:shd w:val="clear"/>
              <w:spacing w:line="360" w:lineRule="auto"/>
              <w:rPr>
                <w:rFonts w:hint="eastAsia" w:ascii="宋体" w:hAnsi="宋体" w:cs="宋体"/>
                <w:color w:val="auto"/>
                <w:szCs w:val="21"/>
                <w:highlight w:val="none"/>
              </w:rPr>
            </w:pPr>
          </w:p>
        </w:tc>
        <w:tc>
          <w:tcPr>
            <w:tcW w:w="941" w:type="dxa"/>
            <w:noWrap w:val="0"/>
            <w:vAlign w:val="center"/>
          </w:tcPr>
          <w:p>
            <w:pPr>
              <w:shd w:val="clear"/>
              <w:spacing w:line="360" w:lineRule="auto"/>
              <w:rPr>
                <w:rFonts w:hint="eastAsia" w:ascii="宋体" w:hAnsi="宋体" w:cs="宋体"/>
                <w:color w:val="auto"/>
                <w:szCs w:val="21"/>
                <w:highlight w:val="none"/>
              </w:rPr>
            </w:pPr>
          </w:p>
        </w:tc>
        <w:tc>
          <w:tcPr>
            <w:tcW w:w="1163" w:type="dxa"/>
            <w:noWrap w:val="0"/>
            <w:vAlign w:val="center"/>
          </w:tcPr>
          <w:p>
            <w:pPr>
              <w:shd w:val="clear"/>
              <w:spacing w:line="360" w:lineRule="auto"/>
              <w:rPr>
                <w:rFonts w:hint="eastAsia" w:ascii="宋体" w:hAnsi="宋体" w:cs="宋体"/>
                <w:color w:val="auto"/>
                <w:szCs w:val="21"/>
                <w:highlight w:val="none"/>
              </w:rPr>
            </w:pPr>
          </w:p>
        </w:tc>
        <w:tc>
          <w:tcPr>
            <w:tcW w:w="1317" w:type="dxa"/>
            <w:noWrap w:val="0"/>
            <w:vAlign w:val="center"/>
          </w:tcPr>
          <w:p>
            <w:pPr>
              <w:shd w:val="clear"/>
              <w:spacing w:line="360" w:lineRule="auto"/>
              <w:rPr>
                <w:rFonts w:hint="eastAsia" w:ascii="宋体" w:hAnsi="宋体" w:cs="宋体"/>
                <w:color w:val="auto"/>
                <w:szCs w:val="21"/>
                <w:highlight w:val="none"/>
              </w:rPr>
            </w:pPr>
          </w:p>
        </w:tc>
        <w:tc>
          <w:tcPr>
            <w:tcW w:w="1232" w:type="dxa"/>
            <w:tcBorders>
              <w:right w:val="single" w:color="auto" w:sz="12" w:space="0"/>
            </w:tcBorders>
            <w:noWrap w:val="0"/>
            <w:vAlign w:val="center"/>
          </w:tcPr>
          <w:p>
            <w:pPr>
              <w:shd w:val="clea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0"/>
            <w:vAlign w:val="center"/>
          </w:tcPr>
          <w:p>
            <w:pPr>
              <w:shd w:val="clear"/>
              <w:spacing w:line="360" w:lineRule="auto"/>
              <w:rPr>
                <w:rFonts w:hint="eastAsia" w:ascii="宋体" w:hAnsi="宋体" w:cs="宋体"/>
                <w:color w:val="auto"/>
                <w:szCs w:val="21"/>
                <w:highlight w:val="none"/>
              </w:rPr>
            </w:pPr>
          </w:p>
        </w:tc>
        <w:tc>
          <w:tcPr>
            <w:tcW w:w="2039" w:type="dxa"/>
            <w:noWrap w:val="0"/>
            <w:vAlign w:val="center"/>
          </w:tcPr>
          <w:p>
            <w:pPr>
              <w:shd w:val="clear"/>
              <w:spacing w:line="360" w:lineRule="auto"/>
              <w:rPr>
                <w:rFonts w:hint="eastAsia" w:ascii="宋体" w:hAnsi="宋体" w:cs="宋体"/>
                <w:color w:val="auto"/>
                <w:szCs w:val="21"/>
                <w:highlight w:val="none"/>
              </w:rPr>
            </w:pPr>
          </w:p>
        </w:tc>
        <w:tc>
          <w:tcPr>
            <w:tcW w:w="595" w:type="dxa"/>
            <w:noWrap w:val="0"/>
            <w:vAlign w:val="center"/>
          </w:tcPr>
          <w:p>
            <w:pPr>
              <w:shd w:val="clear"/>
              <w:spacing w:line="360" w:lineRule="auto"/>
              <w:rPr>
                <w:rFonts w:hint="eastAsia" w:ascii="宋体" w:hAnsi="宋体" w:cs="宋体"/>
                <w:color w:val="auto"/>
                <w:szCs w:val="21"/>
                <w:highlight w:val="none"/>
              </w:rPr>
            </w:pPr>
          </w:p>
        </w:tc>
        <w:tc>
          <w:tcPr>
            <w:tcW w:w="564" w:type="dxa"/>
            <w:noWrap w:val="0"/>
            <w:vAlign w:val="center"/>
          </w:tcPr>
          <w:p>
            <w:pPr>
              <w:shd w:val="clear"/>
              <w:spacing w:line="360" w:lineRule="auto"/>
              <w:rPr>
                <w:rFonts w:hint="eastAsia" w:ascii="宋体" w:hAnsi="宋体" w:cs="宋体"/>
                <w:color w:val="auto"/>
                <w:szCs w:val="21"/>
                <w:highlight w:val="none"/>
              </w:rPr>
            </w:pPr>
          </w:p>
        </w:tc>
        <w:tc>
          <w:tcPr>
            <w:tcW w:w="941" w:type="dxa"/>
            <w:noWrap w:val="0"/>
            <w:vAlign w:val="center"/>
          </w:tcPr>
          <w:p>
            <w:pPr>
              <w:shd w:val="clear"/>
              <w:spacing w:line="360" w:lineRule="auto"/>
              <w:rPr>
                <w:rFonts w:hint="eastAsia" w:ascii="宋体" w:hAnsi="宋体" w:cs="宋体"/>
                <w:color w:val="auto"/>
                <w:szCs w:val="21"/>
                <w:highlight w:val="none"/>
              </w:rPr>
            </w:pPr>
          </w:p>
        </w:tc>
        <w:tc>
          <w:tcPr>
            <w:tcW w:w="1163" w:type="dxa"/>
            <w:noWrap w:val="0"/>
            <w:vAlign w:val="center"/>
          </w:tcPr>
          <w:p>
            <w:pPr>
              <w:shd w:val="clear"/>
              <w:spacing w:line="360" w:lineRule="auto"/>
              <w:rPr>
                <w:rFonts w:hint="eastAsia" w:ascii="宋体" w:hAnsi="宋体" w:cs="宋体"/>
                <w:color w:val="auto"/>
                <w:szCs w:val="21"/>
                <w:highlight w:val="none"/>
              </w:rPr>
            </w:pPr>
          </w:p>
        </w:tc>
        <w:tc>
          <w:tcPr>
            <w:tcW w:w="1317" w:type="dxa"/>
            <w:noWrap w:val="0"/>
            <w:vAlign w:val="center"/>
          </w:tcPr>
          <w:p>
            <w:pPr>
              <w:shd w:val="clear"/>
              <w:spacing w:line="360" w:lineRule="auto"/>
              <w:rPr>
                <w:rFonts w:hint="eastAsia" w:ascii="宋体" w:hAnsi="宋体" w:cs="宋体"/>
                <w:color w:val="auto"/>
                <w:szCs w:val="21"/>
                <w:highlight w:val="none"/>
              </w:rPr>
            </w:pPr>
          </w:p>
        </w:tc>
        <w:tc>
          <w:tcPr>
            <w:tcW w:w="1232" w:type="dxa"/>
            <w:tcBorders>
              <w:right w:val="single" w:color="auto" w:sz="12" w:space="0"/>
            </w:tcBorders>
            <w:noWrap w:val="0"/>
            <w:vAlign w:val="center"/>
          </w:tcPr>
          <w:p>
            <w:pPr>
              <w:shd w:val="clea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0"/>
            <w:vAlign w:val="center"/>
          </w:tcPr>
          <w:p>
            <w:pPr>
              <w:shd w:val="clear"/>
              <w:spacing w:line="360" w:lineRule="auto"/>
              <w:rPr>
                <w:rFonts w:hint="eastAsia" w:ascii="宋体" w:hAnsi="宋体" w:cs="宋体"/>
                <w:color w:val="auto"/>
                <w:szCs w:val="21"/>
                <w:highlight w:val="none"/>
              </w:rPr>
            </w:pPr>
          </w:p>
        </w:tc>
        <w:tc>
          <w:tcPr>
            <w:tcW w:w="2039" w:type="dxa"/>
            <w:noWrap w:val="0"/>
            <w:vAlign w:val="center"/>
          </w:tcPr>
          <w:p>
            <w:pPr>
              <w:shd w:val="clear"/>
              <w:spacing w:line="360" w:lineRule="auto"/>
              <w:rPr>
                <w:rFonts w:hint="eastAsia" w:ascii="宋体" w:hAnsi="宋体" w:cs="宋体"/>
                <w:color w:val="auto"/>
                <w:szCs w:val="21"/>
                <w:highlight w:val="none"/>
              </w:rPr>
            </w:pPr>
          </w:p>
        </w:tc>
        <w:tc>
          <w:tcPr>
            <w:tcW w:w="595" w:type="dxa"/>
            <w:noWrap w:val="0"/>
            <w:vAlign w:val="center"/>
          </w:tcPr>
          <w:p>
            <w:pPr>
              <w:shd w:val="clear"/>
              <w:spacing w:line="360" w:lineRule="auto"/>
              <w:rPr>
                <w:rFonts w:hint="eastAsia" w:ascii="宋体" w:hAnsi="宋体" w:cs="宋体"/>
                <w:color w:val="auto"/>
                <w:szCs w:val="21"/>
                <w:highlight w:val="none"/>
              </w:rPr>
            </w:pPr>
          </w:p>
        </w:tc>
        <w:tc>
          <w:tcPr>
            <w:tcW w:w="564" w:type="dxa"/>
            <w:noWrap w:val="0"/>
            <w:vAlign w:val="center"/>
          </w:tcPr>
          <w:p>
            <w:pPr>
              <w:shd w:val="clear"/>
              <w:spacing w:line="360" w:lineRule="auto"/>
              <w:rPr>
                <w:rFonts w:hint="eastAsia" w:ascii="宋体" w:hAnsi="宋体" w:cs="宋体"/>
                <w:color w:val="auto"/>
                <w:szCs w:val="21"/>
                <w:highlight w:val="none"/>
              </w:rPr>
            </w:pPr>
          </w:p>
        </w:tc>
        <w:tc>
          <w:tcPr>
            <w:tcW w:w="941" w:type="dxa"/>
            <w:noWrap w:val="0"/>
            <w:vAlign w:val="center"/>
          </w:tcPr>
          <w:p>
            <w:pPr>
              <w:shd w:val="clear"/>
              <w:spacing w:line="360" w:lineRule="auto"/>
              <w:rPr>
                <w:rFonts w:hint="eastAsia" w:ascii="宋体" w:hAnsi="宋体" w:cs="宋体"/>
                <w:color w:val="auto"/>
                <w:szCs w:val="21"/>
                <w:highlight w:val="none"/>
              </w:rPr>
            </w:pPr>
          </w:p>
        </w:tc>
        <w:tc>
          <w:tcPr>
            <w:tcW w:w="1163" w:type="dxa"/>
            <w:noWrap w:val="0"/>
            <w:vAlign w:val="center"/>
          </w:tcPr>
          <w:p>
            <w:pPr>
              <w:shd w:val="clear"/>
              <w:spacing w:line="360" w:lineRule="auto"/>
              <w:rPr>
                <w:rFonts w:hint="eastAsia" w:ascii="宋体" w:hAnsi="宋体" w:cs="宋体"/>
                <w:color w:val="auto"/>
                <w:szCs w:val="21"/>
                <w:highlight w:val="none"/>
              </w:rPr>
            </w:pPr>
          </w:p>
        </w:tc>
        <w:tc>
          <w:tcPr>
            <w:tcW w:w="1317" w:type="dxa"/>
            <w:noWrap w:val="0"/>
            <w:vAlign w:val="center"/>
          </w:tcPr>
          <w:p>
            <w:pPr>
              <w:shd w:val="clear"/>
              <w:spacing w:line="360" w:lineRule="auto"/>
              <w:rPr>
                <w:rFonts w:hint="eastAsia" w:ascii="宋体" w:hAnsi="宋体" w:cs="宋体"/>
                <w:color w:val="auto"/>
                <w:szCs w:val="21"/>
                <w:highlight w:val="none"/>
              </w:rPr>
            </w:pPr>
          </w:p>
        </w:tc>
        <w:tc>
          <w:tcPr>
            <w:tcW w:w="1232" w:type="dxa"/>
            <w:tcBorders>
              <w:right w:val="single" w:color="auto" w:sz="12" w:space="0"/>
            </w:tcBorders>
            <w:noWrap w:val="0"/>
            <w:vAlign w:val="center"/>
          </w:tcPr>
          <w:p>
            <w:pPr>
              <w:shd w:val="clea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0"/>
            <w:vAlign w:val="center"/>
          </w:tcPr>
          <w:p>
            <w:pPr>
              <w:shd w:val="clear"/>
              <w:spacing w:line="360" w:lineRule="auto"/>
              <w:rPr>
                <w:rFonts w:hint="eastAsia" w:ascii="宋体" w:hAnsi="宋体" w:cs="宋体"/>
                <w:color w:val="auto"/>
                <w:szCs w:val="21"/>
                <w:highlight w:val="none"/>
              </w:rPr>
            </w:pPr>
          </w:p>
        </w:tc>
        <w:tc>
          <w:tcPr>
            <w:tcW w:w="2039" w:type="dxa"/>
            <w:noWrap w:val="0"/>
            <w:vAlign w:val="center"/>
          </w:tcPr>
          <w:p>
            <w:pPr>
              <w:shd w:val="clear"/>
              <w:spacing w:line="360" w:lineRule="auto"/>
              <w:rPr>
                <w:rFonts w:hint="eastAsia" w:ascii="宋体" w:hAnsi="宋体" w:cs="宋体"/>
                <w:color w:val="auto"/>
                <w:szCs w:val="21"/>
                <w:highlight w:val="none"/>
              </w:rPr>
            </w:pPr>
          </w:p>
        </w:tc>
        <w:tc>
          <w:tcPr>
            <w:tcW w:w="595" w:type="dxa"/>
            <w:noWrap w:val="0"/>
            <w:vAlign w:val="center"/>
          </w:tcPr>
          <w:p>
            <w:pPr>
              <w:shd w:val="clear"/>
              <w:spacing w:line="360" w:lineRule="auto"/>
              <w:rPr>
                <w:rFonts w:hint="eastAsia" w:ascii="宋体" w:hAnsi="宋体" w:cs="宋体"/>
                <w:color w:val="auto"/>
                <w:szCs w:val="21"/>
                <w:highlight w:val="none"/>
              </w:rPr>
            </w:pPr>
          </w:p>
        </w:tc>
        <w:tc>
          <w:tcPr>
            <w:tcW w:w="564" w:type="dxa"/>
            <w:noWrap w:val="0"/>
            <w:vAlign w:val="center"/>
          </w:tcPr>
          <w:p>
            <w:pPr>
              <w:shd w:val="clear"/>
              <w:spacing w:line="360" w:lineRule="auto"/>
              <w:rPr>
                <w:rFonts w:hint="eastAsia" w:ascii="宋体" w:hAnsi="宋体" w:cs="宋体"/>
                <w:color w:val="auto"/>
                <w:szCs w:val="21"/>
                <w:highlight w:val="none"/>
              </w:rPr>
            </w:pPr>
          </w:p>
        </w:tc>
        <w:tc>
          <w:tcPr>
            <w:tcW w:w="941" w:type="dxa"/>
            <w:noWrap w:val="0"/>
            <w:vAlign w:val="center"/>
          </w:tcPr>
          <w:p>
            <w:pPr>
              <w:shd w:val="clear"/>
              <w:spacing w:line="360" w:lineRule="auto"/>
              <w:rPr>
                <w:rFonts w:hint="eastAsia" w:ascii="宋体" w:hAnsi="宋体" w:cs="宋体"/>
                <w:color w:val="auto"/>
                <w:szCs w:val="21"/>
                <w:highlight w:val="none"/>
              </w:rPr>
            </w:pPr>
          </w:p>
        </w:tc>
        <w:tc>
          <w:tcPr>
            <w:tcW w:w="1163" w:type="dxa"/>
            <w:noWrap w:val="0"/>
            <w:vAlign w:val="center"/>
          </w:tcPr>
          <w:p>
            <w:pPr>
              <w:shd w:val="clear"/>
              <w:spacing w:line="360" w:lineRule="auto"/>
              <w:rPr>
                <w:rFonts w:hint="eastAsia" w:ascii="宋体" w:hAnsi="宋体" w:cs="宋体"/>
                <w:color w:val="auto"/>
                <w:szCs w:val="21"/>
                <w:highlight w:val="none"/>
              </w:rPr>
            </w:pPr>
          </w:p>
        </w:tc>
        <w:tc>
          <w:tcPr>
            <w:tcW w:w="1317" w:type="dxa"/>
            <w:noWrap w:val="0"/>
            <w:vAlign w:val="center"/>
          </w:tcPr>
          <w:p>
            <w:pPr>
              <w:shd w:val="clear"/>
              <w:spacing w:line="360" w:lineRule="auto"/>
              <w:rPr>
                <w:rFonts w:hint="eastAsia" w:ascii="宋体" w:hAnsi="宋体" w:cs="宋体"/>
                <w:color w:val="auto"/>
                <w:szCs w:val="21"/>
                <w:highlight w:val="none"/>
              </w:rPr>
            </w:pPr>
          </w:p>
        </w:tc>
        <w:tc>
          <w:tcPr>
            <w:tcW w:w="1232" w:type="dxa"/>
            <w:tcBorders>
              <w:right w:val="single" w:color="auto" w:sz="12" w:space="0"/>
            </w:tcBorders>
            <w:noWrap w:val="0"/>
            <w:vAlign w:val="center"/>
          </w:tcPr>
          <w:p>
            <w:pPr>
              <w:shd w:val="clea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8904" w:type="dxa"/>
            <w:gridSpan w:val="8"/>
            <w:tcBorders>
              <w:left w:val="single" w:color="auto" w:sz="12" w:space="0"/>
              <w:bottom w:val="single" w:color="auto" w:sz="12" w:space="0"/>
              <w:right w:val="single" w:color="auto" w:sz="12" w:space="0"/>
            </w:tcBorders>
            <w:noWrap w:val="0"/>
            <w:vAlign w:val="center"/>
          </w:tcPr>
          <w:p>
            <w:pPr>
              <w:shd w:val="clea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w:t>
            </w:r>
          </w:p>
        </w:tc>
      </w:tr>
    </w:tbl>
    <w:p>
      <w:pPr>
        <w:shd w:val="clear"/>
        <w:snapToGrid w:val="0"/>
        <w:spacing w:line="440" w:lineRule="exact"/>
        <w:rPr>
          <w:rFonts w:hint="eastAsia" w:ascii="宋体" w:hAnsi="宋体" w:cs="宋体"/>
          <w:color w:val="auto"/>
          <w:szCs w:val="21"/>
          <w:highlight w:val="none"/>
          <w:u w:val="single"/>
        </w:rPr>
      </w:pPr>
      <w:r>
        <w:rPr>
          <w:rFonts w:hint="eastAsia" w:ascii="宋体" w:hAnsi="宋体" w:cs="宋体"/>
          <w:color w:val="auto"/>
          <w:szCs w:val="21"/>
          <w:highlight w:val="none"/>
        </w:rPr>
        <w:t>授权代表签名：</w:t>
      </w:r>
      <w:r>
        <w:rPr>
          <w:rFonts w:hint="eastAsia" w:ascii="宋体" w:hAnsi="宋体" w:cs="宋体"/>
          <w:color w:val="auto"/>
          <w:szCs w:val="21"/>
          <w:highlight w:val="none"/>
          <w:u w:val="single"/>
        </w:rPr>
        <w:t xml:space="preserve">             </w:t>
      </w:r>
    </w:p>
    <w:p>
      <w:pPr>
        <w:pStyle w:val="12"/>
        <w:shd w:val="clear"/>
        <w:adjustRightInd w:val="0"/>
        <w:snapToGrid w:val="0"/>
        <w:spacing w:after="0" w:line="440" w:lineRule="exact"/>
        <w:rPr>
          <w:rFonts w:hint="eastAsia" w:ascii="宋体" w:hAnsi="宋体" w:cs="宋体"/>
          <w:color w:val="auto"/>
          <w:szCs w:val="21"/>
          <w:highlight w:val="none"/>
        </w:rPr>
      </w:pPr>
      <w:r>
        <w:rPr>
          <w:rFonts w:hint="eastAsia" w:ascii="宋体" w:hAnsi="宋体" w:cs="宋体"/>
          <w:color w:val="auto"/>
          <w:szCs w:val="21"/>
          <w:highlight w:val="none"/>
        </w:rPr>
        <w:t>投标人盖章：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hd w:val="clear"/>
        <w:adjustRightInd w:val="0"/>
        <w:snapToGrid w:val="0"/>
        <w:spacing w:line="440" w:lineRule="exact"/>
        <w:rPr>
          <w:rFonts w:hint="eastAsia" w:ascii="宋体" w:hAnsi="宋体" w:cs="宋体"/>
          <w:bCs/>
          <w:color w:val="auto"/>
          <w:szCs w:val="21"/>
          <w:highlight w:val="none"/>
        </w:rPr>
      </w:pP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w:t>
      </w:r>
    </w:p>
    <w:p>
      <w:pPr>
        <w:shd w:val="clear"/>
        <w:adjustRightInd w:val="0"/>
        <w:snapToGrid w:val="0"/>
        <w:spacing w:line="440" w:lineRule="exact"/>
        <w:rPr>
          <w:rFonts w:hint="eastAsia" w:ascii="宋体" w:hAnsi="宋体" w:cs="宋体"/>
          <w:bCs/>
          <w:color w:val="auto"/>
          <w:szCs w:val="21"/>
          <w:highlight w:val="none"/>
        </w:rPr>
      </w:pPr>
    </w:p>
    <w:p>
      <w:pPr>
        <w:shd w:val="clea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注：1、按评分标准细则提供。</w:t>
      </w:r>
    </w:p>
    <w:p>
      <w:pPr>
        <w:shd w:val="clear"/>
        <w:ind w:firstLine="482" w:firstLineChars="200"/>
        <w:rPr>
          <w:rFonts w:hint="eastAsia" w:ascii="宋体" w:hAnsi="宋体" w:cs="宋体"/>
          <w:b/>
          <w:color w:val="auto"/>
          <w:sz w:val="24"/>
          <w:highlight w:val="none"/>
          <w:shd w:val="clear" w:color="auto" w:fill="FFFF00"/>
        </w:rPr>
      </w:pPr>
    </w:p>
    <w:p>
      <w:pPr>
        <w:shd w:val="clear"/>
        <w:ind w:firstLine="482" w:firstLineChars="200"/>
        <w:rPr>
          <w:rFonts w:hint="eastAsia" w:ascii="宋体" w:hAnsi="宋体" w:cs="宋体"/>
          <w:b/>
          <w:color w:val="auto"/>
          <w:sz w:val="24"/>
          <w:highlight w:val="none"/>
          <w:shd w:val="clear" w:color="auto" w:fill="FFFF00"/>
        </w:rPr>
      </w:pPr>
    </w:p>
    <w:p>
      <w:pPr>
        <w:shd w:val="clear"/>
        <w:ind w:firstLine="482" w:firstLineChars="200"/>
        <w:rPr>
          <w:rFonts w:hint="eastAsia" w:ascii="宋体" w:hAnsi="宋体" w:cs="宋体"/>
          <w:b/>
          <w:color w:val="auto"/>
          <w:sz w:val="24"/>
          <w:highlight w:val="none"/>
          <w:shd w:val="clear" w:color="auto" w:fill="FFFF00"/>
        </w:rPr>
      </w:pPr>
    </w:p>
    <w:p>
      <w:pPr>
        <w:shd w:val="clear"/>
        <w:ind w:firstLine="482" w:firstLineChars="200"/>
        <w:rPr>
          <w:rFonts w:hint="eastAsia" w:ascii="宋体" w:hAnsi="宋体" w:cs="宋体"/>
          <w:b/>
          <w:color w:val="auto"/>
          <w:sz w:val="24"/>
          <w:highlight w:val="none"/>
          <w:shd w:val="clear" w:color="auto" w:fill="FFFF00"/>
        </w:rPr>
      </w:pPr>
    </w:p>
    <w:p>
      <w:pPr>
        <w:shd w:val="clear"/>
        <w:adjustRightInd w:val="0"/>
        <w:snapToGrid w:val="0"/>
        <w:jc w:val="left"/>
        <w:rPr>
          <w:rFonts w:hint="eastAsia" w:ascii="宋体" w:hAnsi="宋体" w:cs="宋体"/>
          <w:color w:val="auto"/>
          <w:sz w:val="24"/>
          <w:highlight w:val="none"/>
          <w:lang w:val="en-US" w:eastAsia="zh-CN"/>
        </w:rPr>
      </w:pPr>
    </w:p>
    <w:p>
      <w:pPr>
        <w:shd w:val="clear"/>
        <w:adjustRightInd w:val="0"/>
        <w:snapToGrid w:val="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、项目负责人一览表</w:t>
      </w:r>
    </w:p>
    <w:p>
      <w:pPr>
        <w:shd w:val="clear"/>
        <w:adjustRightInd w:val="0"/>
        <w:snapToGrid w:val="0"/>
        <w:spacing w:line="44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项目负责人一览表</w:t>
      </w:r>
    </w:p>
    <w:p>
      <w:pPr>
        <w:shd w:val="clear"/>
        <w:spacing w:line="360" w:lineRule="auto"/>
        <w:ind w:right="658"/>
        <w:rPr>
          <w:rFonts w:hint="eastAsia" w:ascii="宋体" w:hAnsi="宋体" w:cs="宋体"/>
          <w:color w:val="auto"/>
          <w:sz w:val="24"/>
          <w:highlight w:val="none"/>
        </w:rPr>
      </w:pPr>
    </w:p>
    <w:p>
      <w:pPr>
        <w:shd w:val="clear"/>
        <w:spacing w:line="360" w:lineRule="auto"/>
        <w:ind w:right="658"/>
        <w:rPr>
          <w:rFonts w:hint="eastAsia" w:ascii="宋体" w:hAnsi="宋体" w:cs="宋体"/>
          <w:color w:val="auto"/>
          <w:sz w:val="24"/>
          <w:highlight w:val="none"/>
          <w:u w:val="single"/>
        </w:rPr>
      </w:pPr>
      <w:r>
        <w:rPr>
          <w:rFonts w:hint="eastAsia" w:ascii="宋体" w:hAnsi="宋体" w:cs="宋体"/>
          <w:color w:val="auto"/>
          <w:sz w:val="24"/>
          <w:highlight w:val="none"/>
        </w:rPr>
        <w:t>项目名称：                项目编号：</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800"/>
        <w:gridCol w:w="1457"/>
        <w:gridCol w:w="349"/>
        <w:gridCol w:w="200"/>
        <w:gridCol w:w="903"/>
        <w:gridCol w:w="356"/>
        <w:gridCol w:w="1209"/>
        <w:gridCol w:w="897"/>
        <w:gridCol w:w="264"/>
        <w:gridCol w:w="451"/>
        <w:gridCol w:w="1483"/>
        <w:gridCol w:w="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2806" w:type="dxa"/>
            <w:gridSpan w:val="4"/>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c>
          <w:tcPr>
            <w:tcW w:w="1161" w:type="dxa"/>
            <w:gridSpan w:val="2"/>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1934" w:type="dxa"/>
            <w:gridSpan w:val="2"/>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3"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职务</w:t>
            </w:r>
          </w:p>
        </w:tc>
        <w:tc>
          <w:tcPr>
            <w:tcW w:w="2806" w:type="dxa"/>
            <w:gridSpan w:val="4"/>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职称</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c>
          <w:tcPr>
            <w:tcW w:w="1161" w:type="dxa"/>
            <w:gridSpan w:val="2"/>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学历</w:t>
            </w:r>
          </w:p>
        </w:tc>
        <w:tc>
          <w:tcPr>
            <w:tcW w:w="1934" w:type="dxa"/>
            <w:gridSpan w:val="2"/>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048" w:type="dxa"/>
            <w:gridSpan w:val="3"/>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参加工作时间</w:t>
            </w:r>
          </w:p>
        </w:tc>
        <w:tc>
          <w:tcPr>
            <w:tcW w:w="1808" w:type="dxa"/>
            <w:gridSpan w:val="4"/>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c>
          <w:tcPr>
            <w:tcW w:w="2821" w:type="dxa"/>
            <w:gridSpan w:val="4"/>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担任项目负责人年限</w:t>
            </w:r>
          </w:p>
        </w:tc>
        <w:tc>
          <w:tcPr>
            <w:tcW w:w="1498" w:type="dxa"/>
            <w:gridSpan w:val="2"/>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68" w:hRule="atLeast"/>
          <w:jc w:val="center"/>
        </w:trPr>
        <w:tc>
          <w:tcPr>
            <w:tcW w:w="3048" w:type="dxa"/>
            <w:gridSpan w:val="3"/>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 xml:space="preserve"> 资格证书名称、编号</w:t>
            </w:r>
          </w:p>
        </w:tc>
        <w:tc>
          <w:tcPr>
            <w:tcW w:w="6112" w:type="dxa"/>
            <w:gridSpan w:val="9"/>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0" w:hRule="atLeast"/>
          <w:jc w:val="center"/>
        </w:trPr>
        <w:tc>
          <w:tcPr>
            <w:tcW w:w="9160" w:type="dxa"/>
            <w:gridSpan w:val="12"/>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同类项目业绩情况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业主</w:t>
            </w:r>
            <w:r>
              <w:rPr>
                <w:rFonts w:hint="eastAsia" w:ascii="宋体" w:hAnsi="宋体" w:cs="宋体"/>
                <w:color w:val="auto"/>
                <w:sz w:val="24"/>
                <w:highlight w:val="none"/>
              </w:rPr>
              <w:t>单位</w:t>
            </w:r>
          </w:p>
        </w:tc>
        <w:tc>
          <w:tcPr>
            <w:tcW w:w="1806" w:type="dxa"/>
            <w:gridSpan w:val="2"/>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1459" w:type="dxa"/>
            <w:gridSpan w:val="3"/>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项目地点</w:t>
            </w:r>
          </w:p>
        </w:tc>
        <w:tc>
          <w:tcPr>
            <w:tcW w:w="2106" w:type="dxa"/>
            <w:gridSpan w:val="2"/>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建设</w:t>
            </w:r>
            <w:r>
              <w:rPr>
                <w:rFonts w:hint="eastAsia" w:ascii="宋体" w:hAnsi="宋体" w:cs="宋体"/>
                <w:color w:val="auto"/>
                <w:sz w:val="24"/>
                <w:highlight w:val="none"/>
              </w:rPr>
              <w:t>日期</w:t>
            </w:r>
          </w:p>
        </w:tc>
        <w:tc>
          <w:tcPr>
            <w:tcW w:w="2198" w:type="dxa"/>
            <w:gridSpan w:val="3"/>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sz w:val="24"/>
                <w:highlight w:val="none"/>
              </w:rPr>
            </w:pPr>
          </w:p>
        </w:tc>
      </w:tr>
    </w:tbl>
    <w:p>
      <w:pPr>
        <w:shd w:val="clear"/>
        <w:snapToGrid w:val="0"/>
        <w:spacing w:line="440" w:lineRule="exact"/>
        <w:rPr>
          <w:rFonts w:hint="eastAsia" w:ascii="宋体" w:hAnsi="宋体" w:cs="宋体"/>
          <w:color w:val="auto"/>
          <w:szCs w:val="21"/>
          <w:highlight w:val="none"/>
        </w:rPr>
      </w:pPr>
    </w:p>
    <w:p>
      <w:pPr>
        <w:shd w:val="clear"/>
        <w:snapToGrid w:val="0"/>
        <w:spacing w:line="440" w:lineRule="exact"/>
        <w:rPr>
          <w:rFonts w:hint="eastAsia" w:ascii="宋体" w:hAnsi="宋体" w:cs="宋体"/>
          <w:color w:val="auto"/>
          <w:szCs w:val="21"/>
          <w:highlight w:val="none"/>
          <w:u w:val="single"/>
        </w:rPr>
      </w:pPr>
      <w:r>
        <w:rPr>
          <w:rFonts w:hint="eastAsia" w:ascii="宋体" w:hAnsi="宋体" w:cs="宋体"/>
          <w:color w:val="auto"/>
          <w:szCs w:val="21"/>
          <w:highlight w:val="none"/>
        </w:rPr>
        <w:t>授权代表签名：</w:t>
      </w:r>
      <w:r>
        <w:rPr>
          <w:rFonts w:hint="eastAsia" w:ascii="宋体" w:hAnsi="宋体" w:cs="宋体"/>
          <w:color w:val="auto"/>
          <w:szCs w:val="21"/>
          <w:highlight w:val="none"/>
          <w:u w:val="single"/>
        </w:rPr>
        <w:t xml:space="preserve">             </w:t>
      </w:r>
    </w:p>
    <w:p>
      <w:pPr>
        <w:pStyle w:val="12"/>
        <w:shd w:val="clear"/>
        <w:adjustRightInd w:val="0"/>
        <w:snapToGrid w:val="0"/>
        <w:spacing w:after="0" w:line="440" w:lineRule="exact"/>
        <w:rPr>
          <w:rFonts w:hint="eastAsia" w:ascii="宋体" w:hAnsi="宋体" w:cs="宋体"/>
          <w:color w:val="auto"/>
          <w:szCs w:val="21"/>
          <w:highlight w:val="none"/>
        </w:rPr>
      </w:pPr>
      <w:r>
        <w:rPr>
          <w:rFonts w:hint="eastAsia" w:ascii="宋体" w:hAnsi="宋体" w:cs="宋体"/>
          <w:color w:val="auto"/>
          <w:szCs w:val="21"/>
          <w:highlight w:val="none"/>
        </w:rPr>
        <w:t>投标人盖章：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hd w:val="clear"/>
        <w:adjustRightInd w:val="0"/>
        <w:snapToGrid w:val="0"/>
        <w:spacing w:line="440" w:lineRule="exact"/>
        <w:rPr>
          <w:rFonts w:hint="eastAsia" w:ascii="宋体" w:hAnsi="宋体" w:cs="宋体"/>
          <w:bCs/>
          <w:color w:val="auto"/>
          <w:szCs w:val="21"/>
          <w:highlight w:val="none"/>
        </w:rPr>
      </w:pP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w:t>
      </w:r>
    </w:p>
    <w:p>
      <w:pPr>
        <w:shd w:val="clear"/>
        <w:adjustRightInd w:val="0"/>
        <w:snapToGrid w:val="0"/>
        <w:spacing w:line="440" w:lineRule="exact"/>
        <w:rPr>
          <w:rFonts w:hint="eastAsia" w:ascii="宋体" w:hAnsi="宋体" w:cs="宋体"/>
          <w:bCs/>
          <w:color w:val="auto"/>
          <w:szCs w:val="21"/>
          <w:highlight w:val="none"/>
        </w:rPr>
      </w:pPr>
    </w:p>
    <w:p>
      <w:pPr>
        <w:shd w:val="clear"/>
        <w:spacing w:line="360" w:lineRule="auto"/>
        <w:ind w:right="658"/>
        <w:rPr>
          <w:rFonts w:hint="eastAsia" w:ascii="宋体" w:hAnsi="宋体" w:cs="宋体"/>
          <w:color w:val="auto"/>
          <w:sz w:val="24"/>
          <w:highlight w:val="none"/>
        </w:rPr>
      </w:pPr>
      <w:r>
        <w:rPr>
          <w:rFonts w:hint="eastAsia" w:ascii="宋体" w:hAnsi="宋体" w:cs="宋体"/>
          <w:color w:val="auto"/>
          <w:sz w:val="24"/>
          <w:highlight w:val="none"/>
        </w:rPr>
        <w:t>注：后附符合招标文件要求的项目负责人有效的资质证书或业绩证明材料，社保缴纳证明材料（按评分要求提供）。</w:t>
      </w:r>
    </w:p>
    <w:p>
      <w:pPr>
        <w:pStyle w:val="60"/>
        <w:shd w:val="clear"/>
        <w:rPr>
          <w:rFonts w:hint="eastAsia" w:ascii="宋体" w:hAnsi="宋体" w:cs="宋体"/>
          <w:color w:val="auto"/>
          <w:sz w:val="24"/>
          <w:highlight w:val="none"/>
        </w:rPr>
      </w:pPr>
    </w:p>
    <w:p>
      <w:pPr>
        <w:pStyle w:val="60"/>
        <w:shd w:val="clear"/>
        <w:rPr>
          <w:rFonts w:hint="eastAsia" w:ascii="宋体" w:hAnsi="宋体" w:cs="宋体"/>
          <w:color w:val="auto"/>
          <w:sz w:val="24"/>
          <w:highlight w:val="none"/>
        </w:rPr>
      </w:pPr>
    </w:p>
    <w:p>
      <w:pPr>
        <w:pStyle w:val="60"/>
        <w:shd w:val="clear"/>
        <w:rPr>
          <w:rFonts w:hint="eastAsia" w:ascii="宋体" w:hAnsi="宋体" w:cs="宋体"/>
          <w:color w:val="auto"/>
          <w:sz w:val="24"/>
          <w:highlight w:val="none"/>
        </w:rPr>
      </w:pPr>
    </w:p>
    <w:p>
      <w:pPr>
        <w:pStyle w:val="60"/>
        <w:shd w:val="clear"/>
        <w:rPr>
          <w:rFonts w:hint="eastAsia" w:ascii="宋体" w:hAnsi="宋体" w:cs="宋体"/>
          <w:color w:val="auto"/>
          <w:sz w:val="24"/>
          <w:highlight w:val="none"/>
        </w:rPr>
      </w:pPr>
    </w:p>
    <w:p>
      <w:pPr>
        <w:pStyle w:val="60"/>
        <w:shd w:val="clear"/>
        <w:rPr>
          <w:rFonts w:hint="eastAsia" w:ascii="宋体" w:hAnsi="宋体" w:cs="宋体"/>
          <w:color w:val="auto"/>
          <w:sz w:val="24"/>
          <w:highlight w:val="none"/>
        </w:rPr>
      </w:pPr>
    </w:p>
    <w:p>
      <w:pPr>
        <w:shd w:val="clear"/>
        <w:adjustRightInd w:val="0"/>
        <w:snapToGrid w:val="0"/>
        <w:jc w:val="left"/>
        <w:rPr>
          <w:rFonts w:hint="eastAsia" w:ascii="宋体" w:hAnsi="宋体" w:cs="宋体"/>
          <w:color w:val="auto"/>
          <w:sz w:val="24"/>
          <w:highlight w:val="none"/>
        </w:rPr>
      </w:pPr>
    </w:p>
    <w:p>
      <w:pPr>
        <w:shd w:val="clear"/>
        <w:adjustRightInd w:val="0"/>
        <w:snapToGrid w:val="0"/>
        <w:jc w:val="left"/>
        <w:rPr>
          <w:rFonts w:hint="eastAsia" w:ascii="宋体" w:hAnsi="宋体" w:cs="宋体"/>
          <w:color w:val="auto"/>
          <w:sz w:val="24"/>
          <w:highlight w:val="none"/>
        </w:rPr>
      </w:pPr>
    </w:p>
    <w:p>
      <w:pPr>
        <w:pStyle w:val="5"/>
        <w:shd w:val="clear"/>
        <w:jc w:val="center"/>
        <w:rPr>
          <w:rFonts w:hint="eastAsia" w:ascii="宋体" w:hAnsi="宋体" w:eastAsia="宋体" w:cs="宋体"/>
          <w:color w:val="auto"/>
          <w:sz w:val="28"/>
          <w:szCs w:val="28"/>
          <w:highlight w:val="none"/>
        </w:rPr>
      </w:pPr>
      <w:bookmarkStart w:id="183" w:name="_Toc95211199"/>
      <w:bookmarkStart w:id="184" w:name="_Toc30195"/>
      <w:bookmarkStart w:id="185" w:name="_Toc5232"/>
      <w:bookmarkStart w:id="186" w:name="_Toc15923"/>
      <w:bookmarkStart w:id="187" w:name="_Toc13626"/>
      <w:bookmarkStart w:id="188" w:name="_Toc14504"/>
      <w:bookmarkStart w:id="189" w:name="_Toc4910"/>
      <w:r>
        <w:rPr>
          <w:rFonts w:hint="eastAsia" w:ascii="宋体" w:hAnsi="宋体" w:eastAsia="宋体" w:cs="宋体"/>
          <w:color w:val="auto"/>
          <w:sz w:val="28"/>
          <w:szCs w:val="28"/>
          <w:highlight w:val="none"/>
        </w:rPr>
        <w:t>三、报价文件格式</w:t>
      </w:r>
      <w:bookmarkEnd w:id="183"/>
      <w:bookmarkEnd w:id="184"/>
      <w:bookmarkEnd w:id="185"/>
      <w:bookmarkEnd w:id="186"/>
      <w:bookmarkEnd w:id="187"/>
      <w:bookmarkEnd w:id="188"/>
      <w:bookmarkEnd w:id="189"/>
    </w:p>
    <w:p>
      <w:pPr>
        <w:shd w:val="clear"/>
        <w:adjustRightInd w:val="0"/>
        <w:snapToGrid w:val="0"/>
        <w:rPr>
          <w:rFonts w:hint="eastAsia" w:ascii="宋体" w:hAnsi="宋体" w:cs="宋体"/>
          <w:bCs/>
          <w:color w:val="auto"/>
          <w:sz w:val="24"/>
          <w:highlight w:val="none"/>
        </w:rPr>
      </w:pPr>
    </w:p>
    <w:p>
      <w:pPr>
        <w:shd w:val="clear"/>
        <w:adjustRightInd w:val="0"/>
        <w:snapToGrid w:val="0"/>
        <w:rPr>
          <w:rFonts w:hint="eastAsia"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 xml:space="preserve">报价文件封面格式： </w:t>
      </w:r>
    </w:p>
    <w:p>
      <w:pPr>
        <w:shd w:val="clear"/>
        <w:adjustRightInd w:val="0"/>
        <w:snapToGrid w:val="0"/>
        <w:rPr>
          <w:rFonts w:hint="eastAsia" w:ascii="宋体" w:hAnsi="宋体" w:cs="宋体"/>
          <w:b/>
          <w:bCs/>
          <w:color w:val="auto"/>
          <w:sz w:val="24"/>
          <w:highlight w:val="none"/>
        </w:rPr>
      </w:pPr>
      <w:r>
        <w:rPr>
          <w:rFonts w:hint="eastAsia" w:ascii="宋体" w:hAnsi="宋体" w:cs="宋体"/>
          <w:color w:val="auto"/>
          <w:sz w:val="24"/>
          <w:highlight w:val="none"/>
        </w:rPr>
        <w:t xml:space="preserve">                                                         </w:t>
      </w:r>
    </w:p>
    <w:p>
      <w:pPr>
        <w:shd w:val="clear"/>
        <w:adjustRightInd w:val="0"/>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×××（投标人名称）</w:t>
      </w:r>
    </w:p>
    <w:p>
      <w:pPr>
        <w:shd w:val="clear"/>
        <w:adjustRightInd w:val="0"/>
        <w:snapToGrid w:val="0"/>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报价文件</w:t>
      </w:r>
    </w:p>
    <w:p>
      <w:pPr>
        <w:shd w:val="clear"/>
        <w:adjustRightInd w:val="0"/>
        <w:snapToGrid w:val="0"/>
        <w:ind w:left="2245" w:leftChars="513" w:hanging="1168" w:hangingChars="487"/>
        <w:rPr>
          <w:rFonts w:hint="eastAsia" w:ascii="宋体" w:hAnsi="宋体" w:cs="宋体"/>
          <w:bCs/>
          <w:color w:val="auto"/>
          <w:sz w:val="24"/>
          <w:highlight w:val="none"/>
        </w:rPr>
      </w:pPr>
      <w:r>
        <w:rPr>
          <w:rFonts w:hint="eastAsia" w:ascii="宋体" w:hAnsi="宋体" w:cs="宋体"/>
          <w:bCs/>
          <w:color w:val="auto"/>
          <w:sz w:val="24"/>
          <w:highlight w:val="none"/>
        </w:rPr>
        <w:t xml:space="preserve">项目名称： </w:t>
      </w:r>
    </w:p>
    <w:p>
      <w:pPr>
        <w:shd w:val="clear"/>
        <w:adjustRightInd w:val="0"/>
        <w:snapToGrid w:val="0"/>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     项目编号： </w:t>
      </w:r>
    </w:p>
    <w:p>
      <w:pPr>
        <w:shd w:val="clear"/>
        <w:adjustRightInd w:val="0"/>
        <w:snapToGrid w:val="0"/>
        <w:ind w:firstLine="1080" w:firstLineChars="450"/>
        <w:rPr>
          <w:rFonts w:hint="eastAsia" w:ascii="宋体" w:hAnsi="宋体" w:cs="宋体"/>
          <w:color w:val="auto"/>
          <w:sz w:val="24"/>
          <w:highlight w:val="none"/>
        </w:rPr>
      </w:pPr>
      <w:r>
        <w:rPr>
          <w:rFonts w:hint="eastAsia" w:ascii="宋体" w:hAnsi="宋体" w:cs="宋体"/>
          <w:color w:val="auto"/>
          <w:sz w:val="24"/>
          <w:highlight w:val="none"/>
        </w:rPr>
        <w:t>投标人名称（盖章）：</w:t>
      </w:r>
    </w:p>
    <w:p>
      <w:pPr>
        <w:shd w:val="clear"/>
        <w:adjustRightInd w:val="0"/>
        <w:snapToGrid w:val="0"/>
        <w:ind w:firstLine="1080" w:firstLineChars="450"/>
        <w:rPr>
          <w:rFonts w:hint="eastAsia" w:ascii="宋体" w:hAnsi="宋体" w:cs="宋体"/>
          <w:color w:val="auto"/>
          <w:sz w:val="24"/>
          <w:highlight w:val="none"/>
        </w:rPr>
      </w:pPr>
      <w:r>
        <w:rPr>
          <w:rFonts w:hint="eastAsia" w:ascii="宋体" w:hAnsi="宋体" w:cs="宋体"/>
          <w:color w:val="auto"/>
          <w:sz w:val="24"/>
          <w:highlight w:val="none"/>
        </w:rPr>
        <w:t>投标人地址：</w:t>
      </w:r>
    </w:p>
    <w:p>
      <w:pPr>
        <w:shd w:val="clear"/>
        <w:adjustRightInd w:val="0"/>
        <w:snapToGrid w:val="0"/>
        <w:ind w:firstLine="4080" w:firstLineChars="1700"/>
        <w:rPr>
          <w:rFonts w:hint="eastAsia" w:ascii="宋体" w:hAnsi="宋体" w:cs="宋体"/>
          <w:color w:val="auto"/>
          <w:sz w:val="24"/>
          <w:highlight w:val="none"/>
        </w:rPr>
      </w:pPr>
      <w:r>
        <w:rPr>
          <w:rFonts w:hint="eastAsia" w:ascii="宋体" w:hAnsi="宋体" w:cs="宋体"/>
          <w:color w:val="auto"/>
          <w:sz w:val="24"/>
          <w:highlight w:val="none"/>
        </w:rPr>
        <w:t>授权代表签名或盖章：</w:t>
      </w:r>
    </w:p>
    <w:p>
      <w:pPr>
        <w:shd w:val="clear"/>
        <w:adjustRightInd w:val="0"/>
        <w:snapToGrid w:val="0"/>
        <w:jc w:val="right"/>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pPr>
        <w:shd w:val="clear"/>
        <w:spacing w:line="540" w:lineRule="exact"/>
        <w:rPr>
          <w:rFonts w:hint="eastAsia" w:ascii="宋体" w:hAnsi="宋体" w:cs="宋体"/>
          <w:color w:val="auto"/>
          <w:sz w:val="32"/>
          <w:szCs w:val="32"/>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p>
    <w:p>
      <w:pPr>
        <w:shd w:val="clea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2、目录</w:t>
      </w:r>
    </w:p>
    <w:p>
      <w:pPr>
        <w:shd w:val="clear"/>
        <w:tabs>
          <w:tab w:val="left" w:pos="533"/>
        </w:tabs>
        <w:adjustRightInd w:val="0"/>
        <w:snapToGrid w:val="0"/>
        <w:spacing w:line="360" w:lineRule="exact"/>
        <w:ind w:firstLine="422" w:firstLineChars="200"/>
        <w:jc w:val="left"/>
        <w:rPr>
          <w:rFonts w:ascii="宋体" w:hAnsi="宋体" w:cs="宋体"/>
          <w:szCs w:val="21"/>
          <w:highlight w:val="none"/>
        </w:rPr>
      </w:pPr>
      <w:r>
        <w:rPr>
          <w:rFonts w:hint="eastAsia" w:ascii="宋体" w:hAnsi="宋体" w:cs="宋体"/>
          <w:b/>
          <w:szCs w:val="21"/>
          <w:highlight w:val="none"/>
        </w:rPr>
        <w:t>报价文件包括：</w:t>
      </w:r>
    </w:p>
    <w:p>
      <w:pPr>
        <w:numPr>
          <w:ilvl w:val="0"/>
          <w:numId w:val="14"/>
        </w:numPr>
        <w:shd w:val="clear"/>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开标一览表；</w:t>
      </w:r>
    </w:p>
    <w:p>
      <w:pPr>
        <w:numPr>
          <w:ilvl w:val="0"/>
          <w:numId w:val="14"/>
        </w:numPr>
        <w:shd w:val="clear"/>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lang w:eastAsia="zh-CN"/>
        </w:rPr>
        <w:t>报价明细表</w:t>
      </w:r>
      <w:r>
        <w:rPr>
          <w:rFonts w:hint="eastAsia" w:ascii="宋体" w:hAnsi="宋体" w:eastAsia="宋体" w:cs="宋体"/>
          <w:szCs w:val="21"/>
          <w:highlight w:val="none"/>
        </w:rPr>
        <w:t>；</w:t>
      </w:r>
    </w:p>
    <w:p>
      <w:pPr>
        <w:numPr>
          <w:ilvl w:val="0"/>
          <w:numId w:val="14"/>
        </w:numPr>
        <w:shd w:val="clear"/>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中小企业声明函（如投标人为中小微企业，格式见第六章）；</w:t>
      </w:r>
    </w:p>
    <w:p>
      <w:pPr>
        <w:numPr>
          <w:ilvl w:val="0"/>
          <w:numId w:val="14"/>
        </w:numPr>
        <w:shd w:val="clear"/>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残疾人福利性单位声明函（如投标人为残疾人福利性单位）； 提供社保缴纳人员名单、录用的残疾人的《中华人民共和国残疾人证》或者《中华人民共和国残疾军人证(1至8级)》复印件；</w:t>
      </w:r>
    </w:p>
    <w:p>
      <w:pPr>
        <w:numPr>
          <w:ilvl w:val="0"/>
          <w:numId w:val="14"/>
        </w:numPr>
        <w:shd w:val="clear"/>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监狱企业相关证明材料（如投标人为监狱企业）；</w:t>
      </w:r>
    </w:p>
    <w:p>
      <w:pPr>
        <w:numPr>
          <w:ilvl w:val="0"/>
          <w:numId w:val="14"/>
        </w:numPr>
        <w:shd w:val="clear"/>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投标人针对报价的说明或证明材料。</w:t>
      </w:r>
    </w:p>
    <w:p>
      <w:pPr>
        <w:pStyle w:val="15"/>
        <w:shd w:val="clear"/>
        <w:rPr>
          <w:rFonts w:hint="eastAsia"/>
          <w:highlight w:val="none"/>
        </w:rPr>
        <w:sectPr>
          <w:pgSz w:w="11906" w:h="16838"/>
          <w:pgMar w:top="1247" w:right="1247" w:bottom="1247" w:left="1247" w:header="851" w:footer="992" w:gutter="0"/>
          <w:pgNumType w:fmt="decimal"/>
          <w:cols w:space="720" w:num="1"/>
          <w:docGrid w:linePitch="313" w:charSpace="0"/>
        </w:sectPr>
      </w:pPr>
    </w:p>
    <w:p>
      <w:pPr>
        <w:shd w:val="clear"/>
        <w:spacing w:line="520" w:lineRule="exact"/>
        <w:rPr>
          <w:rFonts w:hint="eastAsia" w:ascii="宋体" w:hAnsi="宋体" w:cs="宋体"/>
          <w:color w:val="auto"/>
          <w:sz w:val="24"/>
          <w:highlight w:val="none"/>
        </w:rPr>
      </w:pPr>
      <w:r>
        <w:rPr>
          <w:rFonts w:hint="eastAsia" w:ascii="宋体" w:hAnsi="宋体" w:cs="宋体"/>
          <w:color w:val="auto"/>
          <w:sz w:val="24"/>
          <w:highlight w:val="none"/>
        </w:rPr>
        <w:t>3、开标一览表格式</w:t>
      </w:r>
    </w:p>
    <w:p>
      <w:pPr>
        <w:shd w:val="clear"/>
        <w:spacing w:line="500" w:lineRule="exact"/>
        <w:jc w:val="center"/>
        <w:rPr>
          <w:rFonts w:hint="eastAsia" w:ascii="宋体" w:hAnsi="宋体" w:cs="宋体"/>
          <w:color w:val="auto"/>
          <w:spacing w:val="-20"/>
          <w:szCs w:val="21"/>
          <w:highlight w:val="none"/>
        </w:rPr>
      </w:pPr>
      <w:r>
        <w:rPr>
          <w:rFonts w:hint="eastAsia" w:ascii="宋体" w:hAnsi="宋体" w:cs="宋体"/>
          <w:bCs/>
          <w:color w:val="auto"/>
          <w:sz w:val="44"/>
          <w:highlight w:val="none"/>
        </w:rPr>
        <w:t>开标一览表</w:t>
      </w:r>
    </w:p>
    <w:p>
      <w:pPr>
        <w:pStyle w:val="8"/>
        <w:shd w:val="clear"/>
        <w:tabs>
          <w:tab w:val="left" w:pos="4477"/>
        </w:tabs>
        <w:spacing w:line="400" w:lineRule="exact"/>
        <w:ind w:firstLine="0"/>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olor w:val="auto"/>
          <w:szCs w:val="21"/>
          <w:highlight w:val="none"/>
          <w:lang w:val="en-US" w:eastAsia="zh-CN"/>
        </w:rPr>
        <w:t>安吉县林业局林长制视频监控服务政府采购项目</w:t>
      </w:r>
      <w:r>
        <w:rPr>
          <w:rFonts w:hint="eastAsia" w:ascii="宋体" w:hAnsi="宋体" w:cs="宋体"/>
          <w:color w:val="auto"/>
          <w:szCs w:val="21"/>
          <w:highlight w:val="none"/>
          <w:lang w:val="en-US" w:eastAsia="zh-CN"/>
        </w:rPr>
        <w:t xml:space="preserve">      </w:t>
      </w:r>
    </w:p>
    <w:p>
      <w:pPr>
        <w:pStyle w:val="8"/>
        <w:shd w:val="clear"/>
        <w:tabs>
          <w:tab w:val="left" w:pos="4477"/>
        </w:tabs>
        <w:spacing w:line="400" w:lineRule="exact"/>
        <w:ind w:firstLine="0"/>
        <w:rPr>
          <w:rFonts w:hint="eastAsia" w:ascii="宋体" w:hAnsi="宋体" w:cs="宋体"/>
          <w:color w:val="auto"/>
          <w:szCs w:val="21"/>
          <w:highlight w:val="none"/>
        </w:rPr>
      </w:pPr>
      <w:r>
        <w:rPr>
          <w:rFonts w:hint="eastAsia" w:ascii="宋体" w:hAnsi="宋体" w:cs="宋体"/>
          <w:color w:val="auto"/>
          <w:szCs w:val="21"/>
          <w:highlight w:val="none"/>
        </w:rPr>
        <w:t xml:space="preserve">项目编号：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金额单位：元      </w:t>
      </w:r>
    </w:p>
    <w:tbl>
      <w:tblPr>
        <w:tblStyle w:val="34"/>
        <w:tblW w:w="90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445"/>
        <w:gridCol w:w="2643"/>
        <w:gridCol w:w="1785"/>
        <w:gridCol w:w="2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06" w:type="dxa"/>
            <w:noWrap w:val="0"/>
            <w:vAlign w:val="center"/>
          </w:tcPr>
          <w:p>
            <w:pPr>
              <w:shd w:val="clear"/>
              <w:spacing w:line="36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4088" w:type="dxa"/>
            <w:gridSpan w:val="2"/>
            <w:noWrap w:val="0"/>
            <w:vAlign w:val="center"/>
          </w:tcPr>
          <w:p>
            <w:pPr>
              <w:shd w:val="clear"/>
              <w:spacing w:line="360" w:lineRule="exact"/>
              <w:jc w:val="center"/>
              <w:rPr>
                <w:rFonts w:hint="eastAsia" w:ascii="宋体" w:hAnsi="宋体"/>
                <w:color w:val="auto"/>
                <w:szCs w:val="21"/>
                <w:highlight w:val="none"/>
              </w:rPr>
            </w:pPr>
            <w:r>
              <w:rPr>
                <w:rFonts w:hint="eastAsia" w:ascii="宋体" w:hAnsi="宋体"/>
                <w:color w:val="auto"/>
                <w:szCs w:val="21"/>
                <w:highlight w:val="none"/>
              </w:rPr>
              <w:t>服务名称</w:t>
            </w:r>
          </w:p>
        </w:tc>
        <w:tc>
          <w:tcPr>
            <w:tcW w:w="1785" w:type="dxa"/>
            <w:noWrap w:val="0"/>
            <w:vAlign w:val="center"/>
          </w:tcPr>
          <w:p>
            <w:pPr>
              <w:shd w:val="clear"/>
              <w:snapToGrid w:val="0"/>
              <w:spacing w:line="34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数量</w:t>
            </w:r>
          </w:p>
        </w:tc>
        <w:tc>
          <w:tcPr>
            <w:tcW w:w="2718" w:type="dxa"/>
            <w:noWrap w:val="0"/>
            <w:vAlign w:val="center"/>
          </w:tcPr>
          <w:p>
            <w:pPr>
              <w:shd w:val="clear"/>
              <w:spacing w:line="36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06" w:type="dxa"/>
            <w:noWrap w:val="0"/>
            <w:vAlign w:val="center"/>
          </w:tcPr>
          <w:p>
            <w:pPr>
              <w:shd w:val="clear"/>
              <w:spacing w:line="36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4088" w:type="dxa"/>
            <w:gridSpan w:val="2"/>
            <w:noWrap w:val="0"/>
            <w:vAlign w:val="center"/>
          </w:tcPr>
          <w:p>
            <w:pPr>
              <w:shd w:val="clear"/>
              <w:adjustRightInd w:val="0"/>
              <w:snapToGrid w:val="0"/>
              <w:spacing w:line="34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安吉县林业局数字林业建设监控设备及链路租赁运维服务</w:t>
            </w:r>
          </w:p>
        </w:tc>
        <w:tc>
          <w:tcPr>
            <w:tcW w:w="1785" w:type="dxa"/>
            <w:noWrap w:val="0"/>
            <w:vAlign w:val="center"/>
          </w:tcPr>
          <w:p>
            <w:pPr>
              <w:shd w:val="clear"/>
              <w:adjustRightInd w:val="0"/>
              <w:snapToGrid w:val="0"/>
              <w:spacing w:line="3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1项</w:t>
            </w:r>
          </w:p>
        </w:tc>
        <w:tc>
          <w:tcPr>
            <w:tcW w:w="2718" w:type="dxa"/>
            <w:noWrap w:val="0"/>
            <w:vAlign w:val="center"/>
          </w:tcPr>
          <w:p>
            <w:pPr>
              <w:shd w:val="clear"/>
              <w:adjustRightInd w:val="0"/>
              <w:snapToGrid w:val="0"/>
              <w:spacing w:line="34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 xml:space="preserve">        </w:t>
            </w:r>
          </w:p>
          <w:p>
            <w:pPr>
              <w:shd w:val="clear"/>
              <w:spacing w:line="36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1951" w:type="dxa"/>
            <w:gridSpan w:val="2"/>
            <w:noWrap w:val="0"/>
            <w:vAlign w:val="center"/>
          </w:tcPr>
          <w:p>
            <w:pPr>
              <w:shd w:val="clea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投标报价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三年</w:t>
            </w:r>
            <w:r>
              <w:rPr>
                <w:rFonts w:hint="eastAsia" w:ascii="宋体" w:hAnsi="宋体"/>
                <w:color w:val="auto"/>
                <w:szCs w:val="21"/>
                <w:highlight w:val="none"/>
                <w:lang w:eastAsia="zh-CN"/>
              </w:rPr>
              <w:t>）</w:t>
            </w:r>
          </w:p>
        </w:tc>
        <w:tc>
          <w:tcPr>
            <w:tcW w:w="7146" w:type="dxa"/>
            <w:gridSpan w:val="3"/>
            <w:noWrap w:val="0"/>
            <w:vAlign w:val="center"/>
          </w:tcPr>
          <w:p>
            <w:pPr>
              <w:shd w:val="clear"/>
              <w:spacing w:line="360" w:lineRule="exact"/>
              <w:rPr>
                <w:rFonts w:hint="eastAsia" w:ascii="宋体" w:hAnsi="宋体"/>
                <w:color w:val="auto"/>
                <w:szCs w:val="21"/>
                <w:highlight w:val="none"/>
              </w:rPr>
            </w:pPr>
            <w:r>
              <w:rPr>
                <w:rFonts w:hint="eastAsia" w:ascii="宋体" w:hAnsi="宋体"/>
                <w:color w:val="auto"/>
                <w:szCs w:val="21"/>
                <w:highlight w:val="none"/>
              </w:rPr>
              <w:t>大写：人民币</w:t>
            </w:r>
          </w:p>
          <w:p>
            <w:pPr>
              <w:shd w:val="clear"/>
              <w:spacing w:line="360" w:lineRule="exact"/>
              <w:rPr>
                <w:rFonts w:hint="eastAsia" w:ascii="宋体" w:hAnsi="宋体"/>
                <w:color w:val="auto"/>
                <w:szCs w:val="21"/>
                <w:highlight w:val="none"/>
              </w:rPr>
            </w:pPr>
            <w:r>
              <w:rPr>
                <w:rFonts w:hint="eastAsia" w:ascii="宋体" w:hAnsi="宋体"/>
                <w:color w:val="auto"/>
                <w:szCs w:val="21"/>
                <w:highlight w:val="none"/>
              </w:rPr>
              <w:t xml:space="preserve">小写：￥                                  </w:t>
            </w:r>
          </w:p>
        </w:tc>
      </w:tr>
    </w:tbl>
    <w:p>
      <w:pPr>
        <w:pStyle w:val="8"/>
        <w:shd w:val="clear"/>
        <w:tabs>
          <w:tab w:val="left" w:pos="4477"/>
        </w:tabs>
        <w:spacing w:line="400" w:lineRule="exact"/>
        <w:ind w:firstLine="0"/>
        <w:rPr>
          <w:rFonts w:hint="eastAsia" w:ascii="宋体" w:hAnsi="宋体" w:cs="宋体"/>
          <w:color w:val="auto"/>
          <w:szCs w:val="21"/>
          <w:highlight w:val="none"/>
        </w:rPr>
      </w:pPr>
    </w:p>
    <w:p>
      <w:pPr>
        <w:pStyle w:val="15"/>
        <w:widowControl/>
        <w:numPr>
          <w:ilvl w:val="0"/>
          <w:numId w:val="15"/>
        </w:numPr>
        <w:shd w:val="clear"/>
        <w:spacing w:before="0" w:beforeLines="0" w:after="0" w:afterLines="0" w:line="460" w:lineRule="atLeast"/>
        <w:jc w:val="left"/>
        <w:rPr>
          <w:rFonts w:hint="eastAsia" w:hAnsi="宋体" w:cs="宋体"/>
          <w:b/>
          <w:color w:val="auto"/>
          <w:sz w:val="21"/>
          <w:szCs w:val="21"/>
          <w:highlight w:val="none"/>
        </w:rPr>
      </w:pPr>
      <w:r>
        <w:rPr>
          <w:rFonts w:hint="eastAsia" w:hAnsi="宋体" w:cs="宋体"/>
          <w:b/>
          <w:color w:val="auto"/>
          <w:sz w:val="21"/>
          <w:szCs w:val="21"/>
          <w:highlight w:val="none"/>
        </w:rPr>
        <w:t>说明：</w:t>
      </w:r>
    </w:p>
    <w:p>
      <w:pPr>
        <w:pStyle w:val="15"/>
        <w:shd w:val="clear"/>
        <w:spacing w:before="120" w:after="120" w:line="240" w:lineRule="exact"/>
        <w:rPr>
          <w:rFonts w:hint="eastAsia" w:hAnsi="宋体" w:cs="宋体"/>
          <w:b/>
          <w:color w:val="auto"/>
          <w:sz w:val="21"/>
          <w:szCs w:val="21"/>
          <w:highlight w:val="none"/>
        </w:rPr>
      </w:pPr>
      <w:r>
        <w:rPr>
          <w:rFonts w:hint="eastAsia" w:hAnsi="宋体" w:cs="宋体"/>
          <w:b/>
          <w:color w:val="auto"/>
          <w:sz w:val="21"/>
          <w:szCs w:val="21"/>
          <w:highlight w:val="none"/>
        </w:rPr>
        <w:t>1、报价总价是履行合同的最终价格。</w:t>
      </w:r>
    </w:p>
    <w:p>
      <w:pPr>
        <w:pStyle w:val="15"/>
        <w:shd w:val="clear"/>
        <w:spacing w:before="120" w:after="120" w:line="240" w:lineRule="exact"/>
        <w:rPr>
          <w:rFonts w:hint="eastAsia" w:hAnsi="宋体" w:cs="宋体"/>
          <w:b/>
          <w:color w:val="auto"/>
          <w:sz w:val="21"/>
          <w:szCs w:val="21"/>
          <w:highlight w:val="none"/>
        </w:rPr>
      </w:pPr>
      <w:r>
        <w:rPr>
          <w:rFonts w:hint="eastAsia" w:hAnsi="宋体" w:cs="宋体"/>
          <w:b/>
          <w:color w:val="auto"/>
          <w:sz w:val="21"/>
          <w:szCs w:val="21"/>
          <w:highlight w:val="none"/>
        </w:rPr>
        <w:t>2、本表格的总价应与《报价明细表》的总价相一致。</w:t>
      </w:r>
    </w:p>
    <w:p>
      <w:pPr>
        <w:pStyle w:val="15"/>
        <w:shd w:val="clear"/>
        <w:spacing w:before="120" w:after="120" w:line="240" w:lineRule="exact"/>
        <w:rPr>
          <w:rFonts w:hint="eastAsia" w:hAnsi="宋体" w:cs="宋体"/>
          <w:b/>
          <w:color w:val="auto"/>
          <w:sz w:val="21"/>
          <w:szCs w:val="21"/>
          <w:highlight w:val="none"/>
        </w:rPr>
      </w:pPr>
      <w:r>
        <w:rPr>
          <w:rFonts w:hint="eastAsia" w:hAnsi="宋体" w:cs="宋体"/>
          <w:b/>
          <w:color w:val="auto"/>
          <w:sz w:val="21"/>
          <w:szCs w:val="21"/>
          <w:highlight w:val="none"/>
        </w:rPr>
        <w:t>▲3、投标文件只允许有一个报价，有选择的报价将不予接受。</w:t>
      </w:r>
    </w:p>
    <w:p>
      <w:pPr>
        <w:pStyle w:val="15"/>
        <w:shd w:val="clear"/>
        <w:spacing w:before="120" w:after="120" w:line="240" w:lineRule="exact"/>
        <w:rPr>
          <w:rFonts w:hint="eastAsia" w:hAnsi="宋体" w:cs="宋体"/>
          <w:b/>
          <w:color w:val="auto"/>
          <w:sz w:val="21"/>
          <w:szCs w:val="21"/>
          <w:highlight w:val="none"/>
        </w:rPr>
      </w:pPr>
    </w:p>
    <w:p>
      <w:pPr>
        <w:widowControl/>
        <w:shd w:val="clear"/>
        <w:spacing w:line="460" w:lineRule="atLeast"/>
        <w:ind w:right="660" w:firstLine="5880" w:firstLineChars="2800"/>
        <w:rPr>
          <w:rFonts w:hint="eastAsia" w:ascii="宋体" w:hAnsi="宋体" w:cs="宋体"/>
          <w:color w:val="auto"/>
          <w:szCs w:val="21"/>
          <w:highlight w:val="none"/>
        </w:rPr>
      </w:pPr>
      <w:r>
        <w:rPr>
          <w:rFonts w:hint="eastAsia" w:ascii="宋体" w:hAnsi="宋体" w:cs="宋体"/>
          <w:color w:val="auto"/>
          <w:szCs w:val="21"/>
          <w:highlight w:val="none"/>
        </w:rPr>
        <w:t>投标人全称：（盖章）</w:t>
      </w:r>
    </w:p>
    <w:p>
      <w:pPr>
        <w:widowControl/>
        <w:shd w:val="clear"/>
        <w:spacing w:line="460" w:lineRule="atLeast"/>
        <w:ind w:right="440"/>
        <w:jc w:val="center"/>
        <w:rPr>
          <w:rFonts w:hint="eastAsia" w:ascii="宋体" w:hAnsi="宋体" w:cs="宋体"/>
          <w:color w:val="auto"/>
          <w:szCs w:val="21"/>
          <w:highlight w:val="none"/>
        </w:rPr>
      </w:pPr>
      <w:r>
        <w:rPr>
          <w:rFonts w:hint="eastAsia" w:ascii="宋体" w:hAnsi="宋体" w:cs="宋体"/>
          <w:color w:val="auto"/>
          <w:szCs w:val="21"/>
          <w:highlight w:val="none"/>
        </w:rPr>
        <w:t xml:space="preserve">                                              授权代表：（签字）</w:t>
      </w:r>
    </w:p>
    <w:p>
      <w:pPr>
        <w:shd w:val="clea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日期：   年   月   日</w:t>
      </w:r>
    </w:p>
    <w:bookmarkEnd w:id="164"/>
    <w:bookmarkEnd w:id="165"/>
    <w:p>
      <w:pPr>
        <w:shd w:val="clear"/>
        <w:spacing w:line="520" w:lineRule="exact"/>
        <w:rPr>
          <w:rFonts w:hint="eastAsia" w:ascii="宋体" w:hAnsi="宋体" w:cs="宋体"/>
          <w:color w:val="auto"/>
          <w:szCs w:val="21"/>
          <w:highlight w:val="none"/>
        </w:rPr>
      </w:pPr>
      <w:bookmarkStart w:id="190" w:name="_Toc17729"/>
      <w:bookmarkStart w:id="191" w:name="_Toc2464"/>
    </w:p>
    <w:p>
      <w:pPr>
        <w:pStyle w:val="60"/>
        <w:shd w:val="clear"/>
        <w:rPr>
          <w:rFonts w:hint="eastAsia" w:ascii="宋体" w:hAnsi="宋体" w:cs="宋体"/>
          <w:color w:val="auto"/>
          <w:szCs w:val="21"/>
          <w:highlight w:val="none"/>
        </w:rPr>
      </w:pPr>
    </w:p>
    <w:p>
      <w:pPr>
        <w:shd w:val="clear"/>
        <w:spacing w:line="520" w:lineRule="exact"/>
        <w:rPr>
          <w:rFonts w:hint="eastAsia" w:ascii="宋体" w:hAnsi="宋体" w:cs="宋体"/>
          <w:color w:val="auto"/>
          <w:sz w:val="24"/>
          <w:highlight w:val="none"/>
        </w:rPr>
      </w:pPr>
      <w:bookmarkStart w:id="192" w:name="_Toc27716"/>
      <w:bookmarkStart w:id="193" w:name="_Toc31956"/>
      <w:bookmarkStart w:id="194" w:name="_Toc8807242"/>
      <w:bookmarkStart w:id="195" w:name="_Toc530041770"/>
      <w:bookmarkStart w:id="196" w:name="_Toc526960898"/>
    </w:p>
    <w:p>
      <w:pPr>
        <w:shd w:val="clear"/>
        <w:spacing w:line="520" w:lineRule="exact"/>
        <w:rPr>
          <w:rFonts w:hint="eastAsia" w:ascii="宋体" w:hAnsi="宋体" w:cs="宋体"/>
          <w:color w:val="auto"/>
          <w:sz w:val="24"/>
          <w:highlight w:val="none"/>
        </w:rPr>
      </w:pPr>
    </w:p>
    <w:p>
      <w:pPr>
        <w:shd w:val="clear"/>
        <w:spacing w:line="520" w:lineRule="exact"/>
        <w:rPr>
          <w:rFonts w:hint="eastAsia" w:ascii="宋体" w:hAnsi="宋体" w:cs="宋体"/>
          <w:color w:val="auto"/>
          <w:sz w:val="24"/>
          <w:highlight w:val="none"/>
        </w:rPr>
      </w:pPr>
    </w:p>
    <w:p>
      <w:pPr>
        <w:shd w:val="clear"/>
        <w:spacing w:line="520" w:lineRule="exact"/>
        <w:rPr>
          <w:rFonts w:hint="eastAsia" w:ascii="宋体" w:hAnsi="宋体" w:cs="宋体"/>
          <w:color w:val="auto"/>
          <w:sz w:val="24"/>
          <w:highlight w:val="none"/>
        </w:rPr>
      </w:pPr>
    </w:p>
    <w:p>
      <w:pPr>
        <w:shd w:val="clear"/>
        <w:spacing w:line="520" w:lineRule="exact"/>
        <w:rPr>
          <w:rFonts w:hint="eastAsia" w:ascii="宋体" w:hAnsi="宋体" w:cs="宋体"/>
          <w:color w:val="auto"/>
          <w:sz w:val="24"/>
          <w:highlight w:val="none"/>
        </w:rPr>
      </w:pPr>
    </w:p>
    <w:p>
      <w:pPr>
        <w:shd w:val="clear"/>
        <w:spacing w:line="520" w:lineRule="exact"/>
        <w:rPr>
          <w:rFonts w:hint="eastAsia" w:ascii="宋体" w:hAnsi="宋体" w:cs="宋体"/>
          <w:color w:val="auto"/>
          <w:sz w:val="24"/>
          <w:highlight w:val="none"/>
        </w:rPr>
      </w:pPr>
    </w:p>
    <w:p>
      <w:pPr>
        <w:shd w:val="clear"/>
        <w:spacing w:line="520" w:lineRule="exact"/>
        <w:rPr>
          <w:rFonts w:hint="eastAsia" w:ascii="宋体" w:hAnsi="宋体" w:cs="宋体"/>
          <w:color w:val="auto"/>
          <w:sz w:val="24"/>
          <w:highlight w:val="none"/>
        </w:rPr>
      </w:pPr>
    </w:p>
    <w:p>
      <w:pPr>
        <w:shd w:val="clear"/>
        <w:spacing w:line="520" w:lineRule="exact"/>
        <w:rPr>
          <w:rFonts w:hint="eastAsia" w:ascii="宋体" w:hAnsi="宋体" w:cs="宋体"/>
          <w:color w:val="auto"/>
          <w:sz w:val="24"/>
          <w:highlight w:val="none"/>
        </w:rPr>
      </w:pPr>
      <w:r>
        <w:rPr>
          <w:rFonts w:hint="eastAsia" w:ascii="宋体" w:hAnsi="宋体" w:cs="宋体"/>
          <w:color w:val="auto"/>
          <w:sz w:val="24"/>
          <w:highlight w:val="none"/>
        </w:rPr>
        <w:t>4、报价明细表</w:t>
      </w:r>
    </w:p>
    <w:p>
      <w:pPr>
        <w:pStyle w:val="15"/>
        <w:shd w:val="clear"/>
        <w:spacing w:before="120" w:after="120"/>
        <w:jc w:val="center"/>
        <w:outlineLvl w:val="1"/>
        <w:rPr>
          <w:rFonts w:hint="eastAsia" w:hAnsi="宋体" w:cs="宋体"/>
          <w:color w:val="auto"/>
          <w:sz w:val="30"/>
          <w:szCs w:val="30"/>
          <w:highlight w:val="none"/>
        </w:rPr>
      </w:pPr>
      <w:bookmarkStart w:id="197" w:name="_Toc95211200"/>
      <w:bookmarkStart w:id="198" w:name="_Toc74166648"/>
      <w:bookmarkStart w:id="199" w:name="_Toc2949"/>
      <w:bookmarkStart w:id="200" w:name="_Toc21964"/>
      <w:bookmarkStart w:id="201" w:name="_Toc6565"/>
      <w:bookmarkStart w:id="202" w:name="_Toc18526"/>
      <w:bookmarkStart w:id="203" w:name="_Toc73085486"/>
      <w:r>
        <w:rPr>
          <w:rFonts w:hint="eastAsia" w:hAnsi="宋体" w:cs="宋体"/>
          <w:color w:val="auto"/>
          <w:sz w:val="30"/>
          <w:szCs w:val="30"/>
          <w:highlight w:val="none"/>
        </w:rPr>
        <w:t>报价明细表</w:t>
      </w:r>
      <w:bookmarkEnd w:id="192"/>
      <w:bookmarkEnd w:id="193"/>
      <w:bookmarkEnd w:id="194"/>
      <w:bookmarkEnd w:id="195"/>
      <w:bookmarkEnd w:id="196"/>
      <w:bookmarkEnd w:id="197"/>
      <w:bookmarkEnd w:id="198"/>
      <w:bookmarkEnd w:id="199"/>
      <w:bookmarkEnd w:id="200"/>
      <w:bookmarkEnd w:id="201"/>
      <w:bookmarkEnd w:id="202"/>
      <w:bookmarkEnd w:id="203"/>
    </w:p>
    <w:p>
      <w:pPr>
        <w:pStyle w:val="8"/>
        <w:shd w:val="clear"/>
        <w:spacing w:line="400" w:lineRule="exact"/>
        <w:ind w:firstLine="0"/>
        <w:rPr>
          <w:rFonts w:hint="eastAsia" w:ascii="宋体" w:hAnsi="宋体" w:cs="宋体"/>
          <w:color w:val="auto"/>
          <w:szCs w:val="21"/>
          <w:highlight w:val="none"/>
        </w:rPr>
      </w:pPr>
      <w:r>
        <w:rPr>
          <w:rFonts w:hint="eastAsia" w:ascii="宋体" w:hAnsi="宋体" w:cs="宋体"/>
          <w:color w:val="auto"/>
          <w:szCs w:val="21"/>
          <w:highlight w:val="none"/>
        </w:rPr>
        <w:t xml:space="preserve">项目名称：                             项目编号：    </w:t>
      </w:r>
    </w:p>
    <w:tbl>
      <w:tblPr>
        <w:tblStyle w:val="34"/>
        <w:tblW w:w="0" w:type="auto"/>
        <w:tblInd w:w="0" w:type="dxa"/>
        <w:tblLayout w:type="fixed"/>
        <w:tblCellMar>
          <w:top w:w="0" w:type="dxa"/>
          <w:left w:w="108" w:type="dxa"/>
          <w:bottom w:w="0" w:type="dxa"/>
          <w:right w:w="108" w:type="dxa"/>
        </w:tblCellMar>
      </w:tblPr>
      <w:tblGrid>
        <w:gridCol w:w="1181"/>
        <w:gridCol w:w="3180"/>
        <w:gridCol w:w="1559"/>
        <w:gridCol w:w="1250"/>
        <w:gridCol w:w="2424"/>
      </w:tblGrid>
      <w:tr>
        <w:tblPrEx>
          <w:tblCellMar>
            <w:top w:w="0" w:type="dxa"/>
            <w:left w:w="108" w:type="dxa"/>
            <w:bottom w:w="0" w:type="dxa"/>
            <w:right w:w="108" w:type="dxa"/>
          </w:tblCellMar>
        </w:tblPrEx>
        <w:trPr>
          <w:trHeight w:val="546" w:hRule="atLeast"/>
        </w:trPr>
        <w:tc>
          <w:tcPr>
            <w:tcW w:w="1181"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3180"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jc w:val="center"/>
              <w:rPr>
                <w:rFonts w:hint="eastAsia" w:ascii="宋体" w:hAnsi="宋体"/>
                <w:color w:val="auto"/>
                <w:szCs w:val="21"/>
                <w:highlight w:val="none"/>
              </w:rPr>
            </w:pPr>
            <w:r>
              <w:rPr>
                <w:rFonts w:hint="eastAsia" w:ascii="宋体" w:hAnsi="宋体"/>
                <w:color w:val="auto"/>
                <w:szCs w:val="21"/>
                <w:highlight w:val="none"/>
              </w:rPr>
              <w:t>内容</w:t>
            </w:r>
          </w:p>
        </w:tc>
        <w:tc>
          <w:tcPr>
            <w:tcW w:w="1559"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jc w:val="center"/>
              <w:rPr>
                <w:rFonts w:hint="eastAsia" w:ascii="宋体" w:hAnsi="宋体"/>
                <w:color w:val="auto"/>
                <w:szCs w:val="21"/>
                <w:highlight w:val="none"/>
              </w:rPr>
            </w:pPr>
            <w:r>
              <w:rPr>
                <w:rFonts w:hint="eastAsia" w:ascii="宋体" w:hAnsi="宋体"/>
                <w:color w:val="auto"/>
                <w:szCs w:val="21"/>
                <w:highlight w:val="none"/>
              </w:rPr>
              <w:t>单位及数量</w:t>
            </w:r>
          </w:p>
        </w:tc>
        <w:tc>
          <w:tcPr>
            <w:tcW w:w="1250"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jc w:val="center"/>
              <w:rPr>
                <w:rFonts w:hint="eastAsia" w:ascii="宋体" w:hAnsi="宋体"/>
                <w:color w:val="auto"/>
                <w:szCs w:val="21"/>
                <w:highlight w:val="none"/>
              </w:rPr>
            </w:pPr>
            <w:r>
              <w:rPr>
                <w:rFonts w:hint="eastAsia" w:ascii="宋体" w:hAnsi="宋体"/>
                <w:color w:val="auto"/>
                <w:szCs w:val="21"/>
                <w:highlight w:val="none"/>
              </w:rPr>
              <w:t>单价</w:t>
            </w:r>
          </w:p>
        </w:tc>
        <w:tc>
          <w:tcPr>
            <w:tcW w:w="2424"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jc w:val="center"/>
              <w:rPr>
                <w:rFonts w:hint="eastAsia" w:ascii="宋体" w:hAnsi="宋体"/>
                <w:color w:val="auto"/>
                <w:szCs w:val="21"/>
                <w:highlight w:val="none"/>
              </w:rPr>
            </w:pPr>
            <w:r>
              <w:rPr>
                <w:rFonts w:hint="eastAsia" w:ascii="宋体" w:hAnsi="宋体"/>
                <w:color w:val="auto"/>
                <w:szCs w:val="21"/>
                <w:highlight w:val="none"/>
              </w:rPr>
              <w:t>金额</w:t>
            </w:r>
          </w:p>
        </w:tc>
      </w:tr>
      <w:tr>
        <w:tblPrEx>
          <w:tblCellMar>
            <w:top w:w="0" w:type="dxa"/>
            <w:left w:w="108" w:type="dxa"/>
            <w:bottom w:w="0" w:type="dxa"/>
            <w:right w:w="108" w:type="dxa"/>
          </w:tblCellMar>
        </w:tblPrEx>
        <w:trPr>
          <w:trHeight w:val="546" w:hRule="atLeast"/>
        </w:trPr>
        <w:tc>
          <w:tcPr>
            <w:tcW w:w="1181"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3180"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2424"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r>
      <w:tr>
        <w:tblPrEx>
          <w:tblCellMar>
            <w:top w:w="0" w:type="dxa"/>
            <w:left w:w="108" w:type="dxa"/>
            <w:bottom w:w="0" w:type="dxa"/>
            <w:right w:w="108" w:type="dxa"/>
          </w:tblCellMar>
        </w:tblPrEx>
        <w:trPr>
          <w:trHeight w:val="546" w:hRule="atLeast"/>
        </w:trPr>
        <w:tc>
          <w:tcPr>
            <w:tcW w:w="1181"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3180"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2424"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r>
      <w:tr>
        <w:tblPrEx>
          <w:tblCellMar>
            <w:top w:w="0" w:type="dxa"/>
            <w:left w:w="108" w:type="dxa"/>
            <w:bottom w:w="0" w:type="dxa"/>
            <w:right w:w="108" w:type="dxa"/>
          </w:tblCellMar>
        </w:tblPrEx>
        <w:trPr>
          <w:trHeight w:val="546" w:hRule="atLeast"/>
        </w:trPr>
        <w:tc>
          <w:tcPr>
            <w:tcW w:w="1181"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3180"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2424"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r>
      <w:tr>
        <w:tblPrEx>
          <w:tblCellMar>
            <w:top w:w="0" w:type="dxa"/>
            <w:left w:w="108" w:type="dxa"/>
            <w:bottom w:w="0" w:type="dxa"/>
            <w:right w:w="108" w:type="dxa"/>
          </w:tblCellMar>
        </w:tblPrEx>
        <w:trPr>
          <w:trHeight w:val="546" w:hRule="atLeast"/>
        </w:trPr>
        <w:tc>
          <w:tcPr>
            <w:tcW w:w="1181"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3180"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2424"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r>
      <w:tr>
        <w:tblPrEx>
          <w:tblCellMar>
            <w:top w:w="0" w:type="dxa"/>
            <w:left w:w="108" w:type="dxa"/>
            <w:bottom w:w="0" w:type="dxa"/>
            <w:right w:w="108" w:type="dxa"/>
          </w:tblCellMar>
        </w:tblPrEx>
        <w:trPr>
          <w:trHeight w:val="546" w:hRule="atLeast"/>
        </w:trPr>
        <w:tc>
          <w:tcPr>
            <w:tcW w:w="1181"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3180"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2424"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r>
      <w:tr>
        <w:tblPrEx>
          <w:tblCellMar>
            <w:top w:w="0" w:type="dxa"/>
            <w:left w:w="108" w:type="dxa"/>
            <w:bottom w:w="0" w:type="dxa"/>
            <w:right w:w="108" w:type="dxa"/>
          </w:tblCellMar>
        </w:tblPrEx>
        <w:trPr>
          <w:trHeight w:val="546" w:hRule="atLeast"/>
        </w:trPr>
        <w:tc>
          <w:tcPr>
            <w:tcW w:w="1181"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3180"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2424"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r>
      <w:tr>
        <w:tblPrEx>
          <w:tblCellMar>
            <w:top w:w="0" w:type="dxa"/>
            <w:left w:w="108" w:type="dxa"/>
            <w:bottom w:w="0" w:type="dxa"/>
            <w:right w:w="108" w:type="dxa"/>
          </w:tblCellMar>
        </w:tblPrEx>
        <w:trPr>
          <w:trHeight w:val="546" w:hRule="atLeast"/>
        </w:trPr>
        <w:tc>
          <w:tcPr>
            <w:tcW w:w="1181"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3180"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2424"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r>
      <w:tr>
        <w:tblPrEx>
          <w:tblCellMar>
            <w:top w:w="0" w:type="dxa"/>
            <w:left w:w="108" w:type="dxa"/>
            <w:bottom w:w="0" w:type="dxa"/>
            <w:right w:w="108" w:type="dxa"/>
          </w:tblCellMar>
        </w:tblPrEx>
        <w:trPr>
          <w:trHeight w:val="546" w:hRule="atLeast"/>
        </w:trPr>
        <w:tc>
          <w:tcPr>
            <w:tcW w:w="1181"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3180"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2424"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r>
      <w:tr>
        <w:tblPrEx>
          <w:tblCellMar>
            <w:top w:w="0" w:type="dxa"/>
            <w:left w:w="108" w:type="dxa"/>
            <w:bottom w:w="0" w:type="dxa"/>
            <w:right w:w="108" w:type="dxa"/>
          </w:tblCellMar>
        </w:tblPrEx>
        <w:trPr>
          <w:trHeight w:val="546" w:hRule="atLeast"/>
        </w:trPr>
        <w:tc>
          <w:tcPr>
            <w:tcW w:w="1181"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3180"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r>
              <w:rPr>
                <w:rFonts w:hint="eastAsia" w:ascii="宋体" w:hAnsi="宋体"/>
                <w:color w:val="auto"/>
                <w:szCs w:val="21"/>
                <w:highlight w:val="none"/>
              </w:rPr>
              <w:t>税费及附加</w:t>
            </w:r>
          </w:p>
        </w:tc>
        <w:tc>
          <w:tcPr>
            <w:tcW w:w="2809" w:type="dxa"/>
            <w:gridSpan w:val="2"/>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r>
              <w:rPr>
                <w:rFonts w:hint="eastAsia" w:ascii="宋体" w:hAnsi="宋体"/>
                <w:color w:val="auto"/>
                <w:szCs w:val="21"/>
                <w:highlight w:val="none"/>
              </w:rPr>
              <w:t>税费率：      %</w:t>
            </w:r>
          </w:p>
        </w:tc>
        <w:tc>
          <w:tcPr>
            <w:tcW w:w="2424"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r>
      <w:tr>
        <w:tblPrEx>
          <w:tblCellMar>
            <w:top w:w="0" w:type="dxa"/>
            <w:left w:w="108" w:type="dxa"/>
            <w:bottom w:w="0" w:type="dxa"/>
            <w:right w:w="108" w:type="dxa"/>
          </w:tblCellMar>
        </w:tblPrEx>
        <w:trPr>
          <w:trHeight w:val="546" w:hRule="atLeast"/>
        </w:trPr>
        <w:tc>
          <w:tcPr>
            <w:tcW w:w="1181"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c>
          <w:tcPr>
            <w:tcW w:w="3180"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其他</w:t>
            </w:r>
          </w:p>
        </w:tc>
        <w:tc>
          <w:tcPr>
            <w:tcW w:w="2809" w:type="dxa"/>
            <w:gridSpan w:val="2"/>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 xml:space="preserve"> </w:t>
            </w:r>
          </w:p>
        </w:tc>
        <w:tc>
          <w:tcPr>
            <w:tcW w:w="2424"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r>
      <w:tr>
        <w:tblPrEx>
          <w:tblCellMar>
            <w:top w:w="0" w:type="dxa"/>
            <w:left w:w="108" w:type="dxa"/>
            <w:bottom w:w="0" w:type="dxa"/>
            <w:right w:w="108" w:type="dxa"/>
          </w:tblCellMar>
        </w:tblPrEx>
        <w:trPr>
          <w:trHeight w:val="563" w:hRule="atLeast"/>
        </w:trPr>
        <w:tc>
          <w:tcPr>
            <w:tcW w:w="7170" w:type="dxa"/>
            <w:gridSpan w:val="4"/>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r>
              <w:rPr>
                <w:rFonts w:hint="eastAsia" w:ascii="宋体" w:hAnsi="宋体"/>
                <w:color w:val="auto"/>
                <w:szCs w:val="21"/>
                <w:highlight w:val="none"/>
              </w:rPr>
              <w:t>合计金额（应与开标一览表总价相一致）</w:t>
            </w:r>
          </w:p>
        </w:tc>
        <w:tc>
          <w:tcPr>
            <w:tcW w:w="2424" w:type="dxa"/>
            <w:tcBorders>
              <w:top w:val="single" w:color="auto" w:sz="4" w:space="0"/>
              <w:left w:val="single" w:color="auto" w:sz="4" w:space="0"/>
              <w:bottom w:val="single" w:color="auto" w:sz="4" w:space="0"/>
              <w:right w:val="single" w:color="auto" w:sz="4" w:space="0"/>
            </w:tcBorders>
            <w:noWrap w:val="0"/>
            <w:vAlign w:val="top"/>
          </w:tcPr>
          <w:p>
            <w:pPr>
              <w:shd w:val="clear"/>
              <w:spacing w:line="480" w:lineRule="exact"/>
              <w:rPr>
                <w:rFonts w:hint="eastAsia" w:ascii="宋体" w:hAnsi="宋体"/>
                <w:color w:val="auto"/>
                <w:szCs w:val="21"/>
                <w:highlight w:val="none"/>
              </w:rPr>
            </w:pPr>
          </w:p>
        </w:tc>
      </w:tr>
    </w:tbl>
    <w:p>
      <w:pPr>
        <w:pStyle w:val="8"/>
        <w:shd w:val="clear"/>
        <w:spacing w:line="400" w:lineRule="exact"/>
        <w:ind w:firstLine="0"/>
        <w:rPr>
          <w:rFonts w:hint="eastAsia" w:ascii="宋体" w:hAnsi="宋体" w:cs="宋体"/>
          <w:color w:val="auto"/>
          <w:szCs w:val="21"/>
          <w:highlight w:val="none"/>
        </w:rPr>
      </w:pPr>
    </w:p>
    <w:p>
      <w:pPr>
        <w:shd w:val="clear"/>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  投标人（盖章）：</w:t>
      </w:r>
    </w:p>
    <w:p>
      <w:pPr>
        <w:shd w:val="clea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授权代表（签字）：</w:t>
      </w:r>
    </w:p>
    <w:p>
      <w:pPr>
        <w:shd w:val="clea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日期：     </w:t>
      </w:r>
    </w:p>
    <w:p>
      <w:pPr>
        <w:shd w:val="clear"/>
        <w:spacing w:line="320" w:lineRule="exact"/>
        <w:rPr>
          <w:rFonts w:hint="eastAsia" w:ascii="宋体" w:hAnsi="宋体" w:cs="宋体"/>
          <w:b/>
          <w:color w:val="auto"/>
          <w:szCs w:val="21"/>
          <w:highlight w:val="none"/>
        </w:rPr>
      </w:pPr>
      <w:r>
        <w:rPr>
          <w:rFonts w:hint="eastAsia" w:ascii="宋体" w:hAnsi="宋体" w:cs="宋体"/>
          <w:b/>
          <w:color w:val="auto"/>
          <w:szCs w:val="21"/>
          <w:highlight w:val="none"/>
        </w:rPr>
        <w:t>注：1、本表格仅提供了样表格式，投标人应根据实际情况自行编制；</w:t>
      </w:r>
    </w:p>
    <w:p>
      <w:pPr>
        <w:shd w:val="clear"/>
        <w:spacing w:line="320" w:lineRule="exact"/>
        <w:ind w:firstLine="432"/>
        <w:rPr>
          <w:rFonts w:hint="eastAsia" w:ascii="宋体" w:hAnsi="宋体" w:cs="宋体"/>
          <w:b/>
          <w:color w:val="auto"/>
          <w:szCs w:val="21"/>
          <w:highlight w:val="none"/>
        </w:rPr>
      </w:pPr>
      <w:r>
        <w:rPr>
          <w:rFonts w:hint="eastAsia" w:ascii="宋体" w:hAnsi="宋体" w:cs="宋体"/>
          <w:b/>
          <w:color w:val="auto"/>
          <w:szCs w:val="21"/>
          <w:highlight w:val="none"/>
        </w:rPr>
        <w:t>2、最终合计金额必须包括实施本项目所需的一切费用，并与开标一览表中总价相一致。</w:t>
      </w:r>
    </w:p>
    <w:p>
      <w:pPr>
        <w:shd w:val="clear"/>
        <w:rPr>
          <w:rFonts w:hint="eastAsia"/>
          <w:color w:val="auto"/>
          <w:highlight w:val="none"/>
        </w:rPr>
      </w:pPr>
    </w:p>
    <w:p>
      <w:pPr>
        <w:shd w:val="clear"/>
        <w:rPr>
          <w:rFonts w:hint="eastAsia"/>
          <w:color w:val="auto"/>
          <w:highlight w:val="none"/>
        </w:rPr>
      </w:pPr>
    </w:p>
    <w:p>
      <w:pPr>
        <w:shd w:val="clear"/>
        <w:rPr>
          <w:rFonts w:hint="eastAsia"/>
          <w:color w:val="auto"/>
          <w:highlight w:val="none"/>
        </w:rPr>
      </w:pPr>
    </w:p>
    <w:p>
      <w:pPr>
        <w:shd w:val="clear"/>
        <w:spacing w:line="400" w:lineRule="exact"/>
        <w:rPr>
          <w:rFonts w:hint="eastAsia" w:ascii="宋体" w:hAnsi="宋体" w:cs="宋体"/>
          <w:color w:val="auto"/>
          <w:highlight w:val="none"/>
        </w:rPr>
      </w:pPr>
    </w:p>
    <w:p>
      <w:pPr>
        <w:shd w:val="clear"/>
        <w:spacing w:line="400" w:lineRule="exact"/>
        <w:rPr>
          <w:rFonts w:hint="eastAsia" w:ascii="宋体" w:hAnsi="宋体" w:cs="宋体"/>
          <w:color w:val="auto"/>
          <w:highlight w:val="none"/>
        </w:rPr>
      </w:pPr>
    </w:p>
    <w:p>
      <w:pPr>
        <w:shd w:val="clear"/>
        <w:spacing w:line="400" w:lineRule="exact"/>
        <w:rPr>
          <w:rFonts w:ascii="宋体" w:hAnsi="宋体" w:cs="宋体"/>
          <w:color w:val="auto"/>
          <w:highlight w:val="none"/>
        </w:rPr>
      </w:pPr>
    </w:p>
    <w:p>
      <w:pPr>
        <w:shd w:val="clear"/>
        <w:spacing w:line="400" w:lineRule="exact"/>
        <w:rPr>
          <w:rFonts w:ascii="宋体" w:hAnsi="宋体" w:cs="宋体"/>
          <w:color w:val="auto"/>
          <w:highlight w:val="none"/>
        </w:rPr>
      </w:pPr>
    </w:p>
    <w:p>
      <w:pPr>
        <w:shd w:val="clear"/>
        <w:spacing w:line="400" w:lineRule="exact"/>
        <w:rPr>
          <w:rFonts w:ascii="宋体" w:hAnsi="宋体" w:cs="宋体"/>
          <w:color w:val="auto"/>
          <w:highlight w:val="none"/>
        </w:rPr>
      </w:pPr>
    </w:p>
    <w:p>
      <w:pPr>
        <w:shd w:val="clear"/>
        <w:spacing w:line="400" w:lineRule="exact"/>
        <w:rPr>
          <w:rFonts w:ascii="宋体" w:hAnsi="宋体" w:cs="宋体"/>
          <w:color w:val="auto"/>
          <w:highlight w:val="none"/>
        </w:rPr>
      </w:pPr>
    </w:p>
    <w:p>
      <w:pPr>
        <w:shd w:val="clear"/>
        <w:spacing w:line="400" w:lineRule="exact"/>
        <w:rPr>
          <w:rFonts w:hint="eastAsia" w:ascii="宋体" w:hAnsi="宋体" w:cs="宋体"/>
          <w:color w:val="auto"/>
          <w:highlight w:val="none"/>
        </w:rPr>
      </w:pPr>
    </w:p>
    <w:p>
      <w:pPr>
        <w:shd w:val="clear"/>
        <w:adjustRightInd w:val="0"/>
        <w:snapToGrid w:val="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五、其他文书、文件格式</w:t>
      </w:r>
    </w:p>
    <w:p>
      <w:pPr>
        <w:shd w:val="clear"/>
        <w:rPr>
          <w:rFonts w:hint="eastAsia" w:ascii="宋体" w:hAnsi="宋体" w:cs="宋体"/>
          <w:color w:val="auto"/>
          <w:szCs w:val="21"/>
          <w:highlight w:val="none"/>
        </w:rPr>
      </w:pPr>
    </w:p>
    <w:p>
      <w:pPr>
        <w:shd w:val="clear"/>
        <w:rPr>
          <w:rFonts w:hint="eastAsia" w:ascii="宋体" w:hAnsi="宋体" w:cs="宋体"/>
          <w:color w:val="auto"/>
          <w:szCs w:val="21"/>
          <w:highlight w:val="none"/>
        </w:rPr>
      </w:pPr>
      <w:r>
        <w:rPr>
          <w:rFonts w:hint="eastAsia" w:ascii="宋体" w:hAnsi="宋体" w:cs="宋体"/>
          <w:color w:val="auto"/>
          <w:szCs w:val="21"/>
          <w:highlight w:val="none"/>
        </w:rPr>
        <w:t>评分表格式（评分内容参见第四章）</w:t>
      </w:r>
    </w:p>
    <w:p>
      <w:pPr>
        <w:shd w:val="clear"/>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采购项目评分表</w:t>
      </w:r>
    </w:p>
    <w:p>
      <w:pPr>
        <w:shd w:val="clea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投标人名称： </w:t>
      </w:r>
    </w:p>
    <w:p>
      <w:pPr>
        <w:shd w:val="clear"/>
        <w:rPr>
          <w:rFonts w:hint="eastAsia" w:ascii="宋体" w:hAnsi="宋体" w:cs="宋体"/>
          <w:color w:val="auto"/>
          <w:szCs w:val="21"/>
          <w:highlight w:val="none"/>
        </w:rPr>
      </w:pPr>
      <w:r>
        <w:rPr>
          <w:rFonts w:hint="eastAsia" w:ascii="宋体" w:hAnsi="宋体" w:cs="宋体"/>
          <w:color w:val="auto"/>
          <w:szCs w:val="21"/>
          <w:highlight w:val="none"/>
        </w:rPr>
        <w:t xml:space="preserve">项目编号：  </w:t>
      </w:r>
    </w:p>
    <w:tbl>
      <w:tblPr>
        <w:tblStyle w:val="34"/>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846"/>
        <w:gridCol w:w="954"/>
        <w:gridCol w:w="816"/>
        <w:gridCol w:w="883"/>
        <w:gridCol w:w="90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388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评标内容及分值</w:t>
            </w:r>
          </w:p>
        </w:tc>
        <w:tc>
          <w:tcPr>
            <w:tcW w:w="2616" w:type="dxa"/>
            <w:gridSpan w:val="3"/>
            <w:tcBorders>
              <w:top w:val="single" w:color="auto" w:sz="4" w:space="0"/>
              <w:left w:val="single" w:color="auto" w:sz="4" w:space="0"/>
              <w:bottom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投标人自评栏</w:t>
            </w:r>
          </w:p>
        </w:tc>
        <w:tc>
          <w:tcPr>
            <w:tcW w:w="2709" w:type="dxa"/>
            <w:gridSpan w:val="3"/>
            <w:tcBorders>
              <w:top w:val="single" w:color="auto" w:sz="4" w:space="0"/>
              <w:left w:val="single" w:color="auto" w:sz="4" w:space="0"/>
              <w:bottom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专家评定栏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388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shd w:val="clear"/>
              <w:rPr>
                <w:rFonts w:hint="eastAsia" w:ascii="宋体" w:hAnsi="宋体" w:cs="宋体"/>
                <w:color w:val="auto"/>
                <w:szCs w:val="21"/>
                <w:highlight w:val="none"/>
              </w:rPr>
            </w:pPr>
            <w:r>
              <w:rPr>
                <w:rFonts w:hint="eastAsia" w:ascii="宋体" w:hAnsi="宋体" w:cs="宋体"/>
                <w:color w:val="auto"/>
                <w:szCs w:val="21"/>
                <w:highlight w:val="none"/>
              </w:rPr>
              <w:t>响应</w:t>
            </w:r>
          </w:p>
          <w:p>
            <w:pPr>
              <w:shd w:val="clear"/>
              <w:rPr>
                <w:rFonts w:hint="eastAsia" w:ascii="宋体" w:hAnsi="宋体" w:cs="宋体"/>
                <w:color w:val="auto"/>
                <w:szCs w:val="21"/>
                <w:highlight w:val="none"/>
              </w:rPr>
            </w:pPr>
            <w:r>
              <w:rPr>
                <w:rFonts w:hint="eastAsia" w:ascii="宋体" w:hAnsi="宋体" w:cs="宋体"/>
                <w:color w:val="auto"/>
                <w:szCs w:val="21"/>
                <w:highlight w:val="none"/>
              </w:rPr>
              <w:t>程度</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hd w:val="clear"/>
              <w:rPr>
                <w:rFonts w:hint="eastAsia" w:ascii="宋体" w:hAnsi="宋体" w:cs="宋体"/>
                <w:color w:val="auto"/>
                <w:szCs w:val="21"/>
                <w:highlight w:val="none"/>
              </w:rPr>
            </w:pPr>
            <w:r>
              <w:rPr>
                <w:rFonts w:hint="eastAsia" w:ascii="宋体" w:hAnsi="宋体" w:cs="宋体"/>
                <w:color w:val="auto"/>
                <w:szCs w:val="21"/>
                <w:highlight w:val="none"/>
              </w:rPr>
              <w:t>响应文件页码</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hd w:val="clear"/>
              <w:rPr>
                <w:rFonts w:hint="eastAsia" w:ascii="宋体" w:hAnsi="宋体" w:cs="宋体"/>
                <w:color w:val="auto"/>
                <w:szCs w:val="21"/>
                <w:highlight w:val="none"/>
              </w:rPr>
            </w:pPr>
            <w:r>
              <w:rPr>
                <w:rFonts w:hint="eastAsia" w:ascii="宋体" w:hAnsi="宋体" w:cs="宋体"/>
                <w:color w:val="auto"/>
                <w:szCs w:val="21"/>
                <w:highlight w:val="none"/>
              </w:rPr>
              <w:t>自评分</w:t>
            </w:r>
          </w:p>
        </w:tc>
        <w:tc>
          <w:tcPr>
            <w:tcW w:w="883" w:type="dxa"/>
            <w:tcBorders>
              <w:top w:val="single" w:color="auto" w:sz="4" w:space="0"/>
              <w:left w:val="single" w:color="auto" w:sz="4" w:space="0"/>
              <w:bottom w:val="single" w:color="auto" w:sz="4" w:space="0"/>
              <w:right w:val="single" w:color="auto" w:sz="4" w:space="0"/>
            </w:tcBorders>
            <w:noWrap w:val="0"/>
            <w:vAlign w:val="center"/>
          </w:tcPr>
          <w:p>
            <w:pPr>
              <w:shd w:val="clear"/>
              <w:rPr>
                <w:rFonts w:hint="eastAsia" w:ascii="宋体" w:hAnsi="宋体" w:cs="宋体"/>
                <w:color w:val="auto"/>
                <w:szCs w:val="21"/>
                <w:highlight w:val="none"/>
              </w:rPr>
            </w:pPr>
            <w:r>
              <w:rPr>
                <w:rFonts w:hint="eastAsia" w:ascii="宋体" w:hAnsi="宋体" w:cs="宋体"/>
                <w:color w:val="auto"/>
                <w:szCs w:val="21"/>
                <w:highlight w:val="none"/>
              </w:rPr>
              <w:t>专家</w:t>
            </w:r>
          </w:p>
          <w:p>
            <w:pPr>
              <w:shd w:val="clear"/>
              <w:rPr>
                <w:rFonts w:hint="eastAsia" w:ascii="宋体" w:hAnsi="宋体" w:cs="宋体"/>
                <w:color w:val="auto"/>
                <w:szCs w:val="21"/>
                <w:highlight w:val="none"/>
              </w:rPr>
            </w:pPr>
            <w:r>
              <w:rPr>
                <w:rFonts w:hint="eastAsia" w:ascii="宋体" w:hAnsi="宋体" w:cs="宋体"/>
                <w:color w:val="auto"/>
                <w:szCs w:val="21"/>
                <w:highlight w:val="none"/>
              </w:rPr>
              <w:t>评定分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hd w:val="clear"/>
              <w:rPr>
                <w:rFonts w:hint="eastAsia" w:ascii="宋体" w:hAnsi="宋体" w:cs="宋体"/>
                <w:color w:val="auto"/>
                <w:szCs w:val="21"/>
                <w:highlight w:val="none"/>
              </w:rPr>
            </w:pPr>
            <w:r>
              <w:rPr>
                <w:rFonts w:hint="eastAsia" w:ascii="宋体" w:hAnsi="宋体" w:cs="宋体"/>
                <w:color w:val="auto"/>
                <w:szCs w:val="21"/>
                <w:highlight w:val="none"/>
              </w:rPr>
              <w:t>偏离</w:t>
            </w:r>
          </w:p>
          <w:p>
            <w:pPr>
              <w:shd w:val="clear"/>
              <w:rPr>
                <w:rFonts w:hint="eastAsia" w:ascii="宋体" w:hAnsi="宋体" w:cs="宋体"/>
                <w:color w:val="auto"/>
                <w:szCs w:val="21"/>
                <w:highlight w:val="none"/>
              </w:rPr>
            </w:pPr>
            <w:r>
              <w:rPr>
                <w:rFonts w:hint="eastAsia" w:ascii="宋体" w:hAnsi="宋体" w:cs="宋体"/>
                <w:color w:val="auto"/>
                <w:szCs w:val="21"/>
                <w:highlight w:val="none"/>
              </w:rPr>
              <w:t>情况</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hd w:val="clear"/>
              <w:rPr>
                <w:rFonts w:hint="eastAsia" w:ascii="宋体" w:hAnsi="宋体" w:cs="宋体"/>
                <w:color w:val="auto"/>
                <w:szCs w:val="21"/>
                <w:highlight w:val="none"/>
              </w:rPr>
            </w:pPr>
            <w:r>
              <w:rPr>
                <w:rFonts w:hint="eastAsia" w:ascii="宋体" w:hAnsi="宋体" w:cs="宋体"/>
                <w:color w:val="auto"/>
                <w:szCs w:val="21"/>
                <w:highlight w:val="none"/>
              </w:rPr>
              <w:t>扣分</w:t>
            </w:r>
          </w:p>
          <w:p>
            <w:pPr>
              <w:shd w:val="clear"/>
              <w:rPr>
                <w:rFonts w:hint="eastAsia" w:ascii="宋体" w:hAnsi="宋体" w:cs="宋体"/>
                <w:color w:val="auto"/>
                <w:szCs w:val="21"/>
                <w:highlight w:val="none"/>
              </w:rPr>
            </w:pPr>
            <w:r>
              <w:rPr>
                <w:rFonts w:hint="eastAsia" w:ascii="宋体" w:hAnsi="宋体" w:cs="宋体"/>
                <w:color w:val="auto"/>
                <w:szCs w:val="21"/>
                <w:highlight w:val="none"/>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888" w:type="dxa"/>
            <w:gridSpan w:val="2"/>
            <w:tcBorders>
              <w:top w:val="single" w:color="auto" w:sz="4" w:space="0"/>
              <w:left w:val="single" w:color="auto" w:sz="4" w:space="0"/>
              <w:bottom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价格分（    分）</w:t>
            </w:r>
          </w:p>
        </w:tc>
        <w:tc>
          <w:tcPr>
            <w:tcW w:w="846"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828" w:type="dxa"/>
            <w:vMerge w:val="restart"/>
            <w:tcBorders>
              <w:top w:val="single" w:color="auto" w:sz="4" w:space="0"/>
              <w:left w:val="single" w:color="auto" w:sz="4" w:space="0"/>
              <w:right w:val="single" w:color="auto" w:sz="4" w:space="0"/>
            </w:tcBorders>
            <w:noWrap w:val="0"/>
            <w:vAlign w:val="center"/>
          </w:tcPr>
          <w:p>
            <w:pPr>
              <w:shd w:val="clear"/>
              <w:jc w:val="center"/>
              <w:rPr>
                <w:rFonts w:hint="eastAsia" w:ascii="宋体" w:hAnsi="宋体" w:cs="宋体"/>
                <w:color w:val="auto"/>
                <w:szCs w:val="21"/>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shd w:val="clear"/>
              <w:ind w:left="16" w:hanging="16"/>
              <w:rPr>
                <w:rFonts w:hint="eastAsia" w:ascii="宋体" w:hAnsi="宋体" w:cs="宋体"/>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828" w:type="dxa"/>
            <w:vMerge w:val="continue"/>
            <w:tcBorders>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shd w:val="clear"/>
              <w:adjustRightInd w:val="0"/>
              <w:spacing w:before="120" w:beforeLines="50" w:after="120" w:afterLines="50"/>
              <w:textAlignment w:val="baseline"/>
              <w:rPr>
                <w:rFonts w:hint="eastAsia" w:ascii="宋体" w:hAnsi="宋体" w:cs="宋体"/>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828" w:type="dxa"/>
            <w:vMerge w:val="continue"/>
            <w:tcBorders>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3060" w:type="dxa"/>
            <w:tcBorders>
              <w:top w:val="single" w:color="auto" w:sz="4" w:space="0"/>
              <w:left w:val="single" w:color="auto" w:sz="4" w:space="0"/>
              <w:right w:val="single" w:color="auto" w:sz="4" w:space="0"/>
            </w:tcBorders>
            <w:noWrap w:val="0"/>
            <w:vAlign w:val="center"/>
          </w:tcPr>
          <w:p>
            <w:pPr>
              <w:shd w:val="clear"/>
              <w:adjustRightInd w:val="0"/>
              <w:spacing w:before="120" w:beforeLines="50" w:after="120" w:afterLines="50"/>
              <w:textAlignment w:val="baseline"/>
              <w:rPr>
                <w:rFonts w:hint="eastAsia" w:ascii="宋体" w:hAnsi="宋体" w:cs="宋体"/>
                <w:color w:val="auto"/>
                <w:szCs w:val="21"/>
                <w:highlight w:val="none"/>
              </w:rPr>
            </w:pPr>
          </w:p>
        </w:tc>
        <w:tc>
          <w:tcPr>
            <w:tcW w:w="846"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28" w:type="dxa"/>
            <w:vMerge w:val="restart"/>
            <w:tcBorders>
              <w:left w:val="single" w:color="auto" w:sz="4" w:space="0"/>
              <w:right w:val="single" w:color="auto" w:sz="4" w:space="0"/>
            </w:tcBorders>
            <w:noWrap w:val="0"/>
            <w:vAlign w:val="center"/>
          </w:tcPr>
          <w:p>
            <w:pPr>
              <w:shd w:val="clear"/>
              <w:rPr>
                <w:rFonts w:hint="eastAsia" w:ascii="宋体" w:hAnsi="宋体" w:cs="宋体"/>
                <w:color w:val="auto"/>
                <w:szCs w:val="21"/>
                <w:highlight w:val="none"/>
              </w:rPr>
            </w:pPr>
          </w:p>
        </w:tc>
        <w:tc>
          <w:tcPr>
            <w:tcW w:w="3060" w:type="dxa"/>
            <w:tcBorders>
              <w:top w:val="single" w:color="auto" w:sz="4" w:space="0"/>
              <w:left w:val="single" w:color="auto" w:sz="4" w:space="0"/>
              <w:right w:val="single" w:color="auto" w:sz="4" w:space="0"/>
            </w:tcBorders>
            <w:noWrap w:val="0"/>
            <w:vAlign w:val="center"/>
          </w:tcPr>
          <w:p>
            <w:pPr>
              <w:shd w:val="clear"/>
              <w:jc w:val="center"/>
              <w:rPr>
                <w:rFonts w:hint="eastAsia" w:ascii="宋体" w:hAnsi="宋体" w:cs="宋体"/>
                <w:color w:val="auto"/>
                <w:szCs w:val="21"/>
                <w:highlight w:val="none"/>
              </w:rPr>
            </w:pPr>
          </w:p>
        </w:tc>
        <w:tc>
          <w:tcPr>
            <w:tcW w:w="846"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28" w:type="dxa"/>
            <w:vMerge w:val="continue"/>
            <w:tcBorders>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3060" w:type="dxa"/>
            <w:tcBorders>
              <w:top w:val="single" w:color="auto" w:sz="4" w:space="0"/>
              <w:left w:val="single" w:color="auto" w:sz="4" w:space="0"/>
              <w:right w:val="single" w:color="auto" w:sz="4" w:space="0"/>
            </w:tcBorders>
            <w:noWrap w:val="0"/>
            <w:vAlign w:val="center"/>
          </w:tcPr>
          <w:p>
            <w:pPr>
              <w:shd w:val="clear"/>
              <w:jc w:val="center"/>
              <w:rPr>
                <w:rFonts w:hint="eastAsia" w:ascii="宋体" w:hAnsi="宋体" w:cs="宋体"/>
                <w:color w:val="auto"/>
                <w:szCs w:val="21"/>
                <w:highlight w:val="none"/>
              </w:rPr>
            </w:pPr>
          </w:p>
        </w:tc>
        <w:tc>
          <w:tcPr>
            <w:tcW w:w="846"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28" w:type="dxa"/>
            <w:vMerge w:val="continue"/>
            <w:tcBorders>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3060" w:type="dxa"/>
            <w:tcBorders>
              <w:top w:val="single" w:color="auto" w:sz="4" w:space="0"/>
              <w:left w:val="single" w:color="auto" w:sz="4" w:space="0"/>
              <w:right w:val="single" w:color="auto" w:sz="4" w:space="0"/>
            </w:tcBorders>
            <w:noWrap w:val="0"/>
            <w:vAlign w:val="center"/>
          </w:tcPr>
          <w:p>
            <w:pPr>
              <w:shd w:val="clear"/>
              <w:adjustRightInd w:val="0"/>
              <w:spacing w:before="120" w:beforeLines="50" w:after="120" w:afterLines="50"/>
              <w:jc w:val="center"/>
              <w:textAlignment w:val="baseline"/>
              <w:rPr>
                <w:rFonts w:hint="eastAsia" w:ascii="宋体" w:hAnsi="宋体" w:cs="宋体"/>
                <w:color w:val="auto"/>
                <w:szCs w:val="21"/>
                <w:highlight w:val="none"/>
              </w:rPr>
            </w:pPr>
          </w:p>
        </w:tc>
        <w:tc>
          <w:tcPr>
            <w:tcW w:w="846"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28" w:type="dxa"/>
            <w:vMerge w:val="continue"/>
            <w:tcBorders>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3060" w:type="dxa"/>
            <w:tcBorders>
              <w:top w:val="single" w:color="auto" w:sz="4" w:space="0"/>
              <w:left w:val="single" w:color="auto" w:sz="4" w:space="0"/>
              <w:right w:val="single" w:color="auto" w:sz="4" w:space="0"/>
            </w:tcBorders>
            <w:noWrap w:val="0"/>
            <w:vAlign w:val="center"/>
          </w:tcPr>
          <w:p>
            <w:pPr>
              <w:shd w:val="clear"/>
              <w:adjustRightInd w:val="0"/>
              <w:spacing w:before="120" w:beforeLines="50" w:after="120" w:afterLines="50"/>
              <w:jc w:val="center"/>
              <w:textAlignment w:val="baseline"/>
              <w:rPr>
                <w:rFonts w:hint="eastAsia" w:ascii="宋体" w:hAnsi="宋体" w:cs="宋体"/>
                <w:color w:val="auto"/>
                <w:szCs w:val="21"/>
                <w:highlight w:val="none"/>
              </w:rPr>
            </w:pPr>
          </w:p>
        </w:tc>
        <w:tc>
          <w:tcPr>
            <w:tcW w:w="846"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28" w:type="dxa"/>
            <w:vMerge w:val="restart"/>
            <w:tcBorders>
              <w:top w:val="single" w:color="auto" w:sz="4" w:space="0"/>
              <w:left w:val="single" w:color="auto" w:sz="4" w:space="0"/>
              <w:right w:val="single" w:color="auto" w:sz="4" w:space="0"/>
            </w:tcBorders>
            <w:noWrap w:val="0"/>
            <w:vAlign w:val="center"/>
          </w:tcPr>
          <w:p>
            <w:pPr>
              <w:shd w:val="clear"/>
              <w:jc w:val="center"/>
              <w:rPr>
                <w:rFonts w:hint="eastAsia" w:ascii="宋体" w:hAnsi="宋体" w:cs="宋体"/>
                <w:color w:val="auto"/>
                <w:szCs w:val="21"/>
                <w:highlight w:val="none"/>
              </w:rPr>
            </w:pPr>
          </w:p>
        </w:tc>
        <w:tc>
          <w:tcPr>
            <w:tcW w:w="3060" w:type="dxa"/>
            <w:tcBorders>
              <w:top w:val="single" w:color="auto" w:sz="4" w:space="0"/>
              <w:left w:val="single" w:color="auto" w:sz="4" w:space="0"/>
              <w:right w:val="single" w:color="auto" w:sz="4" w:space="0"/>
            </w:tcBorders>
            <w:noWrap w:val="0"/>
            <w:vAlign w:val="center"/>
          </w:tcPr>
          <w:p>
            <w:pPr>
              <w:shd w:val="clear"/>
              <w:jc w:val="center"/>
              <w:rPr>
                <w:rFonts w:hint="eastAsia" w:ascii="宋体" w:hAnsi="宋体" w:cs="宋体"/>
                <w:color w:val="auto"/>
                <w:szCs w:val="21"/>
                <w:highlight w:val="none"/>
              </w:rPr>
            </w:pPr>
          </w:p>
        </w:tc>
        <w:tc>
          <w:tcPr>
            <w:tcW w:w="846"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28" w:type="dxa"/>
            <w:vMerge w:val="continue"/>
            <w:tcBorders>
              <w:left w:val="single" w:color="auto" w:sz="4" w:space="0"/>
              <w:right w:val="single" w:color="auto" w:sz="4" w:space="0"/>
            </w:tcBorders>
            <w:noWrap w:val="0"/>
            <w:vAlign w:val="center"/>
          </w:tcPr>
          <w:p>
            <w:pPr>
              <w:shd w:val="clear"/>
              <w:rPr>
                <w:rFonts w:hint="eastAsia" w:ascii="宋体" w:hAnsi="宋体" w:cs="宋体"/>
                <w:color w:val="auto"/>
                <w:kern w:val="0"/>
                <w:szCs w:val="21"/>
                <w:highlight w:val="none"/>
              </w:rPr>
            </w:pPr>
          </w:p>
        </w:tc>
        <w:tc>
          <w:tcPr>
            <w:tcW w:w="3060" w:type="dxa"/>
            <w:tcBorders>
              <w:top w:val="single" w:color="auto" w:sz="4" w:space="0"/>
              <w:left w:val="single" w:color="auto" w:sz="4" w:space="0"/>
              <w:right w:val="single" w:color="auto" w:sz="4" w:space="0"/>
            </w:tcBorders>
            <w:noWrap w:val="0"/>
            <w:vAlign w:val="center"/>
          </w:tcPr>
          <w:p>
            <w:pPr>
              <w:shd w:val="clear"/>
              <w:adjustRightInd w:val="0"/>
              <w:spacing w:before="120" w:beforeLines="50" w:after="120" w:afterLines="50"/>
              <w:jc w:val="center"/>
              <w:textAlignment w:val="baseline"/>
              <w:rPr>
                <w:rFonts w:hint="eastAsia" w:ascii="宋体" w:hAnsi="宋体" w:cs="宋体"/>
                <w:color w:val="auto"/>
                <w:szCs w:val="21"/>
                <w:highlight w:val="none"/>
              </w:rPr>
            </w:pPr>
          </w:p>
        </w:tc>
        <w:tc>
          <w:tcPr>
            <w:tcW w:w="846"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Merge w:val="continue"/>
            <w:tcBorders>
              <w:left w:val="single" w:color="auto" w:sz="4" w:space="0"/>
              <w:right w:val="single" w:color="auto" w:sz="4" w:space="0"/>
            </w:tcBorders>
            <w:noWrap w:val="0"/>
            <w:vAlign w:val="center"/>
          </w:tcPr>
          <w:p>
            <w:pPr>
              <w:shd w:val="clear"/>
              <w:rPr>
                <w:rFonts w:hint="eastAsia" w:ascii="宋体" w:hAnsi="宋体" w:cs="宋体"/>
                <w:color w:val="auto"/>
                <w:kern w:val="0"/>
                <w:szCs w:val="21"/>
                <w:highlight w:val="none"/>
              </w:rPr>
            </w:pPr>
          </w:p>
        </w:tc>
        <w:tc>
          <w:tcPr>
            <w:tcW w:w="3060" w:type="dxa"/>
            <w:tcBorders>
              <w:top w:val="single" w:color="auto" w:sz="4" w:space="0"/>
              <w:left w:val="single" w:color="auto" w:sz="4" w:space="0"/>
              <w:right w:val="single" w:color="auto" w:sz="4" w:space="0"/>
            </w:tcBorders>
            <w:noWrap w:val="0"/>
            <w:vAlign w:val="center"/>
          </w:tcPr>
          <w:p>
            <w:pPr>
              <w:shd w:val="clear"/>
              <w:jc w:val="center"/>
              <w:rPr>
                <w:rFonts w:hint="eastAsia" w:ascii="宋体" w:hAnsi="宋体" w:cs="宋体"/>
                <w:color w:val="auto"/>
                <w:szCs w:val="21"/>
                <w:highlight w:val="none"/>
              </w:rPr>
            </w:pPr>
          </w:p>
        </w:tc>
        <w:tc>
          <w:tcPr>
            <w:tcW w:w="846"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Merge w:val="restart"/>
            <w:tcBorders>
              <w:left w:val="single" w:color="auto" w:sz="4" w:space="0"/>
              <w:right w:val="single" w:color="auto" w:sz="4" w:space="0"/>
            </w:tcBorders>
            <w:noWrap w:val="0"/>
            <w:vAlign w:val="center"/>
          </w:tcPr>
          <w:p>
            <w:pPr>
              <w:shd w:val="clear"/>
              <w:rPr>
                <w:rFonts w:hint="eastAsia" w:ascii="宋体" w:hAnsi="宋体" w:cs="宋体"/>
                <w:color w:val="auto"/>
                <w:kern w:val="0"/>
                <w:szCs w:val="21"/>
                <w:highlight w:val="none"/>
              </w:rPr>
            </w:pPr>
          </w:p>
        </w:tc>
        <w:tc>
          <w:tcPr>
            <w:tcW w:w="3060" w:type="dxa"/>
            <w:tcBorders>
              <w:top w:val="single" w:color="auto" w:sz="4" w:space="0"/>
              <w:left w:val="single" w:color="auto" w:sz="4" w:space="0"/>
              <w:right w:val="single" w:color="auto" w:sz="4" w:space="0"/>
            </w:tcBorders>
            <w:noWrap w:val="0"/>
            <w:vAlign w:val="center"/>
          </w:tcPr>
          <w:p>
            <w:pPr>
              <w:shd w:val="clear"/>
              <w:jc w:val="center"/>
              <w:rPr>
                <w:rFonts w:hint="eastAsia" w:ascii="宋体" w:hAnsi="宋体" w:cs="宋体"/>
                <w:color w:val="auto"/>
                <w:szCs w:val="21"/>
                <w:highlight w:val="none"/>
              </w:rPr>
            </w:pPr>
          </w:p>
        </w:tc>
        <w:tc>
          <w:tcPr>
            <w:tcW w:w="846"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28" w:type="dxa"/>
            <w:vMerge w:val="continue"/>
            <w:tcBorders>
              <w:left w:val="single" w:color="auto" w:sz="4" w:space="0"/>
              <w:right w:val="single" w:color="auto" w:sz="4" w:space="0"/>
            </w:tcBorders>
            <w:noWrap w:val="0"/>
            <w:vAlign w:val="center"/>
          </w:tcPr>
          <w:p>
            <w:pPr>
              <w:shd w:val="clear"/>
              <w:rPr>
                <w:rFonts w:hint="eastAsia" w:ascii="宋体" w:hAnsi="宋体" w:cs="宋体"/>
                <w:color w:val="auto"/>
                <w:kern w:val="0"/>
                <w:szCs w:val="21"/>
                <w:highlight w:val="none"/>
              </w:rPr>
            </w:pPr>
          </w:p>
        </w:tc>
        <w:tc>
          <w:tcPr>
            <w:tcW w:w="3060" w:type="dxa"/>
            <w:tcBorders>
              <w:top w:val="single" w:color="auto" w:sz="4" w:space="0"/>
              <w:left w:val="single" w:color="auto" w:sz="4" w:space="0"/>
              <w:right w:val="single" w:color="auto" w:sz="4" w:space="0"/>
            </w:tcBorders>
            <w:noWrap w:val="0"/>
            <w:vAlign w:val="center"/>
          </w:tcPr>
          <w:p>
            <w:pPr>
              <w:shd w:val="clear"/>
              <w:rPr>
                <w:rFonts w:hint="eastAsia" w:ascii="宋体" w:hAnsi="宋体" w:cs="宋体"/>
                <w:color w:val="auto"/>
                <w:szCs w:val="21"/>
                <w:highlight w:val="none"/>
              </w:rPr>
            </w:pPr>
          </w:p>
        </w:tc>
        <w:tc>
          <w:tcPr>
            <w:tcW w:w="846"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8" w:type="dxa"/>
            <w:vMerge w:val="continue"/>
            <w:tcBorders>
              <w:left w:val="single" w:color="auto" w:sz="4" w:space="0"/>
              <w:right w:val="single" w:color="auto" w:sz="4" w:space="0"/>
            </w:tcBorders>
            <w:noWrap w:val="0"/>
            <w:vAlign w:val="center"/>
          </w:tcPr>
          <w:p>
            <w:pPr>
              <w:shd w:val="clear"/>
              <w:rPr>
                <w:rFonts w:hint="eastAsia" w:ascii="宋体" w:hAnsi="宋体" w:cs="宋体"/>
                <w:color w:val="auto"/>
                <w:kern w:val="0"/>
                <w:szCs w:val="21"/>
                <w:highlight w:val="none"/>
              </w:rPr>
            </w:pPr>
          </w:p>
        </w:tc>
        <w:tc>
          <w:tcPr>
            <w:tcW w:w="3060" w:type="dxa"/>
            <w:tcBorders>
              <w:top w:val="single" w:color="auto" w:sz="4" w:space="0"/>
              <w:left w:val="single" w:color="auto" w:sz="4" w:space="0"/>
              <w:right w:val="single" w:color="auto" w:sz="4" w:space="0"/>
            </w:tcBorders>
            <w:noWrap w:val="0"/>
            <w:vAlign w:val="center"/>
          </w:tcPr>
          <w:p>
            <w:pPr>
              <w:shd w:val="clear"/>
              <w:jc w:val="center"/>
              <w:rPr>
                <w:rFonts w:hint="eastAsia" w:ascii="宋体" w:hAnsi="宋体" w:cs="宋体"/>
                <w:color w:val="auto"/>
                <w:szCs w:val="21"/>
                <w:highlight w:val="none"/>
              </w:rPr>
            </w:pPr>
          </w:p>
        </w:tc>
        <w:tc>
          <w:tcPr>
            <w:tcW w:w="846"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3888" w:type="dxa"/>
            <w:gridSpan w:val="2"/>
            <w:tcBorders>
              <w:top w:val="single" w:color="auto" w:sz="4" w:space="0"/>
              <w:left w:val="single" w:color="auto" w:sz="4" w:space="0"/>
              <w:bottom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合计得分</w:t>
            </w:r>
          </w:p>
        </w:tc>
        <w:tc>
          <w:tcPr>
            <w:tcW w:w="2616" w:type="dxa"/>
            <w:gridSpan w:val="3"/>
            <w:tcBorders>
              <w:top w:val="single" w:color="auto" w:sz="4" w:space="0"/>
              <w:left w:val="single" w:color="auto" w:sz="4" w:space="0"/>
              <w:bottom w:val="single" w:color="auto" w:sz="4" w:space="0"/>
              <w:right w:val="single" w:color="auto" w:sz="4" w:space="0"/>
              <w:tr2bl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shd w:val="clear"/>
              <w:ind w:firstLine="420" w:firstLineChars="200"/>
              <w:rPr>
                <w:rFonts w:hint="eastAsia" w:ascii="宋体" w:hAnsi="宋体" w:cs="宋体"/>
                <w:color w:val="auto"/>
                <w:szCs w:val="21"/>
                <w:highlight w:val="none"/>
              </w:rPr>
            </w:pPr>
          </w:p>
        </w:tc>
        <w:tc>
          <w:tcPr>
            <w:tcW w:w="1826" w:type="dxa"/>
            <w:gridSpan w:val="2"/>
            <w:tcBorders>
              <w:top w:val="single" w:color="auto" w:sz="4" w:space="0"/>
              <w:left w:val="single" w:color="auto" w:sz="4" w:space="0"/>
              <w:bottom w:val="single" w:color="auto" w:sz="4" w:space="0"/>
              <w:right w:val="single" w:color="auto" w:sz="4" w:space="0"/>
              <w:tr2bl w:val="single" w:color="auto" w:sz="4" w:space="0"/>
            </w:tcBorders>
            <w:noWrap w:val="0"/>
            <w:vAlign w:val="center"/>
          </w:tcPr>
          <w:p>
            <w:pPr>
              <w:shd w:val="clear"/>
              <w:ind w:firstLine="420" w:firstLineChars="200"/>
              <w:rPr>
                <w:rFonts w:hint="eastAsia" w:ascii="宋体" w:hAnsi="宋体" w:cs="宋体"/>
                <w:color w:val="auto"/>
                <w:szCs w:val="21"/>
                <w:highlight w:val="none"/>
              </w:rPr>
            </w:pPr>
          </w:p>
        </w:tc>
      </w:tr>
    </w:tbl>
    <w:p>
      <w:pPr>
        <w:shd w:val="clear"/>
        <w:rPr>
          <w:rFonts w:hint="eastAsia" w:ascii="宋体" w:hAnsi="宋体" w:cs="宋体"/>
          <w:color w:val="auto"/>
          <w:highlight w:val="none"/>
        </w:rPr>
      </w:pPr>
      <w:r>
        <w:rPr>
          <w:rFonts w:hint="eastAsia" w:ascii="宋体" w:hAnsi="宋体" w:cs="宋体"/>
          <w:color w:val="auto"/>
          <w:highlight w:val="none"/>
        </w:rPr>
        <w:t>本表格需参照第四章评分条款，认真填写，并附在技术资信文件目录后，方便评委评分时核对</w:t>
      </w:r>
    </w:p>
    <w:p>
      <w:pPr>
        <w:shd w:val="clear"/>
        <w:spacing w:line="520" w:lineRule="exact"/>
        <w:rPr>
          <w:rFonts w:hint="eastAsia" w:ascii="宋体" w:hAnsi="宋体" w:cs="宋体"/>
          <w:color w:val="auto"/>
          <w:szCs w:val="21"/>
          <w:highlight w:val="none"/>
        </w:rPr>
      </w:pPr>
    </w:p>
    <w:bookmarkEnd w:id="190"/>
    <w:bookmarkEnd w:id="191"/>
    <w:p>
      <w:pPr>
        <w:shd w:val="clear"/>
        <w:snapToGrid w:val="0"/>
        <w:spacing w:before="50" w:after="50"/>
        <w:ind w:right="-817" w:rightChars="-389"/>
        <w:rPr>
          <w:rFonts w:hint="eastAsia" w:ascii="宋体" w:hAnsi="宋体" w:cs="宋体"/>
          <w:color w:val="auto"/>
          <w:highlight w:val="none"/>
        </w:rPr>
      </w:pPr>
    </w:p>
    <w:p>
      <w:pPr>
        <w:shd w:val="clear"/>
        <w:adjustRightInd w:val="0"/>
        <w:snapToGrid w:val="0"/>
        <w:spacing w:line="360" w:lineRule="auto"/>
        <w:jc w:val="left"/>
        <w:rPr>
          <w:rFonts w:hint="eastAsia" w:ascii="宋体" w:hAnsi="宋体" w:eastAsia="宋体" w:cs="宋体"/>
          <w:snapToGrid w:val="0"/>
          <w:color w:val="auto"/>
          <w:sz w:val="36"/>
          <w:szCs w:val="36"/>
          <w:highlight w:val="none"/>
          <w:lang w:eastAsia="zh-CN"/>
        </w:rPr>
        <w:sectPr>
          <w:pgSz w:w="11906" w:h="16838"/>
          <w:pgMar w:top="1247" w:right="1247" w:bottom="1247" w:left="1247" w:header="851" w:footer="992" w:gutter="0"/>
          <w:pgNumType w:fmt="decimal"/>
          <w:cols w:space="720" w:num="1"/>
          <w:docGrid w:linePitch="313" w:charSpace="0"/>
        </w:sectPr>
      </w:pPr>
      <w:r>
        <w:rPr>
          <w:rFonts w:hint="eastAsia" w:ascii="宋体" w:hAnsi="宋体" w:cs="宋体"/>
          <w:b/>
          <w:bCs/>
          <w:i/>
          <w:iCs/>
          <w:color w:val="auto"/>
          <w:sz w:val="24"/>
          <w:highlight w:val="none"/>
        </w:rPr>
        <w:t>招标文件无格式但需要提供的资料或者影响投标人得分以及资格认定的资料请投标人另行自拟添加</w:t>
      </w:r>
    </w:p>
    <w:p>
      <w:pPr>
        <w:shd w:val="clear"/>
        <w:rPr>
          <w:rFonts w:hint="default"/>
          <w:highlight w:val="none"/>
          <w:lang w:val="en-US" w:eastAsia="zh-CN"/>
        </w:rPr>
      </w:pPr>
    </w:p>
    <w:sectPr>
      <w:pgSz w:w="11906" w:h="16838"/>
      <w:pgMar w:top="1247" w:right="1247" w:bottom="1247" w:left="1247" w:header="851" w:footer="992" w:gutter="0"/>
      <w:pgNumType w:fmt="decimal"/>
      <w:cols w:space="720" w:num="1"/>
      <w:docGrid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安吉精诚采购代理有限公司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ind w:right="360"/>
      <w:jc w:val="both"/>
      <w:rPr>
        <w:rFonts w:hint="eastAsia"/>
        <w:i/>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rPr>
                              <w:rStyle w:val="38"/>
                            </w:rPr>
                          </w:pPr>
                          <w:r>
                            <w:fldChar w:fldCharType="begin"/>
                          </w:r>
                          <w:r>
                            <w:rPr>
                              <w:rStyle w:val="38"/>
                            </w:rPr>
                            <w:instrText xml:space="preserve">PAGE  </w:instrText>
                          </w:r>
                          <w:r>
                            <w:fldChar w:fldCharType="separate"/>
                          </w:r>
                          <w:r>
                            <w:rPr>
                              <w:rStyle w:val="38"/>
                            </w:rPr>
                            <w:t>54</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19"/>
                      <w:rPr>
                        <w:rStyle w:val="38"/>
                      </w:rPr>
                    </w:pPr>
                    <w:r>
                      <w:fldChar w:fldCharType="begin"/>
                    </w:r>
                    <w:r>
                      <w:rPr>
                        <w:rStyle w:val="38"/>
                      </w:rPr>
                      <w:instrText xml:space="preserve">PAGE  </w:instrText>
                    </w:r>
                    <w:r>
                      <w:fldChar w:fldCharType="separate"/>
                    </w:r>
                    <w:r>
                      <w:rPr>
                        <w:rStyle w:val="38"/>
                      </w:rPr>
                      <w:t>54</w:t>
                    </w:r>
                    <w:r>
                      <w:fldChar w:fldCharType="end"/>
                    </w:r>
                  </w:p>
                </w:txbxContent>
              </v:textbox>
            </v:shape>
          </w:pict>
        </mc:Fallback>
      </mc:AlternateContent>
    </w:r>
    <w:r>
      <w:rPr>
        <w:rFonts w:hint="eastAsia"/>
        <w:i/>
      </w:rPr>
      <w:t>安吉精诚采购代理有限公司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38"/>
      </w:rPr>
    </w:pPr>
    <w:r>
      <w:fldChar w:fldCharType="begin"/>
    </w:r>
    <w:r>
      <w:rPr>
        <w:rStyle w:val="38"/>
      </w:rPr>
      <w:instrText xml:space="preserve">PAGE  </w:instrText>
    </w:r>
    <w:r>
      <w:fldChar w:fldCharType="separate"/>
    </w:r>
    <w:r>
      <w:fldChar w:fldCharType="end"/>
    </w:r>
  </w:p>
  <w:p>
    <w:pPr>
      <w:pStyle w:val="1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default" w:eastAsia="宋体"/>
        <w:lang w:val="en-US" w:eastAsia="zh-CN"/>
      </w:rPr>
    </w:pPr>
    <w:r>
      <w:rPr>
        <w:rFonts w:hint="eastAsia"/>
        <w:lang w:val="en-US" w:eastAsia="zh-CN"/>
      </w:rPr>
      <w:t xml:space="preserve">                         </w:t>
    </w:r>
    <w:r>
      <w:rPr>
        <w:rFonts w:hint="eastAsia"/>
        <w:lang w:eastAsia="zh-CN"/>
      </w:rPr>
      <w:t>安吉县林业局林长制视频监控服务政府采购项目</w:t>
    </w:r>
    <w:r>
      <w:rPr>
        <w:rFonts w:hint="eastAsia"/>
        <w:lang w:val="en-US" w:eastAsia="zh-CN"/>
      </w:rPr>
      <w:t>公开招标采购文件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1"/>
      </w:pBdr>
      <w:wordWrap w:val="0"/>
      <w:jc w:val="right"/>
      <w:rPr>
        <w:rFonts w:hint="eastAsia"/>
        <w:i/>
        <w:color w:val="000000"/>
        <w:sz w:val="16"/>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1593E"/>
    <w:multiLevelType w:val="singleLevel"/>
    <w:tmpl w:val="8251593E"/>
    <w:lvl w:ilvl="0" w:tentative="0">
      <w:start w:val="2"/>
      <w:numFmt w:val="chineseCounting"/>
      <w:suff w:val="nothing"/>
      <w:lvlText w:val="%1、"/>
      <w:lvlJc w:val="left"/>
      <w:rPr>
        <w:rFonts w:hint="eastAsia"/>
      </w:rPr>
    </w:lvl>
  </w:abstractNum>
  <w:abstractNum w:abstractNumId="1">
    <w:nsid w:val="97D91239"/>
    <w:multiLevelType w:val="multilevel"/>
    <w:tmpl w:val="97D91239"/>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E819AD43"/>
    <w:multiLevelType w:val="multilevel"/>
    <w:tmpl w:val="E819AD43"/>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A"/>
    <w:multiLevelType w:val="multilevel"/>
    <w:tmpl w:val="0000000A"/>
    <w:lvl w:ilvl="0" w:tentative="0">
      <w:start w:val="2"/>
      <w:numFmt w:val="bullet"/>
      <w:lvlText w:val="★"/>
      <w:lvlJc w:val="left"/>
      <w:pPr>
        <w:tabs>
          <w:tab w:val="left" w:pos="360"/>
        </w:tabs>
        <w:ind w:left="360" w:hanging="360"/>
      </w:pPr>
      <w:rPr>
        <w:rFonts w:hint="default" w:ascii="Times New Roman" w:hAnsi="Times New Roman" w:eastAsia="楷体_GB231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1744E57"/>
    <w:multiLevelType w:val="multilevel"/>
    <w:tmpl w:val="11744E57"/>
    <w:lvl w:ilvl="0" w:tentative="0">
      <w:start w:val="1"/>
      <w:numFmt w:val="decimal"/>
      <w:lvlText w:val="%1"/>
      <w:lvlJc w:val="left"/>
      <w:pPr>
        <w:tabs>
          <w:tab w:val="left" w:pos="432"/>
        </w:tabs>
        <w:ind w:left="432" w:hanging="432"/>
      </w:pPr>
      <w:rPr>
        <w:rFonts w:ascii="宋体" w:hAnsi="宋体" w:eastAsia="宋体"/>
      </w:r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5A44B75"/>
    <w:multiLevelType w:val="singleLevel"/>
    <w:tmpl w:val="15A44B75"/>
    <w:lvl w:ilvl="0" w:tentative="0">
      <w:start w:val="2"/>
      <w:numFmt w:val="chineseCounting"/>
      <w:suff w:val="nothing"/>
      <w:lvlText w:val="（%1）"/>
      <w:lvlJc w:val="left"/>
      <w:rPr>
        <w:rFonts w:hint="eastAsia"/>
      </w:rPr>
    </w:lvl>
  </w:abstractNum>
  <w:abstractNum w:abstractNumId="6">
    <w:nsid w:val="261A1BDC"/>
    <w:multiLevelType w:val="multilevel"/>
    <w:tmpl w:val="261A1BDC"/>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994CE91"/>
    <w:multiLevelType w:val="singleLevel"/>
    <w:tmpl w:val="3994CE91"/>
    <w:lvl w:ilvl="0" w:tentative="0">
      <w:start w:val="2"/>
      <w:numFmt w:val="decimal"/>
      <w:lvlText w:val="%1."/>
      <w:lvlJc w:val="left"/>
      <w:pPr>
        <w:tabs>
          <w:tab w:val="left" w:pos="312"/>
        </w:tabs>
      </w:pPr>
    </w:lvl>
  </w:abstractNum>
  <w:abstractNum w:abstractNumId="8">
    <w:nsid w:val="39D9AAFC"/>
    <w:multiLevelType w:val="multilevel"/>
    <w:tmpl w:val="39D9AAFC"/>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D4B0E98"/>
    <w:multiLevelType w:val="multilevel"/>
    <w:tmpl w:val="4D4B0E98"/>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468F454"/>
    <w:multiLevelType w:val="singleLevel"/>
    <w:tmpl w:val="5468F454"/>
    <w:lvl w:ilvl="0" w:tentative="0">
      <w:start w:val="3"/>
      <w:numFmt w:val="chineseCounting"/>
      <w:suff w:val="nothing"/>
      <w:lvlText w:val="%1、"/>
      <w:lvlJc w:val="left"/>
      <w:rPr>
        <w:rFonts w:hint="eastAsia"/>
      </w:rPr>
    </w:lvl>
  </w:abstractNum>
  <w:abstractNum w:abstractNumId="11">
    <w:nsid w:val="59D7428E"/>
    <w:multiLevelType w:val="singleLevel"/>
    <w:tmpl w:val="59D7428E"/>
    <w:lvl w:ilvl="0" w:tentative="0">
      <w:start w:val="5"/>
      <w:numFmt w:val="chineseCounting"/>
      <w:suff w:val="nothing"/>
      <w:lvlText w:val="%1、"/>
      <w:lvlJc w:val="left"/>
    </w:lvl>
  </w:abstractNum>
  <w:abstractNum w:abstractNumId="12">
    <w:nsid w:val="59D7508F"/>
    <w:multiLevelType w:val="singleLevel"/>
    <w:tmpl w:val="59D7508F"/>
    <w:lvl w:ilvl="0" w:tentative="0">
      <w:start w:val="1"/>
      <w:numFmt w:val="chineseCounting"/>
      <w:suff w:val="nothing"/>
      <w:lvlText w:val="（%1）"/>
      <w:lvlJc w:val="left"/>
    </w:lvl>
  </w:abstractNum>
  <w:abstractNum w:abstractNumId="13">
    <w:nsid w:val="59D83E1D"/>
    <w:multiLevelType w:val="singleLevel"/>
    <w:tmpl w:val="59D83E1D"/>
    <w:lvl w:ilvl="0" w:tentative="0">
      <w:start w:val="1"/>
      <w:numFmt w:val="decimal"/>
      <w:suff w:val="nothing"/>
      <w:lvlText w:val="%1、"/>
      <w:lvlJc w:val="left"/>
    </w:lvl>
  </w:abstractNum>
  <w:abstractNum w:abstractNumId="14">
    <w:nsid w:val="76143D7D"/>
    <w:multiLevelType w:val="multilevel"/>
    <w:tmpl w:val="76143D7D"/>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0"/>
  </w:num>
  <w:num w:numId="3">
    <w:abstractNumId w:val="7"/>
  </w:num>
  <w:num w:numId="4">
    <w:abstractNumId w:val="1"/>
  </w:num>
  <w:num w:numId="5">
    <w:abstractNumId w:val="2"/>
  </w:num>
  <w:num w:numId="6">
    <w:abstractNumId w:val="14"/>
  </w:num>
  <w:num w:numId="7">
    <w:abstractNumId w:val="11"/>
  </w:num>
  <w:num w:numId="8">
    <w:abstractNumId w:val="12"/>
  </w:num>
  <w:num w:numId="9">
    <w:abstractNumId w:val="10"/>
  </w:num>
  <w:num w:numId="10">
    <w:abstractNumId w:val="5"/>
  </w:num>
  <w:num w:numId="11">
    <w:abstractNumId w:val="13"/>
  </w:num>
  <w:num w:numId="12">
    <w:abstractNumId w:val="6"/>
  </w:num>
  <w:num w:numId="13">
    <w:abstractNumId w:val="9"/>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N2QwYzk2ODAwZDNhOWJjOTg3MjZmNTYzNmExMzEifQ=="/>
  </w:docVars>
  <w:rsids>
    <w:rsidRoot w:val="00454DFB"/>
    <w:rsid w:val="00003F5D"/>
    <w:rsid w:val="000112D2"/>
    <w:rsid w:val="00011DA8"/>
    <w:rsid w:val="000122A5"/>
    <w:rsid w:val="00012D74"/>
    <w:rsid w:val="0001398D"/>
    <w:rsid w:val="000167D7"/>
    <w:rsid w:val="00016A12"/>
    <w:rsid w:val="00016AB6"/>
    <w:rsid w:val="0001789A"/>
    <w:rsid w:val="00022722"/>
    <w:rsid w:val="00022CF5"/>
    <w:rsid w:val="0002548B"/>
    <w:rsid w:val="000277F4"/>
    <w:rsid w:val="00031520"/>
    <w:rsid w:val="0003263C"/>
    <w:rsid w:val="000337E4"/>
    <w:rsid w:val="000340DE"/>
    <w:rsid w:val="0003428E"/>
    <w:rsid w:val="00034EBB"/>
    <w:rsid w:val="0004164E"/>
    <w:rsid w:val="00042FA1"/>
    <w:rsid w:val="000433DF"/>
    <w:rsid w:val="000434FF"/>
    <w:rsid w:val="00043718"/>
    <w:rsid w:val="0004403E"/>
    <w:rsid w:val="0004540F"/>
    <w:rsid w:val="0005069A"/>
    <w:rsid w:val="00056385"/>
    <w:rsid w:val="00057520"/>
    <w:rsid w:val="000603B0"/>
    <w:rsid w:val="00061878"/>
    <w:rsid w:val="000619C7"/>
    <w:rsid w:val="000735B4"/>
    <w:rsid w:val="000807FB"/>
    <w:rsid w:val="0008082E"/>
    <w:rsid w:val="00081789"/>
    <w:rsid w:val="00081F3C"/>
    <w:rsid w:val="00082FAE"/>
    <w:rsid w:val="00084809"/>
    <w:rsid w:val="00084E5F"/>
    <w:rsid w:val="00085CE0"/>
    <w:rsid w:val="0009024E"/>
    <w:rsid w:val="000906B0"/>
    <w:rsid w:val="00091812"/>
    <w:rsid w:val="00091973"/>
    <w:rsid w:val="00093DA8"/>
    <w:rsid w:val="00095D37"/>
    <w:rsid w:val="00096140"/>
    <w:rsid w:val="00096AC3"/>
    <w:rsid w:val="00097AD6"/>
    <w:rsid w:val="000A2126"/>
    <w:rsid w:val="000A34F0"/>
    <w:rsid w:val="000A5237"/>
    <w:rsid w:val="000A66CD"/>
    <w:rsid w:val="000A7C44"/>
    <w:rsid w:val="000B2082"/>
    <w:rsid w:val="000B692C"/>
    <w:rsid w:val="000C048A"/>
    <w:rsid w:val="000C23B6"/>
    <w:rsid w:val="000C24BD"/>
    <w:rsid w:val="000C50FB"/>
    <w:rsid w:val="000C72A6"/>
    <w:rsid w:val="000C753D"/>
    <w:rsid w:val="000D01A0"/>
    <w:rsid w:val="000D46E3"/>
    <w:rsid w:val="000D4700"/>
    <w:rsid w:val="000D6BC0"/>
    <w:rsid w:val="000E1160"/>
    <w:rsid w:val="000E43B3"/>
    <w:rsid w:val="000E72EE"/>
    <w:rsid w:val="000F375B"/>
    <w:rsid w:val="000F70A3"/>
    <w:rsid w:val="00104108"/>
    <w:rsid w:val="00106596"/>
    <w:rsid w:val="0011072F"/>
    <w:rsid w:val="00110EED"/>
    <w:rsid w:val="00111090"/>
    <w:rsid w:val="00112DA4"/>
    <w:rsid w:val="0012246A"/>
    <w:rsid w:val="00126C7B"/>
    <w:rsid w:val="00132B89"/>
    <w:rsid w:val="00137D1D"/>
    <w:rsid w:val="001409D0"/>
    <w:rsid w:val="00141ABE"/>
    <w:rsid w:val="00142522"/>
    <w:rsid w:val="00143E7C"/>
    <w:rsid w:val="001443F1"/>
    <w:rsid w:val="00144DD6"/>
    <w:rsid w:val="00146A04"/>
    <w:rsid w:val="001471FA"/>
    <w:rsid w:val="00151137"/>
    <w:rsid w:val="00152A68"/>
    <w:rsid w:val="001539B0"/>
    <w:rsid w:val="00154F97"/>
    <w:rsid w:val="001573BA"/>
    <w:rsid w:val="00157932"/>
    <w:rsid w:val="00157B02"/>
    <w:rsid w:val="00160830"/>
    <w:rsid w:val="00162CFC"/>
    <w:rsid w:val="00164839"/>
    <w:rsid w:val="00165921"/>
    <w:rsid w:val="00165FB2"/>
    <w:rsid w:val="001667FF"/>
    <w:rsid w:val="00174D1A"/>
    <w:rsid w:val="001756C5"/>
    <w:rsid w:val="00175A7B"/>
    <w:rsid w:val="00175BBF"/>
    <w:rsid w:val="001764EA"/>
    <w:rsid w:val="0017767B"/>
    <w:rsid w:val="00180631"/>
    <w:rsid w:val="001816BE"/>
    <w:rsid w:val="00182D9F"/>
    <w:rsid w:val="00185F28"/>
    <w:rsid w:val="001879E2"/>
    <w:rsid w:val="00190614"/>
    <w:rsid w:val="00191532"/>
    <w:rsid w:val="001915B1"/>
    <w:rsid w:val="001917F9"/>
    <w:rsid w:val="00192CF8"/>
    <w:rsid w:val="001A2711"/>
    <w:rsid w:val="001A5670"/>
    <w:rsid w:val="001B0455"/>
    <w:rsid w:val="001B10B8"/>
    <w:rsid w:val="001B1C63"/>
    <w:rsid w:val="001B3011"/>
    <w:rsid w:val="001B5328"/>
    <w:rsid w:val="001C1C6A"/>
    <w:rsid w:val="001C1E55"/>
    <w:rsid w:val="001C2B93"/>
    <w:rsid w:val="001C39EC"/>
    <w:rsid w:val="001C5413"/>
    <w:rsid w:val="001D271D"/>
    <w:rsid w:val="001D3418"/>
    <w:rsid w:val="001D353D"/>
    <w:rsid w:val="001D5E26"/>
    <w:rsid w:val="001D79FC"/>
    <w:rsid w:val="001E02EA"/>
    <w:rsid w:val="001E26C8"/>
    <w:rsid w:val="001E4D6B"/>
    <w:rsid w:val="001E4F91"/>
    <w:rsid w:val="001E514C"/>
    <w:rsid w:val="001E64AC"/>
    <w:rsid w:val="001E6B19"/>
    <w:rsid w:val="001F1137"/>
    <w:rsid w:val="001F3B19"/>
    <w:rsid w:val="001F50DA"/>
    <w:rsid w:val="001F52F0"/>
    <w:rsid w:val="00201690"/>
    <w:rsid w:val="00201F22"/>
    <w:rsid w:val="00206B2E"/>
    <w:rsid w:val="00207516"/>
    <w:rsid w:val="00207A62"/>
    <w:rsid w:val="0021133F"/>
    <w:rsid w:val="00211568"/>
    <w:rsid w:val="002160A9"/>
    <w:rsid w:val="00216BC4"/>
    <w:rsid w:val="00216CE6"/>
    <w:rsid w:val="00220A12"/>
    <w:rsid w:val="00222200"/>
    <w:rsid w:val="002228D1"/>
    <w:rsid w:val="00224D9F"/>
    <w:rsid w:val="00226D94"/>
    <w:rsid w:val="00230148"/>
    <w:rsid w:val="00230173"/>
    <w:rsid w:val="002327AD"/>
    <w:rsid w:val="002357E5"/>
    <w:rsid w:val="002375D2"/>
    <w:rsid w:val="0024607E"/>
    <w:rsid w:val="00247B69"/>
    <w:rsid w:val="00250EC8"/>
    <w:rsid w:val="00251C0B"/>
    <w:rsid w:val="00253D71"/>
    <w:rsid w:val="002566A5"/>
    <w:rsid w:val="00261275"/>
    <w:rsid w:val="00264938"/>
    <w:rsid w:val="002657AD"/>
    <w:rsid w:val="00267348"/>
    <w:rsid w:val="002673DA"/>
    <w:rsid w:val="00267D39"/>
    <w:rsid w:val="00267EB2"/>
    <w:rsid w:val="00272A90"/>
    <w:rsid w:val="00273A61"/>
    <w:rsid w:val="00275F1D"/>
    <w:rsid w:val="00281A80"/>
    <w:rsid w:val="0028494C"/>
    <w:rsid w:val="00284C4D"/>
    <w:rsid w:val="00284F58"/>
    <w:rsid w:val="00285F02"/>
    <w:rsid w:val="002862C8"/>
    <w:rsid w:val="00287FBF"/>
    <w:rsid w:val="002918B7"/>
    <w:rsid w:val="002A28DD"/>
    <w:rsid w:val="002A5D2E"/>
    <w:rsid w:val="002A67A5"/>
    <w:rsid w:val="002A6857"/>
    <w:rsid w:val="002A7FFE"/>
    <w:rsid w:val="002B1A8F"/>
    <w:rsid w:val="002B5F1C"/>
    <w:rsid w:val="002B6CE5"/>
    <w:rsid w:val="002C3FDC"/>
    <w:rsid w:val="002C4E51"/>
    <w:rsid w:val="002C5B07"/>
    <w:rsid w:val="002C7A0D"/>
    <w:rsid w:val="002D1D25"/>
    <w:rsid w:val="002D2228"/>
    <w:rsid w:val="002D2712"/>
    <w:rsid w:val="002D3A62"/>
    <w:rsid w:val="002D6360"/>
    <w:rsid w:val="002D669D"/>
    <w:rsid w:val="002D6DE4"/>
    <w:rsid w:val="002E1CD4"/>
    <w:rsid w:val="002E7C84"/>
    <w:rsid w:val="002F1355"/>
    <w:rsid w:val="002F19C5"/>
    <w:rsid w:val="002F460E"/>
    <w:rsid w:val="002F63B5"/>
    <w:rsid w:val="00301217"/>
    <w:rsid w:val="0030400E"/>
    <w:rsid w:val="00310DA4"/>
    <w:rsid w:val="003150AA"/>
    <w:rsid w:val="0031622F"/>
    <w:rsid w:val="0031690E"/>
    <w:rsid w:val="003177CB"/>
    <w:rsid w:val="00317DD6"/>
    <w:rsid w:val="0032120B"/>
    <w:rsid w:val="00322338"/>
    <w:rsid w:val="0032288B"/>
    <w:rsid w:val="00323AE1"/>
    <w:rsid w:val="00324EF4"/>
    <w:rsid w:val="0032608A"/>
    <w:rsid w:val="00327347"/>
    <w:rsid w:val="00330422"/>
    <w:rsid w:val="00333478"/>
    <w:rsid w:val="00333D81"/>
    <w:rsid w:val="00337344"/>
    <w:rsid w:val="003426B7"/>
    <w:rsid w:val="0034583C"/>
    <w:rsid w:val="0035231A"/>
    <w:rsid w:val="003541CE"/>
    <w:rsid w:val="0035467E"/>
    <w:rsid w:val="003549D1"/>
    <w:rsid w:val="003556F9"/>
    <w:rsid w:val="00355E24"/>
    <w:rsid w:val="00356321"/>
    <w:rsid w:val="0035782B"/>
    <w:rsid w:val="003622F7"/>
    <w:rsid w:val="00363229"/>
    <w:rsid w:val="00370C8F"/>
    <w:rsid w:val="00371DAF"/>
    <w:rsid w:val="0037576B"/>
    <w:rsid w:val="00376841"/>
    <w:rsid w:val="00380347"/>
    <w:rsid w:val="00383EA9"/>
    <w:rsid w:val="00383FB7"/>
    <w:rsid w:val="0038571F"/>
    <w:rsid w:val="00390468"/>
    <w:rsid w:val="00396070"/>
    <w:rsid w:val="003A0198"/>
    <w:rsid w:val="003A092F"/>
    <w:rsid w:val="003A0FE8"/>
    <w:rsid w:val="003A1D86"/>
    <w:rsid w:val="003A33CD"/>
    <w:rsid w:val="003A5799"/>
    <w:rsid w:val="003A643C"/>
    <w:rsid w:val="003A74B5"/>
    <w:rsid w:val="003B050A"/>
    <w:rsid w:val="003B15D9"/>
    <w:rsid w:val="003B1FD8"/>
    <w:rsid w:val="003B2FFE"/>
    <w:rsid w:val="003B3D50"/>
    <w:rsid w:val="003C011D"/>
    <w:rsid w:val="003C532D"/>
    <w:rsid w:val="003C71AD"/>
    <w:rsid w:val="003C75EC"/>
    <w:rsid w:val="003D075B"/>
    <w:rsid w:val="003D17BD"/>
    <w:rsid w:val="003D21E3"/>
    <w:rsid w:val="003E1BD1"/>
    <w:rsid w:val="003E261D"/>
    <w:rsid w:val="003E46AD"/>
    <w:rsid w:val="003F097E"/>
    <w:rsid w:val="003F1DAE"/>
    <w:rsid w:val="00403AAD"/>
    <w:rsid w:val="00403FE4"/>
    <w:rsid w:val="00404499"/>
    <w:rsid w:val="00407135"/>
    <w:rsid w:val="004077E7"/>
    <w:rsid w:val="00407992"/>
    <w:rsid w:val="00412EC6"/>
    <w:rsid w:val="00420D7A"/>
    <w:rsid w:val="00430600"/>
    <w:rsid w:val="004323B4"/>
    <w:rsid w:val="00432F3C"/>
    <w:rsid w:val="00434B15"/>
    <w:rsid w:val="004372FD"/>
    <w:rsid w:val="00440BC5"/>
    <w:rsid w:val="0044381E"/>
    <w:rsid w:val="004443CC"/>
    <w:rsid w:val="00445DC0"/>
    <w:rsid w:val="00446877"/>
    <w:rsid w:val="00446C4B"/>
    <w:rsid w:val="00450F8E"/>
    <w:rsid w:val="0045130C"/>
    <w:rsid w:val="00451A86"/>
    <w:rsid w:val="00452E22"/>
    <w:rsid w:val="0045480B"/>
    <w:rsid w:val="00454DFB"/>
    <w:rsid w:val="004579AE"/>
    <w:rsid w:val="00460AC0"/>
    <w:rsid w:val="00464B00"/>
    <w:rsid w:val="00466734"/>
    <w:rsid w:val="004715FF"/>
    <w:rsid w:val="00472C46"/>
    <w:rsid w:val="004760C1"/>
    <w:rsid w:val="00476EF8"/>
    <w:rsid w:val="00477094"/>
    <w:rsid w:val="00477F59"/>
    <w:rsid w:val="00481184"/>
    <w:rsid w:val="0048187A"/>
    <w:rsid w:val="00482CC2"/>
    <w:rsid w:val="0048376B"/>
    <w:rsid w:val="00483EF6"/>
    <w:rsid w:val="00484CAC"/>
    <w:rsid w:val="004864C4"/>
    <w:rsid w:val="00486D0B"/>
    <w:rsid w:val="004873EF"/>
    <w:rsid w:val="00490281"/>
    <w:rsid w:val="00492DE3"/>
    <w:rsid w:val="00494A7E"/>
    <w:rsid w:val="00495E54"/>
    <w:rsid w:val="004972F8"/>
    <w:rsid w:val="00497A5A"/>
    <w:rsid w:val="004A04DE"/>
    <w:rsid w:val="004A0F59"/>
    <w:rsid w:val="004A29DF"/>
    <w:rsid w:val="004A5811"/>
    <w:rsid w:val="004B4DFB"/>
    <w:rsid w:val="004B79B4"/>
    <w:rsid w:val="004C365A"/>
    <w:rsid w:val="004C449C"/>
    <w:rsid w:val="004C4EF1"/>
    <w:rsid w:val="004C5D50"/>
    <w:rsid w:val="004C6022"/>
    <w:rsid w:val="004D42A5"/>
    <w:rsid w:val="004D6190"/>
    <w:rsid w:val="004E01B1"/>
    <w:rsid w:val="004E2567"/>
    <w:rsid w:val="004E3477"/>
    <w:rsid w:val="004E415B"/>
    <w:rsid w:val="004E540D"/>
    <w:rsid w:val="004E57AC"/>
    <w:rsid w:val="004E5D33"/>
    <w:rsid w:val="004F0C8F"/>
    <w:rsid w:val="004F2BCE"/>
    <w:rsid w:val="004F4EE5"/>
    <w:rsid w:val="004F7133"/>
    <w:rsid w:val="005028E0"/>
    <w:rsid w:val="00504E66"/>
    <w:rsid w:val="00506EEE"/>
    <w:rsid w:val="005101FA"/>
    <w:rsid w:val="00510B1A"/>
    <w:rsid w:val="00512D74"/>
    <w:rsid w:val="00513D27"/>
    <w:rsid w:val="005150D4"/>
    <w:rsid w:val="005173F9"/>
    <w:rsid w:val="00520106"/>
    <w:rsid w:val="00522148"/>
    <w:rsid w:val="005227D4"/>
    <w:rsid w:val="00524E7A"/>
    <w:rsid w:val="00524FAF"/>
    <w:rsid w:val="00526603"/>
    <w:rsid w:val="00530ECC"/>
    <w:rsid w:val="005328D7"/>
    <w:rsid w:val="005338D7"/>
    <w:rsid w:val="005340BD"/>
    <w:rsid w:val="005353BD"/>
    <w:rsid w:val="0054453B"/>
    <w:rsid w:val="00544543"/>
    <w:rsid w:val="00544848"/>
    <w:rsid w:val="005451BB"/>
    <w:rsid w:val="00546DA2"/>
    <w:rsid w:val="00550891"/>
    <w:rsid w:val="00554299"/>
    <w:rsid w:val="005545A7"/>
    <w:rsid w:val="005569C2"/>
    <w:rsid w:val="00557164"/>
    <w:rsid w:val="00557D62"/>
    <w:rsid w:val="00557F5E"/>
    <w:rsid w:val="00560A96"/>
    <w:rsid w:val="00560E7C"/>
    <w:rsid w:val="00562A16"/>
    <w:rsid w:val="00563EA6"/>
    <w:rsid w:val="005658D9"/>
    <w:rsid w:val="0056647E"/>
    <w:rsid w:val="005669A5"/>
    <w:rsid w:val="00566FAE"/>
    <w:rsid w:val="00567924"/>
    <w:rsid w:val="00570343"/>
    <w:rsid w:val="00570EC1"/>
    <w:rsid w:val="00572C48"/>
    <w:rsid w:val="0057386D"/>
    <w:rsid w:val="00576BFD"/>
    <w:rsid w:val="00577455"/>
    <w:rsid w:val="00581646"/>
    <w:rsid w:val="00581CD3"/>
    <w:rsid w:val="0058318E"/>
    <w:rsid w:val="00586433"/>
    <w:rsid w:val="005865CF"/>
    <w:rsid w:val="0058777B"/>
    <w:rsid w:val="00587B50"/>
    <w:rsid w:val="005916FF"/>
    <w:rsid w:val="005933B2"/>
    <w:rsid w:val="00595A84"/>
    <w:rsid w:val="005963AA"/>
    <w:rsid w:val="005A1AFB"/>
    <w:rsid w:val="005A1F30"/>
    <w:rsid w:val="005A2246"/>
    <w:rsid w:val="005A34B2"/>
    <w:rsid w:val="005A3BC6"/>
    <w:rsid w:val="005A54EA"/>
    <w:rsid w:val="005B1C3A"/>
    <w:rsid w:val="005B377C"/>
    <w:rsid w:val="005B79DD"/>
    <w:rsid w:val="005C040E"/>
    <w:rsid w:val="005C4E0F"/>
    <w:rsid w:val="005C5115"/>
    <w:rsid w:val="005C54E2"/>
    <w:rsid w:val="005D1CE9"/>
    <w:rsid w:val="005D27A2"/>
    <w:rsid w:val="005D6417"/>
    <w:rsid w:val="005D73FA"/>
    <w:rsid w:val="005E05E1"/>
    <w:rsid w:val="005E18BA"/>
    <w:rsid w:val="005E2F2C"/>
    <w:rsid w:val="005E47D1"/>
    <w:rsid w:val="005E4BE7"/>
    <w:rsid w:val="005E5A3B"/>
    <w:rsid w:val="005E5AE4"/>
    <w:rsid w:val="005E7106"/>
    <w:rsid w:val="005F2E23"/>
    <w:rsid w:val="005F3CE7"/>
    <w:rsid w:val="005F6149"/>
    <w:rsid w:val="005F6988"/>
    <w:rsid w:val="006003C1"/>
    <w:rsid w:val="00600BEC"/>
    <w:rsid w:val="00600FA1"/>
    <w:rsid w:val="00602C5B"/>
    <w:rsid w:val="00602D7E"/>
    <w:rsid w:val="00603DBA"/>
    <w:rsid w:val="00606454"/>
    <w:rsid w:val="00607C18"/>
    <w:rsid w:val="00610049"/>
    <w:rsid w:val="00613040"/>
    <w:rsid w:val="00613A75"/>
    <w:rsid w:val="00620F0B"/>
    <w:rsid w:val="00621064"/>
    <w:rsid w:val="006238B2"/>
    <w:rsid w:val="00630363"/>
    <w:rsid w:val="006315BC"/>
    <w:rsid w:val="006322DF"/>
    <w:rsid w:val="00633974"/>
    <w:rsid w:val="00636E61"/>
    <w:rsid w:val="00636FF6"/>
    <w:rsid w:val="00644358"/>
    <w:rsid w:val="00644A43"/>
    <w:rsid w:val="0064500E"/>
    <w:rsid w:val="0064642D"/>
    <w:rsid w:val="00647973"/>
    <w:rsid w:val="00651B4F"/>
    <w:rsid w:val="00652B1C"/>
    <w:rsid w:val="0065572A"/>
    <w:rsid w:val="00660567"/>
    <w:rsid w:val="006629D7"/>
    <w:rsid w:val="00663E29"/>
    <w:rsid w:val="00663FF4"/>
    <w:rsid w:val="006653ED"/>
    <w:rsid w:val="00673126"/>
    <w:rsid w:val="00674C5C"/>
    <w:rsid w:val="006764DC"/>
    <w:rsid w:val="006816F2"/>
    <w:rsid w:val="00682453"/>
    <w:rsid w:val="006826FB"/>
    <w:rsid w:val="006839C2"/>
    <w:rsid w:val="00684238"/>
    <w:rsid w:val="00684423"/>
    <w:rsid w:val="00684D0F"/>
    <w:rsid w:val="00685808"/>
    <w:rsid w:val="006878CC"/>
    <w:rsid w:val="00691840"/>
    <w:rsid w:val="0069274C"/>
    <w:rsid w:val="00692C47"/>
    <w:rsid w:val="00692F34"/>
    <w:rsid w:val="00693039"/>
    <w:rsid w:val="006939C2"/>
    <w:rsid w:val="006965D0"/>
    <w:rsid w:val="0069771C"/>
    <w:rsid w:val="006A0BEB"/>
    <w:rsid w:val="006A256E"/>
    <w:rsid w:val="006A4699"/>
    <w:rsid w:val="006A69AC"/>
    <w:rsid w:val="006A754B"/>
    <w:rsid w:val="006B2D86"/>
    <w:rsid w:val="006B3135"/>
    <w:rsid w:val="006B3FA6"/>
    <w:rsid w:val="006B41CD"/>
    <w:rsid w:val="006B41F5"/>
    <w:rsid w:val="006B4D75"/>
    <w:rsid w:val="006B74BC"/>
    <w:rsid w:val="006C0D94"/>
    <w:rsid w:val="006C0E42"/>
    <w:rsid w:val="006C375D"/>
    <w:rsid w:val="006C3D79"/>
    <w:rsid w:val="006C3E3B"/>
    <w:rsid w:val="006D0A29"/>
    <w:rsid w:val="006D3BD3"/>
    <w:rsid w:val="006D6A64"/>
    <w:rsid w:val="006E014A"/>
    <w:rsid w:val="006E2DC5"/>
    <w:rsid w:val="006E474B"/>
    <w:rsid w:val="006E50F9"/>
    <w:rsid w:val="006E617C"/>
    <w:rsid w:val="006F2735"/>
    <w:rsid w:val="006F3F43"/>
    <w:rsid w:val="006F4F07"/>
    <w:rsid w:val="006F5065"/>
    <w:rsid w:val="006F6CC8"/>
    <w:rsid w:val="006F709F"/>
    <w:rsid w:val="007005C6"/>
    <w:rsid w:val="00701244"/>
    <w:rsid w:val="00701E3D"/>
    <w:rsid w:val="0070312B"/>
    <w:rsid w:val="0070420D"/>
    <w:rsid w:val="00706B77"/>
    <w:rsid w:val="007072B9"/>
    <w:rsid w:val="00707ACB"/>
    <w:rsid w:val="00707BFA"/>
    <w:rsid w:val="007116C5"/>
    <w:rsid w:val="00712389"/>
    <w:rsid w:val="00713177"/>
    <w:rsid w:val="007137B0"/>
    <w:rsid w:val="00714735"/>
    <w:rsid w:val="007147AF"/>
    <w:rsid w:val="00715873"/>
    <w:rsid w:val="00716040"/>
    <w:rsid w:val="00716664"/>
    <w:rsid w:val="007169F0"/>
    <w:rsid w:val="0071727A"/>
    <w:rsid w:val="00717432"/>
    <w:rsid w:val="00717DC9"/>
    <w:rsid w:val="00726797"/>
    <w:rsid w:val="007306F9"/>
    <w:rsid w:val="00730E9B"/>
    <w:rsid w:val="007314FD"/>
    <w:rsid w:val="00731823"/>
    <w:rsid w:val="0073438D"/>
    <w:rsid w:val="0073444E"/>
    <w:rsid w:val="007405DC"/>
    <w:rsid w:val="00744FC7"/>
    <w:rsid w:val="007454A7"/>
    <w:rsid w:val="00745CBC"/>
    <w:rsid w:val="00747877"/>
    <w:rsid w:val="00751C31"/>
    <w:rsid w:val="00752A07"/>
    <w:rsid w:val="007531C5"/>
    <w:rsid w:val="00753A89"/>
    <w:rsid w:val="00754178"/>
    <w:rsid w:val="00754597"/>
    <w:rsid w:val="007548CE"/>
    <w:rsid w:val="007548F6"/>
    <w:rsid w:val="00756700"/>
    <w:rsid w:val="00757A9C"/>
    <w:rsid w:val="00761995"/>
    <w:rsid w:val="0076242F"/>
    <w:rsid w:val="0076265D"/>
    <w:rsid w:val="007701D6"/>
    <w:rsid w:val="00771D50"/>
    <w:rsid w:val="00772195"/>
    <w:rsid w:val="00773CB7"/>
    <w:rsid w:val="0077580A"/>
    <w:rsid w:val="00776D4F"/>
    <w:rsid w:val="007771EC"/>
    <w:rsid w:val="00777692"/>
    <w:rsid w:val="00780817"/>
    <w:rsid w:val="007809A3"/>
    <w:rsid w:val="00781027"/>
    <w:rsid w:val="007836E9"/>
    <w:rsid w:val="00785659"/>
    <w:rsid w:val="00786FB9"/>
    <w:rsid w:val="00793D8E"/>
    <w:rsid w:val="00794219"/>
    <w:rsid w:val="00794E50"/>
    <w:rsid w:val="00797965"/>
    <w:rsid w:val="007A19AD"/>
    <w:rsid w:val="007A3D6F"/>
    <w:rsid w:val="007A4980"/>
    <w:rsid w:val="007A6163"/>
    <w:rsid w:val="007A62D7"/>
    <w:rsid w:val="007A6832"/>
    <w:rsid w:val="007B29CE"/>
    <w:rsid w:val="007B4D68"/>
    <w:rsid w:val="007B52D9"/>
    <w:rsid w:val="007B60E6"/>
    <w:rsid w:val="007B7603"/>
    <w:rsid w:val="007D1326"/>
    <w:rsid w:val="007D2C9F"/>
    <w:rsid w:val="007D3FA2"/>
    <w:rsid w:val="007D5403"/>
    <w:rsid w:val="007D6834"/>
    <w:rsid w:val="007E11E9"/>
    <w:rsid w:val="007E120C"/>
    <w:rsid w:val="007E160A"/>
    <w:rsid w:val="007E5964"/>
    <w:rsid w:val="007E689C"/>
    <w:rsid w:val="007F01CA"/>
    <w:rsid w:val="007F1D3B"/>
    <w:rsid w:val="007F3B1B"/>
    <w:rsid w:val="007F4574"/>
    <w:rsid w:val="007F75D2"/>
    <w:rsid w:val="00804BDC"/>
    <w:rsid w:val="00813929"/>
    <w:rsid w:val="00814952"/>
    <w:rsid w:val="0081625A"/>
    <w:rsid w:val="00824652"/>
    <w:rsid w:val="00824BA6"/>
    <w:rsid w:val="0082625C"/>
    <w:rsid w:val="00827168"/>
    <w:rsid w:val="008273B1"/>
    <w:rsid w:val="00830963"/>
    <w:rsid w:val="00830BCA"/>
    <w:rsid w:val="00830CB9"/>
    <w:rsid w:val="0083360D"/>
    <w:rsid w:val="00833DAD"/>
    <w:rsid w:val="00834425"/>
    <w:rsid w:val="00836C63"/>
    <w:rsid w:val="008405F5"/>
    <w:rsid w:val="00850B23"/>
    <w:rsid w:val="00853D6B"/>
    <w:rsid w:val="00854E6F"/>
    <w:rsid w:val="00854F0C"/>
    <w:rsid w:val="00855DF5"/>
    <w:rsid w:val="0085676C"/>
    <w:rsid w:val="00861CC9"/>
    <w:rsid w:val="00861E69"/>
    <w:rsid w:val="008620D1"/>
    <w:rsid w:val="00862F06"/>
    <w:rsid w:val="00866944"/>
    <w:rsid w:val="008700CE"/>
    <w:rsid w:val="00870E73"/>
    <w:rsid w:val="008713F9"/>
    <w:rsid w:val="00871940"/>
    <w:rsid w:val="00871F32"/>
    <w:rsid w:val="00872982"/>
    <w:rsid w:val="00877696"/>
    <w:rsid w:val="00877B83"/>
    <w:rsid w:val="00877DCF"/>
    <w:rsid w:val="00877FE8"/>
    <w:rsid w:val="00880D4F"/>
    <w:rsid w:val="008840E4"/>
    <w:rsid w:val="008848CB"/>
    <w:rsid w:val="0088652F"/>
    <w:rsid w:val="008877E3"/>
    <w:rsid w:val="008905B6"/>
    <w:rsid w:val="0089410A"/>
    <w:rsid w:val="008957E7"/>
    <w:rsid w:val="008974A8"/>
    <w:rsid w:val="008976E6"/>
    <w:rsid w:val="008A0818"/>
    <w:rsid w:val="008A0B18"/>
    <w:rsid w:val="008A3EE0"/>
    <w:rsid w:val="008A529C"/>
    <w:rsid w:val="008A74FF"/>
    <w:rsid w:val="008B37EE"/>
    <w:rsid w:val="008B5631"/>
    <w:rsid w:val="008B7EA9"/>
    <w:rsid w:val="008B7FD2"/>
    <w:rsid w:val="008C084A"/>
    <w:rsid w:val="008C0B0D"/>
    <w:rsid w:val="008C0FC9"/>
    <w:rsid w:val="008C11F5"/>
    <w:rsid w:val="008C61DF"/>
    <w:rsid w:val="008C639B"/>
    <w:rsid w:val="008C74C4"/>
    <w:rsid w:val="008D142F"/>
    <w:rsid w:val="008D3D03"/>
    <w:rsid w:val="008D528B"/>
    <w:rsid w:val="008E3214"/>
    <w:rsid w:val="008E4328"/>
    <w:rsid w:val="008F4D0C"/>
    <w:rsid w:val="008F63EA"/>
    <w:rsid w:val="008F6C6D"/>
    <w:rsid w:val="00902870"/>
    <w:rsid w:val="009039E2"/>
    <w:rsid w:val="0091071C"/>
    <w:rsid w:val="00910BE4"/>
    <w:rsid w:val="009145E4"/>
    <w:rsid w:val="0092227D"/>
    <w:rsid w:val="009228AE"/>
    <w:rsid w:val="00927E16"/>
    <w:rsid w:val="00930851"/>
    <w:rsid w:val="009332B6"/>
    <w:rsid w:val="009335D1"/>
    <w:rsid w:val="00933771"/>
    <w:rsid w:val="009363A8"/>
    <w:rsid w:val="00936C83"/>
    <w:rsid w:val="00937DD8"/>
    <w:rsid w:val="00940B0B"/>
    <w:rsid w:val="0094347D"/>
    <w:rsid w:val="009454CA"/>
    <w:rsid w:val="00952D00"/>
    <w:rsid w:val="009536FB"/>
    <w:rsid w:val="00954245"/>
    <w:rsid w:val="009552B6"/>
    <w:rsid w:val="00955462"/>
    <w:rsid w:val="009564A2"/>
    <w:rsid w:val="00956F91"/>
    <w:rsid w:val="00964AFC"/>
    <w:rsid w:val="00972044"/>
    <w:rsid w:val="00976B2E"/>
    <w:rsid w:val="00981742"/>
    <w:rsid w:val="00981E2C"/>
    <w:rsid w:val="00986459"/>
    <w:rsid w:val="0099022A"/>
    <w:rsid w:val="0099056F"/>
    <w:rsid w:val="00990736"/>
    <w:rsid w:val="00990B48"/>
    <w:rsid w:val="00991279"/>
    <w:rsid w:val="00994072"/>
    <w:rsid w:val="00994812"/>
    <w:rsid w:val="00995E97"/>
    <w:rsid w:val="00996F69"/>
    <w:rsid w:val="009979B0"/>
    <w:rsid w:val="00997E7E"/>
    <w:rsid w:val="009A163F"/>
    <w:rsid w:val="009A612E"/>
    <w:rsid w:val="009A621A"/>
    <w:rsid w:val="009A72B4"/>
    <w:rsid w:val="009A7768"/>
    <w:rsid w:val="009A7858"/>
    <w:rsid w:val="009B0C14"/>
    <w:rsid w:val="009B2851"/>
    <w:rsid w:val="009B35CE"/>
    <w:rsid w:val="009B379B"/>
    <w:rsid w:val="009B3F23"/>
    <w:rsid w:val="009B5319"/>
    <w:rsid w:val="009B6BDA"/>
    <w:rsid w:val="009B759A"/>
    <w:rsid w:val="009B7971"/>
    <w:rsid w:val="009B7983"/>
    <w:rsid w:val="009C19B8"/>
    <w:rsid w:val="009C38FB"/>
    <w:rsid w:val="009C3BF3"/>
    <w:rsid w:val="009C7980"/>
    <w:rsid w:val="009D03FA"/>
    <w:rsid w:val="009D0AAB"/>
    <w:rsid w:val="009D2D8A"/>
    <w:rsid w:val="009D387A"/>
    <w:rsid w:val="009E4582"/>
    <w:rsid w:val="009E578B"/>
    <w:rsid w:val="009F037D"/>
    <w:rsid w:val="009F05F5"/>
    <w:rsid w:val="009F0972"/>
    <w:rsid w:val="009F42D9"/>
    <w:rsid w:val="009F46BA"/>
    <w:rsid w:val="009F522E"/>
    <w:rsid w:val="00A0199C"/>
    <w:rsid w:val="00A020BC"/>
    <w:rsid w:val="00A02FF9"/>
    <w:rsid w:val="00A0309F"/>
    <w:rsid w:val="00A155DB"/>
    <w:rsid w:val="00A17649"/>
    <w:rsid w:val="00A20550"/>
    <w:rsid w:val="00A20EDE"/>
    <w:rsid w:val="00A218E3"/>
    <w:rsid w:val="00A23FB6"/>
    <w:rsid w:val="00A23FDD"/>
    <w:rsid w:val="00A2454A"/>
    <w:rsid w:val="00A24616"/>
    <w:rsid w:val="00A26134"/>
    <w:rsid w:val="00A27D83"/>
    <w:rsid w:val="00A27E6A"/>
    <w:rsid w:val="00A307E2"/>
    <w:rsid w:val="00A332AE"/>
    <w:rsid w:val="00A3369F"/>
    <w:rsid w:val="00A33AD0"/>
    <w:rsid w:val="00A33E9B"/>
    <w:rsid w:val="00A36B29"/>
    <w:rsid w:val="00A376A2"/>
    <w:rsid w:val="00A4004E"/>
    <w:rsid w:val="00A40963"/>
    <w:rsid w:val="00A41F4D"/>
    <w:rsid w:val="00A43276"/>
    <w:rsid w:val="00A4425F"/>
    <w:rsid w:val="00A44E99"/>
    <w:rsid w:val="00A4728F"/>
    <w:rsid w:val="00A53CD8"/>
    <w:rsid w:val="00A56C4B"/>
    <w:rsid w:val="00A576CA"/>
    <w:rsid w:val="00A61FDA"/>
    <w:rsid w:val="00A63E77"/>
    <w:rsid w:val="00A641DF"/>
    <w:rsid w:val="00A64C19"/>
    <w:rsid w:val="00A65683"/>
    <w:rsid w:val="00A739BD"/>
    <w:rsid w:val="00A74977"/>
    <w:rsid w:val="00A751FF"/>
    <w:rsid w:val="00A76C57"/>
    <w:rsid w:val="00A82A0C"/>
    <w:rsid w:val="00A84A97"/>
    <w:rsid w:val="00A860D9"/>
    <w:rsid w:val="00A9026A"/>
    <w:rsid w:val="00A90D60"/>
    <w:rsid w:val="00A90E96"/>
    <w:rsid w:val="00A93595"/>
    <w:rsid w:val="00A95FE4"/>
    <w:rsid w:val="00A9746B"/>
    <w:rsid w:val="00AA03D8"/>
    <w:rsid w:val="00AA2C6E"/>
    <w:rsid w:val="00AA4C83"/>
    <w:rsid w:val="00AB4083"/>
    <w:rsid w:val="00AB41A4"/>
    <w:rsid w:val="00AB5700"/>
    <w:rsid w:val="00AC0FA7"/>
    <w:rsid w:val="00AC4A30"/>
    <w:rsid w:val="00AD05D5"/>
    <w:rsid w:val="00AD548B"/>
    <w:rsid w:val="00AD7D30"/>
    <w:rsid w:val="00AE0636"/>
    <w:rsid w:val="00AE278D"/>
    <w:rsid w:val="00AE4937"/>
    <w:rsid w:val="00AE4C98"/>
    <w:rsid w:val="00AE55F4"/>
    <w:rsid w:val="00AE5CEA"/>
    <w:rsid w:val="00AF08A5"/>
    <w:rsid w:val="00AF2E2D"/>
    <w:rsid w:val="00AF52B0"/>
    <w:rsid w:val="00AF6EF2"/>
    <w:rsid w:val="00AF7DD6"/>
    <w:rsid w:val="00B000A9"/>
    <w:rsid w:val="00B002F2"/>
    <w:rsid w:val="00B01961"/>
    <w:rsid w:val="00B067B6"/>
    <w:rsid w:val="00B1194A"/>
    <w:rsid w:val="00B13406"/>
    <w:rsid w:val="00B14D81"/>
    <w:rsid w:val="00B14F61"/>
    <w:rsid w:val="00B150D8"/>
    <w:rsid w:val="00B16DEA"/>
    <w:rsid w:val="00B17451"/>
    <w:rsid w:val="00B238E9"/>
    <w:rsid w:val="00B25315"/>
    <w:rsid w:val="00B275AC"/>
    <w:rsid w:val="00B32A4B"/>
    <w:rsid w:val="00B32EF1"/>
    <w:rsid w:val="00B34ACC"/>
    <w:rsid w:val="00B34BC9"/>
    <w:rsid w:val="00B35807"/>
    <w:rsid w:val="00B35DC1"/>
    <w:rsid w:val="00B37CE8"/>
    <w:rsid w:val="00B37ECC"/>
    <w:rsid w:val="00B37F37"/>
    <w:rsid w:val="00B406CE"/>
    <w:rsid w:val="00B434CA"/>
    <w:rsid w:val="00B43BD6"/>
    <w:rsid w:val="00B44513"/>
    <w:rsid w:val="00B45415"/>
    <w:rsid w:val="00B46357"/>
    <w:rsid w:val="00B523E2"/>
    <w:rsid w:val="00B5530A"/>
    <w:rsid w:val="00B5573B"/>
    <w:rsid w:val="00B56471"/>
    <w:rsid w:val="00B64963"/>
    <w:rsid w:val="00B7025D"/>
    <w:rsid w:val="00B710DF"/>
    <w:rsid w:val="00B71FD5"/>
    <w:rsid w:val="00B82978"/>
    <w:rsid w:val="00B8683E"/>
    <w:rsid w:val="00B87174"/>
    <w:rsid w:val="00B9466E"/>
    <w:rsid w:val="00B96A9E"/>
    <w:rsid w:val="00B9764E"/>
    <w:rsid w:val="00BA2A3D"/>
    <w:rsid w:val="00BA395F"/>
    <w:rsid w:val="00BA39AC"/>
    <w:rsid w:val="00BA3FCD"/>
    <w:rsid w:val="00BA427A"/>
    <w:rsid w:val="00BA51D5"/>
    <w:rsid w:val="00BA5F14"/>
    <w:rsid w:val="00BA7AA0"/>
    <w:rsid w:val="00BB07C9"/>
    <w:rsid w:val="00BC1B45"/>
    <w:rsid w:val="00BC3328"/>
    <w:rsid w:val="00BC7858"/>
    <w:rsid w:val="00BD3E00"/>
    <w:rsid w:val="00BD41F4"/>
    <w:rsid w:val="00BE1A9B"/>
    <w:rsid w:val="00BE1F13"/>
    <w:rsid w:val="00BE2FCB"/>
    <w:rsid w:val="00BE3EA0"/>
    <w:rsid w:val="00BE65D2"/>
    <w:rsid w:val="00BE7E42"/>
    <w:rsid w:val="00BF0598"/>
    <w:rsid w:val="00BF0D54"/>
    <w:rsid w:val="00BF0E5C"/>
    <w:rsid w:val="00BF11D6"/>
    <w:rsid w:val="00BF149F"/>
    <w:rsid w:val="00BF179D"/>
    <w:rsid w:val="00BF23A9"/>
    <w:rsid w:val="00BF3C5E"/>
    <w:rsid w:val="00BF60FA"/>
    <w:rsid w:val="00BF68CB"/>
    <w:rsid w:val="00BF6A2F"/>
    <w:rsid w:val="00BF77F2"/>
    <w:rsid w:val="00C02FF1"/>
    <w:rsid w:val="00C03BB3"/>
    <w:rsid w:val="00C0489F"/>
    <w:rsid w:val="00C0608E"/>
    <w:rsid w:val="00C130D2"/>
    <w:rsid w:val="00C13B32"/>
    <w:rsid w:val="00C13F44"/>
    <w:rsid w:val="00C1419D"/>
    <w:rsid w:val="00C14BC0"/>
    <w:rsid w:val="00C151F5"/>
    <w:rsid w:val="00C15A45"/>
    <w:rsid w:val="00C1675D"/>
    <w:rsid w:val="00C201EA"/>
    <w:rsid w:val="00C213EB"/>
    <w:rsid w:val="00C21520"/>
    <w:rsid w:val="00C2586B"/>
    <w:rsid w:val="00C25AD5"/>
    <w:rsid w:val="00C261F7"/>
    <w:rsid w:val="00C26A96"/>
    <w:rsid w:val="00C26E8B"/>
    <w:rsid w:val="00C335DF"/>
    <w:rsid w:val="00C33AFB"/>
    <w:rsid w:val="00C372C2"/>
    <w:rsid w:val="00C375BE"/>
    <w:rsid w:val="00C45469"/>
    <w:rsid w:val="00C4556F"/>
    <w:rsid w:val="00C52357"/>
    <w:rsid w:val="00C526B5"/>
    <w:rsid w:val="00C52CEC"/>
    <w:rsid w:val="00C607FC"/>
    <w:rsid w:val="00C623F9"/>
    <w:rsid w:val="00C628FC"/>
    <w:rsid w:val="00C64071"/>
    <w:rsid w:val="00C65037"/>
    <w:rsid w:val="00C6568A"/>
    <w:rsid w:val="00C65C10"/>
    <w:rsid w:val="00C66AD2"/>
    <w:rsid w:val="00C71634"/>
    <w:rsid w:val="00C729CF"/>
    <w:rsid w:val="00C730BA"/>
    <w:rsid w:val="00C73CEE"/>
    <w:rsid w:val="00C73DB6"/>
    <w:rsid w:val="00C770F9"/>
    <w:rsid w:val="00C811D3"/>
    <w:rsid w:val="00C82461"/>
    <w:rsid w:val="00C84518"/>
    <w:rsid w:val="00C84607"/>
    <w:rsid w:val="00C84984"/>
    <w:rsid w:val="00C85030"/>
    <w:rsid w:val="00C8682B"/>
    <w:rsid w:val="00C86E30"/>
    <w:rsid w:val="00C87404"/>
    <w:rsid w:val="00C93DBF"/>
    <w:rsid w:val="00C93E11"/>
    <w:rsid w:val="00C9427D"/>
    <w:rsid w:val="00C9490E"/>
    <w:rsid w:val="00C94D88"/>
    <w:rsid w:val="00C97FF6"/>
    <w:rsid w:val="00CA0E52"/>
    <w:rsid w:val="00CA6BB2"/>
    <w:rsid w:val="00CA7D53"/>
    <w:rsid w:val="00CB3D42"/>
    <w:rsid w:val="00CB4788"/>
    <w:rsid w:val="00CB5D09"/>
    <w:rsid w:val="00CB64E4"/>
    <w:rsid w:val="00CB6CA0"/>
    <w:rsid w:val="00CB7C40"/>
    <w:rsid w:val="00CC19F7"/>
    <w:rsid w:val="00CC4701"/>
    <w:rsid w:val="00CC4797"/>
    <w:rsid w:val="00CC6134"/>
    <w:rsid w:val="00CC699F"/>
    <w:rsid w:val="00CC71AB"/>
    <w:rsid w:val="00CD1349"/>
    <w:rsid w:val="00CD2758"/>
    <w:rsid w:val="00CD4516"/>
    <w:rsid w:val="00CD6666"/>
    <w:rsid w:val="00CE5BF0"/>
    <w:rsid w:val="00CE61EA"/>
    <w:rsid w:val="00CE6B1A"/>
    <w:rsid w:val="00CE7448"/>
    <w:rsid w:val="00CE7887"/>
    <w:rsid w:val="00CF3D94"/>
    <w:rsid w:val="00CF59A9"/>
    <w:rsid w:val="00D01F38"/>
    <w:rsid w:val="00D03C6A"/>
    <w:rsid w:val="00D0468D"/>
    <w:rsid w:val="00D04D3B"/>
    <w:rsid w:val="00D055DD"/>
    <w:rsid w:val="00D07F2D"/>
    <w:rsid w:val="00D10748"/>
    <w:rsid w:val="00D12576"/>
    <w:rsid w:val="00D223C7"/>
    <w:rsid w:val="00D22B3B"/>
    <w:rsid w:val="00D267C3"/>
    <w:rsid w:val="00D30267"/>
    <w:rsid w:val="00D31094"/>
    <w:rsid w:val="00D31C69"/>
    <w:rsid w:val="00D36771"/>
    <w:rsid w:val="00D367F9"/>
    <w:rsid w:val="00D4086C"/>
    <w:rsid w:val="00D411C6"/>
    <w:rsid w:val="00D413F5"/>
    <w:rsid w:val="00D42050"/>
    <w:rsid w:val="00D4414F"/>
    <w:rsid w:val="00D50EDE"/>
    <w:rsid w:val="00D52210"/>
    <w:rsid w:val="00D52DBD"/>
    <w:rsid w:val="00D57515"/>
    <w:rsid w:val="00D62014"/>
    <w:rsid w:val="00D63B03"/>
    <w:rsid w:val="00D6674B"/>
    <w:rsid w:val="00D70E8E"/>
    <w:rsid w:val="00D733AD"/>
    <w:rsid w:val="00D74586"/>
    <w:rsid w:val="00D80331"/>
    <w:rsid w:val="00D81DDC"/>
    <w:rsid w:val="00D821C5"/>
    <w:rsid w:val="00D83812"/>
    <w:rsid w:val="00D83C01"/>
    <w:rsid w:val="00D857C2"/>
    <w:rsid w:val="00D859C3"/>
    <w:rsid w:val="00D86AE9"/>
    <w:rsid w:val="00D930D8"/>
    <w:rsid w:val="00D9363C"/>
    <w:rsid w:val="00D95B0B"/>
    <w:rsid w:val="00DA26D3"/>
    <w:rsid w:val="00DA5B5D"/>
    <w:rsid w:val="00DA7048"/>
    <w:rsid w:val="00DB2CBF"/>
    <w:rsid w:val="00DB3045"/>
    <w:rsid w:val="00DB3433"/>
    <w:rsid w:val="00DB4D6B"/>
    <w:rsid w:val="00DB4F8E"/>
    <w:rsid w:val="00DB5882"/>
    <w:rsid w:val="00DB6ACF"/>
    <w:rsid w:val="00DB77DA"/>
    <w:rsid w:val="00DC1270"/>
    <w:rsid w:val="00DC5018"/>
    <w:rsid w:val="00DD0057"/>
    <w:rsid w:val="00DD25AB"/>
    <w:rsid w:val="00DD39B7"/>
    <w:rsid w:val="00DD45F8"/>
    <w:rsid w:val="00DD583E"/>
    <w:rsid w:val="00DD76D7"/>
    <w:rsid w:val="00DE0346"/>
    <w:rsid w:val="00DE1DAD"/>
    <w:rsid w:val="00DE5FBC"/>
    <w:rsid w:val="00DF4469"/>
    <w:rsid w:val="00DF4A54"/>
    <w:rsid w:val="00DF4E7F"/>
    <w:rsid w:val="00DF5186"/>
    <w:rsid w:val="00DF6EA1"/>
    <w:rsid w:val="00E014F6"/>
    <w:rsid w:val="00E04566"/>
    <w:rsid w:val="00E04AB2"/>
    <w:rsid w:val="00E06FF9"/>
    <w:rsid w:val="00E0785E"/>
    <w:rsid w:val="00E125C8"/>
    <w:rsid w:val="00E125E3"/>
    <w:rsid w:val="00E148D8"/>
    <w:rsid w:val="00E15EE5"/>
    <w:rsid w:val="00E17875"/>
    <w:rsid w:val="00E20531"/>
    <w:rsid w:val="00E21543"/>
    <w:rsid w:val="00E2348E"/>
    <w:rsid w:val="00E23A2E"/>
    <w:rsid w:val="00E24F74"/>
    <w:rsid w:val="00E263AC"/>
    <w:rsid w:val="00E265B8"/>
    <w:rsid w:val="00E30B65"/>
    <w:rsid w:val="00E32A25"/>
    <w:rsid w:val="00E339C0"/>
    <w:rsid w:val="00E354D1"/>
    <w:rsid w:val="00E43178"/>
    <w:rsid w:val="00E43B59"/>
    <w:rsid w:val="00E444A3"/>
    <w:rsid w:val="00E4568C"/>
    <w:rsid w:val="00E47E89"/>
    <w:rsid w:val="00E509E8"/>
    <w:rsid w:val="00E5492F"/>
    <w:rsid w:val="00E56BBE"/>
    <w:rsid w:val="00E57630"/>
    <w:rsid w:val="00E62686"/>
    <w:rsid w:val="00E64E3A"/>
    <w:rsid w:val="00E66A70"/>
    <w:rsid w:val="00E67612"/>
    <w:rsid w:val="00E714F5"/>
    <w:rsid w:val="00E82154"/>
    <w:rsid w:val="00E85454"/>
    <w:rsid w:val="00E87D02"/>
    <w:rsid w:val="00E900D8"/>
    <w:rsid w:val="00E93B45"/>
    <w:rsid w:val="00E94FCF"/>
    <w:rsid w:val="00E95C5F"/>
    <w:rsid w:val="00EA154B"/>
    <w:rsid w:val="00EA2976"/>
    <w:rsid w:val="00EA40B8"/>
    <w:rsid w:val="00EA46BB"/>
    <w:rsid w:val="00EA5619"/>
    <w:rsid w:val="00EB0044"/>
    <w:rsid w:val="00EB2DE2"/>
    <w:rsid w:val="00EB3186"/>
    <w:rsid w:val="00EB5E96"/>
    <w:rsid w:val="00EC15B5"/>
    <w:rsid w:val="00EC4B5D"/>
    <w:rsid w:val="00EC5805"/>
    <w:rsid w:val="00EC6E15"/>
    <w:rsid w:val="00ED06DA"/>
    <w:rsid w:val="00ED1D08"/>
    <w:rsid w:val="00ED4617"/>
    <w:rsid w:val="00EE0A0F"/>
    <w:rsid w:val="00EE2D63"/>
    <w:rsid w:val="00EE4E3C"/>
    <w:rsid w:val="00EE5429"/>
    <w:rsid w:val="00EE5ADB"/>
    <w:rsid w:val="00EF044D"/>
    <w:rsid w:val="00EF059C"/>
    <w:rsid w:val="00EF3962"/>
    <w:rsid w:val="00EF5A8F"/>
    <w:rsid w:val="00EF73BE"/>
    <w:rsid w:val="00F00F74"/>
    <w:rsid w:val="00F01887"/>
    <w:rsid w:val="00F02500"/>
    <w:rsid w:val="00F068DF"/>
    <w:rsid w:val="00F107FF"/>
    <w:rsid w:val="00F1176D"/>
    <w:rsid w:val="00F12069"/>
    <w:rsid w:val="00F12D2A"/>
    <w:rsid w:val="00F17B9F"/>
    <w:rsid w:val="00F204E0"/>
    <w:rsid w:val="00F215DF"/>
    <w:rsid w:val="00F2202D"/>
    <w:rsid w:val="00F22C99"/>
    <w:rsid w:val="00F230A5"/>
    <w:rsid w:val="00F274DD"/>
    <w:rsid w:val="00F27FBF"/>
    <w:rsid w:val="00F30CC4"/>
    <w:rsid w:val="00F31196"/>
    <w:rsid w:val="00F33B48"/>
    <w:rsid w:val="00F34006"/>
    <w:rsid w:val="00F34B0A"/>
    <w:rsid w:val="00F4526C"/>
    <w:rsid w:val="00F50DDD"/>
    <w:rsid w:val="00F52C01"/>
    <w:rsid w:val="00F53089"/>
    <w:rsid w:val="00F540F8"/>
    <w:rsid w:val="00F56B98"/>
    <w:rsid w:val="00F61692"/>
    <w:rsid w:val="00F654C5"/>
    <w:rsid w:val="00F66E7E"/>
    <w:rsid w:val="00F67206"/>
    <w:rsid w:val="00F70B95"/>
    <w:rsid w:val="00F715DE"/>
    <w:rsid w:val="00F72B23"/>
    <w:rsid w:val="00F73CBB"/>
    <w:rsid w:val="00F761DA"/>
    <w:rsid w:val="00F82521"/>
    <w:rsid w:val="00F84125"/>
    <w:rsid w:val="00F85039"/>
    <w:rsid w:val="00F85F70"/>
    <w:rsid w:val="00F8763D"/>
    <w:rsid w:val="00F87B91"/>
    <w:rsid w:val="00F9169A"/>
    <w:rsid w:val="00F9424E"/>
    <w:rsid w:val="00F94EC5"/>
    <w:rsid w:val="00F9670F"/>
    <w:rsid w:val="00FA03D6"/>
    <w:rsid w:val="00FA06AF"/>
    <w:rsid w:val="00FA09B5"/>
    <w:rsid w:val="00FA1B6C"/>
    <w:rsid w:val="00FA1D3A"/>
    <w:rsid w:val="00FA6653"/>
    <w:rsid w:val="00FA68DB"/>
    <w:rsid w:val="00FA6A62"/>
    <w:rsid w:val="00FA7430"/>
    <w:rsid w:val="00FB0518"/>
    <w:rsid w:val="00FB1D7D"/>
    <w:rsid w:val="00FB210F"/>
    <w:rsid w:val="00FB4E9F"/>
    <w:rsid w:val="00FB60A1"/>
    <w:rsid w:val="00FC4ACF"/>
    <w:rsid w:val="00FC6387"/>
    <w:rsid w:val="00FC63E0"/>
    <w:rsid w:val="00FD3F4A"/>
    <w:rsid w:val="00FE0707"/>
    <w:rsid w:val="00FE173E"/>
    <w:rsid w:val="00FE37E5"/>
    <w:rsid w:val="00FE4F38"/>
    <w:rsid w:val="00FE6077"/>
    <w:rsid w:val="00FE7CDA"/>
    <w:rsid w:val="00FF2342"/>
    <w:rsid w:val="00FF314A"/>
    <w:rsid w:val="00FF3702"/>
    <w:rsid w:val="00FF42D4"/>
    <w:rsid w:val="00FF5E4D"/>
    <w:rsid w:val="01095331"/>
    <w:rsid w:val="01581382"/>
    <w:rsid w:val="01BF37C7"/>
    <w:rsid w:val="01D40725"/>
    <w:rsid w:val="02095E20"/>
    <w:rsid w:val="02380465"/>
    <w:rsid w:val="024E1C49"/>
    <w:rsid w:val="02941E14"/>
    <w:rsid w:val="02D51B92"/>
    <w:rsid w:val="03295D70"/>
    <w:rsid w:val="032B03AA"/>
    <w:rsid w:val="032F3FB0"/>
    <w:rsid w:val="033D69F6"/>
    <w:rsid w:val="037E2B67"/>
    <w:rsid w:val="03B56F7B"/>
    <w:rsid w:val="03ED3296"/>
    <w:rsid w:val="04243DB5"/>
    <w:rsid w:val="047665CE"/>
    <w:rsid w:val="047678D3"/>
    <w:rsid w:val="04E836BF"/>
    <w:rsid w:val="0500243F"/>
    <w:rsid w:val="05964C1A"/>
    <w:rsid w:val="05AC22B4"/>
    <w:rsid w:val="05B1203A"/>
    <w:rsid w:val="06033DBD"/>
    <w:rsid w:val="06224621"/>
    <w:rsid w:val="0624301F"/>
    <w:rsid w:val="06940C00"/>
    <w:rsid w:val="06B07C43"/>
    <w:rsid w:val="06B43D3B"/>
    <w:rsid w:val="073E101F"/>
    <w:rsid w:val="0768187A"/>
    <w:rsid w:val="07750162"/>
    <w:rsid w:val="07992EBD"/>
    <w:rsid w:val="07C24B61"/>
    <w:rsid w:val="07E15B19"/>
    <w:rsid w:val="08391A75"/>
    <w:rsid w:val="08971324"/>
    <w:rsid w:val="08EA46D7"/>
    <w:rsid w:val="091E280E"/>
    <w:rsid w:val="092A2235"/>
    <w:rsid w:val="09737190"/>
    <w:rsid w:val="098B0432"/>
    <w:rsid w:val="0A184F25"/>
    <w:rsid w:val="0A260878"/>
    <w:rsid w:val="0A346E2E"/>
    <w:rsid w:val="0A3E0FFB"/>
    <w:rsid w:val="0A4B5D00"/>
    <w:rsid w:val="0A5344BA"/>
    <w:rsid w:val="0A6766AF"/>
    <w:rsid w:val="0A852BD8"/>
    <w:rsid w:val="0A9617D5"/>
    <w:rsid w:val="0A9D178C"/>
    <w:rsid w:val="0AAC468F"/>
    <w:rsid w:val="0AE207F3"/>
    <w:rsid w:val="0B1A4C9E"/>
    <w:rsid w:val="0B3041F8"/>
    <w:rsid w:val="0B4E35E4"/>
    <w:rsid w:val="0B607895"/>
    <w:rsid w:val="0B67306F"/>
    <w:rsid w:val="0B8F5F21"/>
    <w:rsid w:val="0BAA07F8"/>
    <w:rsid w:val="0BFA2E04"/>
    <w:rsid w:val="0C0777A4"/>
    <w:rsid w:val="0C2A689B"/>
    <w:rsid w:val="0C3A7B8A"/>
    <w:rsid w:val="0C45039E"/>
    <w:rsid w:val="0CC3182D"/>
    <w:rsid w:val="0CEC12E3"/>
    <w:rsid w:val="0D024C2F"/>
    <w:rsid w:val="0D12204A"/>
    <w:rsid w:val="0D28248F"/>
    <w:rsid w:val="0D345D6D"/>
    <w:rsid w:val="0D56313D"/>
    <w:rsid w:val="0DAF0F48"/>
    <w:rsid w:val="0DB326EE"/>
    <w:rsid w:val="0DCC5911"/>
    <w:rsid w:val="0E1D392E"/>
    <w:rsid w:val="0E3328EC"/>
    <w:rsid w:val="0E58556F"/>
    <w:rsid w:val="0E5D5C97"/>
    <w:rsid w:val="0E71704F"/>
    <w:rsid w:val="0EB82814"/>
    <w:rsid w:val="0EBE12D0"/>
    <w:rsid w:val="0EE271CE"/>
    <w:rsid w:val="0EE718F2"/>
    <w:rsid w:val="0EE85525"/>
    <w:rsid w:val="0F3454AB"/>
    <w:rsid w:val="0F3C590C"/>
    <w:rsid w:val="0FC539CE"/>
    <w:rsid w:val="0FF0196A"/>
    <w:rsid w:val="1076786C"/>
    <w:rsid w:val="10C66B57"/>
    <w:rsid w:val="10D170B5"/>
    <w:rsid w:val="10FB5145"/>
    <w:rsid w:val="110209FE"/>
    <w:rsid w:val="11365752"/>
    <w:rsid w:val="113C1628"/>
    <w:rsid w:val="11781C6F"/>
    <w:rsid w:val="11967E55"/>
    <w:rsid w:val="11CC7BA9"/>
    <w:rsid w:val="120A2D88"/>
    <w:rsid w:val="125260A5"/>
    <w:rsid w:val="12E02245"/>
    <w:rsid w:val="12F75ED3"/>
    <w:rsid w:val="135C6647"/>
    <w:rsid w:val="13975173"/>
    <w:rsid w:val="13D73B59"/>
    <w:rsid w:val="13EC3F5B"/>
    <w:rsid w:val="143A33DE"/>
    <w:rsid w:val="14432DC0"/>
    <w:rsid w:val="14667CCC"/>
    <w:rsid w:val="14A723DA"/>
    <w:rsid w:val="14AB122D"/>
    <w:rsid w:val="14BB0146"/>
    <w:rsid w:val="14F27922"/>
    <w:rsid w:val="150051B7"/>
    <w:rsid w:val="15267261"/>
    <w:rsid w:val="15281012"/>
    <w:rsid w:val="155679FC"/>
    <w:rsid w:val="15957341"/>
    <w:rsid w:val="15DA2C2F"/>
    <w:rsid w:val="15E763F1"/>
    <w:rsid w:val="160B51EB"/>
    <w:rsid w:val="163216E5"/>
    <w:rsid w:val="16322A61"/>
    <w:rsid w:val="1634549E"/>
    <w:rsid w:val="164241DC"/>
    <w:rsid w:val="166074CF"/>
    <w:rsid w:val="16724385"/>
    <w:rsid w:val="169F1963"/>
    <w:rsid w:val="16D059F9"/>
    <w:rsid w:val="17093E3E"/>
    <w:rsid w:val="171F4E51"/>
    <w:rsid w:val="17201E62"/>
    <w:rsid w:val="1730359D"/>
    <w:rsid w:val="179010B4"/>
    <w:rsid w:val="179E1DFC"/>
    <w:rsid w:val="17B03722"/>
    <w:rsid w:val="18080F1C"/>
    <w:rsid w:val="180D1D92"/>
    <w:rsid w:val="1822695F"/>
    <w:rsid w:val="1825592A"/>
    <w:rsid w:val="186A0B1C"/>
    <w:rsid w:val="18735801"/>
    <w:rsid w:val="18771F0A"/>
    <w:rsid w:val="187D0551"/>
    <w:rsid w:val="189D2F93"/>
    <w:rsid w:val="18B6361D"/>
    <w:rsid w:val="18D92132"/>
    <w:rsid w:val="18F77D70"/>
    <w:rsid w:val="192B66E0"/>
    <w:rsid w:val="1940466F"/>
    <w:rsid w:val="19444E7F"/>
    <w:rsid w:val="19543A50"/>
    <w:rsid w:val="19882298"/>
    <w:rsid w:val="19B25CF0"/>
    <w:rsid w:val="1A9E62E4"/>
    <w:rsid w:val="1AB2048F"/>
    <w:rsid w:val="1AB4284F"/>
    <w:rsid w:val="1ABD5BF3"/>
    <w:rsid w:val="1AC2469F"/>
    <w:rsid w:val="1AD94183"/>
    <w:rsid w:val="1AE74CC7"/>
    <w:rsid w:val="1AFC4046"/>
    <w:rsid w:val="1B010DD9"/>
    <w:rsid w:val="1B0B77EF"/>
    <w:rsid w:val="1B191A0B"/>
    <w:rsid w:val="1B423185"/>
    <w:rsid w:val="1B4B6052"/>
    <w:rsid w:val="1B5E2EB1"/>
    <w:rsid w:val="1B73519C"/>
    <w:rsid w:val="1B825F57"/>
    <w:rsid w:val="1BF4231A"/>
    <w:rsid w:val="1C1D15B8"/>
    <w:rsid w:val="1C2F1CC9"/>
    <w:rsid w:val="1C317102"/>
    <w:rsid w:val="1C836361"/>
    <w:rsid w:val="1D0A0E86"/>
    <w:rsid w:val="1D0B31A8"/>
    <w:rsid w:val="1D2D7843"/>
    <w:rsid w:val="1D3B5FC4"/>
    <w:rsid w:val="1D792862"/>
    <w:rsid w:val="1D924BBF"/>
    <w:rsid w:val="1DD92D2D"/>
    <w:rsid w:val="1E1046B9"/>
    <w:rsid w:val="1E176B13"/>
    <w:rsid w:val="1E502A69"/>
    <w:rsid w:val="1E7A4DD3"/>
    <w:rsid w:val="1ED330D2"/>
    <w:rsid w:val="1EEF63C6"/>
    <w:rsid w:val="1F4F15DD"/>
    <w:rsid w:val="1F5573F2"/>
    <w:rsid w:val="1F79664A"/>
    <w:rsid w:val="1F933359"/>
    <w:rsid w:val="1FAB3DD0"/>
    <w:rsid w:val="1FCD6933"/>
    <w:rsid w:val="200B7434"/>
    <w:rsid w:val="201C32D6"/>
    <w:rsid w:val="2028357B"/>
    <w:rsid w:val="202E0A8E"/>
    <w:rsid w:val="205067D8"/>
    <w:rsid w:val="2066788B"/>
    <w:rsid w:val="206770AC"/>
    <w:rsid w:val="208C5578"/>
    <w:rsid w:val="20906700"/>
    <w:rsid w:val="20944476"/>
    <w:rsid w:val="20A12D3B"/>
    <w:rsid w:val="20D0351D"/>
    <w:rsid w:val="21066A5F"/>
    <w:rsid w:val="21181965"/>
    <w:rsid w:val="21273848"/>
    <w:rsid w:val="213265D5"/>
    <w:rsid w:val="214166E3"/>
    <w:rsid w:val="21625A6F"/>
    <w:rsid w:val="21855FAA"/>
    <w:rsid w:val="21BA1B37"/>
    <w:rsid w:val="21BE40CD"/>
    <w:rsid w:val="21C0176E"/>
    <w:rsid w:val="21CC3D6A"/>
    <w:rsid w:val="21DF189B"/>
    <w:rsid w:val="22547E7D"/>
    <w:rsid w:val="22D54A6B"/>
    <w:rsid w:val="231554EA"/>
    <w:rsid w:val="23234FAA"/>
    <w:rsid w:val="232B2B18"/>
    <w:rsid w:val="238268AD"/>
    <w:rsid w:val="23914D68"/>
    <w:rsid w:val="23993E44"/>
    <w:rsid w:val="23BE0CF5"/>
    <w:rsid w:val="24265CA2"/>
    <w:rsid w:val="243700D6"/>
    <w:rsid w:val="24486A01"/>
    <w:rsid w:val="24551B60"/>
    <w:rsid w:val="246C2373"/>
    <w:rsid w:val="24701DEC"/>
    <w:rsid w:val="24940E97"/>
    <w:rsid w:val="249A3483"/>
    <w:rsid w:val="249C1ECC"/>
    <w:rsid w:val="24AC2CED"/>
    <w:rsid w:val="24B569F7"/>
    <w:rsid w:val="24F66C29"/>
    <w:rsid w:val="24FB50A0"/>
    <w:rsid w:val="2564491D"/>
    <w:rsid w:val="25E113EC"/>
    <w:rsid w:val="25F32882"/>
    <w:rsid w:val="25F541FF"/>
    <w:rsid w:val="26307F8F"/>
    <w:rsid w:val="263140CA"/>
    <w:rsid w:val="26955EA5"/>
    <w:rsid w:val="269C60F7"/>
    <w:rsid w:val="26B94FF3"/>
    <w:rsid w:val="26EA03F9"/>
    <w:rsid w:val="26FC1914"/>
    <w:rsid w:val="27050C9F"/>
    <w:rsid w:val="273121C1"/>
    <w:rsid w:val="27544917"/>
    <w:rsid w:val="27A843BF"/>
    <w:rsid w:val="27D265D2"/>
    <w:rsid w:val="27E464C3"/>
    <w:rsid w:val="27E910AC"/>
    <w:rsid w:val="28101DD7"/>
    <w:rsid w:val="282F2A46"/>
    <w:rsid w:val="2833632A"/>
    <w:rsid w:val="286200A6"/>
    <w:rsid w:val="28A0483A"/>
    <w:rsid w:val="28C05AEF"/>
    <w:rsid w:val="290F369C"/>
    <w:rsid w:val="295121A9"/>
    <w:rsid w:val="295835B7"/>
    <w:rsid w:val="296C3109"/>
    <w:rsid w:val="29B53680"/>
    <w:rsid w:val="29CC6825"/>
    <w:rsid w:val="29EC1600"/>
    <w:rsid w:val="2A281D7C"/>
    <w:rsid w:val="2A5957DE"/>
    <w:rsid w:val="2A6D05AD"/>
    <w:rsid w:val="2AB40D52"/>
    <w:rsid w:val="2AC34F8C"/>
    <w:rsid w:val="2ACB35CE"/>
    <w:rsid w:val="2AFE23B7"/>
    <w:rsid w:val="2B253984"/>
    <w:rsid w:val="2B727682"/>
    <w:rsid w:val="2B9E3452"/>
    <w:rsid w:val="2BB63891"/>
    <w:rsid w:val="2BBE6DB4"/>
    <w:rsid w:val="2C026E71"/>
    <w:rsid w:val="2C6B2637"/>
    <w:rsid w:val="2C812F9A"/>
    <w:rsid w:val="2C8404E8"/>
    <w:rsid w:val="2CEA730C"/>
    <w:rsid w:val="2CF746D8"/>
    <w:rsid w:val="2D2623AD"/>
    <w:rsid w:val="2D3D1CAD"/>
    <w:rsid w:val="2D467E5C"/>
    <w:rsid w:val="2D795461"/>
    <w:rsid w:val="2D9751F3"/>
    <w:rsid w:val="2DB36189"/>
    <w:rsid w:val="2DDA1BF0"/>
    <w:rsid w:val="2E0E4E35"/>
    <w:rsid w:val="2E1E7787"/>
    <w:rsid w:val="2E901143"/>
    <w:rsid w:val="2EA4496D"/>
    <w:rsid w:val="2ECA747A"/>
    <w:rsid w:val="2EF51D26"/>
    <w:rsid w:val="2F2525D7"/>
    <w:rsid w:val="2F344F3F"/>
    <w:rsid w:val="2F4C4F8C"/>
    <w:rsid w:val="2F506315"/>
    <w:rsid w:val="2F740752"/>
    <w:rsid w:val="2FA92457"/>
    <w:rsid w:val="2FD4628A"/>
    <w:rsid w:val="2FE46E29"/>
    <w:rsid w:val="2FEB14C9"/>
    <w:rsid w:val="30170D3F"/>
    <w:rsid w:val="302C0736"/>
    <w:rsid w:val="303E59B5"/>
    <w:rsid w:val="30422C9D"/>
    <w:rsid w:val="30532C89"/>
    <w:rsid w:val="308070A0"/>
    <w:rsid w:val="308E2E9C"/>
    <w:rsid w:val="310E1ED0"/>
    <w:rsid w:val="31132910"/>
    <w:rsid w:val="312824B9"/>
    <w:rsid w:val="313145EE"/>
    <w:rsid w:val="3132639B"/>
    <w:rsid w:val="31436989"/>
    <w:rsid w:val="31841037"/>
    <w:rsid w:val="31BF5D2C"/>
    <w:rsid w:val="31F1336E"/>
    <w:rsid w:val="31F83313"/>
    <w:rsid w:val="31F8762B"/>
    <w:rsid w:val="326136CC"/>
    <w:rsid w:val="32897912"/>
    <w:rsid w:val="32BA118F"/>
    <w:rsid w:val="33377124"/>
    <w:rsid w:val="33476306"/>
    <w:rsid w:val="334A0B80"/>
    <w:rsid w:val="336D4FD3"/>
    <w:rsid w:val="33756463"/>
    <w:rsid w:val="33AB0D7B"/>
    <w:rsid w:val="33B864AF"/>
    <w:rsid w:val="33BE1416"/>
    <w:rsid w:val="34324D15"/>
    <w:rsid w:val="34634F0C"/>
    <w:rsid w:val="34897C8A"/>
    <w:rsid w:val="349473BB"/>
    <w:rsid w:val="34AE1AED"/>
    <w:rsid w:val="34BA1658"/>
    <w:rsid w:val="34CA00E8"/>
    <w:rsid w:val="3514040E"/>
    <w:rsid w:val="351A75D6"/>
    <w:rsid w:val="353C140A"/>
    <w:rsid w:val="35943A4E"/>
    <w:rsid w:val="35B018F6"/>
    <w:rsid w:val="35C7294F"/>
    <w:rsid w:val="35CD752C"/>
    <w:rsid w:val="363A05FC"/>
    <w:rsid w:val="364957D6"/>
    <w:rsid w:val="366014A2"/>
    <w:rsid w:val="366318CF"/>
    <w:rsid w:val="369C240F"/>
    <w:rsid w:val="36B427C0"/>
    <w:rsid w:val="36CF5BB1"/>
    <w:rsid w:val="36E310FD"/>
    <w:rsid w:val="371C4BFF"/>
    <w:rsid w:val="37D35CA7"/>
    <w:rsid w:val="37EA25B2"/>
    <w:rsid w:val="381074A3"/>
    <w:rsid w:val="382A33BD"/>
    <w:rsid w:val="382A633D"/>
    <w:rsid w:val="386447B5"/>
    <w:rsid w:val="38731D6E"/>
    <w:rsid w:val="38756853"/>
    <w:rsid w:val="389F0D87"/>
    <w:rsid w:val="38C61663"/>
    <w:rsid w:val="38D41721"/>
    <w:rsid w:val="38D87A7A"/>
    <w:rsid w:val="38F126CB"/>
    <w:rsid w:val="390E689F"/>
    <w:rsid w:val="39111DB4"/>
    <w:rsid w:val="39B30B81"/>
    <w:rsid w:val="39BB580B"/>
    <w:rsid w:val="3A4B17A5"/>
    <w:rsid w:val="3A5E2E76"/>
    <w:rsid w:val="3A960061"/>
    <w:rsid w:val="3AB35415"/>
    <w:rsid w:val="3ACA58E5"/>
    <w:rsid w:val="3B021405"/>
    <w:rsid w:val="3B0767A9"/>
    <w:rsid w:val="3B0B1E52"/>
    <w:rsid w:val="3B106D64"/>
    <w:rsid w:val="3B563116"/>
    <w:rsid w:val="3B7C5965"/>
    <w:rsid w:val="3BC36384"/>
    <w:rsid w:val="3BF1098B"/>
    <w:rsid w:val="3BFC1957"/>
    <w:rsid w:val="3C0015B6"/>
    <w:rsid w:val="3C4F122C"/>
    <w:rsid w:val="3C7B1161"/>
    <w:rsid w:val="3C7E28AD"/>
    <w:rsid w:val="3CB567B0"/>
    <w:rsid w:val="3CCF022F"/>
    <w:rsid w:val="3CF35416"/>
    <w:rsid w:val="3CFF77CB"/>
    <w:rsid w:val="3D5C53E6"/>
    <w:rsid w:val="3D8E349F"/>
    <w:rsid w:val="3E4D64A9"/>
    <w:rsid w:val="3E536041"/>
    <w:rsid w:val="3E764C79"/>
    <w:rsid w:val="3EA42AF4"/>
    <w:rsid w:val="3EA712B7"/>
    <w:rsid w:val="3F004CA8"/>
    <w:rsid w:val="3F022049"/>
    <w:rsid w:val="3F0B1507"/>
    <w:rsid w:val="3F212D1C"/>
    <w:rsid w:val="3F5335B0"/>
    <w:rsid w:val="3F84587D"/>
    <w:rsid w:val="3F8459E8"/>
    <w:rsid w:val="3FA93B90"/>
    <w:rsid w:val="3FD31D82"/>
    <w:rsid w:val="401D28BB"/>
    <w:rsid w:val="402913AD"/>
    <w:rsid w:val="402E2B3B"/>
    <w:rsid w:val="4044340A"/>
    <w:rsid w:val="40495DFF"/>
    <w:rsid w:val="40687B3F"/>
    <w:rsid w:val="406958C9"/>
    <w:rsid w:val="40AC2B09"/>
    <w:rsid w:val="40AF7D31"/>
    <w:rsid w:val="40B01FE0"/>
    <w:rsid w:val="40EA07A3"/>
    <w:rsid w:val="40EA7508"/>
    <w:rsid w:val="41150A6D"/>
    <w:rsid w:val="41375C29"/>
    <w:rsid w:val="413A30A7"/>
    <w:rsid w:val="416A4A30"/>
    <w:rsid w:val="419F292A"/>
    <w:rsid w:val="41B0093E"/>
    <w:rsid w:val="41B11ADD"/>
    <w:rsid w:val="41C04416"/>
    <w:rsid w:val="426C699A"/>
    <w:rsid w:val="42EA4097"/>
    <w:rsid w:val="433371AF"/>
    <w:rsid w:val="43523DC4"/>
    <w:rsid w:val="43D555FF"/>
    <w:rsid w:val="43D73A2F"/>
    <w:rsid w:val="440062D4"/>
    <w:rsid w:val="44693B5C"/>
    <w:rsid w:val="44AC7321"/>
    <w:rsid w:val="44BB2CD2"/>
    <w:rsid w:val="45331A53"/>
    <w:rsid w:val="45390C72"/>
    <w:rsid w:val="453B2488"/>
    <w:rsid w:val="454C5B47"/>
    <w:rsid w:val="454E7F1F"/>
    <w:rsid w:val="457559B9"/>
    <w:rsid w:val="457C79AC"/>
    <w:rsid w:val="45B66F29"/>
    <w:rsid w:val="45DD6B66"/>
    <w:rsid w:val="46166234"/>
    <w:rsid w:val="462F1BFA"/>
    <w:rsid w:val="46906A76"/>
    <w:rsid w:val="46A8181B"/>
    <w:rsid w:val="46E53A1A"/>
    <w:rsid w:val="47611E4F"/>
    <w:rsid w:val="477300A6"/>
    <w:rsid w:val="47BC7378"/>
    <w:rsid w:val="47DC26E0"/>
    <w:rsid w:val="47DD6325"/>
    <w:rsid w:val="4857239F"/>
    <w:rsid w:val="487716D6"/>
    <w:rsid w:val="48B36F8C"/>
    <w:rsid w:val="49045F3B"/>
    <w:rsid w:val="49226A06"/>
    <w:rsid w:val="49383D0D"/>
    <w:rsid w:val="4940230C"/>
    <w:rsid w:val="49A402E9"/>
    <w:rsid w:val="49F556AA"/>
    <w:rsid w:val="49F63603"/>
    <w:rsid w:val="4A850B95"/>
    <w:rsid w:val="4A970F3D"/>
    <w:rsid w:val="4AC45B10"/>
    <w:rsid w:val="4B113BF2"/>
    <w:rsid w:val="4B255AB1"/>
    <w:rsid w:val="4B2B3929"/>
    <w:rsid w:val="4B511371"/>
    <w:rsid w:val="4B652F13"/>
    <w:rsid w:val="4BA9280D"/>
    <w:rsid w:val="4BA9394F"/>
    <w:rsid w:val="4BB275BF"/>
    <w:rsid w:val="4BC33909"/>
    <w:rsid w:val="4BC72FCF"/>
    <w:rsid w:val="4BEA6D44"/>
    <w:rsid w:val="4BF86C6F"/>
    <w:rsid w:val="4C0741DA"/>
    <w:rsid w:val="4C4A3527"/>
    <w:rsid w:val="4C5D11DF"/>
    <w:rsid w:val="4C83437C"/>
    <w:rsid w:val="4D5213E4"/>
    <w:rsid w:val="4D741B0F"/>
    <w:rsid w:val="4E8B1E12"/>
    <w:rsid w:val="4EFD6647"/>
    <w:rsid w:val="4F127306"/>
    <w:rsid w:val="4F15796C"/>
    <w:rsid w:val="4F244AC7"/>
    <w:rsid w:val="4F3605B7"/>
    <w:rsid w:val="4F553EFF"/>
    <w:rsid w:val="4F9671EF"/>
    <w:rsid w:val="4FB629B4"/>
    <w:rsid w:val="4FC5352D"/>
    <w:rsid w:val="4FE90329"/>
    <w:rsid w:val="4FF210FB"/>
    <w:rsid w:val="50235261"/>
    <w:rsid w:val="503111D0"/>
    <w:rsid w:val="50367EF2"/>
    <w:rsid w:val="50431DDF"/>
    <w:rsid w:val="50A33261"/>
    <w:rsid w:val="50C02F04"/>
    <w:rsid w:val="50C86E43"/>
    <w:rsid w:val="50EE4E6D"/>
    <w:rsid w:val="510258D9"/>
    <w:rsid w:val="51081D45"/>
    <w:rsid w:val="514F4A5B"/>
    <w:rsid w:val="51964F16"/>
    <w:rsid w:val="51CB36BA"/>
    <w:rsid w:val="52352C15"/>
    <w:rsid w:val="529251C4"/>
    <w:rsid w:val="529831E5"/>
    <w:rsid w:val="52A36FA3"/>
    <w:rsid w:val="52C01722"/>
    <w:rsid w:val="52CF05DB"/>
    <w:rsid w:val="52FF0427"/>
    <w:rsid w:val="53194663"/>
    <w:rsid w:val="533C5323"/>
    <w:rsid w:val="534678A8"/>
    <w:rsid w:val="534B47C5"/>
    <w:rsid w:val="53BB6724"/>
    <w:rsid w:val="53F73946"/>
    <w:rsid w:val="5422307A"/>
    <w:rsid w:val="543028D1"/>
    <w:rsid w:val="5439457B"/>
    <w:rsid w:val="545B590E"/>
    <w:rsid w:val="546F0026"/>
    <w:rsid w:val="547C44B5"/>
    <w:rsid w:val="54815C8D"/>
    <w:rsid w:val="549078B3"/>
    <w:rsid w:val="54AA1E56"/>
    <w:rsid w:val="54B86B27"/>
    <w:rsid w:val="54C33BA9"/>
    <w:rsid w:val="54C77C41"/>
    <w:rsid w:val="54D57048"/>
    <w:rsid w:val="54E45B41"/>
    <w:rsid w:val="55271749"/>
    <w:rsid w:val="556A1333"/>
    <w:rsid w:val="55AB2E37"/>
    <w:rsid w:val="55F43034"/>
    <w:rsid w:val="56187267"/>
    <w:rsid w:val="564F5B2A"/>
    <w:rsid w:val="566B176B"/>
    <w:rsid w:val="56B00F0F"/>
    <w:rsid w:val="56DB6758"/>
    <w:rsid w:val="56F13A1F"/>
    <w:rsid w:val="570A2411"/>
    <w:rsid w:val="57336E13"/>
    <w:rsid w:val="577C037B"/>
    <w:rsid w:val="57830F51"/>
    <w:rsid w:val="579876DC"/>
    <w:rsid w:val="57B70730"/>
    <w:rsid w:val="57D912C4"/>
    <w:rsid w:val="57EA1C17"/>
    <w:rsid w:val="57FF756F"/>
    <w:rsid w:val="582A4940"/>
    <w:rsid w:val="582B14B5"/>
    <w:rsid w:val="583938B0"/>
    <w:rsid w:val="58501654"/>
    <w:rsid w:val="589E610E"/>
    <w:rsid w:val="58C70972"/>
    <w:rsid w:val="58E1406B"/>
    <w:rsid w:val="58E37BA2"/>
    <w:rsid w:val="58EA5F3F"/>
    <w:rsid w:val="59145347"/>
    <w:rsid w:val="591A3FB4"/>
    <w:rsid w:val="591B41E6"/>
    <w:rsid w:val="597B1175"/>
    <w:rsid w:val="597C16EE"/>
    <w:rsid w:val="59D10BED"/>
    <w:rsid w:val="59D36626"/>
    <w:rsid w:val="59E303F0"/>
    <w:rsid w:val="59EA1B83"/>
    <w:rsid w:val="5A2B3678"/>
    <w:rsid w:val="5A5C4C66"/>
    <w:rsid w:val="5A804B5B"/>
    <w:rsid w:val="5AC129EF"/>
    <w:rsid w:val="5AD7118D"/>
    <w:rsid w:val="5ADE1B0D"/>
    <w:rsid w:val="5AFA24ED"/>
    <w:rsid w:val="5B0E7850"/>
    <w:rsid w:val="5B304098"/>
    <w:rsid w:val="5B351ABB"/>
    <w:rsid w:val="5B761A84"/>
    <w:rsid w:val="5B8B515E"/>
    <w:rsid w:val="5B917B28"/>
    <w:rsid w:val="5BBF3119"/>
    <w:rsid w:val="5BEF4F47"/>
    <w:rsid w:val="5BF01C38"/>
    <w:rsid w:val="5C143DAB"/>
    <w:rsid w:val="5C172FBA"/>
    <w:rsid w:val="5C1812C0"/>
    <w:rsid w:val="5C1D436E"/>
    <w:rsid w:val="5C38391D"/>
    <w:rsid w:val="5C426374"/>
    <w:rsid w:val="5CA42280"/>
    <w:rsid w:val="5D4D56DA"/>
    <w:rsid w:val="5DE5477B"/>
    <w:rsid w:val="5DF72805"/>
    <w:rsid w:val="5E295146"/>
    <w:rsid w:val="5E3124BD"/>
    <w:rsid w:val="5E3B66CA"/>
    <w:rsid w:val="5E5C45B3"/>
    <w:rsid w:val="5EAA4A39"/>
    <w:rsid w:val="5EB46155"/>
    <w:rsid w:val="5EF23EE8"/>
    <w:rsid w:val="5EFA55C1"/>
    <w:rsid w:val="5F1B2CDF"/>
    <w:rsid w:val="5F2D4F70"/>
    <w:rsid w:val="5F3B74A2"/>
    <w:rsid w:val="5F637D2F"/>
    <w:rsid w:val="5F7628F6"/>
    <w:rsid w:val="5FCC5B31"/>
    <w:rsid w:val="604008D3"/>
    <w:rsid w:val="604F12F6"/>
    <w:rsid w:val="608C4842"/>
    <w:rsid w:val="60C364C4"/>
    <w:rsid w:val="60CB090D"/>
    <w:rsid w:val="60E71377"/>
    <w:rsid w:val="614038BA"/>
    <w:rsid w:val="61573ED9"/>
    <w:rsid w:val="6158030E"/>
    <w:rsid w:val="618B1AD4"/>
    <w:rsid w:val="61EC2A01"/>
    <w:rsid w:val="61F2446A"/>
    <w:rsid w:val="622D15EE"/>
    <w:rsid w:val="62587B5C"/>
    <w:rsid w:val="626223DA"/>
    <w:rsid w:val="62642845"/>
    <w:rsid w:val="62976520"/>
    <w:rsid w:val="62F43E72"/>
    <w:rsid w:val="62F907EA"/>
    <w:rsid w:val="634828BA"/>
    <w:rsid w:val="634C21F2"/>
    <w:rsid w:val="63D26477"/>
    <w:rsid w:val="63D370A6"/>
    <w:rsid w:val="640D4647"/>
    <w:rsid w:val="64477400"/>
    <w:rsid w:val="644D60AC"/>
    <w:rsid w:val="645A6E63"/>
    <w:rsid w:val="647257B0"/>
    <w:rsid w:val="6477459F"/>
    <w:rsid w:val="6481764F"/>
    <w:rsid w:val="649467B0"/>
    <w:rsid w:val="64954921"/>
    <w:rsid w:val="64D56159"/>
    <w:rsid w:val="64D854B8"/>
    <w:rsid w:val="64E16774"/>
    <w:rsid w:val="64ED1273"/>
    <w:rsid w:val="650C48DD"/>
    <w:rsid w:val="651E708C"/>
    <w:rsid w:val="653B7602"/>
    <w:rsid w:val="654076EC"/>
    <w:rsid w:val="6566441C"/>
    <w:rsid w:val="656D5A1D"/>
    <w:rsid w:val="65B72FB4"/>
    <w:rsid w:val="65D874ED"/>
    <w:rsid w:val="65DD1ED5"/>
    <w:rsid w:val="6624206B"/>
    <w:rsid w:val="6642143C"/>
    <w:rsid w:val="665B13C5"/>
    <w:rsid w:val="668325F8"/>
    <w:rsid w:val="66ED4352"/>
    <w:rsid w:val="66F84133"/>
    <w:rsid w:val="671B1104"/>
    <w:rsid w:val="672238D8"/>
    <w:rsid w:val="676E2090"/>
    <w:rsid w:val="67951345"/>
    <w:rsid w:val="67E70585"/>
    <w:rsid w:val="67EB1F53"/>
    <w:rsid w:val="6819065B"/>
    <w:rsid w:val="68314D7E"/>
    <w:rsid w:val="68853EFE"/>
    <w:rsid w:val="689067FA"/>
    <w:rsid w:val="698379D1"/>
    <w:rsid w:val="6A0F4F53"/>
    <w:rsid w:val="6A392864"/>
    <w:rsid w:val="6A3E6605"/>
    <w:rsid w:val="6A5357C2"/>
    <w:rsid w:val="6A5400BE"/>
    <w:rsid w:val="6A6B1E68"/>
    <w:rsid w:val="6A873B01"/>
    <w:rsid w:val="6ACA3980"/>
    <w:rsid w:val="6AEF43E2"/>
    <w:rsid w:val="6B1F3D3B"/>
    <w:rsid w:val="6B311331"/>
    <w:rsid w:val="6B47519F"/>
    <w:rsid w:val="6B58619F"/>
    <w:rsid w:val="6B6B117E"/>
    <w:rsid w:val="6BAC0DAC"/>
    <w:rsid w:val="6BAC47D7"/>
    <w:rsid w:val="6BF8364A"/>
    <w:rsid w:val="6C0512FC"/>
    <w:rsid w:val="6C1D0840"/>
    <w:rsid w:val="6C430A2F"/>
    <w:rsid w:val="6C8960A3"/>
    <w:rsid w:val="6C901E89"/>
    <w:rsid w:val="6CBE332D"/>
    <w:rsid w:val="6CD940F9"/>
    <w:rsid w:val="6CDD5127"/>
    <w:rsid w:val="6CDF61DC"/>
    <w:rsid w:val="6CEC2FC6"/>
    <w:rsid w:val="6D703CD5"/>
    <w:rsid w:val="6D866588"/>
    <w:rsid w:val="6DB25791"/>
    <w:rsid w:val="6DC02D4B"/>
    <w:rsid w:val="6DC56975"/>
    <w:rsid w:val="6E0D7A82"/>
    <w:rsid w:val="6E590D98"/>
    <w:rsid w:val="6ED73C06"/>
    <w:rsid w:val="6EE04D35"/>
    <w:rsid w:val="6EE07455"/>
    <w:rsid w:val="6F282B2F"/>
    <w:rsid w:val="6F3B7F09"/>
    <w:rsid w:val="6F3C288E"/>
    <w:rsid w:val="6F3E2352"/>
    <w:rsid w:val="6F7536BF"/>
    <w:rsid w:val="6F812B02"/>
    <w:rsid w:val="6FD91A8A"/>
    <w:rsid w:val="6FE02EE2"/>
    <w:rsid w:val="70556126"/>
    <w:rsid w:val="70661D48"/>
    <w:rsid w:val="70BD4A19"/>
    <w:rsid w:val="70C86C1F"/>
    <w:rsid w:val="70D638A5"/>
    <w:rsid w:val="70FD3989"/>
    <w:rsid w:val="713D310E"/>
    <w:rsid w:val="71511E10"/>
    <w:rsid w:val="727C1001"/>
    <w:rsid w:val="729E195F"/>
    <w:rsid w:val="730065DA"/>
    <w:rsid w:val="73244934"/>
    <w:rsid w:val="73EA2BB4"/>
    <w:rsid w:val="73F66817"/>
    <w:rsid w:val="741246D7"/>
    <w:rsid w:val="744B7032"/>
    <w:rsid w:val="74640D85"/>
    <w:rsid w:val="74A868DA"/>
    <w:rsid w:val="74F27E04"/>
    <w:rsid w:val="75045B10"/>
    <w:rsid w:val="752957D6"/>
    <w:rsid w:val="753349CF"/>
    <w:rsid w:val="7573643C"/>
    <w:rsid w:val="758518F0"/>
    <w:rsid w:val="75E61424"/>
    <w:rsid w:val="761D45F9"/>
    <w:rsid w:val="762B48DE"/>
    <w:rsid w:val="763D775A"/>
    <w:rsid w:val="76484B73"/>
    <w:rsid w:val="764D1ECA"/>
    <w:rsid w:val="76664D73"/>
    <w:rsid w:val="76E96C0C"/>
    <w:rsid w:val="76EF6EBD"/>
    <w:rsid w:val="7706418A"/>
    <w:rsid w:val="771114D8"/>
    <w:rsid w:val="780026F1"/>
    <w:rsid w:val="78537E3E"/>
    <w:rsid w:val="78C8198A"/>
    <w:rsid w:val="78D678A0"/>
    <w:rsid w:val="78F366A1"/>
    <w:rsid w:val="78FD327E"/>
    <w:rsid w:val="78FF6981"/>
    <w:rsid w:val="79973769"/>
    <w:rsid w:val="79C17A1C"/>
    <w:rsid w:val="7AB901A0"/>
    <w:rsid w:val="7B0C0CDF"/>
    <w:rsid w:val="7B1328AB"/>
    <w:rsid w:val="7B623910"/>
    <w:rsid w:val="7BA31B33"/>
    <w:rsid w:val="7BB3322A"/>
    <w:rsid w:val="7C11714A"/>
    <w:rsid w:val="7C4A52B3"/>
    <w:rsid w:val="7C700E7C"/>
    <w:rsid w:val="7C741FFA"/>
    <w:rsid w:val="7CB650A7"/>
    <w:rsid w:val="7CBB01A1"/>
    <w:rsid w:val="7CC7751F"/>
    <w:rsid w:val="7CCB5D73"/>
    <w:rsid w:val="7CEC69AD"/>
    <w:rsid w:val="7D0160A8"/>
    <w:rsid w:val="7D0C4C05"/>
    <w:rsid w:val="7D0D09C9"/>
    <w:rsid w:val="7D0F35BE"/>
    <w:rsid w:val="7D6273C4"/>
    <w:rsid w:val="7D6B2CF5"/>
    <w:rsid w:val="7D8D5C57"/>
    <w:rsid w:val="7DDB1B00"/>
    <w:rsid w:val="7DFD162B"/>
    <w:rsid w:val="7E241953"/>
    <w:rsid w:val="7E3A7951"/>
    <w:rsid w:val="7E8F5479"/>
    <w:rsid w:val="7EB11EEF"/>
    <w:rsid w:val="7EB629DA"/>
    <w:rsid w:val="7EB82636"/>
    <w:rsid w:val="7EDA4F01"/>
    <w:rsid w:val="7EE6724D"/>
    <w:rsid w:val="7F0F39F3"/>
    <w:rsid w:val="7F2168FD"/>
    <w:rsid w:val="7F2F03F6"/>
    <w:rsid w:val="7F875650"/>
    <w:rsid w:val="7F9107F1"/>
    <w:rsid w:val="7FC81373"/>
    <w:rsid w:val="7FFF07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2"/>
    <w:autoRedefine/>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link w:val="43"/>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76" w:lineRule="auto"/>
      <w:outlineLvl w:val="3"/>
    </w:pPr>
    <w:rPr>
      <w:rFonts w:ascii="Arial" w:hAnsi="Arial" w:eastAsia="黑体"/>
      <w:b/>
      <w:bCs/>
      <w:sz w:val="28"/>
      <w:szCs w:val="28"/>
    </w:rPr>
  </w:style>
  <w:style w:type="character" w:default="1" w:styleId="36">
    <w:name w:val="Default Paragraph Font"/>
    <w:autoRedefine/>
    <w:semiHidden/>
    <w:qFormat/>
    <w:uiPriority w:val="0"/>
  </w:style>
  <w:style w:type="table" w:default="1" w:styleId="34">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3"/>
    <w:link w:val="45"/>
    <w:autoRedefine/>
    <w:qFormat/>
    <w:uiPriority w:val="0"/>
    <w:pPr>
      <w:spacing w:line="360" w:lineRule="auto"/>
      <w:ind w:firstLine="600" w:firstLineChars="200"/>
    </w:pPr>
    <w:rPr>
      <w:rFonts w:ascii="仿宋_GB2312" w:hAnsi="宋体" w:eastAsia="仿宋_GB2312"/>
      <w:sz w:val="30"/>
    </w:rPr>
  </w:style>
  <w:style w:type="paragraph" w:styleId="3">
    <w:name w:val="envelope return"/>
    <w:basedOn w:val="1"/>
    <w:autoRedefine/>
    <w:unhideWhenUsed/>
    <w:qFormat/>
    <w:uiPriority w:val="99"/>
    <w:pPr>
      <w:snapToGrid w:val="0"/>
    </w:pPr>
    <w:rPr>
      <w:rFonts w:ascii="Arial" w:hAnsi="Arial"/>
    </w:rPr>
  </w:style>
  <w:style w:type="paragraph" w:styleId="8">
    <w:name w:val="Normal Indent"/>
    <w:basedOn w:val="1"/>
    <w:next w:val="1"/>
    <w:link w:val="44"/>
    <w:autoRedefine/>
    <w:qFormat/>
    <w:uiPriority w:val="0"/>
    <w:pPr>
      <w:ind w:firstLine="420"/>
    </w:pPr>
    <w:rPr>
      <w:rFonts w:eastAsia="宋体"/>
      <w:szCs w:val="20"/>
    </w:rPr>
  </w:style>
  <w:style w:type="paragraph" w:styleId="9">
    <w:name w:val="caption"/>
    <w:basedOn w:val="1"/>
    <w:next w:val="1"/>
    <w:autoRedefine/>
    <w:qFormat/>
    <w:uiPriority w:val="0"/>
    <w:pPr>
      <w:spacing w:before="152" w:after="160"/>
    </w:pPr>
    <w:rPr>
      <w:rFonts w:ascii="Arial" w:hAnsi="Arial" w:eastAsia="黑体" w:cs="Arial"/>
      <w:sz w:val="20"/>
      <w:szCs w:val="20"/>
    </w:rPr>
  </w:style>
  <w:style w:type="paragraph" w:styleId="10">
    <w:name w:val="annotation text"/>
    <w:basedOn w:val="1"/>
    <w:autoRedefine/>
    <w:semiHidden/>
    <w:qFormat/>
    <w:uiPriority w:val="0"/>
    <w:pPr>
      <w:jc w:val="left"/>
    </w:pPr>
  </w:style>
  <w:style w:type="paragraph" w:styleId="11">
    <w:name w:val="Body Text 3"/>
    <w:basedOn w:val="1"/>
    <w:autoRedefine/>
    <w:qFormat/>
    <w:uiPriority w:val="0"/>
    <w:pPr>
      <w:spacing w:after="120" w:afterLines="0"/>
    </w:pPr>
    <w:rPr>
      <w:sz w:val="16"/>
      <w:szCs w:val="16"/>
    </w:rPr>
  </w:style>
  <w:style w:type="paragraph" w:styleId="12">
    <w:name w:val="Body Text"/>
    <w:basedOn w:val="1"/>
    <w:autoRedefine/>
    <w:qFormat/>
    <w:uiPriority w:val="0"/>
    <w:pPr>
      <w:spacing w:after="120"/>
    </w:pPr>
  </w:style>
  <w:style w:type="paragraph" w:styleId="13">
    <w:name w:val="List 2"/>
    <w:basedOn w:val="1"/>
    <w:autoRedefine/>
    <w:qFormat/>
    <w:uiPriority w:val="0"/>
    <w:pPr>
      <w:ind w:left="100" w:leftChars="200" w:hanging="200" w:hangingChars="200"/>
    </w:pPr>
    <w:rPr>
      <w:rFonts w:ascii="Times New Roman" w:hAnsi="Times New Roman"/>
    </w:rPr>
  </w:style>
  <w:style w:type="paragraph" w:styleId="14">
    <w:name w:val="Block Text"/>
    <w:basedOn w:val="1"/>
    <w:autoRedefine/>
    <w:unhideWhenUsed/>
    <w:qFormat/>
    <w:uiPriority w:val="99"/>
    <w:pPr>
      <w:ind w:left="-718" w:leftChars="-342" w:right="-512" w:rightChars="-244" w:firstLine="560" w:firstLineChars="200"/>
    </w:pPr>
    <w:rPr>
      <w:sz w:val="28"/>
    </w:rPr>
  </w:style>
  <w:style w:type="paragraph" w:styleId="15">
    <w:name w:val="Plain Text"/>
    <w:basedOn w:val="1"/>
    <w:next w:val="1"/>
    <w:link w:val="46"/>
    <w:autoRedefine/>
    <w:qFormat/>
    <w:uiPriority w:val="0"/>
    <w:pPr>
      <w:spacing w:before="156" w:beforeLines="50" w:after="156" w:afterLines="50" w:line="400" w:lineRule="exact"/>
    </w:pPr>
    <w:rPr>
      <w:rFonts w:ascii="宋体" w:hAnsi="Courier New" w:eastAsia="宋体"/>
      <w:sz w:val="24"/>
    </w:rPr>
  </w:style>
  <w:style w:type="paragraph" w:styleId="16">
    <w:name w:val="Date"/>
    <w:basedOn w:val="1"/>
    <w:next w:val="1"/>
    <w:link w:val="47"/>
    <w:autoRedefine/>
    <w:qFormat/>
    <w:uiPriority w:val="0"/>
    <w:pPr>
      <w:ind w:left="100" w:leftChars="2500"/>
    </w:pPr>
    <w:rPr>
      <w:rFonts w:ascii="仿宋_GB2312" w:hAnsi="宋体" w:eastAsia="仿宋_GB2312"/>
      <w:sz w:val="30"/>
    </w:rPr>
  </w:style>
  <w:style w:type="paragraph" w:styleId="17">
    <w:name w:val="Body Text Indent 2"/>
    <w:basedOn w:val="1"/>
    <w:autoRedefine/>
    <w:qFormat/>
    <w:uiPriority w:val="0"/>
    <w:pPr>
      <w:spacing w:after="120" w:line="480" w:lineRule="auto"/>
      <w:ind w:left="420" w:leftChars="200"/>
    </w:pPr>
  </w:style>
  <w:style w:type="paragraph" w:styleId="18">
    <w:name w:val="Balloon Text"/>
    <w:basedOn w:val="1"/>
    <w:autoRedefine/>
    <w:semiHidden/>
    <w:qFormat/>
    <w:uiPriority w:val="0"/>
    <w:rPr>
      <w:sz w:val="18"/>
      <w:szCs w:val="18"/>
    </w:rPr>
  </w:style>
  <w:style w:type="paragraph" w:styleId="19">
    <w:name w:val="footer"/>
    <w:basedOn w:val="1"/>
    <w:link w:val="48"/>
    <w:autoRedefine/>
    <w:qFormat/>
    <w:uiPriority w:val="99"/>
    <w:pPr>
      <w:tabs>
        <w:tab w:val="center" w:pos="4153"/>
        <w:tab w:val="right" w:pos="8306"/>
      </w:tabs>
      <w:snapToGrid w:val="0"/>
      <w:jc w:val="left"/>
    </w:pPr>
    <w:rPr>
      <w:sz w:val="18"/>
      <w:szCs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style>
  <w:style w:type="paragraph" w:styleId="22">
    <w:name w:val="toc 4"/>
    <w:basedOn w:val="1"/>
    <w:next w:val="1"/>
    <w:autoRedefine/>
    <w:qFormat/>
    <w:uiPriority w:val="39"/>
    <w:pPr>
      <w:widowControl w:val="0"/>
      <w:ind w:left="420"/>
    </w:pPr>
    <w:rPr>
      <w:rFonts w:ascii="Calibri" w:hAnsi="Calibri" w:cs="Calibri"/>
      <w:kern w:val="2"/>
      <w:sz w:val="20"/>
      <w:szCs w:val="20"/>
    </w:rPr>
  </w:style>
  <w:style w:type="paragraph" w:styleId="23">
    <w:name w:val="toc 6"/>
    <w:basedOn w:val="1"/>
    <w:next w:val="1"/>
    <w:autoRedefine/>
    <w:qFormat/>
    <w:uiPriority w:val="0"/>
    <w:pPr>
      <w:spacing w:line="360" w:lineRule="auto"/>
      <w:ind w:left="1200" w:firstLine="200" w:firstLineChars="200"/>
      <w:jc w:val="left"/>
    </w:pPr>
    <w:rPr>
      <w:rFonts w:ascii="Calibri" w:hAnsi="Calibri" w:cs="Calibri"/>
      <w:sz w:val="18"/>
      <w:szCs w:val="18"/>
    </w:rPr>
  </w:style>
  <w:style w:type="paragraph" w:styleId="24">
    <w:name w:val="Body Text Indent 3"/>
    <w:basedOn w:val="1"/>
    <w:link w:val="49"/>
    <w:autoRedefine/>
    <w:qFormat/>
    <w:uiPriority w:val="0"/>
    <w:pPr>
      <w:spacing w:after="120"/>
      <w:ind w:left="420" w:leftChars="200"/>
    </w:pPr>
    <w:rPr>
      <w:sz w:val="16"/>
      <w:szCs w:val="16"/>
    </w:rPr>
  </w:style>
  <w:style w:type="paragraph" w:styleId="25">
    <w:name w:val="toc 2"/>
    <w:basedOn w:val="1"/>
    <w:next w:val="1"/>
    <w:autoRedefine/>
    <w:qFormat/>
    <w:uiPriority w:val="39"/>
    <w:pPr>
      <w:ind w:left="420" w:leftChars="200"/>
    </w:pPr>
  </w:style>
  <w:style w:type="paragraph" w:styleId="26">
    <w:name w:val="List 4"/>
    <w:basedOn w:val="1"/>
    <w:autoRedefine/>
    <w:qFormat/>
    <w:uiPriority w:val="0"/>
    <w:pPr>
      <w:ind w:left="100" w:leftChars="600" w:hanging="200" w:hangingChars="200"/>
    </w:pPr>
  </w:style>
  <w:style w:type="paragraph" w:styleId="2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29">
    <w:name w:val="Title"/>
    <w:basedOn w:val="1"/>
    <w:next w:val="1"/>
    <w:link w:val="50"/>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30">
    <w:name w:val="annotation subject"/>
    <w:basedOn w:val="10"/>
    <w:next w:val="10"/>
    <w:autoRedefine/>
    <w:semiHidden/>
    <w:qFormat/>
    <w:uiPriority w:val="0"/>
    <w:rPr>
      <w:b/>
      <w:bCs/>
    </w:rPr>
  </w:style>
  <w:style w:type="paragraph" w:styleId="31">
    <w:name w:val="Body Text First Indent"/>
    <w:basedOn w:val="12"/>
    <w:next w:val="23"/>
    <w:autoRedefine/>
    <w:qFormat/>
    <w:uiPriority w:val="0"/>
    <w:pPr>
      <w:autoSpaceDE/>
      <w:autoSpaceDN/>
      <w:adjustRightInd/>
      <w:spacing w:after="120" w:line="240" w:lineRule="auto"/>
      <w:ind w:firstLine="420" w:firstLineChars="100"/>
      <w:jc w:val="both"/>
    </w:pPr>
    <w:rPr>
      <w:kern w:val="2"/>
      <w:sz w:val="21"/>
    </w:rPr>
  </w:style>
  <w:style w:type="paragraph" w:styleId="32">
    <w:name w:val="Body Text First Indent 2"/>
    <w:basedOn w:val="2"/>
    <w:next w:val="33"/>
    <w:link w:val="51"/>
    <w:autoRedefine/>
    <w:qFormat/>
    <w:uiPriority w:val="0"/>
    <w:pPr>
      <w:spacing w:after="120" w:line="240" w:lineRule="auto"/>
      <w:ind w:left="420" w:leftChars="200" w:firstLine="420"/>
    </w:pPr>
    <w:rPr>
      <w:rFonts w:ascii="Times New Roman" w:hAnsi="Times New Roman" w:eastAsia="宋体"/>
      <w:sz w:val="21"/>
    </w:rPr>
  </w:style>
  <w:style w:type="paragraph" w:customStyle="1" w:styleId="33">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35">
    <w:name w:val="Table Grid"/>
    <w:basedOn w:val="3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autoRedefine/>
    <w:qFormat/>
    <w:uiPriority w:val="0"/>
    <w:rPr>
      <w:b/>
    </w:rPr>
  </w:style>
  <w:style w:type="character" w:styleId="38">
    <w:name w:val="page number"/>
    <w:autoRedefine/>
    <w:qFormat/>
    <w:uiPriority w:val="0"/>
  </w:style>
  <w:style w:type="character" w:styleId="39">
    <w:name w:val="Emphasis"/>
    <w:basedOn w:val="36"/>
    <w:autoRedefine/>
    <w:qFormat/>
    <w:uiPriority w:val="0"/>
    <w:rPr>
      <w:i/>
    </w:rPr>
  </w:style>
  <w:style w:type="character" w:styleId="40">
    <w:name w:val="Hyperlink"/>
    <w:autoRedefine/>
    <w:qFormat/>
    <w:uiPriority w:val="0"/>
    <w:rPr>
      <w:color w:val="0000FF"/>
      <w:u w:val="single"/>
    </w:rPr>
  </w:style>
  <w:style w:type="character" w:styleId="41">
    <w:name w:val="annotation reference"/>
    <w:autoRedefine/>
    <w:semiHidden/>
    <w:qFormat/>
    <w:uiPriority w:val="0"/>
    <w:rPr>
      <w:sz w:val="21"/>
      <w:szCs w:val="21"/>
    </w:rPr>
  </w:style>
  <w:style w:type="character" w:customStyle="1" w:styleId="42">
    <w:name w:val="标题 1 Char"/>
    <w:link w:val="4"/>
    <w:autoRedefine/>
    <w:qFormat/>
    <w:uiPriority w:val="0"/>
    <w:rPr>
      <w:b/>
      <w:bCs/>
      <w:kern w:val="44"/>
      <w:sz w:val="44"/>
      <w:szCs w:val="44"/>
    </w:rPr>
  </w:style>
  <w:style w:type="character" w:customStyle="1" w:styleId="43">
    <w:name w:val="标题 2 Char"/>
    <w:link w:val="5"/>
    <w:autoRedefine/>
    <w:qFormat/>
    <w:uiPriority w:val="0"/>
    <w:rPr>
      <w:rFonts w:ascii="Arial" w:hAnsi="Arial" w:eastAsia="黑体"/>
      <w:b/>
      <w:bCs/>
      <w:kern w:val="2"/>
      <w:sz w:val="32"/>
      <w:szCs w:val="32"/>
    </w:rPr>
  </w:style>
  <w:style w:type="character" w:customStyle="1" w:styleId="44">
    <w:name w:val="正文缩进 Char"/>
    <w:link w:val="8"/>
    <w:autoRedefine/>
    <w:qFormat/>
    <w:uiPriority w:val="0"/>
    <w:rPr>
      <w:rFonts w:eastAsia="宋体"/>
      <w:kern w:val="2"/>
      <w:sz w:val="21"/>
      <w:lang w:val="en-US" w:eastAsia="zh-CN" w:bidi="ar-SA"/>
    </w:rPr>
  </w:style>
  <w:style w:type="character" w:customStyle="1" w:styleId="45">
    <w:name w:val="正文文本缩进 Char"/>
    <w:link w:val="2"/>
    <w:autoRedefine/>
    <w:qFormat/>
    <w:uiPriority w:val="0"/>
    <w:rPr>
      <w:rFonts w:ascii="仿宋_GB2312" w:hAnsi="宋体" w:eastAsia="仿宋_GB2312"/>
      <w:kern w:val="2"/>
      <w:sz w:val="30"/>
      <w:szCs w:val="24"/>
    </w:rPr>
  </w:style>
  <w:style w:type="character" w:customStyle="1" w:styleId="46">
    <w:name w:val="纯文本 Char"/>
    <w:link w:val="15"/>
    <w:autoRedefine/>
    <w:qFormat/>
    <w:uiPriority w:val="0"/>
    <w:rPr>
      <w:rFonts w:ascii="宋体" w:hAnsi="Courier New" w:eastAsia="宋体"/>
      <w:kern w:val="2"/>
      <w:sz w:val="24"/>
      <w:szCs w:val="24"/>
      <w:lang w:val="en-US" w:eastAsia="zh-CN" w:bidi="ar-SA"/>
    </w:rPr>
  </w:style>
  <w:style w:type="character" w:customStyle="1" w:styleId="47">
    <w:name w:val="日期 Char"/>
    <w:link w:val="16"/>
    <w:autoRedefine/>
    <w:qFormat/>
    <w:uiPriority w:val="0"/>
    <w:rPr>
      <w:rFonts w:ascii="仿宋_GB2312" w:hAnsi="宋体" w:eastAsia="仿宋_GB2312"/>
      <w:kern w:val="2"/>
      <w:sz w:val="30"/>
      <w:szCs w:val="24"/>
    </w:rPr>
  </w:style>
  <w:style w:type="character" w:customStyle="1" w:styleId="48">
    <w:name w:val="页脚 Char"/>
    <w:link w:val="19"/>
    <w:autoRedefine/>
    <w:qFormat/>
    <w:uiPriority w:val="99"/>
    <w:rPr>
      <w:kern w:val="2"/>
      <w:sz w:val="18"/>
      <w:szCs w:val="18"/>
    </w:rPr>
  </w:style>
  <w:style w:type="character" w:customStyle="1" w:styleId="49">
    <w:name w:val="正文文本缩进 3 Char"/>
    <w:link w:val="24"/>
    <w:autoRedefine/>
    <w:qFormat/>
    <w:uiPriority w:val="0"/>
    <w:rPr>
      <w:kern w:val="2"/>
      <w:sz w:val="16"/>
      <w:szCs w:val="16"/>
    </w:rPr>
  </w:style>
  <w:style w:type="character" w:customStyle="1" w:styleId="50">
    <w:name w:val="标题 Char"/>
    <w:link w:val="29"/>
    <w:autoRedefine/>
    <w:qFormat/>
    <w:uiPriority w:val="0"/>
    <w:rPr>
      <w:b/>
      <w:sz w:val="24"/>
      <w:lang w:val="en-GB"/>
    </w:rPr>
  </w:style>
  <w:style w:type="character" w:customStyle="1" w:styleId="51">
    <w:name w:val="正文首行缩进 2 Char"/>
    <w:link w:val="32"/>
    <w:autoRedefine/>
    <w:qFormat/>
    <w:uiPriority w:val="0"/>
    <w:rPr>
      <w:rFonts w:ascii="仿宋_GB2312" w:hAnsi="宋体" w:eastAsia="仿宋_GB2312"/>
      <w:kern w:val="2"/>
      <w:sz w:val="21"/>
      <w:szCs w:val="24"/>
    </w:rPr>
  </w:style>
  <w:style w:type="paragraph" w:customStyle="1" w:styleId="52">
    <w:name w:val="表格文字"/>
    <w:basedOn w:val="15"/>
    <w:next w:val="12"/>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character" w:customStyle="1" w:styleId="53">
    <w:name w:val="15"/>
    <w:autoRedefine/>
    <w:qFormat/>
    <w:uiPriority w:val="0"/>
    <w:rPr>
      <w:rFonts w:hint="default" w:ascii="Times New Roman" w:hAnsi="Times New Roman" w:cs="Times New Roman"/>
    </w:rPr>
  </w:style>
  <w:style w:type="character" w:customStyle="1" w:styleId="54">
    <w:name w:val="纯文本 Char1"/>
    <w:autoRedefine/>
    <w:qFormat/>
    <w:uiPriority w:val="0"/>
    <w:rPr>
      <w:rFonts w:ascii="宋体" w:hAnsi="Courier New" w:eastAsia="宋体"/>
      <w:kern w:val="2"/>
      <w:sz w:val="24"/>
      <w:szCs w:val="24"/>
      <w:lang w:val="en-US" w:eastAsia="zh-CN" w:bidi="ar-SA"/>
    </w:rPr>
  </w:style>
  <w:style w:type="character" w:customStyle="1" w:styleId="55">
    <w:name w:val="font11"/>
    <w:basedOn w:val="36"/>
    <w:autoRedefine/>
    <w:qFormat/>
    <w:uiPriority w:val="0"/>
    <w:rPr>
      <w:rFonts w:hint="eastAsia" w:ascii="宋体" w:hAnsi="宋体" w:eastAsia="宋体" w:cs="宋体"/>
      <w:color w:val="000000"/>
      <w:sz w:val="20"/>
      <w:szCs w:val="20"/>
      <w:u w:val="none"/>
    </w:rPr>
  </w:style>
  <w:style w:type="character" w:customStyle="1" w:styleId="56">
    <w:name w:val="ca-4"/>
    <w:autoRedefine/>
    <w:qFormat/>
    <w:uiPriority w:val="0"/>
  </w:style>
  <w:style w:type="character" w:customStyle="1" w:styleId="57">
    <w:name w:val="newsitemtext1"/>
    <w:autoRedefine/>
    <w:qFormat/>
    <w:uiPriority w:val="0"/>
    <w:rPr>
      <w:color w:val="000000"/>
      <w:spacing w:val="320"/>
      <w:sz w:val="21"/>
      <w:szCs w:val="21"/>
    </w:rPr>
  </w:style>
  <w:style w:type="character" w:customStyle="1" w:styleId="58">
    <w:name w:val="font31"/>
    <w:basedOn w:val="36"/>
    <w:autoRedefine/>
    <w:qFormat/>
    <w:uiPriority w:val="0"/>
    <w:rPr>
      <w:rFonts w:hint="eastAsia" w:ascii="宋体" w:hAnsi="宋体" w:eastAsia="宋体" w:cs="宋体"/>
      <w:b/>
      <w:bCs/>
      <w:color w:val="000000"/>
      <w:sz w:val="20"/>
      <w:szCs w:val="20"/>
      <w:u w:val="none"/>
    </w:rPr>
  </w:style>
  <w:style w:type="paragraph" w:styleId="59">
    <w:name w:val="Intense Quote"/>
    <w:basedOn w:val="1"/>
    <w:next w:val="1"/>
    <w:autoRedefine/>
    <w:qFormat/>
    <w:uiPriority w:val="0"/>
    <w:pPr>
      <w:wordWrap w:val="0"/>
      <w:spacing w:before="360" w:after="360" w:line="240" w:lineRule="auto"/>
      <w:ind w:left="950" w:right="950"/>
      <w:jc w:val="center"/>
    </w:pPr>
    <w:rPr>
      <w:rFonts w:ascii="Times New Roman" w:hAnsi="Times New Roman" w:eastAsia="宋体" w:cs="Times New Roman"/>
      <w:i/>
      <w:sz w:val="21"/>
    </w:rPr>
  </w:style>
  <w:style w:type="paragraph" w:customStyle="1" w:styleId="60">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styleId="61">
    <w:name w:val="List Paragraph"/>
    <w:basedOn w:val="1"/>
    <w:autoRedefine/>
    <w:qFormat/>
    <w:uiPriority w:val="34"/>
    <w:pPr>
      <w:ind w:firstLine="420" w:firstLineChars="200"/>
    </w:pPr>
  </w:style>
  <w:style w:type="paragraph" w:customStyle="1" w:styleId="62">
    <w:name w:val="Default"/>
    <w:next w:val="59"/>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3">
    <w:name w:val="正文2"/>
    <w:basedOn w:val="1"/>
    <w:autoRedefine/>
    <w:qFormat/>
    <w:uiPriority w:val="0"/>
    <w:pPr>
      <w:spacing w:before="156" w:line="360" w:lineRule="auto"/>
      <w:ind w:firstLine="510" w:firstLineChars="200"/>
    </w:pPr>
    <w:rPr>
      <w:color w:val="auto"/>
      <w:szCs w:val="20"/>
    </w:rPr>
  </w:style>
  <w:style w:type="paragraph" w:customStyle="1" w:styleId="64">
    <w:name w:val="列出段落1"/>
    <w:basedOn w:val="1"/>
    <w:autoRedefine/>
    <w:qFormat/>
    <w:uiPriority w:val="34"/>
    <w:pPr>
      <w:ind w:firstLine="420" w:firstLineChars="200"/>
    </w:pPr>
    <w:rPr>
      <w:rFonts w:ascii="Times New Roman" w:hAnsi="Times New Roman" w:eastAsia="宋体" w:cs="Times New Roman"/>
      <w:sz w:val="28"/>
      <w:szCs w:val="20"/>
    </w:rPr>
  </w:style>
  <w:style w:type="paragraph" w:customStyle="1" w:styleId="65">
    <w:name w:val="正文 A"/>
    <w:basedOn w:val="1"/>
    <w:autoRedefine/>
    <w:qFormat/>
    <w:uiPriority w:val="0"/>
    <w:rPr>
      <w:rFonts w:eastAsia="Arial Unicode MS" w:cs="Arial Unicode MS"/>
      <w:color w:val="000000"/>
      <w:szCs w:val="21"/>
    </w:rPr>
  </w:style>
  <w:style w:type="paragraph" w:customStyle="1" w:styleId="66">
    <w:name w:val="章正文"/>
    <w:basedOn w:val="1"/>
    <w:autoRedefine/>
    <w:qFormat/>
    <w:uiPriority w:val="0"/>
    <w:pPr>
      <w:spacing w:before="156" w:beforeLines="50" w:after="120" w:afterLines="0" w:line="300" w:lineRule="auto"/>
      <w:ind w:firstLine="480"/>
    </w:pPr>
    <w:rPr>
      <w:rFonts w:ascii="Helvetica" w:hAnsi="Helvetica"/>
      <w:kern w:val="0"/>
      <w:sz w:val="24"/>
    </w:rPr>
  </w:style>
  <w:style w:type="paragraph" w:customStyle="1" w:styleId="67">
    <w:name w:val="正文段"/>
    <w:basedOn w:val="1"/>
    <w:autoRedefine/>
    <w:qFormat/>
    <w:uiPriority w:val="99"/>
    <w:pPr>
      <w:widowControl/>
      <w:snapToGrid w:val="0"/>
      <w:spacing w:after="156" w:afterLines="50"/>
      <w:ind w:firstLine="200" w:firstLineChars="200"/>
    </w:pPr>
    <w:rPr>
      <w:kern w:val="0"/>
      <w:sz w:val="24"/>
      <w:szCs w:val="20"/>
    </w:rPr>
  </w:style>
  <w:style w:type="paragraph" w:customStyle="1" w:styleId="68">
    <w:name w:val="_Style 1"/>
    <w:basedOn w:val="1"/>
    <w:autoRedefine/>
    <w:qFormat/>
    <w:uiPriority w:val="0"/>
    <w:pPr>
      <w:ind w:firstLine="420" w:firstLineChars="200"/>
    </w:pPr>
    <w:rPr>
      <w:rFonts w:ascii="Calibri" w:hAnsi="Calibri"/>
      <w:szCs w:val="22"/>
    </w:rPr>
  </w:style>
  <w:style w:type="paragraph" w:customStyle="1" w:styleId="6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70">
    <w:name w:val="pa-122"/>
    <w:basedOn w:val="1"/>
    <w:autoRedefine/>
    <w:qFormat/>
    <w:uiPriority w:val="0"/>
    <w:pPr>
      <w:widowControl/>
      <w:spacing w:before="150" w:after="150"/>
      <w:jc w:val="left"/>
    </w:pPr>
    <w:rPr>
      <w:rFonts w:ascii="宋体" w:hAnsi="宋体" w:cs="宋体"/>
      <w:kern w:val="0"/>
      <w:sz w:val="24"/>
    </w:rPr>
  </w:style>
  <w:style w:type="paragraph" w:customStyle="1" w:styleId="71">
    <w:name w:val="_Style 69"/>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72">
    <w:name w:val="0~投标正文"/>
    <w:basedOn w:val="1"/>
    <w:autoRedefine/>
    <w:qFormat/>
    <w:uiPriority w:val="0"/>
    <w:pPr>
      <w:widowControl/>
      <w:ind w:firstLine="200" w:firstLineChars="200"/>
      <w:jc w:val="left"/>
    </w:pPr>
    <w:rPr>
      <w:rFonts w:ascii="宋体" w:hAnsi="宋体" w:cs="宋体"/>
      <w:kern w:val="0"/>
      <w:szCs w:val="24"/>
    </w:rPr>
  </w:style>
  <w:style w:type="paragraph" w:customStyle="1" w:styleId="73">
    <w:name w:val="初设正文"/>
    <w:basedOn w:val="1"/>
    <w:autoRedefine/>
    <w:qFormat/>
    <w:uiPriority w:val="0"/>
    <w:pPr>
      <w:spacing w:line="360" w:lineRule="auto"/>
      <w:ind w:firstLine="200" w:firstLineChars="200"/>
    </w:pPr>
  </w:style>
  <w:style w:type="character" w:customStyle="1" w:styleId="74">
    <w:name w:val="font171"/>
    <w:basedOn w:val="36"/>
    <w:autoRedefine/>
    <w:qFormat/>
    <w:uiPriority w:val="0"/>
    <w:rPr>
      <w:rFonts w:ascii="Symbol" w:hAnsi="Symbol" w:cs="Symbol"/>
      <w:color w:val="000000"/>
      <w:sz w:val="22"/>
      <w:szCs w:val="22"/>
      <w:u w:val="none"/>
    </w:rPr>
  </w:style>
  <w:style w:type="paragraph" w:customStyle="1" w:styleId="75">
    <w:name w:val="Normal"/>
    <w:basedOn w:val="1"/>
    <w:autoRedefine/>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character" w:customStyle="1" w:styleId="76">
    <w:name w:val="font21"/>
    <w:basedOn w:val="36"/>
    <w:autoRedefine/>
    <w:qFormat/>
    <w:uiPriority w:val="0"/>
    <w:rPr>
      <w:rFonts w:hint="eastAsia" w:ascii="微软雅黑" w:hAnsi="微软雅黑" w:eastAsia="微软雅黑" w:cs="微软雅黑"/>
      <w:color w:val="000000"/>
      <w:sz w:val="16"/>
      <w:szCs w:val="16"/>
      <w:u w:val="none"/>
    </w:rPr>
  </w:style>
  <w:style w:type="paragraph" w:customStyle="1" w:styleId="77">
    <w:name w:val="LS-表格正文"/>
    <w:basedOn w:val="1"/>
    <w:autoRedefine/>
    <w:qFormat/>
    <w:uiPriority w:val="0"/>
    <w:pPr>
      <w:tabs>
        <w:tab w:val="left" w:pos="560"/>
      </w:tabs>
      <w:spacing w:before="100" w:beforeAutospacing="1" w:after="100" w:afterAutospacing="1"/>
      <w:jc w:val="center"/>
    </w:pPr>
    <w:rPr>
      <w:rFonts w:hint="eastAsia"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60549</Words>
  <Characters>67663</Characters>
  <Lines>285</Lines>
  <Paragraphs>80</Paragraphs>
  <TotalTime>40</TotalTime>
  <ScaleCrop>false</ScaleCrop>
  <LinksUpToDate>false</LinksUpToDate>
  <CharactersWithSpaces>70197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2021-04-12T12:22:00Z</dcterms:created>
  <dc:creator>鹧鸪天</dc:creator>
  <cp:lastModifiedBy>lenovo</cp:lastModifiedBy>
  <cp:lastPrinted>2021-09-23T07:47:00Z</cp:lastPrinted>
  <dcterms:modified xsi:type="dcterms:W3CDTF">2024-05-06T08:27:40Z</dcterms:modified>
  <dc:title>2018-2019年度安吉县县级以上公路日常养护服务政府采购项目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82586D1D77FD4D118CA4A74BE47E2394_13</vt:lpwstr>
  </property>
</Properties>
</file>