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w w:val="95"/>
          <w:sz w:val="52"/>
          <w:szCs w:val="52"/>
          <w:lang w:val="zh-CN"/>
        </w:rPr>
      </w:pPr>
      <w:r>
        <w:rPr>
          <w:rFonts w:hint="eastAsia" w:ascii="仿宋" w:hAnsi="仿宋" w:eastAsia="仿宋" w:cs="仿宋"/>
          <w:b/>
          <w:w w:val="95"/>
          <w:sz w:val="52"/>
          <w:szCs w:val="52"/>
          <w:lang w:val="zh-CN"/>
        </w:rPr>
        <w:t>长兴县林场林权历史遗留问题清理项目</w:t>
      </w:r>
    </w:p>
    <w:p>
      <w:pPr>
        <w:pStyle w:val="41"/>
        <w:ind w:firstLine="995"/>
        <w:rPr>
          <w:rFonts w:ascii="仿宋" w:hAnsi="仿宋" w:eastAsia="仿宋" w:cs="仿宋"/>
          <w:b/>
          <w:w w:val="95"/>
          <w:sz w:val="52"/>
          <w:szCs w:val="52"/>
          <w:lang w:val="zh-CN"/>
        </w:rPr>
      </w:pPr>
    </w:p>
    <w:p>
      <w:pPr>
        <w:pStyle w:val="42"/>
        <w:rPr>
          <w:lang w:val="zh-CN"/>
        </w:rPr>
      </w:pPr>
    </w:p>
    <w:p>
      <w:pPr>
        <w:rPr>
          <w:lang w:val="zh-CN"/>
        </w:rPr>
      </w:pPr>
    </w:p>
    <w:p>
      <w:pPr>
        <w:pStyle w:val="4"/>
        <w:numPr>
          <w:ilvl w:val="-1"/>
          <w:numId w:val="0"/>
        </w:numPr>
        <w:tabs>
          <w:tab w:val="clear" w:pos="432"/>
        </w:tabs>
        <w:ind w:left="0" w:firstLine="0"/>
        <w:rPr>
          <w:lang w:val="zh-CN"/>
        </w:rPr>
      </w:pPr>
    </w:p>
    <w:p>
      <w:pPr>
        <w:adjustRightInd/>
        <w:spacing w:line="360" w:lineRule="auto"/>
        <w:jc w:val="center"/>
        <w:rPr>
          <w:rFonts w:ascii="仿宋" w:hAnsi="仿宋" w:eastAsia="仿宋" w:cs="仿宋"/>
          <w:b/>
          <w:sz w:val="52"/>
          <w:szCs w:val="52"/>
        </w:rPr>
      </w:pPr>
      <w:r>
        <w:rPr>
          <w:rFonts w:hint="eastAsia" w:ascii="仿宋" w:hAnsi="仿宋" w:eastAsia="仿宋" w:cs="仿宋"/>
          <w:b/>
          <w:w w:val="95"/>
          <w:sz w:val="52"/>
          <w:szCs w:val="52"/>
          <w:lang w:val="zh-CN"/>
        </w:rPr>
        <w:t>竞争性磋商</w:t>
      </w:r>
      <w:r>
        <w:rPr>
          <w:rFonts w:hint="eastAsia" w:ascii="仿宋" w:hAnsi="仿宋" w:eastAsia="仿宋" w:cs="仿宋"/>
          <w:b/>
          <w:sz w:val="52"/>
          <w:szCs w:val="52"/>
        </w:rPr>
        <w:t>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ascii="仿宋" w:hAnsi="仿宋" w:eastAsia="仿宋" w:cs="仿宋"/>
          <w:b/>
          <w:sz w:val="30"/>
          <w:szCs w:val="30"/>
        </w:rPr>
      </w:pPr>
    </w:p>
    <w:p>
      <w:pPr>
        <w:adjustRightInd/>
        <w:spacing w:line="360" w:lineRule="auto"/>
        <w:jc w:val="center"/>
        <w:rPr>
          <w:rFonts w:ascii="仿宋" w:hAnsi="仿宋" w:eastAsia="仿宋" w:cs="仿宋"/>
          <w:b/>
          <w:sz w:val="28"/>
          <w:szCs w:val="20"/>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HZJQCG-2025-06</w:t>
      </w:r>
      <w:r>
        <w:rPr>
          <w:rFonts w:hint="eastAsia" w:ascii="仿宋" w:hAnsi="仿宋" w:eastAsia="仿宋" w:cs="仿宋"/>
          <w:b/>
          <w:sz w:val="30"/>
          <w:szCs w:val="30"/>
        </w:rPr>
        <w:t xml:space="preserve"> </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spacing w:line="360" w:lineRule="auto"/>
        <w:rPr>
          <w:rFonts w:ascii="仿宋" w:hAnsi="仿宋" w:eastAsia="仿宋" w:cs="仿宋"/>
          <w:b/>
          <w:sz w:val="24"/>
        </w:rPr>
      </w:pPr>
      <w:r>
        <w:rPr>
          <w:rFonts w:hint="eastAsia" w:ascii="仿宋" w:hAnsi="仿宋" w:eastAsia="仿宋" w:cs="仿宋"/>
          <w:b/>
          <w:sz w:val="24"/>
        </w:rPr>
        <w:t xml:space="preserve">                                      </w:t>
      </w:r>
    </w:p>
    <w:p>
      <w:pPr>
        <w:snapToGrid w:val="0"/>
        <w:spacing w:line="360" w:lineRule="auto"/>
        <w:jc w:val="center"/>
        <w:rPr>
          <w:rFonts w:ascii="仿宋" w:hAnsi="仿宋" w:eastAsia="仿宋" w:cs="仿宋"/>
          <w:b/>
          <w:sz w:val="32"/>
          <w:szCs w:val="32"/>
        </w:rPr>
      </w:pPr>
    </w:p>
    <w:p>
      <w:pPr>
        <w:pStyle w:val="4"/>
        <w:keepNext/>
        <w:keepLines/>
        <w:widowControl w:val="0"/>
        <w:numPr>
          <w:ilvl w:val="0"/>
          <w:numId w:val="0"/>
        </w:numPr>
        <w:adjustRightInd/>
        <w:spacing w:line="360" w:lineRule="auto"/>
        <w:jc w:val="left"/>
        <w:outlineLvl w:val="1"/>
        <w:rPr>
          <w:rFonts w:ascii="仿宋" w:hAnsi="仿宋" w:eastAsia="仿宋" w:cs="仿宋"/>
          <w:b/>
          <w:sz w:val="32"/>
          <w:szCs w:val="32"/>
        </w:rPr>
      </w:pPr>
    </w:p>
    <w:p/>
    <w:p>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 xml:space="preserve">采购单位： </w:t>
      </w:r>
      <w:r>
        <w:rPr>
          <w:rFonts w:hint="eastAsia" w:ascii="仿宋" w:hAnsi="仿宋" w:eastAsia="仿宋" w:cs="仿宋"/>
          <w:b/>
          <w:spacing w:val="-4"/>
          <w:sz w:val="28"/>
          <w:szCs w:val="28"/>
          <w:u w:val="single"/>
          <w:lang w:eastAsia="zh-CN"/>
        </w:rPr>
        <w:t>长兴县不动产登记中心</w:t>
      </w:r>
      <w:r>
        <w:rPr>
          <w:rFonts w:hint="eastAsia" w:ascii="仿宋" w:hAnsi="仿宋" w:eastAsia="仿宋" w:cs="仿宋"/>
          <w:b/>
          <w:spacing w:val="-4"/>
          <w:sz w:val="28"/>
          <w:szCs w:val="28"/>
          <w:u w:val="single"/>
        </w:rPr>
        <w:t xml:space="preserve">                     （盖章）  </w:t>
      </w:r>
    </w:p>
    <w:p>
      <w:pPr>
        <w:pStyle w:val="34"/>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 xml:space="preserve">代理机构： </w:t>
      </w:r>
      <w:r>
        <w:rPr>
          <w:rFonts w:hint="eastAsia" w:ascii="仿宋" w:hAnsi="仿宋" w:eastAsia="仿宋" w:cs="仿宋"/>
          <w:b/>
          <w:sz w:val="28"/>
          <w:szCs w:val="28"/>
          <w:u w:val="single"/>
        </w:rPr>
        <w:t xml:space="preserve">湖州建启工程咨询有限公司             </w:t>
      </w:r>
      <w:r>
        <w:rPr>
          <w:rFonts w:hint="eastAsia" w:ascii="仿宋" w:hAnsi="仿宋" w:eastAsia="仿宋" w:cs="仿宋"/>
          <w:b/>
          <w:spacing w:val="-4"/>
          <w:sz w:val="28"/>
          <w:szCs w:val="28"/>
          <w:u w:val="single"/>
        </w:rPr>
        <w:t xml:space="preserve">（盖章）  </w:t>
      </w:r>
    </w:p>
    <w:p>
      <w:pPr>
        <w:pStyle w:val="34"/>
        <w:snapToGrid w:val="0"/>
        <w:spacing w:before="120" w:after="120" w:line="400" w:lineRule="exact"/>
        <w:rPr>
          <w:rFonts w:ascii="仿宋" w:hAnsi="仿宋" w:eastAsia="仿宋" w:cs="仿宋"/>
          <w:b/>
          <w:spacing w:val="-4"/>
          <w:sz w:val="28"/>
          <w:szCs w:val="28"/>
          <w:u w:val="single"/>
        </w:rPr>
      </w:pPr>
    </w:p>
    <w:p>
      <w:pPr>
        <w:tabs>
          <w:tab w:val="left" w:pos="2268"/>
        </w:tabs>
        <w:spacing w:line="360" w:lineRule="auto"/>
        <w:jc w:val="center"/>
        <w:rPr>
          <w:rFonts w:ascii="仿宋" w:hAnsi="仿宋" w:eastAsia="仿宋" w:cs="仿宋"/>
          <w:b/>
          <w:snapToGrid w:val="0"/>
          <w:sz w:val="32"/>
        </w:rPr>
        <w:sectPr>
          <w:headerReference r:id="rId4" w:type="first"/>
          <w:headerReference r:id="rId3" w:type="default"/>
          <w:footerReference r:id="rId5"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bookmarkStart w:id="0" w:name="_Toc26062"/>
      <w:bookmarkStart w:id="1" w:name="_Toc15483"/>
      <w:bookmarkStart w:id="2" w:name="_Toc11106"/>
      <w:r>
        <w:rPr>
          <w:rFonts w:hint="eastAsia" w:ascii="仿宋" w:hAnsi="仿宋" w:eastAsia="仿宋" w:cs="仿宋"/>
          <w:b/>
          <w:snapToGrid w:val="0"/>
          <w:sz w:val="32"/>
        </w:rPr>
        <w:t>日   期：2025年</w:t>
      </w:r>
      <w:r>
        <w:rPr>
          <w:rFonts w:hint="eastAsia" w:ascii="仿宋" w:hAnsi="仿宋" w:eastAsia="仿宋" w:cs="仿宋"/>
          <w:b/>
          <w:snapToGrid w:val="0"/>
          <w:sz w:val="32"/>
          <w:lang w:val="en-US" w:eastAsia="zh-CN"/>
        </w:rPr>
        <w:t>7</w:t>
      </w:r>
      <w:r>
        <w:rPr>
          <w:rFonts w:hint="eastAsia" w:ascii="仿宋" w:hAnsi="仿宋" w:eastAsia="仿宋" w:cs="仿宋"/>
          <w:b/>
          <w:snapToGrid w:val="0"/>
          <w:sz w:val="32"/>
        </w:rPr>
        <w:t>月</w:t>
      </w:r>
      <w:bookmarkEnd w:id="0"/>
      <w:bookmarkEnd w:id="1"/>
      <w:bookmarkEnd w:id="2"/>
    </w:p>
    <w:p>
      <w:pPr>
        <w:pStyle w:val="18"/>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ascii="仿宋" w:hAnsi="仿宋" w:eastAsia="仿宋" w:cs="仿宋"/>
          <w:sz w:val="24"/>
        </w:rPr>
      </w:pPr>
      <w:bookmarkStart w:id="3" w:name="_Hlt91233176"/>
      <w:bookmarkEnd w:id="3"/>
      <w:bookmarkStart w:id="4"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5" w:name="第一部分"/>
      <w:r>
        <w:rPr>
          <w:rFonts w:hint="eastAsia" w:ascii="仿宋" w:hAnsi="仿宋" w:eastAsia="仿宋" w:cs="仿宋"/>
          <w:b/>
          <w:sz w:val="36"/>
          <w:szCs w:val="36"/>
        </w:rPr>
        <w:br w:type="page"/>
      </w:r>
      <w:bookmarkEnd w:id="4"/>
      <w:bookmarkEnd w:id="5"/>
      <w:bookmarkStart w:id="6" w:name="_Hlt74729822"/>
      <w:bookmarkEnd w:id="6"/>
      <w:bookmarkStart w:id="7" w:name="_Hlt74649545"/>
      <w:bookmarkEnd w:id="7"/>
      <w:bookmarkStart w:id="8" w:name="_Hlt74707423"/>
      <w:bookmarkEnd w:id="8"/>
      <w:bookmarkStart w:id="9" w:name="_Hlt74728647"/>
      <w:bookmarkEnd w:id="9"/>
      <w:bookmarkStart w:id="10" w:name="第二部分"/>
      <w:bookmarkStart w:id="11" w:name="_Toc91899870"/>
      <w:bookmarkStart w:id="12" w:name="_Toc91899871"/>
      <w:r>
        <w:rPr>
          <w:rFonts w:hint="eastAsia" w:ascii="仿宋" w:hAnsi="仿宋" w:eastAsia="仿宋" w:cs="仿宋"/>
          <w:b/>
          <w:sz w:val="36"/>
          <w:szCs w:val="20"/>
        </w:rPr>
        <w:t>第一部分  竞争性磋商公告</w:t>
      </w:r>
    </w:p>
    <w:p>
      <w:pPr>
        <w:spacing w:line="360" w:lineRule="auto"/>
        <w:rPr>
          <w:rFonts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长兴县林场林权历史遗留问题清理项目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7月30日09</w:t>
      </w:r>
      <w:r>
        <w:rPr>
          <w:rFonts w:hint="eastAsia" w:ascii="仿宋" w:hAnsi="仿宋" w:eastAsia="仿宋" w:cs="仿宋"/>
          <w:bCs/>
          <w:sz w:val="24"/>
          <w:u w:val="single"/>
        </w:rPr>
        <w:t>点00分00秒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ascii="仿宋" w:hAnsi="仿宋" w:eastAsia="仿宋" w:cs="仿宋"/>
          <w:sz w:val="24"/>
        </w:rPr>
      </w:pPr>
    </w:p>
    <w:p>
      <w:pPr>
        <w:pStyle w:val="4"/>
        <w:numPr>
          <w:ilvl w:val="0"/>
          <w:numId w:val="0"/>
        </w:numPr>
        <w:ind w:left="432" w:hanging="432"/>
        <w:rPr>
          <w:rFonts w:ascii="仿宋" w:eastAsia="仿宋" w:cs="仿宋"/>
          <w:sz w:val="24"/>
          <w:szCs w:val="24"/>
        </w:rPr>
      </w:pPr>
      <w:bookmarkStart w:id="13" w:name="_Toc28359012"/>
      <w:bookmarkStart w:id="14" w:name="_Toc35393798"/>
      <w:bookmarkStart w:id="15" w:name="_Toc28359089"/>
      <w:bookmarkStart w:id="16" w:name="_Toc35393629"/>
      <w:r>
        <w:rPr>
          <w:rFonts w:hint="eastAsia" w:ascii="仿宋" w:eastAsia="仿宋" w:cs="仿宋"/>
          <w:sz w:val="24"/>
          <w:szCs w:val="24"/>
        </w:rPr>
        <w:t>一、项目基本情况</w:t>
      </w:r>
      <w:bookmarkEnd w:id="13"/>
      <w:bookmarkEnd w:id="14"/>
      <w:bookmarkEnd w:id="15"/>
      <w:bookmarkEnd w:id="16"/>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lang w:eastAsia="zh-CN"/>
        </w:rPr>
        <w:t>HZJQCG-2025-06</w:t>
      </w:r>
    </w:p>
    <w:p>
      <w:pPr>
        <w:spacing w:line="360" w:lineRule="auto"/>
        <w:ind w:firstLine="482" w:firstLineChars="20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lang w:eastAsia="zh-CN"/>
        </w:rPr>
        <w:t>长兴县林场林权历史遗留问题清理项目</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ascii="仿宋" w:hAnsi="仿宋" w:eastAsia="仿宋" w:cs="仿宋"/>
          <w:b/>
          <w:color w:val="FF0000"/>
          <w:sz w:val="24"/>
        </w:rPr>
      </w:pPr>
      <w:r>
        <w:rPr>
          <w:rFonts w:hint="eastAsia" w:ascii="仿宋" w:hAnsi="仿宋" w:eastAsia="仿宋" w:cs="仿宋"/>
          <w:b/>
          <w:sz w:val="24"/>
        </w:rPr>
        <w:t>预算金额（元）：</w:t>
      </w:r>
      <w:r>
        <w:rPr>
          <w:rFonts w:hint="eastAsia" w:ascii="仿宋" w:hAnsi="仿宋" w:eastAsia="仿宋" w:cs="仿宋"/>
          <w:sz w:val="24"/>
          <w:lang w:val="en-US" w:eastAsia="zh-CN"/>
        </w:rPr>
        <w:t>2360000</w:t>
      </w:r>
    </w:p>
    <w:p>
      <w:pPr>
        <w:spacing w:line="360" w:lineRule="auto"/>
        <w:ind w:firstLine="482" w:firstLineChars="200"/>
        <w:rPr>
          <w:rFonts w:ascii="仿宋" w:hAnsi="仿宋" w:eastAsia="仿宋" w:cs="仿宋"/>
          <w:b/>
          <w:sz w:val="24"/>
        </w:rPr>
      </w:pPr>
      <w:bookmarkStart w:id="17" w:name="OLE_LINK2"/>
      <w:bookmarkStart w:id="18" w:name="OLE_LINK1"/>
      <w:r>
        <w:rPr>
          <w:rFonts w:hint="eastAsia" w:ascii="仿宋" w:hAnsi="仿宋" w:eastAsia="仿宋" w:cs="仿宋"/>
          <w:b/>
          <w:sz w:val="24"/>
        </w:rPr>
        <w:t>最高限价（元）：</w:t>
      </w:r>
      <w:r>
        <w:rPr>
          <w:rFonts w:hint="eastAsia" w:ascii="仿宋" w:hAnsi="仿宋" w:eastAsia="仿宋" w:cs="仿宋"/>
          <w:sz w:val="24"/>
          <w:lang w:val="en-US" w:eastAsia="zh-CN"/>
        </w:rPr>
        <w:t>2360000</w:t>
      </w:r>
    </w:p>
    <w:bookmarkEnd w:id="17"/>
    <w:bookmarkEnd w:id="18"/>
    <w:p>
      <w:pPr>
        <w:spacing w:line="360" w:lineRule="auto"/>
        <w:ind w:firstLine="48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采购需求：</w:t>
      </w:r>
      <w:r>
        <w:rPr>
          <w:rFonts w:hint="eastAsia" w:ascii="仿宋" w:hAnsi="仿宋" w:eastAsia="仿宋" w:cs="仿宋"/>
          <w:i w:val="0"/>
          <w:caps w:val="0"/>
          <w:spacing w:val="0"/>
          <w:sz w:val="24"/>
          <w:szCs w:val="24"/>
        </w:rPr>
        <w:t>工作主要涉及林权权属调查、实地测量和换发证书 </w:t>
      </w:r>
      <w:r>
        <w:rPr>
          <w:rFonts w:hint="eastAsia" w:ascii="仿宋" w:hAnsi="仿宋" w:eastAsia="仿宋" w:cs="仿宋"/>
          <w:snapToGrid/>
          <w:kern w:val="2"/>
          <w:sz w:val="24"/>
          <w:szCs w:val="24"/>
        </w:rPr>
        <w:t>，</w:t>
      </w:r>
      <w:r>
        <w:rPr>
          <w:rFonts w:hint="eastAsia" w:ascii="仿宋" w:hAnsi="仿宋" w:eastAsia="仿宋" w:cs="仿宋"/>
          <w:b/>
          <w:bCs/>
          <w:snapToGrid w:val="0"/>
          <w:kern w:val="28"/>
          <w:sz w:val="24"/>
          <w:szCs w:val="20"/>
          <w:lang w:val="en-US" w:eastAsia="zh-CN"/>
        </w:rPr>
        <w:t>具体</w:t>
      </w:r>
      <w:r>
        <w:rPr>
          <w:rFonts w:hint="eastAsia" w:ascii="仿宋" w:hAnsi="仿宋" w:eastAsia="仿宋" w:cs="仿宋"/>
          <w:b/>
          <w:bCs/>
          <w:snapToGrid w:val="0"/>
          <w:kern w:val="28"/>
          <w:sz w:val="24"/>
          <w:szCs w:val="20"/>
        </w:rPr>
        <w:t>详见</w:t>
      </w:r>
      <w:r>
        <w:rPr>
          <w:rFonts w:hint="eastAsia" w:ascii="仿宋" w:hAnsi="仿宋" w:eastAsia="仿宋" w:cs="仿宋"/>
          <w:b/>
          <w:bCs/>
          <w:snapToGrid w:val="0"/>
          <w:kern w:val="28"/>
          <w:sz w:val="24"/>
          <w:szCs w:val="20"/>
          <w:lang w:val="en-US" w:eastAsia="zh-CN"/>
        </w:rPr>
        <w:t>文件第四部分采购需求</w:t>
      </w:r>
      <w:r>
        <w:rPr>
          <w:rFonts w:hint="eastAsia" w:ascii="仿宋" w:hAnsi="仿宋" w:eastAsia="仿宋" w:cs="仿宋"/>
          <w:b/>
          <w:bCs/>
          <w:snapToGrid w:val="0"/>
          <w:kern w:val="28"/>
          <w:sz w:val="24"/>
          <w:szCs w:val="20"/>
        </w:rPr>
        <w:t>。</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合同履行期限：</w:t>
      </w:r>
      <w:r>
        <w:rPr>
          <w:rFonts w:hint="eastAsia" w:ascii="仿宋" w:hAnsi="仿宋" w:eastAsia="仿宋" w:cs="仿宋"/>
          <w:b/>
          <w:sz w:val="24"/>
          <w:szCs w:val="24"/>
        </w:rPr>
        <w:t>：</w:t>
      </w:r>
      <w:r>
        <w:rPr>
          <w:rFonts w:hint="eastAsia" w:ascii="仿宋" w:hAnsi="仿宋" w:eastAsia="仿宋" w:cs="仿宋"/>
          <w:b w:val="0"/>
          <w:bCs/>
          <w:sz w:val="24"/>
          <w:szCs w:val="24"/>
          <w:shd w:val="clear"/>
          <w:lang w:val="en-US" w:eastAsia="zh-CN"/>
        </w:rPr>
        <w:t>2025年11月底前完成长兴县林场林权历史遗留问题清理项目的测绘和调查工作，12月15日前完成林权落界工作，12月底前按要求配合完成林权数据汇交，符合变更登记的配合林场申请变更登记。</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sz w:val="24"/>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ascii="Wingdings" w:hAnsi="Wingdings" w:eastAsia="仿宋" w:cs="仿宋"/>
              <w:b/>
              <w:sz w:val="24"/>
            </w:rPr>
            <w:t></w:t>
          </w:r>
        </w:sdtContent>
      </w:sdt>
      <w:r>
        <w:rPr>
          <w:rFonts w:hint="eastAsia" w:ascii="仿宋" w:hAnsi="仿宋" w:eastAsia="仿宋" w:cs="仿宋"/>
          <w:b/>
          <w:sz w:val="24"/>
        </w:rPr>
        <w:t>否。</w:t>
      </w:r>
    </w:p>
    <w:p>
      <w:pPr>
        <w:spacing w:line="360" w:lineRule="auto"/>
        <w:ind w:firstLine="480" w:firstLineChars="200"/>
        <w:rPr>
          <w:rFonts w:ascii="仿宋" w:hAnsi="仿宋" w:eastAsia="仿宋" w:cs="仿宋"/>
          <w:sz w:val="24"/>
        </w:rPr>
      </w:pPr>
      <w:bookmarkStart w:id="19" w:name="_Toc28359090"/>
      <w:bookmarkStart w:id="20" w:name="_Toc35393799"/>
      <w:bookmarkStart w:id="21" w:name="_Toc35393630"/>
      <w:bookmarkStart w:id="22" w:name="_Toc28359013"/>
      <w:bookmarkStart w:id="23" w:name="OLE_LINK3"/>
      <w:bookmarkStart w:id="24" w:name="OLE_LINK4"/>
      <w:r>
        <w:rPr>
          <w:rFonts w:hint="eastAsia" w:ascii="仿宋" w:hAnsi="仿宋" w:eastAsia="仿宋" w:cs="仿宋"/>
          <w:sz w:val="24"/>
        </w:rPr>
        <w:t>二、申请人的资格要求：</w:t>
      </w:r>
      <w:bookmarkEnd w:id="19"/>
      <w:bookmarkEnd w:id="20"/>
      <w:bookmarkEnd w:id="21"/>
      <w:bookmarkEnd w:id="22"/>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rPr>
        <w:t>2.落实政府采购政策需满足的资格要求：本项目专门面向中小企业采购，供应商需提供符合《政府采购促进中小企业发展管理办法》（财库【2020】46号）和本采购文件规定的《</w:t>
      </w:r>
      <w:r>
        <w:rPr>
          <w:rFonts w:hint="eastAsia" w:ascii="仿宋" w:hAnsi="仿宋" w:eastAsia="仿宋" w:cs="仿宋"/>
          <w:snapToGrid w:val="0"/>
          <w:kern w:val="28"/>
          <w:sz w:val="24"/>
          <w:szCs w:val="20"/>
          <w:highlight w:val="none"/>
        </w:rPr>
        <w:t>中小企业声明函》（模板详见《中小企业声明函》）</w:t>
      </w:r>
    </w:p>
    <w:p>
      <w:pPr>
        <w:spacing w:line="360" w:lineRule="auto"/>
        <w:ind w:firstLine="480" w:firstLineChars="200"/>
        <w:rPr>
          <w:rFonts w:ascii="仿宋" w:hAnsi="仿宋" w:eastAsia="仿宋" w:cs="仿宋"/>
          <w:snapToGrid w:val="0"/>
          <w:color w:val="0000FF"/>
          <w:kern w:val="28"/>
          <w:sz w:val="24"/>
          <w:szCs w:val="20"/>
          <w:highlight w:val="none"/>
        </w:rPr>
      </w:pPr>
      <w:r>
        <w:rPr>
          <w:rFonts w:hint="eastAsia" w:ascii="仿宋" w:hAnsi="仿宋" w:eastAsia="仿宋" w:cs="仿宋"/>
          <w:snapToGrid w:val="0"/>
          <w:color w:val="0000FF"/>
          <w:kern w:val="28"/>
          <w:sz w:val="24"/>
          <w:szCs w:val="20"/>
          <w:highlight w:val="none"/>
        </w:rPr>
        <w:t>3.本项目的特定资格要求：</w:t>
      </w:r>
      <w:r>
        <w:rPr>
          <w:rFonts w:hint="eastAsia" w:ascii="仿宋" w:hAnsi="仿宋" w:eastAsia="仿宋" w:cs="仿宋"/>
          <w:snapToGrid w:val="0"/>
          <w:color w:val="0000FF"/>
          <w:kern w:val="28"/>
          <w:sz w:val="24"/>
          <w:szCs w:val="20"/>
          <w:highlight w:val="none"/>
          <w:lang w:val="en-US" w:eastAsia="zh-CN"/>
        </w:rPr>
        <w:t>无</w:t>
      </w:r>
      <w:r>
        <w:rPr>
          <w:rFonts w:hint="eastAsia" w:ascii="仿宋" w:hAnsi="仿宋" w:eastAsia="仿宋" w:cs="仿宋"/>
          <w:snapToGrid w:val="0"/>
          <w:color w:val="0000FF"/>
          <w:kern w:val="28"/>
          <w:sz w:val="24"/>
          <w:szCs w:val="20"/>
          <w:highlight w:val="none"/>
        </w:rPr>
        <w:t>；</w:t>
      </w:r>
    </w:p>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23"/>
    <w:bookmarkEnd w:id="24"/>
    <w:p>
      <w:pPr>
        <w:spacing w:line="360" w:lineRule="auto"/>
        <w:ind w:firstLine="480" w:firstLineChars="200"/>
        <w:rPr>
          <w:rFonts w:ascii="仿宋" w:hAnsi="仿宋" w:eastAsia="仿宋" w:cs="仿宋"/>
          <w:sz w:val="24"/>
          <w:highlight w:val="none"/>
        </w:rPr>
      </w:pPr>
      <w:bookmarkStart w:id="25" w:name="_Toc28359091"/>
      <w:bookmarkStart w:id="26" w:name="_Toc35393631"/>
      <w:bookmarkStart w:id="27" w:name="_Toc35393800"/>
      <w:bookmarkStart w:id="28" w:name="_Toc28359014"/>
      <w:r>
        <w:rPr>
          <w:rFonts w:hint="eastAsia" w:ascii="仿宋" w:hAnsi="仿宋" w:eastAsia="仿宋" w:cs="仿宋"/>
          <w:sz w:val="24"/>
          <w:highlight w:val="none"/>
        </w:rPr>
        <w:t>三、获取（下载）采购文件</w:t>
      </w:r>
      <w:bookmarkEnd w:id="25"/>
      <w:bookmarkEnd w:id="26"/>
      <w:bookmarkEnd w:id="27"/>
      <w:bookmarkEnd w:id="28"/>
    </w:p>
    <w:p>
      <w:pPr>
        <w:spacing w:line="360" w:lineRule="auto"/>
        <w:ind w:firstLine="54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7月17日</w:t>
      </w:r>
      <w:r>
        <w:rPr>
          <w:rFonts w:hint="eastAsia" w:ascii="仿宋" w:hAnsi="仿宋" w:eastAsia="仿宋" w:cs="仿宋"/>
          <w:sz w:val="24"/>
          <w:highlight w:val="none"/>
        </w:rPr>
        <w:t>至2025年</w:t>
      </w:r>
      <w:r>
        <w:rPr>
          <w:rFonts w:hint="eastAsia" w:ascii="仿宋" w:hAnsi="仿宋" w:eastAsia="仿宋" w:cs="仿宋"/>
          <w:sz w:val="24"/>
          <w:highlight w:val="none"/>
          <w:lang w:val="en-US" w:eastAsia="zh-CN"/>
        </w:rPr>
        <w:t>7月30日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540"/>
        <w:rPr>
          <w:rFonts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pPr>
        <w:spacing w:line="360" w:lineRule="auto"/>
        <w:ind w:firstLine="540"/>
        <w:rPr>
          <w:rFonts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仿宋"/>
          <w:sz w:val="28"/>
          <w:szCs w:val="28"/>
          <w:highlight w:val="none"/>
        </w:rPr>
      </w:pPr>
      <w:r>
        <w:rPr>
          <w:rFonts w:hint="eastAsia" w:ascii="仿宋" w:hAnsi="仿宋" w:eastAsia="仿宋" w:cs="仿宋"/>
          <w:b/>
          <w:sz w:val="24"/>
          <w:highlight w:val="none"/>
        </w:rPr>
        <w:t>售价：</w:t>
      </w:r>
      <w:r>
        <w:rPr>
          <w:rFonts w:hint="eastAsia" w:ascii="仿宋" w:hAnsi="仿宋" w:eastAsia="仿宋" w:cs="仿宋"/>
          <w:sz w:val="24"/>
          <w:highlight w:val="none"/>
        </w:rPr>
        <w:t>免费。</w:t>
      </w:r>
    </w:p>
    <w:p>
      <w:pPr>
        <w:pStyle w:val="4"/>
        <w:numPr>
          <w:ilvl w:val="0"/>
          <w:numId w:val="0"/>
        </w:numPr>
        <w:ind w:left="432" w:hanging="432"/>
        <w:rPr>
          <w:rFonts w:ascii="仿宋" w:eastAsia="仿宋" w:cs="仿宋"/>
          <w:sz w:val="24"/>
          <w:szCs w:val="24"/>
          <w:highlight w:val="none"/>
        </w:rPr>
      </w:pPr>
      <w:bookmarkStart w:id="29" w:name="_Toc28359015"/>
      <w:bookmarkStart w:id="30" w:name="_Toc28359092"/>
      <w:bookmarkStart w:id="31" w:name="_Toc35393632"/>
      <w:bookmarkStart w:id="32" w:name="_Toc35393801"/>
      <w:r>
        <w:rPr>
          <w:rFonts w:hint="eastAsia" w:ascii="仿宋" w:eastAsia="仿宋" w:cs="仿宋"/>
          <w:sz w:val="24"/>
          <w:szCs w:val="24"/>
          <w:highlight w:val="none"/>
        </w:rPr>
        <w:t>四、响应文件提交</w:t>
      </w:r>
      <w:bookmarkEnd w:id="29"/>
      <w:bookmarkEnd w:id="30"/>
      <w:bookmarkEnd w:id="31"/>
      <w:bookmarkEnd w:id="32"/>
      <w:r>
        <w:rPr>
          <w:rFonts w:hint="eastAsia" w:ascii="仿宋" w:eastAsia="仿宋" w:cs="仿宋"/>
          <w:sz w:val="24"/>
          <w:szCs w:val="24"/>
          <w:highlight w:val="none"/>
        </w:rPr>
        <w:t>（上传）</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7月30日09</w:t>
      </w:r>
      <w:r>
        <w:rPr>
          <w:rFonts w:hint="eastAsia" w:ascii="仿宋" w:hAnsi="仿宋" w:eastAsia="仿宋" w:cs="仿宋"/>
          <w:bCs/>
          <w:sz w:val="24"/>
          <w:highlight w:val="none"/>
          <w:u w:val="single"/>
        </w:rPr>
        <w:t>点00分00秒（北京时间）</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Cs/>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Cs/>
          <w:color w:val="auto"/>
          <w:kern w:val="2"/>
          <w:sz w:val="24"/>
          <w:szCs w:val="24"/>
          <w:highlight w:val="none"/>
        </w:rPr>
        <w:t>https://www.zcygov.cn/</w:t>
      </w:r>
      <w:r>
        <w:rPr>
          <w:rStyle w:val="68"/>
          <w:rFonts w:hint="eastAsia" w:ascii="仿宋" w:hAnsi="仿宋" w:eastAsia="仿宋" w:cs="仿宋"/>
          <w:bCs/>
          <w:color w:val="auto"/>
          <w:kern w:val="2"/>
          <w:sz w:val="24"/>
          <w:szCs w:val="24"/>
          <w:highlight w:val="none"/>
        </w:rPr>
        <w:fldChar w:fldCharType="end"/>
      </w:r>
      <w:r>
        <w:rPr>
          <w:rFonts w:hint="eastAsia" w:ascii="仿宋" w:hAnsi="仿宋" w:eastAsia="仿宋" w:cs="仿宋"/>
          <w:bCs/>
          <w:sz w:val="24"/>
          <w:highlight w:val="none"/>
        </w:rPr>
        <w:t>）。</w:t>
      </w:r>
    </w:p>
    <w:p>
      <w:pPr>
        <w:pStyle w:val="4"/>
        <w:numPr>
          <w:ilvl w:val="0"/>
          <w:numId w:val="0"/>
        </w:numPr>
        <w:ind w:left="432" w:hanging="432"/>
        <w:rPr>
          <w:rFonts w:ascii="仿宋" w:eastAsia="仿宋" w:cs="仿宋"/>
          <w:sz w:val="24"/>
          <w:szCs w:val="24"/>
          <w:highlight w:val="none"/>
        </w:rPr>
      </w:pPr>
      <w:bookmarkStart w:id="33" w:name="_Toc28359016"/>
      <w:bookmarkStart w:id="34" w:name="_Toc28359093"/>
      <w:bookmarkStart w:id="35" w:name="_Toc35393802"/>
      <w:bookmarkStart w:id="36" w:name="_Toc35393633"/>
      <w:r>
        <w:rPr>
          <w:rFonts w:hint="eastAsia" w:ascii="仿宋" w:eastAsia="仿宋" w:cs="仿宋"/>
          <w:sz w:val="24"/>
          <w:szCs w:val="24"/>
          <w:highlight w:val="none"/>
        </w:rPr>
        <w:t>五、响应文件开启</w:t>
      </w:r>
      <w:bookmarkEnd w:id="33"/>
      <w:bookmarkEnd w:id="34"/>
      <w:bookmarkEnd w:id="35"/>
      <w:bookmarkEnd w:id="36"/>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7月30日09</w:t>
      </w:r>
      <w:r>
        <w:rPr>
          <w:rFonts w:hint="eastAsia" w:ascii="仿宋" w:hAnsi="仿宋" w:eastAsia="仿宋" w:cs="仿宋"/>
          <w:bCs/>
          <w:sz w:val="24"/>
          <w:highlight w:val="none"/>
          <w:u w:val="single"/>
        </w:rPr>
        <w:t>点00分00秒（北京时间）</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地点：政采云平台（https://www.zcygov.cn/）。</w:t>
      </w:r>
    </w:p>
    <w:p>
      <w:pPr>
        <w:pStyle w:val="4"/>
        <w:numPr>
          <w:ilvl w:val="0"/>
          <w:numId w:val="0"/>
        </w:numPr>
        <w:ind w:left="432" w:hanging="432"/>
        <w:rPr>
          <w:rFonts w:ascii="仿宋" w:eastAsia="仿宋" w:cs="仿宋"/>
          <w:sz w:val="24"/>
          <w:szCs w:val="24"/>
          <w:highlight w:val="none"/>
        </w:rPr>
      </w:pPr>
      <w:bookmarkStart w:id="37" w:name="_Toc28359094"/>
      <w:bookmarkStart w:id="38" w:name="_Toc28359017"/>
      <w:bookmarkStart w:id="39" w:name="_Toc35393803"/>
      <w:bookmarkStart w:id="40" w:name="_Toc35393634"/>
      <w:r>
        <w:rPr>
          <w:rFonts w:hint="eastAsia" w:ascii="仿宋" w:eastAsia="仿宋" w:cs="仿宋"/>
          <w:sz w:val="24"/>
          <w:szCs w:val="24"/>
          <w:highlight w:val="none"/>
        </w:rPr>
        <w:t>六、公告期限</w:t>
      </w:r>
      <w:bookmarkEnd w:id="37"/>
      <w:bookmarkEnd w:id="38"/>
      <w:bookmarkEnd w:id="39"/>
      <w:bookmarkEnd w:id="40"/>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pPr>
        <w:pStyle w:val="4"/>
        <w:numPr>
          <w:ilvl w:val="0"/>
          <w:numId w:val="0"/>
        </w:numPr>
        <w:ind w:left="432" w:hanging="432"/>
        <w:rPr>
          <w:rFonts w:ascii="仿宋" w:eastAsia="仿宋" w:cs="仿宋"/>
          <w:sz w:val="24"/>
          <w:szCs w:val="24"/>
          <w:highlight w:val="none"/>
        </w:rPr>
      </w:pPr>
      <w:bookmarkStart w:id="41" w:name="_Toc35393635"/>
      <w:bookmarkStart w:id="42" w:name="_Toc35393804"/>
      <w:r>
        <w:rPr>
          <w:rFonts w:hint="eastAsia" w:ascii="仿宋" w:eastAsia="仿宋" w:cs="仿宋"/>
          <w:sz w:val="24"/>
          <w:szCs w:val="24"/>
          <w:highlight w:val="none"/>
        </w:rPr>
        <w:t>七、其他补充事宜</w:t>
      </w:r>
      <w:bookmarkEnd w:id="41"/>
      <w:bookmarkEnd w:id="42"/>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w:t>
      </w:r>
      <w:r>
        <w:rPr>
          <w:rFonts w:hint="eastAsia" w:ascii="仿宋" w:hAnsi="仿宋" w:eastAsia="仿宋" w:cs="仿宋"/>
          <w:sz w:val="24"/>
        </w:rPr>
        <w:t>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4"/>
        <w:numPr>
          <w:ilvl w:val="0"/>
          <w:numId w:val="0"/>
        </w:numPr>
        <w:ind w:left="432" w:hanging="432"/>
        <w:rPr>
          <w:rFonts w:ascii="仿宋" w:eastAsia="仿宋" w:cs="仿宋"/>
          <w:sz w:val="24"/>
          <w:szCs w:val="24"/>
        </w:rPr>
      </w:pPr>
      <w:bookmarkStart w:id="43" w:name="_Toc35393805"/>
      <w:bookmarkStart w:id="44" w:name="_Toc28359095"/>
      <w:bookmarkStart w:id="45" w:name="_Toc35393636"/>
      <w:bookmarkStart w:id="46" w:name="_Toc28359018"/>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3"/>
      <w:bookmarkEnd w:id="44"/>
      <w:bookmarkEnd w:id="45"/>
      <w:bookmarkEnd w:id="46"/>
    </w:p>
    <w:p>
      <w:pPr>
        <w:pStyle w:val="4"/>
        <w:numPr>
          <w:ilvl w:val="0"/>
          <w:numId w:val="0"/>
        </w:numPr>
        <w:ind w:left="432" w:hanging="432"/>
        <w:rPr>
          <w:rFonts w:ascii="仿宋" w:eastAsia="仿宋" w:cs="仿宋"/>
          <w:sz w:val="24"/>
          <w:szCs w:val="24"/>
        </w:rPr>
      </w:pPr>
      <w:bookmarkStart w:id="47" w:name="_Toc35393806"/>
      <w:bookmarkStart w:id="48" w:name="_Toc28359096"/>
      <w:bookmarkStart w:id="49" w:name="_Toc28359019"/>
      <w:bookmarkStart w:id="50" w:name="_Toc35393637"/>
      <w:r>
        <w:rPr>
          <w:rFonts w:hint="eastAsia" w:ascii="仿宋" w:eastAsia="仿宋" w:cs="仿宋"/>
          <w:sz w:val="24"/>
          <w:szCs w:val="24"/>
        </w:rPr>
        <w:t>1.采购人信息</w:t>
      </w:r>
      <w:bookmarkEnd w:id="47"/>
      <w:bookmarkEnd w:id="48"/>
      <w:bookmarkEnd w:id="49"/>
      <w:bookmarkEnd w:id="50"/>
      <w:r>
        <w:rPr>
          <w:rFonts w:hint="eastAsia" w:ascii="仿宋" w:eastAsia="仿宋" w:cs="仿宋"/>
          <w:sz w:val="24"/>
          <w:szCs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kern w:val="0"/>
          <w:sz w:val="24"/>
          <w:lang w:eastAsia="zh-CN"/>
        </w:rPr>
        <w:t>长兴县不动产登记中心</w:t>
      </w:r>
    </w:p>
    <w:p>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长兴县锦绣路8号市民服务中心二楼</w:t>
      </w:r>
      <w:r>
        <w:rPr>
          <w:rFonts w:hint="eastAsia" w:ascii="仿宋" w:hAnsi="仿宋" w:eastAsia="仿宋" w:cs="仿宋"/>
          <w:kern w:val="0"/>
          <w:sz w:val="24"/>
        </w:rPr>
        <w:t xml:space="preserve">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spacing w:line="360" w:lineRule="auto"/>
        <w:rPr>
          <w:rFonts w:ascii="仿宋" w:hAnsi="仿宋" w:eastAsia="仿宋_GB2312" w:cs="仿宋"/>
          <w:sz w:val="24"/>
        </w:rPr>
      </w:pPr>
      <w:r>
        <w:rPr>
          <w:rFonts w:hint="eastAsia" w:ascii="仿宋" w:hAnsi="仿宋" w:eastAsia="仿宋" w:cs="仿宋"/>
          <w:sz w:val="24"/>
        </w:rPr>
        <w:t xml:space="preserve">    项目联系人（询问）：</w:t>
      </w:r>
      <w:r>
        <w:rPr>
          <w:rFonts w:ascii="仿宋" w:hAnsi="仿宋" w:eastAsia="仿宋" w:cs="仿宋"/>
          <w:i w:val="0"/>
          <w:caps w:val="0"/>
          <w:color w:val="000000"/>
          <w:spacing w:val="0"/>
          <w:sz w:val="24"/>
          <w:szCs w:val="24"/>
        </w:rPr>
        <w:t>翁女士</w:t>
      </w:r>
    </w:p>
    <w:p>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ascii="仿宋" w:hAnsi="仿宋" w:eastAsia="仿宋" w:cs="仿宋"/>
          <w:i w:val="0"/>
          <w:caps w:val="0"/>
          <w:color w:val="000000"/>
          <w:spacing w:val="0"/>
          <w:sz w:val="24"/>
          <w:szCs w:val="24"/>
        </w:rPr>
        <w:t>0572-6202856</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钱女士</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i w:val="0"/>
          <w:caps w:val="0"/>
          <w:color w:val="000000"/>
          <w:spacing w:val="0"/>
          <w:sz w:val="24"/>
          <w:szCs w:val="24"/>
          <w:lang w:eastAsia="zh-CN"/>
        </w:rPr>
        <w:t>15868229658</w:t>
      </w:r>
      <w:r>
        <w:rPr>
          <w:rFonts w:hint="eastAsia" w:ascii="仿宋" w:hAnsi="仿宋" w:eastAsia="仿宋" w:cs="仿宋"/>
          <w:sz w:val="24"/>
        </w:rPr>
        <w:t xml:space="preserve">    </w:t>
      </w:r>
    </w:p>
    <w:p>
      <w:pPr>
        <w:pStyle w:val="4"/>
        <w:numPr>
          <w:ilvl w:val="0"/>
          <w:numId w:val="0"/>
        </w:numPr>
        <w:ind w:left="432" w:hanging="432"/>
        <w:rPr>
          <w:rFonts w:ascii="仿宋" w:eastAsia="仿宋" w:cs="仿宋"/>
          <w:sz w:val="24"/>
        </w:rPr>
      </w:pPr>
      <w:bookmarkStart w:id="51" w:name="_Toc28359020"/>
      <w:bookmarkStart w:id="52" w:name="_Toc35393807"/>
      <w:bookmarkStart w:id="53" w:name="_Toc28359097"/>
      <w:bookmarkStart w:id="54" w:name="_Toc35393638"/>
      <w:r>
        <w:rPr>
          <w:rFonts w:hint="eastAsia" w:ascii="仿宋" w:eastAsia="仿宋" w:cs="仿宋"/>
          <w:sz w:val="24"/>
          <w:szCs w:val="24"/>
        </w:rPr>
        <w:t>2.采购代理机构信息</w:t>
      </w:r>
      <w:bookmarkEnd w:id="51"/>
      <w:bookmarkEnd w:id="52"/>
      <w:bookmarkEnd w:id="53"/>
      <w:bookmarkEnd w:id="54"/>
      <w:r>
        <w:rPr>
          <w:rFonts w:hint="eastAsia" w:ascii="仿宋" w:eastAsia="仿宋" w:cs="仿宋"/>
          <w:sz w:val="24"/>
          <w:szCs w:val="24"/>
        </w:rPr>
        <w:t>：</w:t>
      </w:r>
    </w:p>
    <w:p>
      <w:pPr>
        <w:spacing w:line="360" w:lineRule="auto"/>
        <w:ind w:firstLine="480"/>
        <w:rPr>
          <w:rFonts w:ascii="仿宋" w:hAnsi="仿宋" w:eastAsia="仿宋" w:cs="仿宋"/>
          <w:sz w:val="24"/>
        </w:rPr>
      </w:pPr>
      <w:bookmarkStart w:id="55" w:name="_Toc28359021"/>
      <w:bookmarkStart w:id="56" w:name="_Toc28359098"/>
      <w:bookmarkStart w:id="57" w:name="_Toc35393808"/>
      <w:bookmarkStart w:id="58" w:name="_Toc35393639"/>
      <w:r>
        <w:rPr>
          <w:rFonts w:hint="eastAsia" w:ascii="仿宋" w:hAnsi="仿宋" w:eastAsia="仿宋" w:cs="仿宋"/>
          <w:sz w:val="24"/>
        </w:rPr>
        <w:t>名称：湖州建启工程咨询有限公司</w:t>
      </w:r>
    </w:p>
    <w:p>
      <w:pPr>
        <w:spacing w:line="360" w:lineRule="auto"/>
        <w:ind w:firstLine="480"/>
        <w:rPr>
          <w:rFonts w:ascii="仿宋" w:hAnsi="仿宋" w:eastAsia="仿宋" w:cs="仿宋"/>
          <w:sz w:val="24"/>
        </w:rPr>
      </w:pPr>
      <w:r>
        <w:rPr>
          <w:rFonts w:hint="eastAsia" w:ascii="仿宋" w:hAnsi="仿宋" w:eastAsia="仿宋" w:cs="仿宋"/>
          <w:sz w:val="24"/>
        </w:rPr>
        <w:t>地址：浙江省湖州市长兴县太湖街道利时广场 15幢2711室</w:t>
      </w:r>
    </w:p>
    <w:p>
      <w:pPr>
        <w:spacing w:line="360" w:lineRule="auto"/>
        <w:ind w:firstLine="480"/>
        <w:rPr>
          <w:rFonts w:ascii="仿宋" w:hAnsi="仿宋" w:eastAsia="仿宋" w:cs="仿宋"/>
          <w:sz w:val="24"/>
        </w:rPr>
      </w:pPr>
      <w:r>
        <w:rPr>
          <w:rFonts w:hint="eastAsia" w:ascii="仿宋" w:hAnsi="仿宋" w:eastAsia="仿宋" w:cs="仿宋"/>
          <w:sz w:val="24"/>
        </w:rPr>
        <w:t>项目联系人（询问）：章工</w:t>
      </w:r>
    </w:p>
    <w:p>
      <w:pPr>
        <w:spacing w:line="360" w:lineRule="auto"/>
        <w:ind w:firstLine="480"/>
        <w:rPr>
          <w:rFonts w:ascii="仿宋" w:hAnsi="仿宋" w:eastAsia="仿宋" w:cs="仿宋"/>
          <w:sz w:val="24"/>
        </w:rPr>
      </w:pPr>
      <w:r>
        <w:rPr>
          <w:rFonts w:hint="eastAsia" w:ascii="仿宋" w:hAnsi="仿宋" w:eastAsia="仿宋" w:cs="仿宋"/>
          <w:sz w:val="24"/>
        </w:rPr>
        <w:t>项目联系方式（询问）：18857205061</w:t>
      </w:r>
    </w:p>
    <w:p>
      <w:pPr>
        <w:spacing w:line="360" w:lineRule="auto"/>
        <w:ind w:firstLine="480"/>
        <w:rPr>
          <w:rFonts w:ascii="仿宋" w:hAnsi="仿宋" w:eastAsia="仿宋" w:cs="仿宋"/>
          <w:sz w:val="24"/>
        </w:rPr>
      </w:pPr>
      <w:r>
        <w:rPr>
          <w:rFonts w:hint="eastAsia" w:ascii="仿宋" w:hAnsi="仿宋" w:eastAsia="仿宋" w:cs="仿宋"/>
          <w:sz w:val="24"/>
        </w:rPr>
        <w:t>质疑联系人：钱工</w:t>
      </w:r>
    </w:p>
    <w:p>
      <w:pPr>
        <w:spacing w:line="360" w:lineRule="auto"/>
        <w:ind w:firstLine="480"/>
        <w:rPr>
          <w:rFonts w:ascii="仿宋" w:hAnsi="仿宋" w:eastAsia="仿宋" w:cs="仿宋"/>
          <w:sz w:val="24"/>
        </w:rPr>
      </w:pPr>
      <w:r>
        <w:rPr>
          <w:rFonts w:hint="eastAsia" w:ascii="仿宋" w:hAnsi="仿宋" w:eastAsia="仿宋" w:cs="仿宋"/>
          <w:sz w:val="24"/>
        </w:rPr>
        <w:t>质疑联系方式：13335821116</w:t>
      </w:r>
    </w:p>
    <w:p>
      <w:pPr>
        <w:spacing w:line="360" w:lineRule="auto"/>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5"/>
    <w:bookmarkEnd w:id="56"/>
    <w:bookmarkEnd w:id="57"/>
    <w:bookmarkEnd w:id="58"/>
    <w:p>
      <w:pPr>
        <w:spacing w:line="360" w:lineRule="auto"/>
        <w:ind w:firstLine="480"/>
        <w:rPr>
          <w:rFonts w:ascii="仿宋" w:hAnsi="仿宋" w:eastAsia="仿宋" w:cs="仿宋"/>
          <w:sz w:val="24"/>
        </w:rPr>
      </w:pPr>
      <w:r>
        <w:rPr>
          <w:rFonts w:hint="eastAsia" w:ascii="仿宋" w:hAnsi="仿宋" w:eastAsia="仿宋" w:cs="仿宋"/>
          <w:sz w:val="24"/>
        </w:rPr>
        <w:t>名    称：长兴县财政局</w:t>
      </w:r>
    </w:p>
    <w:p>
      <w:pPr>
        <w:spacing w:line="360" w:lineRule="auto"/>
        <w:rPr>
          <w:rFonts w:ascii="仿宋" w:hAnsi="仿宋" w:eastAsia="仿宋" w:cs="仿宋"/>
          <w:sz w:val="24"/>
        </w:rPr>
      </w:pPr>
      <w:r>
        <w:rPr>
          <w:rFonts w:hint="eastAsia" w:ascii="仿宋" w:hAnsi="仿宋" w:eastAsia="仿宋" w:cs="仿宋"/>
          <w:sz w:val="24"/>
        </w:rPr>
        <w:t xml:space="preserve">    地    址：浙江省长兴县龙山街道锦绣路6号兴国商务楼1号楼1305室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：佘</w:t>
      </w:r>
      <w:r>
        <w:rPr>
          <w:rFonts w:hint="eastAsia" w:ascii="仿宋" w:hAnsi="仿宋" w:eastAsia="仿宋" w:cs="仿宋"/>
          <w:sz w:val="24"/>
          <w:lang w:val="en-US" w:eastAsia="zh-CN"/>
        </w:rPr>
        <w:t>先生</w:t>
      </w:r>
    </w:p>
    <w:p>
      <w:pPr>
        <w:spacing w:line="360" w:lineRule="auto"/>
        <w:ind w:firstLine="480"/>
        <w:rPr>
          <w:rFonts w:ascii="仿宋" w:hAnsi="仿宋" w:eastAsia="仿宋" w:cs="仿宋"/>
          <w:sz w:val="24"/>
        </w:rPr>
      </w:pPr>
      <w:r>
        <w:rPr>
          <w:rFonts w:hint="eastAsia" w:ascii="仿宋" w:hAnsi="仿宋" w:eastAsia="仿宋" w:cs="仿宋"/>
          <w:sz w:val="24"/>
        </w:rPr>
        <w:t>监督投诉电话：0572-6027789</w:t>
      </w:r>
    </w:p>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jc w:val="right"/>
        <w:rPr>
          <w:rFonts w:ascii="仿宋" w:hAnsi="仿宋" w:eastAsia="仿宋" w:cs="仿宋"/>
          <w:sz w:val="24"/>
          <w:szCs w:val="24"/>
        </w:rPr>
      </w:pPr>
    </w:p>
    <w:p>
      <w:pPr>
        <w:pStyle w:val="34"/>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pPr>
        <w:pStyle w:val="395"/>
        <w:spacing w:before="0"/>
        <w:ind w:firstLine="0" w:firstLineChars="0"/>
        <w:rPr>
          <w:rFonts w:ascii="仿宋" w:hAnsi="仿宋" w:eastAsia="仿宋" w:cs="仿宋"/>
          <w:b/>
        </w:rPr>
      </w:pPr>
      <w:r>
        <w:rPr>
          <w:rFonts w:hint="eastAsia" w:ascii="仿宋" w:hAnsi="仿宋" w:eastAsia="仿宋" w:cs="仿宋"/>
          <w:b/>
          <w:szCs w:val="24"/>
        </w:rPr>
        <w:t>1.征集供应商</w:t>
      </w:r>
    </w:p>
    <w:p>
      <w:pPr>
        <w:pStyle w:val="395"/>
        <w:spacing w:before="0"/>
        <w:ind w:firstLine="480"/>
        <w:rPr>
          <w:rFonts w:ascii="仿宋" w:hAnsi="仿宋" w:eastAsia="仿宋" w:cs="仿宋"/>
          <w:szCs w:val="24"/>
        </w:rPr>
      </w:pPr>
      <w:r>
        <w:rPr>
          <w:rFonts w:hint="eastAsia" w:ascii="仿宋" w:hAnsi="仿宋" w:eastAsia="仿宋" w:cs="仿宋"/>
          <w:szCs w:val="24"/>
        </w:rPr>
        <w:t>1.1邀请供应商。</w:t>
      </w:r>
    </w:p>
    <w:p>
      <w:pPr>
        <w:pStyle w:val="395"/>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5"/>
        <w:spacing w:before="0"/>
        <w:ind w:firstLine="480"/>
        <w:rPr>
          <w:rFonts w:ascii="仿宋" w:hAnsi="仿宋" w:eastAsia="仿宋" w:cs="仿宋"/>
          <w:szCs w:val="24"/>
        </w:rPr>
      </w:pPr>
      <w:r>
        <w:rPr>
          <w:rFonts w:hint="eastAsia" w:ascii="仿宋" w:hAnsi="仿宋" w:eastAsia="仿宋" w:cs="仿宋"/>
          <w:szCs w:val="24"/>
        </w:rPr>
        <w:t>1.2供应商获取磋商文件。</w:t>
      </w:r>
    </w:p>
    <w:p>
      <w:pPr>
        <w:pStyle w:val="395"/>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pPr>
        <w:pStyle w:val="395"/>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pPr>
        <w:pStyle w:val="395"/>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pPr>
        <w:pStyle w:val="395"/>
        <w:spacing w:before="0"/>
        <w:ind w:firstLine="0" w:firstLineChars="0"/>
        <w:rPr>
          <w:rFonts w:ascii="仿宋" w:hAnsi="仿宋" w:eastAsia="仿宋" w:cs="仿宋"/>
          <w:b/>
        </w:rPr>
      </w:pPr>
      <w:r>
        <w:rPr>
          <w:rFonts w:hint="eastAsia" w:ascii="仿宋" w:hAnsi="仿宋" w:eastAsia="仿宋" w:cs="仿宋"/>
          <w:b/>
        </w:rPr>
        <w:t>2.响应文件开启与信用信息查询</w:t>
      </w:r>
    </w:p>
    <w:p>
      <w:pPr>
        <w:pStyle w:val="395"/>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5"/>
        <w:spacing w:before="0"/>
        <w:ind w:firstLine="0" w:firstLineChars="0"/>
        <w:rPr>
          <w:rFonts w:ascii="仿宋" w:hAnsi="仿宋" w:eastAsia="仿宋" w:cs="仿宋"/>
          <w:b/>
        </w:rPr>
      </w:pPr>
      <w:r>
        <w:rPr>
          <w:rFonts w:hint="eastAsia" w:ascii="仿宋" w:hAnsi="仿宋" w:eastAsia="仿宋" w:cs="仿宋"/>
          <w:b/>
        </w:rPr>
        <w:t>3.磋商与评审</w:t>
      </w:r>
    </w:p>
    <w:p>
      <w:pPr>
        <w:pStyle w:val="395"/>
        <w:spacing w:before="0"/>
        <w:ind w:firstLine="480"/>
        <w:rPr>
          <w:rFonts w:ascii="仿宋" w:hAnsi="仿宋" w:eastAsia="仿宋" w:cs="仿宋"/>
          <w:szCs w:val="24"/>
        </w:rPr>
      </w:pPr>
      <w:r>
        <w:rPr>
          <w:rFonts w:hint="eastAsia" w:ascii="仿宋" w:hAnsi="仿宋" w:eastAsia="仿宋" w:cs="仿宋"/>
          <w:szCs w:val="24"/>
        </w:rPr>
        <w:t>3.1磋商小组签到。</w:t>
      </w:r>
    </w:p>
    <w:p>
      <w:pPr>
        <w:pStyle w:val="395"/>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pPr>
        <w:pStyle w:val="395"/>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5"/>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pPr>
        <w:pStyle w:val="395"/>
        <w:spacing w:before="0"/>
        <w:ind w:firstLine="480"/>
        <w:rPr>
          <w:rFonts w:ascii="仿宋" w:hAnsi="仿宋" w:eastAsia="仿宋" w:cs="仿宋"/>
          <w:szCs w:val="24"/>
        </w:rPr>
      </w:pPr>
      <w:r>
        <w:rPr>
          <w:rFonts w:hint="eastAsia" w:ascii="仿宋" w:hAnsi="仿宋" w:eastAsia="仿宋" w:cs="仿宋"/>
          <w:szCs w:val="24"/>
        </w:rPr>
        <w:t>3.5磋商小组审查响应文件。</w:t>
      </w:r>
    </w:p>
    <w:p>
      <w:pPr>
        <w:pStyle w:val="395"/>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5"/>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pPr>
        <w:pStyle w:val="395"/>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5"/>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3.13采购代理机构唱价。</w:t>
      </w:r>
    </w:p>
    <w:p>
      <w:pPr>
        <w:pStyle w:val="395"/>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3.15磋商小组应当根据综合评分情况，按照评审得分由高到低顺序推荐3名以上成交候选供应商，并编写评审报告（本项目推荐三名成交候选供应商）。</w:t>
      </w:r>
    </w:p>
    <w:p>
      <w:pPr>
        <w:pStyle w:val="395"/>
        <w:spacing w:before="0"/>
        <w:ind w:firstLine="0" w:firstLineChars="0"/>
        <w:rPr>
          <w:rFonts w:ascii="仿宋" w:hAnsi="仿宋" w:eastAsia="仿宋" w:cs="仿宋"/>
          <w:b/>
        </w:rPr>
      </w:pPr>
      <w:r>
        <w:rPr>
          <w:rFonts w:hint="eastAsia" w:ascii="仿宋" w:hAnsi="仿宋" w:eastAsia="仿宋" w:cs="仿宋"/>
          <w:b/>
        </w:rPr>
        <w:t>4. 成交</w:t>
      </w:r>
    </w:p>
    <w:p>
      <w:pPr>
        <w:pStyle w:val="395"/>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pPr>
        <w:pStyle w:val="395"/>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pPr>
        <w:pStyle w:val="395"/>
        <w:spacing w:before="0"/>
        <w:ind w:firstLine="480"/>
        <w:rPr>
          <w:rFonts w:ascii="仿宋" w:hAnsi="仿宋" w:eastAsia="仿宋" w:cs="仿宋"/>
          <w:szCs w:val="24"/>
        </w:rPr>
      </w:pPr>
      <w:r>
        <w:rPr>
          <w:rFonts w:hint="eastAsia" w:ascii="仿宋" w:hAnsi="仿宋" w:eastAsia="仿宋" w:cs="仿宋"/>
          <w:szCs w:val="24"/>
        </w:rPr>
        <w:t>5.3合同履约。</w:t>
      </w:r>
    </w:p>
    <w:p>
      <w:pPr>
        <w:pStyle w:val="395"/>
        <w:spacing w:before="0"/>
        <w:ind w:firstLine="480"/>
        <w:rPr>
          <w:rFonts w:ascii="仿宋" w:hAnsi="仿宋" w:eastAsia="仿宋" w:cs="仿宋"/>
          <w:szCs w:val="24"/>
        </w:rPr>
      </w:pPr>
      <w:r>
        <w:rPr>
          <w:rFonts w:hint="eastAsia" w:ascii="仿宋" w:hAnsi="仿宋" w:eastAsia="仿宋" w:cs="仿宋"/>
          <w:szCs w:val="24"/>
        </w:rPr>
        <w:t>5.4采购人组织验收。</w:t>
      </w:r>
    </w:p>
    <w:p>
      <w:pPr>
        <w:widowControl/>
        <w:adjustRightInd/>
        <w:jc w:val="left"/>
        <w:rPr>
          <w:rFonts w:ascii="仿宋" w:hAnsi="仿宋" w:eastAsia="仿宋" w:cs="仿宋"/>
          <w:b/>
          <w:sz w:val="24"/>
          <w:szCs w:val="20"/>
        </w:rPr>
      </w:pPr>
      <w:r>
        <w:rPr>
          <w:rFonts w:hint="eastAsia" w:ascii="仿宋" w:hAnsi="仿宋" w:eastAsia="仿宋" w:cs="仿宋"/>
          <w:b/>
        </w:rPr>
        <w:br w:type="page"/>
      </w:r>
    </w:p>
    <w:p>
      <w:pPr>
        <w:pStyle w:val="395"/>
        <w:spacing w:before="0"/>
        <w:ind w:firstLine="0" w:firstLineChars="0"/>
        <w:rPr>
          <w:rFonts w:ascii="仿宋" w:hAnsi="仿宋" w:eastAsia="仿宋" w:cs="仿宋"/>
          <w:b/>
        </w:rPr>
      </w:pPr>
      <w:r>
        <w:rPr>
          <w:rFonts w:hint="eastAsia" w:ascii="仿宋" w:hAnsi="仿宋" w:eastAsia="仿宋" w:cs="仿宋"/>
          <w:b/>
        </w:rPr>
        <w:t>6.竞争性磋商流程图</w:t>
      </w:r>
    </w:p>
    <w:p>
      <w:pPr>
        <w:pStyle w:val="395"/>
        <w:spacing w:before="0"/>
        <w:ind w:firstLine="0" w:firstLineChars="0"/>
        <w:rPr>
          <w:rFonts w:ascii="仿宋" w:hAnsi="仿宋" w:eastAsia="仿宋" w:cs="仿宋"/>
          <w:b/>
        </w:rPr>
      </w:pPr>
    </w:p>
    <w:p>
      <w:pPr>
        <w:widowControl/>
        <w:adjustRightInd/>
        <w:jc w:val="left"/>
        <w:rPr>
          <w:rFonts w:ascii="仿宋" w:hAnsi="仿宋" w:eastAsia="仿宋" w:cs="仿宋"/>
          <w:sz w:val="24"/>
        </w:rPr>
      </w:pPr>
      <w:r>
        <w:rPr>
          <w:rFonts w:hint="eastAsia" w:ascii="仿宋" w:hAnsi="仿宋" w:eastAsia="仿宋" w:cs="仿宋"/>
          <w:sz w:val="24"/>
        </w:rPr>
        <w:t xml:space="preserve">  </w:t>
      </w:r>
    </w:p>
    <w:p>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0"/>
      <w:r>
        <w:rPr>
          <w:rFonts w:hint="eastAsia" w:ascii="仿宋" w:hAnsi="仿宋" w:eastAsia="仿宋" w:cs="仿宋"/>
          <w:b/>
          <w:sz w:val="36"/>
          <w:szCs w:val="20"/>
        </w:rPr>
        <w:t xml:space="preserve">  供应商须知</w:t>
      </w:r>
      <w:bookmarkEnd w:id="11"/>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71"/>
        <w:tblW w:w="85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kern w:val="0"/>
                <w:sz w:val="24"/>
                <w:u w:val="single"/>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长兴县林场林权历史遗留问题清理项目</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，属于 </w:t>
            </w:r>
            <w:r>
              <w:rPr>
                <w:rFonts w:hint="eastAsia" w:ascii="仿宋" w:hAnsi="仿宋" w:eastAsia="仿宋" w:cs="仿宋"/>
                <w:kern w:val="0"/>
                <w:sz w:val="24"/>
                <w:u w:val="single"/>
              </w:rPr>
              <w:t xml:space="preserve">其他未列明行业 </w:t>
            </w:r>
            <w:r>
              <w:rPr>
                <w:rFonts w:hint="eastAsia" w:ascii="仿宋" w:hAnsi="仿宋" w:eastAsia="仿宋" w:cs="仿宋"/>
                <w:kern w:val="0"/>
                <w:sz w:val="24"/>
              </w:rPr>
              <w:t>行业；</w:t>
            </w:r>
          </w:p>
          <w:p>
            <w:pPr>
              <w:pStyle w:val="4"/>
              <w:numPr>
                <w:ilvl w:val="0"/>
                <w:numId w:val="0"/>
              </w:numPr>
              <w:jc w:val="both"/>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307"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747"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磋商文件中价格全部采用人民币报价。磋商文件未列明，而供应商认为必需的费用也需列入报价。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623"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77491566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本项目不收取采购代理服务费。</w:t>
            </w:r>
          </w:p>
          <w:p>
            <w:pPr>
              <w:spacing w:line="360" w:lineRule="auto"/>
              <w:rPr>
                <w:rFonts w:ascii="仿宋" w:hAnsi="仿宋" w:eastAsia="仿宋" w:cs="仿宋"/>
                <w:kern w:val="0"/>
                <w:sz w:val="24"/>
              </w:rPr>
            </w:pPr>
            <w:sdt>
              <w:sdtPr>
                <w:rPr>
                  <w:rFonts w:hint="eastAsia" w:ascii="仿宋" w:hAnsi="仿宋" w:eastAsia="仿宋" w:cs="仿宋"/>
                  <w:kern w:val="0"/>
                  <w:sz w:val="24"/>
                </w:rPr>
                <w:id w:val="1332103665"/>
              </w:sdtPr>
              <w:sdtEndPr>
                <w:rPr>
                  <w:rFonts w:hint="eastAsia" w:ascii="仿宋" w:hAnsi="仿宋" w:eastAsia="仿宋" w:cs="仿宋"/>
                  <w:kern w:val="0"/>
                  <w:sz w:val="24"/>
                </w:rPr>
              </w:sdtEndPr>
              <w:sdtContent>
                <w:r>
                  <w:rPr>
                    <w:rFonts w:hint="eastAsia" w:ascii="仿宋" w:hAnsi="仿宋" w:eastAsia="仿宋" w:cs="仿宋"/>
                    <w:snapToGrid w:val="0"/>
                    <w:kern w:val="28"/>
                    <w:sz w:val="24"/>
                    <w:szCs w:val="20"/>
                  </w:rPr>
                  <w:fldChar w:fldCharType="begin"/>
                </w:r>
                <w:r>
                  <w:rPr>
                    <w:rFonts w:hint="eastAsia" w:ascii="仿宋" w:hAnsi="仿宋" w:eastAsia="仿宋" w:cs="仿宋"/>
                    <w:snapToGrid w:val="0"/>
                    <w:kern w:val="28"/>
                    <w:sz w:val="24"/>
                    <w:szCs w:val="20"/>
                  </w:rPr>
                  <w:instrText xml:space="preserve"> eq \o\ac(□,√)</w:instrText>
                </w:r>
                <w:r>
                  <w:rPr>
                    <w:rFonts w:hint="eastAsia" w:ascii="仿宋" w:hAnsi="仿宋" w:eastAsia="仿宋" w:cs="仿宋"/>
                    <w:snapToGrid w:val="0"/>
                    <w:kern w:val="28"/>
                    <w:sz w:val="24"/>
                    <w:szCs w:val="20"/>
                  </w:rPr>
                  <w:fldChar w:fldCharType="end"/>
                </w:r>
              </w:sdtContent>
            </w:sdt>
            <w:r>
              <w:rPr>
                <w:rFonts w:hint="eastAsia" w:ascii="仿宋" w:hAnsi="仿宋" w:eastAsia="仿宋" w:cs="仿宋"/>
                <w:kern w:val="0"/>
                <w:sz w:val="24"/>
              </w:rPr>
              <w:t>B</w:t>
            </w:r>
            <w:r>
              <w:rPr>
                <w:rFonts w:hint="eastAsia" w:ascii="仿宋" w:hAnsi="仿宋" w:eastAsia="仿宋" w:cs="仿宋"/>
                <w:sz w:val="24"/>
              </w:rPr>
              <w:t>本项目收取采购代理服务费。</w:t>
            </w:r>
          </w:p>
          <w:p>
            <w:pPr>
              <w:pStyle w:val="34"/>
              <w:spacing w:line="360" w:lineRule="auto"/>
              <w:rPr>
                <w:rFonts w:ascii="仿宋" w:hAnsi="仿宋" w:eastAsia="仿宋" w:cs="仿宋"/>
                <w:kern w:val="28"/>
                <w:sz w:val="24"/>
                <w:szCs w:val="24"/>
              </w:rPr>
            </w:pPr>
            <w:r>
              <w:rPr>
                <w:rFonts w:hint="eastAsia" w:ascii="仿宋" w:hAnsi="仿宋" w:eastAsia="仿宋" w:cs="仿宋"/>
                <w:snapToGrid w:val="0"/>
                <w:kern w:val="28"/>
                <w:sz w:val="24"/>
                <w:szCs w:val="24"/>
              </w:rPr>
              <w:t>磋商响应总报价应包含采购服务费，采购服务费按照国家发展计划委员会计价格[2002]1980号文《招标代理服务费管理暂行办法》及发改办价格[2003]857号文的收费标准（</w:t>
            </w:r>
            <w:r>
              <w:rPr>
                <w:rFonts w:hint="eastAsia" w:ascii="仿宋" w:hAnsi="仿宋" w:eastAsia="仿宋" w:cs="仿宋"/>
                <w:sz w:val="24"/>
                <w:u w:val="single"/>
              </w:rPr>
              <w:t>服务</w:t>
            </w:r>
            <w:r>
              <w:rPr>
                <w:rFonts w:hint="eastAsia" w:ascii="仿宋" w:hAnsi="仿宋" w:eastAsia="仿宋" w:cs="仿宋"/>
                <w:snapToGrid w:val="0"/>
                <w:kern w:val="28"/>
                <w:sz w:val="24"/>
                <w:szCs w:val="24"/>
              </w:rPr>
              <w:t>类）计取，</w:t>
            </w:r>
            <w:r>
              <w:rPr>
                <w:rFonts w:hint="eastAsia" w:ascii="仿宋" w:hAnsi="仿宋" w:eastAsia="仿宋" w:cs="仿宋"/>
                <w:snapToGrid w:val="0"/>
                <w:color w:val="0000FF"/>
                <w:kern w:val="28"/>
                <w:sz w:val="24"/>
                <w:szCs w:val="24"/>
              </w:rPr>
              <w:t>人民币</w:t>
            </w:r>
            <w:r>
              <w:rPr>
                <w:rFonts w:hint="eastAsia" w:ascii="仿宋" w:hAnsi="仿宋" w:eastAsia="仿宋" w:cs="仿宋"/>
                <w:snapToGrid w:val="0"/>
                <w:color w:val="0000FF"/>
                <w:kern w:val="28"/>
                <w:sz w:val="24"/>
                <w:szCs w:val="24"/>
                <w:u w:val="single"/>
                <w:lang w:val="en-US" w:eastAsia="zh-CN"/>
              </w:rPr>
              <w:t>23000</w:t>
            </w:r>
            <w:r>
              <w:rPr>
                <w:rFonts w:hint="eastAsia" w:ascii="仿宋" w:hAnsi="仿宋" w:eastAsia="仿宋" w:cs="仿宋"/>
                <w:snapToGrid w:val="0"/>
                <w:color w:val="0000FF"/>
                <w:kern w:val="28"/>
                <w:sz w:val="24"/>
                <w:szCs w:val="24"/>
                <w:u w:val="single"/>
              </w:rPr>
              <w:t>元</w:t>
            </w:r>
            <w:r>
              <w:rPr>
                <w:rFonts w:hint="eastAsia" w:ascii="仿宋" w:hAnsi="仿宋" w:eastAsia="仿宋" w:cs="仿宋"/>
                <w:snapToGrid w:val="0"/>
                <w:kern w:val="28"/>
                <w:sz w:val="24"/>
                <w:szCs w:val="24"/>
              </w:rPr>
              <w:t>，由成交单位支付给采购代理公司。（对于放弃中标资格的供应商，须承担代理费用及专家评审费等费用，对此，各供应商应考虑此风险。）</w:t>
            </w:r>
          </w:p>
        </w:tc>
      </w:tr>
    </w:tbl>
    <w:p>
      <w:pPr>
        <w:snapToGrid w:val="0"/>
        <w:jc w:val="center"/>
        <w:rPr>
          <w:rFonts w:ascii="仿宋" w:hAnsi="仿宋" w:eastAsia="仿宋" w:cs="仿宋"/>
          <w:b/>
          <w:sz w:val="32"/>
          <w:szCs w:val="20"/>
        </w:rPr>
      </w:pPr>
    </w:p>
    <w:p>
      <w:pPr>
        <w:pStyle w:val="29"/>
        <w:ind w:right="-512" w:firstLine="768"/>
        <w:rPr>
          <w:rFonts w:ascii="仿宋" w:hAnsi="仿宋" w:eastAsia="仿宋" w:cs="仿宋"/>
          <w:b/>
          <w:sz w:val="32"/>
        </w:rPr>
      </w:pPr>
    </w:p>
    <w:p>
      <w:pPr>
        <w:pStyle w:val="29"/>
        <w:ind w:right="-512" w:firstLine="768"/>
        <w:rPr>
          <w:rFonts w:ascii="仿宋" w:hAnsi="仿宋" w:eastAsia="仿宋" w:cs="仿宋"/>
          <w:b/>
          <w:sz w:val="32"/>
        </w:rPr>
      </w:pPr>
    </w:p>
    <w:p>
      <w:pPr>
        <w:pStyle w:val="29"/>
        <w:ind w:right="-512" w:firstLine="768"/>
        <w:rPr>
          <w:rFonts w:ascii="仿宋" w:hAnsi="仿宋" w:eastAsia="仿宋" w:cs="仿宋"/>
          <w:b/>
          <w:sz w:val="32"/>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5"/>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pPr>
        <w:pStyle w:val="395"/>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pPr>
        <w:pStyle w:val="34"/>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ascii="仿宋" w:hAnsi="仿宋" w:eastAsia="仿宋" w:cs="仿宋"/>
          <w:b/>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pPr>
        <w:pStyle w:val="34"/>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sz w:val="24"/>
        </w:rPr>
      </w:pPr>
    </w:p>
    <w:p>
      <w:pPr>
        <w:pStyle w:val="34"/>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pPr>
        <w:pStyle w:val="34"/>
        <w:spacing w:line="360" w:lineRule="auto"/>
        <w:rPr>
          <w:rFonts w:ascii="仿宋" w:hAnsi="仿宋" w:eastAsia="仿宋" w:cs="仿宋"/>
          <w:b/>
          <w:sz w:val="24"/>
        </w:rPr>
      </w:pPr>
      <w:r>
        <w:rPr>
          <w:rFonts w:hint="eastAsia" w:ascii="仿宋" w:hAnsi="仿宋" w:eastAsia="仿宋" w:cs="仿宋"/>
          <w:b/>
          <w:sz w:val="24"/>
        </w:rPr>
        <w:t>1.在线询问、质疑、投诉</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cs="仿宋"/>
          <w:b/>
          <w:sz w:val="24"/>
        </w:rPr>
      </w:pPr>
      <w:r>
        <w:rPr>
          <w:rFonts w:hint="eastAsia" w:ascii="仿宋" w:hAnsi="仿宋" w:eastAsia="仿宋" w:cs="仿宋"/>
          <w:b/>
          <w:sz w:val="24"/>
        </w:rPr>
        <w:t>3. 供应商质疑</w:t>
      </w:r>
    </w:p>
    <w:p>
      <w:pPr>
        <w:pStyle w:val="34"/>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pPr>
        <w:pStyle w:val="34"/>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7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4"/>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仿宋" w:hAnsi="仿宋" w:eastAsia="仿宋" w:cs="仿宋"/>
                <w:sz w:val="24"/>
              </w:rPr>
            </w:pPr>
          </w:p>
        </w:tc>
        <w:tc>
          <w:tcPr>
            <w:tcW w:w="4536" w:type="dxa"/>
            <w:vAlign w:val="center"/>
          </w:tcPr>
          <w:p>
            <w:pPr>
              <w:pStyle w:val="34"/>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4"/>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仿宋" w:hAnsi="仿宋" w:eastAsia="仿宋" w:cs="仿宋"/>
                <w:sz w:val="24"/>
              </w:rPr>
            </w:pPr>
          </w:p>
        </w:tc>
        <w:tc>
          <w:tcPr>
            <w:tcW w:w="4536" w:type="dxa"/>
            <w:vAlign w:val="center"/>
          </w:tcPr>
          <w:p>
            <w:pPr>
              <w:pStyle w:val="34"/>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4"/>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4"/>
              <w:spacing w:line="360" w:lineRule="auto"/>
              <w:jc w:val="center"/>
              <w:rPr>
                <w:rFonts w:ascii="仿宋" w:hAnsi="仿宋" w:eastAsia="仿宋" w:cs="仿宋"/>
                <w:sz w:val="24"/>
              </w:rPr>
            </w:pPr>
            <w:r>
              <w:rPr>
                <w:rFonts w:hint="eastAsia" w:ascii="仿宋" w:hAnsi="仿宋" w:eastAsia="仿宋" w:cs="仿宋"/>
                <w:sz w:val="24"/>
              </w:rPr>
              <w:t>采购代理机构</w:t>
            </w:r>
          </w:p>
        </w:tc>
      </w:tr>
    </w:tbl>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4"/>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ascii="仿宋" w:hAnsi="仿宋" w:eastAsia="仿宋" w:cs="仿宋"/>
          <w:b/>
          <w:sz w:val="24"/>
        </w:rPr>
      </w:pPr>
      <w:r>
        <w:rPr>
          <w:rFonts w:hint="eastAsia" w:ascii="仿宋" w:hAnsi="仿宋" w:eastAsia="仿宋" w:cs="仿宋"/>
          <w:b/>
          <w:sz w:val="24"/>
        </w:rPr>
        <w:t>4.供应商投诉</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pPr>
        <w:pStyle w:val="395"/>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pPr>
        <w:pStyle w:val="395"/>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5"/>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5"/>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18"/>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pPr>
        <w:pStyle w:val="34"/>
        <w:spacing w:line="360" w:lineRule="auto"/>
        <w:rPr>
          <w:rFonts w:ascii="仿宋" w:hAnsi="仿宋" w:eastAsia="仿宋" w:cs="仿宋"/>
          <w:b/>
          <w:sz w:val="24"/>
          <w:szCs w:val="24"/>
        </w:rPr>
      </w:pPr>
      <w:r>
        <w:rPr>
          <w:rFonts w:hint="eastAsia" w:ascii="仿宋" w:hAnsi="仿宋" w:eastAsia="仿宋" w:cs="仿宋"/>
          <w:b/>
          <w:sz w:val="24"/>
        </w:rPr>
        <w:t>1. 响应文件的语言</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rPr>
        <w:t>2. 响应文件的组成</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w:t>
      </w:r>
    </w:p>
    <w:p>
      <w:pPr>
        <w:spacing w:line="360" w:lineRule="auto"/>
        <w:rPr>
          <w:rFonts w:ascii="仿宋" w:hAnsi="仿宋" w:eastAsia="仿宋" w:cs="仿宋"/>
        </w:rPr>
      </w:pPr>
      <w:r>
        <w:rPr>
          <w:rFonts w:hint="eastAsia" w:ascii="仿宋" w:hAnsi="仿宋" w:eastAsia="仿宋" w:cs="仿宋"/>
          <w:sz w:val="24"/>
        </w:rPr>
        <w:t>（3）本项目的特定资格要求</w:t>
      </w:r>
    </w:p>
    <w:p>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pPr>
        <w:snapToGrid w:val="0"/>
        <w:spacing w:line="360" w:lineRule="auto"/>
        <w:jc w:val="left"/>
        <w:rPr>
          <w:rFonts w:ascii="仿宋" w:hAnsi="仿宋" w:eastAsia="仿宋" w:cs="仿宋"/>
          <w:sz w:val="24"/>
        </w:rPr>
      </w:pPr>
      <w:r>
        <w:rPr>
          <w:rFonts w:hint="eastAsia" w:ascii="仿宋" w:hAnsi="仿宋" w:eastAsia="仿宋" w:cs="仿宋"/>
          <w:sz w:val="24"/>
        </w:rPr>
        <w:t>（5）政府采购供应商廉洁自律承诺书</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pPr>
        <w:numPr>
          <w:ilvl w:val="255"/>
          <w:numId w:val="0"/>
        </w:numPr>
        <w:spacing w:line="360" w:lineRule="auto"/>
        <w:rPr>
          <w:rFonts w:ascii="仿宋" w:hAnsi="仿宋" w:eastAsia="仿宋" w:cs="仿宋"/>
          <w:b/>
          <w:sz w:val="24"/>
        </w:rPr>
      </w:pPr>
      <w:r>
        <w:rPr>
          <w:rFonts w:hint="eastAsia" w:ascii="仿宋" w:hAnsi="仿宋" w:eastAsia="仿宋" w:cs="仿宋"/>
          <w:b/>
          <w:sz w:val="24"/>
        </w:rPr>
        <w:t>3. 响应文件的编制和签署</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5"/>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5"/>
        <w:spacing w:before="0"/>
        <w:ind w:firstLine="0" w:firstLineChars="0"/>
        <w:rPr>
          <w:rFonts w:ascii="仿宋" w:hAnsi="仿宋" w:eastAsia="仿宋" w:cs="仿宋"/>
          <w:b/>
          <w:szCs w:val="24"/>
        </w:rPr>
      </w:pPr>
    </w:p>
    <w:p>
      <w:pPr>
        <w:pStyle w:val="395"/>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pPr>
        <w:pStyle w:val="395"/>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4"/>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4"/>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ascii="仿宋" w:hAnsi="仿宋" w:eastAsia="仿宋" w:cs="仿宋"/>
          <w:b/>
          <w:sz w:val="24"/>
          <w:szCs w:val="24"/>
        </w:rPr>
      </w:pP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1.1开标一览表；</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5"/>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5"/>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5"/>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4"/>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本项目推荐三名成交候选供应商）。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9" w:name="_Hlk101184471"/>
      <w:r>
        <w:rPr>
          <w:rFonts w:hint="eastAsia" w:ascii="仿宋" w:hAnsi="仿宋" w:eastAsia="仿宋" w:cs="仿宋"/>
          <w:sz w:val="24"/>
        </w:rPr>
        <w:t>资格审查情况、评审专家抽取规则、符合性审查情况、</w:t>
      </w:r>
      <w:bookmarkEnd w:id="59"/>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5"/>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rPr>
          <w:rFonts w:ascii="仿宋" w:eastAsia="仿宋" w:cs="仿宋"/>
        </w:rPr>
      </w:pPr>
      <w:r>
        <w:rPr>
          <w:rFonts w:hint="eastAsia" w:ascii="仿宋" w:eastAsia="仿宋" w:cs="仿宋"/>
          <w:sz w:val="24"/>
          <w:lang w:val="en-US"/>
        </w:rPr>
        <w:t>4.预付款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napToGrid w:val="0"/>
          <w:kern w:val="28"/>
          <w:sz w:val="24"/>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pPr>
        <w:pStyle w:val="8"/>
        <w:spacing w:line="360" w:lineRule="auto"/>
        <w:ind w:firstLine="0" w:firstLineChars="0"/>
        <w:rPr>
          <w:rFonts w:ascii="仿宋" w:hAnsi="仿宋" w:eastAsia="仿宋" w:cs="仿宋"/>
          <w:b/>
        </w:rPr>
      </w:pPr>
      <w:r>
        <w:rPr>
          <w:rFonts w:hint="eastAsia" w:ascii="仿宋" w:hAnsi="仿宋" w:eastAsia="仿宋" w:cs="仿宋"/>
          <w:b/>
        </w:rPr>
        <w:t>1.验收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2"/>
      <w:bookmarkStart w:id="60" w:name="_Hlt74729768"/>
      <w:bookmarkEnd w:id="60"/>
      <w:bookmarkStart w:id="61" w:name="_Hlt75236101"/>
      <w:bookmarkEnd w:id="61"/>
      <w:bookmarkStart w:id="62" w:name="_Hlt74714665"/>
      <w:bookmarkEnd w:id="62"/>
      <w:bookmarkStart w:id="63" w:name="_Hlt68072990"/>
      <w:bookmarkEnd w:id="63"/>
      <w:bookmarkStart w:id="64" w:name="_Hlt74707468"/>
      <w:bookmarkEnd w:id="64"/>
      <w:bookmarkStart w:id="65" w:name="_Hlt68057669"/>
      <w:bookmarkEnd w:id="65"/>
      <w:bookmarkStart w:id="66" w:name="_Hlt74730295"/>
      <w:bookmarkEnd w:id="66"/>
      <w:bookmarkStart w:id="67" w:name="_Hlt75236011"/>
      <w:bookmarkEnd w:id="67"/>
      <w:bookmarkStart w:id="68" w:name="_Hlt75236290"/>
      <w:bookmarkEnd w:id="68"/>
      <w:bookmarkStart w:id="69" w:name="_Toc164416483"/>
      <w:bookmarkStart w:id="70" w:name="第三部分"/>
      <w:r>
        <w:rPr>
          <w:rFonts w:hint="eastAsia" w:ascii="仿宋" w:hAnsi="仿宋" w:eastAsia="仿宋" w:cs="仿宋"/>
          <w:b/>
          <w:sz w:val="36"/>
          <w:szCs w:val="36"/>
        </w:rPr>
        <w:br w:type="page"/>
      </w:r>
    </w:p>
    <w:p>
      <w:pPr>
        <w:adjustRightInd/>
        <w:spacing w:line="360" w:lineRule="auto"/>
        <w:jc w:val="center"/>
        <w:outlineLvl w:val="0"/>
        <w:rPr>
          <w:rFonts w:ascii="仿宋" w:hAnsi="仿宋" w:eastAsia="仿宋" w:cs="仿宋"/>
          <w:b/>
          <w:sz w:val="36"/>
          <w:szCs w:val="36"/>
        </w:rPr>
      </w:pPr>
      <w:bookmarkStart w:id="71" w:name="OLE_LINK5"/>
      <w:bookmarkStart w:id="72" w:name="OLE_LINK6"/>
      <w:r>
        <w:rPr>
          <w:rFonts w:hint="eastAsia" w:ascii="仿宋" w:hAnsi="仿宋" w:eastAsia="仿宋" w:cs="仿宋"/>
          <w:b/>
          <w:sz w:val="36"/>
          <w:szCs w:val="36"/>
        </w:rPr>
        <w:t>第四部分  采购需求</w:t>
      </w:r>
    </w:p>
    <w:p>
      <w:pPr>
        <w:pStyle w:val="4"/>
        <w:numPr>
          <w:ilvl w:val="-1"/>
          <w:numId w:val="0"/>
        </w:numPr>
        <w:tabs>
          <w:tab w:val="clear" w:pos="432"/>
        </w:tabs>
        <w:ind w:left="0" w:firstLine="0" w:firstLineChars="0"/>
        <w:rPr>
          <w:rFonts w:hint="eastAsia" w:ascii="仿宋" w:hAnsi="仿宋" w:eastAsia="仿宋" w:cs="仿宋"/>
          <w:b/>
          <w:sz w:val="24"/>
          <w:szCs w:val="24"/>
        </w:rPr>
      </w:pPr>
      <w:bookmarkStart w:id="73" w:name="_Toc333667452"/>
      <w:bookmarkStart w:id="74" w:name="_Toc448562927"/>
      <w:bookmarkStart w:id="75" w:name="_Toc366048024"/>
      <w:bookmarkStart w:id="76" w:name="_Toc6695"/>
      <w:r>
        <w:rPr>
          <w:rFonts w:hint="eastAsia" w:ascii="仿宋" w:hAnsi="仿宋" w:eastAsia="仿宋" w:cs="仿宋"/>
          <w:b/>
          <w:sz w:val="24"/>
          <w:szCs w:val="24"/>
        </w:rPr>
        <w:t>一、项目概述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为贯彻落实国家关于深化集体林权制度改革、推进不动产统一登记的政策要求，规范长兴县林场林权管理，解决长期存在的权属不清、界址模糊、程序瑕疵等历史遗留问题，保障林权权利人合法权益，长兴县不动产登记中心开展“长兴县林场林权历史遗留问题清理项目”工作。</w:t>
      </w:r>
      <w:r>
        <w:rPr>
          <w:rFonts w:hint="eastAsia" w:ascii="仿宋" w:hAnsi="仿宋" w:eastAsia="仿宋" w:cs="仿宋"/>
          <w:sz w:val="24"/>
          <w:szCs w:val="24"/>
        </w:rPr>
        <w:t>清晰界定各类自然资源的产权主体，划清全民所有和集体所有之间的边界，推进全</w:t>
      </w:r>
      <w:r>
        <w:rPr>
          <w:rFonts w:hint="eastAsia" w:ascii="仿宋" w:hAnsi="仿宋" w:eastAsia="仿宋" w:cs="仿宋"/>
          <w:sz w:val="24"/>
          <w:szCs w:val="24"/>
          <w:lang w:eastAsia="zh-CN"/>
        </w:rPr>
        <w:t>县林地</w:t>
      </w:r>
      <w:r>
        <w:rPr>
          <w:rFonts w:hint="eastAsia" w:ascii="仿宋" w:hAnsi="仿宋" w:eastAsia="仿宋" w:cs="仿宋"/>
          <w:sz w:val="24"/>
          <w:szCs w:val="24"/>
        </w:rPr>
        <w:t>确权登记法治化、制度化，为建立国土空间规划体系并监督实施，统一行使全民所有自然资源资产所有者职责，统一行使所有国土空间用途管制和生态保护修复职责，提供基础支撑和产权保障</w:t>
      </w:r>
      <w:r>
        <w:rPr>
          <w:rFonts w:hint="eastAsia" w:ascii="仿宋" w:hAnsi="仿宋" w:eastAsia="仿宋" w:cs="仿宋"/>
          <w:sz w:val="24"/>
          <w:szCs w:val="24"/>
          <w:lang w:eastAsia="zh-CN"/>
        </w:rPr>
        <w:t>。</w:t>
      </w:r>
      <w:r>
        <w:rPr>
          <w:rFonts w:hint="eastAsia" w:ascii="仿宋" w:hAnsi="仿宋" w:eastAsia="仿宋" w:cs="仿宋"/>
          <w:sz w:val="24"/>
          <w:szCs w:val="24"/>
        </w:rPr>
        <w:t>长兴县</w:t>
      </w:r>
      <w:r>
        <w:rPr>
          <w:rFonts w:hint="eastAsia" w:ascii="仿宋" w:hAnsi="仿宋" w:eastAsia="仿宋" w:cs="仿宋"/>
          <w:sz w:val="24"/>
          <w:szCs w:val="24"/>
          <w:lang w:eastAsia="zh-CN"/>
        </w:rPr>
        <w:t>不动产登记中心</w:t>
      </w:r>
      <w:r>
        <w:rPr>
          <w:rFonts w:hint="eastAsia" w:ascii="仿宋" w:hAnsi="仿宋" w:eastAsia="仿宋" w:cs="仿宋"/>
          <w:sz w:val="24"/>
          <w:szCs w:val="24"/>
        </w:rPr>
        <w:t>拟通过政府采购招选一家服务机构开展工作。</w:t>
      </w:r>
    </w:p>
    <w:p>
      <w:pPr>
        <w:pStyle w:val="4"/>
        <w:numPr>
          <w:ilvl w:val="-1"/>
          <w:numId w:val="0"/>
        </w:numPr>
        <w:tabs>
          <w:tab w:val="clear" w:pos="432"/>
        </w:tabs>
        <w:ind w:firstLine="0" w:firstLineChars="0"/>
        <w:rPr>
          <w:rFonts w:hint="eastAsia" w:ascii="仿宋" w:hAnsi="仿宋" w:eastAsia="仿宋" w:cs="仿宋"/>
          <w:b/>
          <w:sz w:val="24"/>
          <w:szCs w:val="24"/>
          <w:lang w:eastAsia="zh-CN"/>
        </w:rPr>
      </w:pPr>
      <w:r>
        <w:rPr>
          <w:rFonts w:hint="eastAsia" w:ascii="仿宋" w:eastAsia="仿宋" w:cs="仿宋"/>
          <w:b/>
          <w:sz w:val="24"/>
          <w:szCs w:val="24"/>
          <w:lang w:val="en-US" w:eastAsia="zh-CN"/>
        </w:rPr>
        <w:t>二、</w:t>
      </w:r>
      <w:r>
        <w:rPr>
          <w:rFonts w:hint="eastAsia" w:ascii="仿宋" w:hAnsi="仿宋" w:eastAsia="仿宋" w:cs="仿宋"/>
          <w:b/>
          <w:sz w:val="24"/>
          <w:szCs w:val="24"/>
          <w:lang w:eastAsia="zh-CN"/>
        </w:rPr>
        <w:t>项目目标</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依据《地籍调查规程》（GB/T42547-2023），收集林权历史登记数据，深入排查、全面梳理国有林场约4.8万亩的林权确权登记各类历史遗留问题，摸清问题“底数”，“一宗一策”探索清理规范林权登记历史遗留问题的方法路径。明确地籍调查主体，规范开展地籍调查，优化登记流程，依法依规开展林权确权登记工作。采用“内业为主、外业为辅”的方式，充分利用年度国土变更调查数据、集体土地所有权确权登记数据、高分辨率影像图等成果，通过影像判读、图形套合比对等方式开展调查指界等工作，完成</w:t>
      </w:r>
      <w:r>
        <w:rPr>
          <w:rFonts w:hint="eastAsia" w:ascii="仿宋" w:hAnsi="仿宋" w:eastAsia="仿宋" w:cs="仿宋"/>
          <w:sz w:val="24"/>
          <w:szCs w:val="24"/>
          <w:lang w:eastAsia="zh-CN"/>
        </w:rPr>
        <w:t>国有林场</w:t>
      </w:r>
      <w:r>
        <w:rPr>
          <w:rFonts w:hint="eastAsia" w:ascii="仿宋" w:hAnsi="仿宋" w:eastAsia="仿宋" w:cs="仿宋"/>
          <w:sz w:val="24"/>
          <w:szCs w:val="24"/>
        </w:rPr>
        <w:t>林权权属落界工作。</w:t>
      </w:r>
    </w:p>
    <w:p>
      <w:pPr>
        <w:pStyle w:val="4"/>
        <w:numPr>
          <w:ilvl w:val="-1"/>
          <w:numId w:val="0"/>
        </w:numPr>
        <w:tabs>
          <w:tab w:val="clear" w:pos="432"/>
        </w:tabs>
        <w:ind w:firstLine="0" w:firstLineChars="0"/>
        <w:rPr>
          <w:rFonts w:hint="eastAsia" w:ascii="仿宋" w:hAnsi="仿宋" w:eastAsia="仿宋" w:cs="仿宋"/>
          <w:b/>
          <w:sz w:val="24"/>
          <w:szCs w:val="24"/>
          <w:lang w:val="en-US" w:eastAsia="zh-CN"/>
        </w:rPr>
      </w:pPr>
      <w:r>
        <w:rPr>
          <w:rFonts w:hint="eastAsia" w:ascii="仿宋" w:eastAsia="仿宋" w:cs="仿宋"/>
          <w:b/>
          <w:sz w:val="24"/>
          <w:szCs w:val="24"/>
          <w:lang w:val="en-US" w:eastAsia="zh-CN"/>
        </w:rPr>
        <w:t>三、</w:t>
      </w:r>
      <w:r>
        <w:rPr>
          <w:rFonts w:hint="eastAsia" w:ascii="仿宋" w:hAnsi="仿宋" w:eastAsia="仿宋" w:cs="仿宋"/>
          <w:b/>
          <w:sz w:val="24"/>
          <w:szCs w:val="24"/>
          <w:lang w:val="en-US" w:eastAsia="zh-CN"/>
        </w:rPr>
        <w:t>项目主要内容及流程</w:t>
      </w:r>
    </w:p>
    <w:p>
      <w:pPr>
        <w:pStyle w:val="4"/>
        <w:numPr>
          <w:ilvl w:val="-1"/>
          <w:numId w:val="0"/>
        </w:numPr>
        <w:tabs>
          <w:tab w:val="clear" w:pos="432"/>
        </w:tabs>
        <w:ind w:left="432" w:firstLine="0" w:firstLineChars="0"/>
        <w:rPr>
          <w:rFonts w:hint="eastAsia" w:ascii="仿宋" w:hAnsi="仿宋" w:eastAsia="仿宋" w:cs="仿宋"/>
          <w:b/>
          <w:bCs/>
          <w:sz w:val="24"/>
          <w:szCs w:val="24"/>
          <w:lang w:val="en-US"/>
        </w:rPr>
      </w:pPr>
      <w:r>
        <w:rPr>
          <w:rFonts w:hint="eastAsia" w:ascii="仿宋" w:hAnsi="仿宋" w:eastAsia="仿宋" w:cs="仿宋"/>
          <w:b/>
          <w:bCs/>
          <w:sz w:val="24"/>
          <w:szCs w:val="24"/>
          <w:lang w:val="en-US"/>
        </w:rPr>
        <w:t>1.项目主要工作内容</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（一）林权权属调查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1、资料收集、摸清底数：</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全面查阅历史林权档案、承包合同、林权证等文件，梳理权属来源、权利类型、变更记录等信息，摸清工作底数，形成问题清单。</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2、梳理历史遗留问题分类处置：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对问题清单进行梳理分类，研究出解决思路和方法。</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3、权属确认：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通过申请、审核、实地查看、公示公告、登记发证等程序，确认林权权属。</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（二）实地测量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根据地籍调查要求对国有林场地块和存在争议的区域，开展实地1:500地形图的测量工作，测量过程中若发现与权属调查信息不一致的情况，及时反馈给权属调查小组进行复核和修正。</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边界测绘：采用RTK、全站仪、无人机航测等设备，结合卫星定位系统，对林权地块进行高精度实地测量，确保坐标精度符合不动产登记要求。</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数据整合：将测量数据与权属调查结果进行空间匹配，录入不动产登记信息系统，更新林权空间数据库，实现“图、属、档”一致。</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（三）申请换发证书</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按照《不动产登记暂行条例》及相关法规要求，组件申请原林权证书的换发或变更登记。</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（四）数据汇交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配合完成地籍图编制工作中国有林场林权数据的汇交工作。</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eastAsia="zh-CN"/>
        </w:rPr>
        <w:t>2</w:t>
      </w:r>
      <w:r>
        <w:rPr>
          <w:rFonts w:hint="eastAsia" w:ascii="仿宋" w:hAnsi="仿宋" w:eastAsia="仿宋" w:cs="仿宋"/>
          <w:b/>
          <w:sz w:val="24"/>
          <w:szCs w:val="24"/>
          <w:lang w:val="en-US"/>
        </w:rPr>
        <w:t>、工作流程</w:t>
      </w:r>
    </w:p>
    <w:p>
      <w:pPr>
        <w:numPr>
          <w:ilvl w:val="-1"/>
          <w:numId w:val="0"/>
        </w:numPr>
        <w:spacing w:line="360" w:lineRule="auto"/>
        <w:ind w:left="0"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资料收集与分析。充分搜国有林场林权登记相关各类资料，包括长兴县国有林场建立时期的征地红线图、勘测定界图、林权制度改革期间的国有林场林权登记成果图件等图件资料；大比例尺地形图、高分辨率影像图等基础测绘成果；第三次全国国土调查及年度变更调查、林草湿普查等专项调查成果；自然资源统一确权、集体土地所有权确权登记、“房地一体”农村宅基地集体建设用地、农村土地（耕地）承包经营权登记等不动产登记数据成果。对收集资料进行分析梳理，全面摸排辖区内国有林场登记情况，形成国有林场权属落界工作清单。</w:t>
      </w:r>
    </w:p>
    <w:p>
      <w:pPr>
        <w:numPr>
          <w:ilvl w:val="-1"/>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lang w:val="en-US" w:eastAsia="zh-CN"/>
        </w:rPr>
        <w:t>工作底图及调查表格制作。以2024年国土变更调查、林草湿普查等专项调查数据成果为基础，叠加自然资源统一确权、集体土地所有权确权登记、“房地一体”农村宅基地集体建设用地、农村土地（耕地）承包经营权登记等不动产登记数据成果，辅以大中比例尺地形图和高分辨率影像等基础测绘数据成果，通过内业技术手段制作工作底图、调查表格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3.预划登记单元。按</w:t>
      </w:r>
      <w:r>
        <w:rPr>
          <w:rFonts w:hint="eastAsia" w:ascii="仿宋" w:hAnsi="仿宋" w:eastAsia="仿宋" w:cs="仿宋"/>
          <w:sz w:val="24"/>
          <w:szCs w:val="24"/>
          <w:lang w:eastAsia="zh-CN"/>
        </w:rPr>
        <w:t>要求对长兴县林场林地范围进行</w:t>
      </w:r>
      <w:r>
        <w:rPr>
          <w:rFonts w:hint="eastAsia" w:ascii="仿宋" w:hAnsi="仿宋" w:eastAsia="仿宋" w:cs="仿宋"/>
          <w:sz w:val="24"/>
          <w:szCs w:val="24"/>
        </w:rPr>
        <w:t>预划登记单元。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.地籍调查。</w:t>
      </w:r>
      <w:r>
        <w:rPr>
          <w:rFonts w:hint="eastAsia" w:ascii="仿宋" w:hAnsi="仿宋" w:eastAsia="仿宋" w:cs="仿宋"/>
          <w:sz w:val="24"/>
          <w:szCs w:val="24"/>
          <w:lang w:eastAsia="zh-CN"/>
        </w:rPr>
        <w:t>林场林地</w:t>
      </w:r>
      <w:r>
        <w:rPr>
          <w:rFonts w:hint="eastAsia" w:ascii="仿宋" w:hAnsi="仿宋" w:eastAsia="仿宋" w:cs="仿宋"/>
          <w:sz w:val="24"/>
          <w:szCs w:val="24"/>
        </w:rPr>
        <w:t>地籍调查以登记单元为基本单位，充分利用长兴县第三次全国国土调查最新成果、已有权属资料、专项调查、管理管制等成果资料，采用以内业为主、外业补充调查的方式，全面查清</w:t>
      </w:r>
      <w:r>
        <w:rPr>
          <w:rFonts w:hint="eastAsia" w:ascii="仿宋" w:hAnsi="仿宋" w:eastAsia="仿宋" w:cs="仿宋"/>
          <w:sz w:val="24"/>
          <w:szCs w:val="24"/>
          <w:lang w:eastAsia="zh-CN"/>
        </w:rPr>
        <w:t>林场</w:t>
      </w:r>
      <w:r>
        <w:rPr>
          <w:rFonts w:hint="eastAsia" w:ascii="仿宋" w:hAnsi="仿宋" w:eastAsia="仿宋" w:cs="仿宋"/>
          <w:sz w:val="24"/>
          <w:szCs w:val="24"/>
        </w:rPr>
        <w:t>权属状况、自然状况以及公共管制情况等，为</w:t>
      </w:r>
      <w:r>
        <w:rPr>
          <w:rFonts w:hint="eastAsia" w:ascii="仿宋" w:hAnsi="仿宋" w:eastAsia="仿宋" w:cs="仿宋"/>
          <w:sz w:val="24"/>
          <w:szCs w:val="24"/>
          <w:lang w:eastAsia="zh-CN"/>
        </w:rPr>
        <w:t>林场林地</w:t>
      </w:r>
      <w:r>
        <w:rPr>
          <w:rFonts w:hint="eastAsia" w:ascii="仿宋" w:hAnsi="仿宋" w:eastAsia="仿宋" w:cs="仿宋"/>
          <w:sz w:val="24"/>
          <w:szCs w:val="24"/>
        </w:rPr>
        <w:t>审核登簿</w:t>
      </w:r>
      <w:r>
        <w:rPr>
          <w:rFonts w:hint="eastAsia" w:ascii="仿宋" w:hAnsi="仿宋" w:eastAsia="仿宋" w:cs="仿宋"/>
          <w:sz w:val="24"/>
          <w:szCs w:val="24"/>
          <w:lang w:eastAsia="zh-CN"/>
        </w:rPr>
        <w:t>登记</w:t>
      </w:r>
      <w:r>
        <w:rPr>
          <w:rFonts w:hint="eastAsia" w:ascii="仿宋" w:hAnsi="仿宋" w:eastAsia="仿宋" w:cs="仿宋"/>
          <w:sz w:val="24"/>
          <w:szCs w:val="24"/>
        </w:rPr>
        <w:t>提供基础调查依据。地籍调查工作内容主要包括：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（1）内业调查：在工作底图基础上，通过内业采集和信息提取分析，调查获取登记单元范围内的自然资源自然状况、权属状况，形成初步调查成果。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（2）关联信息：在登记单元调查初步成果上关联不动产登记信息、生态保护红线和国土空间规划用途等特殊保护信息、取水许可和排污许可信息以及矿业权信息等内容。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（3）调查核实：由县自然资源和规划局组织，对初步调查成果中的登记单元界线、自然状况、权属状况及关联信息等情况进行核实。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实地补充调查：对调查核实成果经进一步核实仍有缺失、不清晰、不一致或者存在争议的，采取解析和图解相结合的方式，开展实地补充调查，并进行权属争议调处。经调处，权属争议仍无法解决的，划分权属争议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（5）调查成果上图：将调查核实和外业补充调查形成的调查成果，按照统一的规格和要求，进行整理上图。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数据库建设。对林权登记的空间数据进行图层融合、冗余数据剔除、拓扑问题分析修正等处理；对林权登记的属性信息进行数据归并、冗余数据剔除等处理；同时通过林权宗地代码、小班号以及林权证书号、业务号等建立与林权登记的不动产空间数据、登记属性数据和档案数据的内部逻辑关系；对权利信息、业务关系、现在历史、单元号等梳理、整合与完善，形成标准化的林权数据库。</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.登簿前准备。严格审核各项地籍调查成果，根据相关部门审核意见对调查成果进行修改及完善。</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.成果资料制作。依据国家、省及地方技术要求，制作完成各项成果资料。</w:t>
      </w:r>
    </w:p>
    <w:p>
      <w:pPr>
        <w:pStyle w:val="4"/>
        <w:numPr>
          <w:ilvl w:val="-1"/>
          <w:numId w:val="0"/>
        </w:numPr>
        <w:tabs>
          <w:tab w:val="clear" w:pos="432"/>
        </w:tabs>
        <w:ind w:left="432" w:firstLine="0" w:firstLineChars="0"/>
        <w:rPr>
          <w:rFonts w:hint="eastAsia" w:ascii="仿宋" w:hAnsi="仿宋" w:eastAsia="仿宋" w:cs="仿宋"/>
          <w:b/>
          <w:bCs/>
          <w:sz w:val="24"/>
          <w:szCs w:val="24"/>
          <w:lang w:val="en-US" w:eastAsia="zh-CN"/>
        </w:rPr>
      </w:pPr>
      <w:r>
        <w:rPr>
          <w:rFonts w:hint="eastAsia" w:ascii="仿宋" w:eastAsia="仿宋" w:cs="仿宋"/>
          <w:b/>
          <w:sz w:val="24"/>
          <w:szCs w:val="24"/>
          <w:lang w:val="en-US" w:eastAsia="zh-CN"/>
        </w:rPr>
        <w:t>四、</w:t>
      </w:r>
      <w:r>
        <w:rPr>
          <w:rFonts w:hint="eastAsia" w:ascii="仿宋" w:hAnsi="仿宋" w:eastAsia="仿宋" w:cs="仿宋"/>
          <w:b/>
          <w:bCs/>
          <w:sz w:val="24"/>
          <w:szCs w:val="24"/>
          <w:lang w:val="en-US" w:eastAsia="zh-CN"/>
        </w:rPr>
        <w:t>项目技术要求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（1）数学基础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①坐标系统与投影方法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采用“2000国家大地坐标系”（CGCS2000），中央子午线120°。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采用高斯—克吕格投影，标准的3度分带。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②高程基准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采用“1985国家高程基准”。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③比例尺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比例尺不低于1:500。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（2）计量单位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长度单位采用米，统计汇总登记采用千米，小数点后保留两位有效数字。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面积单位采用平方米，统计汇总登记采用公顷，小数点后保留两位有效数字。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（3）精度要求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图解法获取坐标相邻界址点的间距误差不大于图上0.3mm，图上允许误差0.6mm；界址点相对于临近控制点的点位误差不大于图上0.3mm，图上允许误差0.6mm；界址点相对于邻近地物点的间距误差不大于图上0.3mm，图上允许误差0.6m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解析法界址点相对于临近控制点的点位误差和相邻界址点间的间距误差不大于±0.10m，允许误差不大于±0.20m。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图解法套合精度要求：采用图解法的，采集的地物界线和位置与影像上的地物的边界和位置的套合程度应控制在3个像素以内。对于较弯曲的界址线，应适当增加拐点数，确保满足套合精度要求。</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五</w:t>
      </w:r>
      <w:r>
        <w:rPr>
          <w:rFonts w:hint="eastAsia" w:ascii="仿宋" w:hAnsi="仿宋" w:eastAsia="仿宋" w:cs="仿宋"/>
          <w:b/>
          <w:sz w:val="24"/>
          <w:szCs w:val="24"/>
          <w:lang w:val="en-US"/>
        </w:rPr>
        <w:t>、成果提交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确权登记成果主要包括数据库成果、图件成果、表格成果、文字报告成果等。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数据库成果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长兴县林场</w:t>
      </w:r>
      <w:r>
        <w:rPr>
          <w:rFonts w:hint="eastAsia" w:ascii="仿宋" w:hAnsi="仿宋" w:eastAsia="仿宋" w:cs="仿宋"/>
          <w:sz w:val="24"/>
          <w:szCs w:val="24"/>
        </w:rPr>
        <w:t>确权登记登记单元范围线、行政区边界、登记单元界址点坐标登记单元图斑、产权边界，确权登记范围内各类自然资源的空间范围、面积以及功能区划、用途管制、生态保护红线等矢量数据形成的确权登记数据及数据库。</w:t>
      </w:r>
    </w:p>
    <w:p>
      <w:pPr>
        <w:numPr>
          <w:ilvl w:val="-1"/>
          <w:numId w:val="0"/>
        </w:numPr>
        <w:spacing w:line="360" w:lineRule="auto"/>
        <w:ind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2、文档成果：包括项目工作报告、技术报告、质检报告、历史遗留问题清单等；</w:t>
      </w:r>
    </w:p>
    <w:p>
      <w:pPr>
        <w:numPr>
          <w:ilvl w:val="-1"/>
          <w:numId w:val="0"/>
        </w:numPr>
        <w:spacing w:line="360" w:lineRule="auto"/>
        <w:ind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3、图件成果：调查底图、以林场或林区为单位的地籍图、宗地图等。</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六</w:t>
      </w:r>
      <w:r>
        <w:rPr>
          <w:rFonts w:hint="eastAsia" w:ascii="仿宋" w:hAnsi="仿宋" w:eastAsia="仿宋" w:cs="仿宋"/>
          <w:b/>
          <w:sz w:val="24"/>
          <w:szCs w:val="24"/>
          <w:lang w:val="en-US"/>
        </w:rPr>
        <w:t>、主要依据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1.《中华人民共和国宪法》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2.《中华人民共和国民法典》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.《不动产登记暂行条例》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不动产登记规程</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.《自然资源统一确权登记暂行办法》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.《自然资源确权登记操作指南（试行）》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.《不动产权籍调查技术方案（试行）》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.《不动产登记暂行条例实施细则》（国土资源部令第63号）；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.《林木林地权属争议处理办法》（林业部第10号令（1996））；</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.《国土资源部关于印发&lt;不动产登记操作规范（试行）&gt;的通知》（国土资规〔2016〕6号）；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.《关于进一步规范林权类不动产登记做好林权登记与林业管理衔接的通知》（自然资办发〔2020〕31号）；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.《自然资源部办公厅 国家林业和草原局办公室关于印发&lt;清理规范林权确权登记历史遗留问题试点方案&gt;的通知》（自然资办函〔2021〕1221号）；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.《自然资源部自然资源确权登记局关于征求&lt;清理规范林权确权登记历史遗留问题案例(征求意见稿)&gt;意见的函》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.《自然资源部自然资源确权登记局关于征求&lt;关于清理规范林权确权登记历史遗留问题的指导意见(征求意见稿)&gt;意见的函</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lang w:val="en-US" w:eastAsia="zh-CN"/>
        </w:rPr>
        <w:t>15、</w:t>
      </w:r>
      <w:r>
        <w:rPr>
          <w:rFonts w:hint="eastAsia" w:ascii="仿宋" w:hAnsi="仿宋" w:eastAsia="仿宋" w:cs="仿宋"/>
          <w:sz w:val="24"/>
        </w:rPr>
        <w:t>《浙江省自然资源厅 浙江省财政厅 浙江省林业局印发&lt;浙江省关于深入推进林权类不动产登记实施方案&gt;的通知》（浙自然资函〔2024〕45号）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.《浙江省关于深入推进林权类不动产登记实施方案》的通知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.《土地利用现状分类》(GB/T21010-2017)</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.《地籍调查规程》（TD/T 1001-2012）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.《土地利用数据库标准》(TD/T1016-2017)</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七</w:t>
      </w:r>
      <w:r>
        <w:rPr>
          <w:rFonts w:hint="eastAsia" w:ascii="仿宋" w:hAnsi="仿宋" w:eastAsia="仿宋" w:cs="仿宋"/>
          <w:b/>
          <w:sz w:val="24"/>
          <w:szCs w:val="24"/>
          <w:lang w:val="en-US"/>
        </w:rPr>
        <w:t>、工期要求</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szCs w:val="24"/>
        </w:rPr>
        <w:t xml:space="preserve"> 合同履约期限：</w:t>
      </w:r>
      <w:r>
        <w:rPr>
          <w:rFonts w:hint="eastAsia" w:ascii="仿宋" w:hAnsi="仿宋" w:eastAsia="仿宋" w:cs="仿宋"/>
          <w:color w:val="auto"/>
          <w:sz w:val="24"/>
          <w:szCs w:val="24"/>
          <w:shd w:val="clear" w:color="auto" w:fill="auto"/>
          <w:lang w:val="en-US" w:eastAsia="zh-CN"/>
        </w:rPr>
        <w:t>2025年11月底前完成长兴县林场林权历史遗留问题清理项目的测绘和调查工作，12月15日前完成林权落界工作，12月底前按要求配合完成林权数据汇交，</w:t>
      </w:r>
      <w:r>
        <w:rPr>
          <w:rFonts w:hint="eastAsia" w:ascii="仿宋" w:hAnsi="仿宋" w:eastAsia="仿宋" w:cs="仿宋"/>
          <w:color w:val="auto"/>
          <w:sz w:val="24"/>
          <w:szCs w:val="24"/>
          <w:highlight w:val="none"/>
          <w:shd w:val="clear" w:color="auto" w:fill="auto"/>
          <w:lang w:val="en-US" w:eastAsia="zh-CN"/>
        </w:rPr>
        <w:t>符合变更登记的配合林场申请变更登记。</w:t>
      </w:r>
    </w:p>
    <w:p>
      <w:pPr>
        <w:pStyle w:val="4"/>
        <w:numPr>
          <w:ilvl w:val="-1"/>
          <w:numId w:val="0"/>
        </w:numPr>
        <w:tabs>
          <w:tab w:val="clear" w:pos="432"/>
        </w:tabs>
        <w:ind w:left="432" w:firstLine="0" w:firstLineChars="0"/>
        <w:rPr>
          <w:rFonts w:hint="eastAsia" w:ascii="仿宋" w:hAnsi="仿宋" w:eastAsia="仿宋" w:cs="仿宋"/>
          <w:b/>
          <w:sz w:val="24"/>
          <w:szCs w:val="24"/>
          <w:lang w:val="en-US" w:eastAsia="zh-CN"/>
        </w:rPr>
      </w:pPr>
      <w:r>
        <w:rPr>
          <w:rFonts w:hint="eastAsia" w:ascii="仿宋" w:eastAsia="仿宋" w:cs="仿宋"/>
          <w:b/>
          <w:sz w:val="24"/>
          <w:szCs w:val="24"/>
          <w:lang w:val="en-US" w:eastAsia="zh-CN"/>
        </w:rPr>
        <w:t>八</w:t>
      </w:r>
      <w:r>
        <w:rPr>
          <w:rFonts w:hint="eastAsia" w:ascii="仿宋" w:hAnsi="仿宋" w:eastAsia="仿宋" w:cs="仿宋"/>
          <w:b/>
          <w:sz w:val="24"/>
          <w:szCs w:val="24"/>
          <w:lang w:val="en-US"/>
        </w:rPr>
        <w:t xml:space="preserve"> 、</w:t>
      </w:r>
      <w:r>
        <w:rPr>
          <w:rFonts w:hint="eastAsia" w:ascii="仿宋" w:hAnsi="仿宋" w:eastAsia="仿宋" w:cs="仿宋"/>
          <w:b/>
          <w:sz w:val="24"/>
          <w:szCs w:val="24"/>
          <w:lang w:val="en-US" w:eastAsia="zh-CN"/>
        </w:rPr>
        <w:t>质量要求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val="0"/>
          <w:sz w:val="24"/>
        </w:rPr>
        <w:t>中标单位采取有效措施，加强数据质量管控，确保成果数据的真实性、准确性、客观性；负责调查成果质量的“两级检查”，确保成果数据与实际情况一致。</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九</w:t>
      </w:r>
      <w:r>
        <w:rPr>
          <w:rFonts w:hint="eastAsia" w:ascii="仿宋" w:hAnsi="仿宋" w:eastAsia="仿宋" w:cs="仿宋"/>
          <w:b/>
          <w:sz w:val="24"/>
          <w:szCs w:val="24"/>
          <w:lang w:val="en-US"/>
        </w:rPr>
        <w:t>、保密要求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1.建立严格的保密制度，中标人应当加强对工作人员的保密管理及保密知识教育。</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2.中标人须承担与此有关的技术情报和数据资料的保密责任。与本项目有关的资料及数据成果中涉及国家秘密的内容，均要求按照《国家保密法》及相关法律法规执行。</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eastAsia="仿宋" w:cs="仿宋"/>
          <w:b/>
          <w:sz w:val="24"/>
          <w:szCs w:val="24"/>
          <w:lang w:val="en-US" w:eastAsia="zh-CN"/>
        </w:rPr>
        <w:t>十</w:t>
      </w:r>
      <w:r>
        <w:rPr>
          <w:rFonts w:hint="eastAsia" w:ascii="仿宋" w:hAnsi="仿宋" w:eastAsia="仿宋" w:cs="仿宋"/>
          <w:b/>
          <w:sz w:val="24"/>
          <w:szCs w:val="24"/>
          <w:lang w:val="en-US"/>
        </w:rPr>
        <w:t>、售后服务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1.中标供应商承诺在项目成果提交并通过验收后对提交的成果质量免费服务的期限为一年。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.中标供应商负责免费对项目成果错误进行及时更正、并对调查成果按规定进行调整或补充。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.中标供应商在履行合同义务期间，应遵守国家有关法律、法规，维护采购人的合法权益。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.中标供应商应自行承担项目实施过程中安全责任，采购人任何情况下均不承担因此产生的任何法律责任和经济责任。</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rPr>
        <w:t>十</w:t>
      </w:r>
      <w:r>
        <w:rPr>
          <w:rFonts w:hint="eastAsia" w:ascii="仿宋" w:eastAsia="仿宋" w:cs="仿宋"/>
          <w:b/>
          <w:sz w:val="24"/>
          <w:szCs w:val="24"/>
          <w:lang w:val="en-US" w:eastAsia="zh-CN"/>
        </w:rPr>
        <w:t>一</w:t>
      </w:r>
      <w:r>
        <w:rPr>
          <w:rFonts w:hint="eastAsia" w:ascii="仿宋" w:hAnsi="仿宋" w:eastAsia="仿宋" w:cs="仿宋"/>
          <w:b/>
          <w:sz w:val="24"/>
          <w:szCs w:val="24"/>
          <w:lang w:val="en-US"/>
        </w:rPr>
        <w:t>、验收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本项目完成后由采购人</w:t>
      </w:r>
      <w:r>
        <w:rPr>
          <w:rFonts w:hint="eastAsia" w:ascii="仿宋" w:hAnsi="仿宋" w:eastAsia="仿宋" w:cs="仿宋"/>
          <w:sz w:val="24"/>
          <w:szCs w:val="24"/>
          <w:lang w:val="en-US" w:eastAsia="zh-CN"/>
        </w:rPr>
        <w:t>组织林业、不动产登记等部门对项目成果进行验收，确保符合法规及技术标准</w:t>
      </w:r>
      <w:r>
        <w:rPr>
          <w:rFonts w:hint="eastAsia" w:ascii="仿宋" w:hAnsi="仿宋" w:eastAsia="仿宋" w:cs="仿宋"/>
          <w:sz w:val="24"/>
          <w:szCs w:val="24"/>
        </w:rPr>
        <w:t>。</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rPr>
        <w:t>十</w:t>
      </w:r>
      <w:r>
        <w:rPr>
          <w:rFonts w:hint="eastAsia" w:ascii="仿宋" w:eastAsia="仿宋" w:cs="仿宋"/>
          <w:b/>
          <w:sz w:val="24"/>
          <w:szCs w:val="24"/>
          <w:lang w:val="en-US" w:eastAsia="zh-CN"/>
        </w:rPr>
        <w:t>二</w:t>
      </w:r>
      <w:r>
        <w:rPr>
          <w:rFonts w:hint="eastAsia" w:ascii="仿宋" w:hAnsi="仿宋" w:eastAsia="仿宋" w:cs="仿宋"/>
          <w:b/>
          <w:sz w:val="24"/>
          <w:szCs w:val="24"/>
          <w:lang w:val="en-US"/>
        </w:rPr>
        <w:t>、付款方式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具体支付方式和时间如下：</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按实际测绘调查数量×成交单价计算费用，费用支付如下：</w:t>
      </w:r>
    </w:p>
    <w:p>
      <w:pPr>
        <w:widowControl w:val="0"/>
        <w:numPr>
          <w:ilvl w:val="-1"/>
          <w:numId w:val="0"/>
        </w:numPr>
        <w:spacing w:line="360" w:lineRule="auto"/>
        <w:ind w:firstLine="480" w:firstLineChars="200"/>
        <w:rPr>
          <w:rFonts w:hint="eastAsia" w:ascii="仿宋" w:hAnsi="仿宋" w:eastAsia="仿宋" w:cs="仿宋"/>
          <w:color w:val="auto"/>
          <w:sz w:val="24"/>
          <w:szCs w:val="24"/>
          <w:shd w:val="clear"/>
        </w:rPr>
      </w:pPr>
      <w:r>
        <w:rPr>
          <w:rFonts w:hint="eastAsia" w:ascii="仿宋" w:hAnsi="仿宋" w:eastAsia="仿宋" w:cs="仿宋"/>
          <w:sz w:val="24"/>
          <w:shd w:val="clear"/>
          <w:lang w:eastAsia="zh-CN"/>
        </w:rPr>
        <w:t>完成</w:t>
      </w:r>
      <w:r>
        <w:rPr>
          <w:rFonts w:hint="eastAsia" w:ascii="仿宋" w:hAnsi="仿宋" w:eastAsia="仿宋" w:cs="仿宋"/>
          <w:sz w:val="24"/>
          <w:szCs w:val="24"/>
          <w:shd w:val="clear"/>
          <w:lang w:val="en-US" w:eastAsia="zh-CN"/>
        </w:rPr>
        <w:t>林场林权</w:t>
      </w:r>
      <w:r>
        <w:rPr>
          <w:rFonts w:hint="eastAsia" w:ascii="仿宋" w:hAnsi="仿宋" w:eastAsia="仿宋" w:cs="仿宋"/>
          <w:color w:val="auto"/>
          <w:sz w:val="24"/>
          <w:szCs w:val="24"/>
          <w:shd w:val="clear"/>
          <w:lang w:val="en-US" w:eastAsia="zh-CN"/>
        </w:rPr>
        <w:t>调查及落界</w:t>
      </w:r>
      <w:r>
        <w:rPr>
          <w:rFonts w:hint="eastAsia" w:ascii="仿宋" w:hAnsi="仿宋" w:eastAsia="仿宋" w:cs="仿宋"/>
          <w:color w:val="auto"/>
          <w:sz w:val="24"/>
          <w:shd w:val="clear"/>
        </w:rPr>
        <w:t>工作</w:t>
      </w:r>
      <w:r>
        <w:rPr>
          <w:rFonts w:hint="eastAsia" w:ascii="仿宋" w:hAnsi="仿宋" w:eastAsia="仿宋" w:cs="仿宋"/>
          <w:color w:val="auto"/>
          <w:sz w:val="24"/>
          <w:shd w:val="clear"/>
          <w:lang w:eastAsia="zh-CN"/>
        </w:rPr>
        <w:t>，项目资金到位</w:t>
      </w:r>
      <w:r>
        <w:rPr>
          <w:rFonts w:hint="eastAsia" w:ascii="仿宋" w:hAnsi="仿宋" w:eastAsia="仿宋" w:cs="仿宋"/>
          <w:color w:val="auto"/>
          <w:sz w:val="24"/>
          <w:shd w:val="clear"/>
        </w:rPr>
        <w:t>十个工作日内</w:t>
      </w:r>
      <w:r>
        <w:rPr>
          <w:rFonts w:hint="eastAsia" w:ascii="仿宋" w:hAnsi="仿宋" w:eastAsia="仿宋" w:cs="仿宋"/>
          <w:color w:val="auto"/>
          <w:sz w:val="24"/>
          <w:shd w:val="clear"/>
          <w:lang w:eastAsia="zh-CN"/>
        </w:rPr>
        <w:t>后支付</w:t>
      </w:r>
      <w:r>
        <w:rPr>
          <w:rFonts w:hint="eastAsia" w:ascii="仿宋" w:hAnsi="仿宋" w:eastAsia="仿宋" w:cs="仿宋"/>
          <w:color w:val="auto"/>
          <w:sz w:val="24"/>
          <w:shd w:val="clear"/>
          <w:lang w:val="en-US" w:eastAsia="zh-CN"/>
        </w:rPr>
        <w:t>4</w:t>
      </w:r>
      <w:r>
        <w:rPr>
          <w:rFonts w:hint="eastAsia" w:ascii="仿宋" w:hAnsi="仿宋" w:eastAsia="仿宋" w:cs="仿宋"/>
          <w:color w:val="auto"/>
          <w:sz w:val="24"/>
          <w:shd w:val="clear"/>
        </w:rPr>
        <w:t>0%；</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color w:val="auto"/>
          <w:sz w:val="24"/>
          <w:shd w:val="clear"/>
          <w:lang w:eastAsia="zh-CN"/>
        </w:rPr>
        <w:t>完成林场林权不动产证变更登记，项目资</w:t>
      </w:r>
      <w:r>
        <w:rPr>
          <w:rFonts w:hint="eastAsia" w:ascii="仿宋" w:hAnsi="仿宋" w:eastAsia="仿宋" w:cs="仿宋"/>
          <w:sz w:val="24"/>
          <w:shd w:val="clear"/>
          <w:lang w:eastAsia="zh-CN"/>
        </w:rPr>
        <w:t>金到位后</w:t>
      </w:r>
      <w:r>
        <w:rPr>
          <w:rFonts w:hint="eastAsia" w:ascii="仿宋" w:hAnsi="仿宋" w:eastAsia="仿宋" w:cs="仿宋"/>
          <w:sz w:val="24"/>
          <w:shd w:val="clear"/>
        </w:rPr>
        <w:t>十个工作日内</w:t>
      </w:r>
      <w:r>
        <w:rPr>
          <w:rFonts w:hint="eastAsia" w:ascii="仿宋" w:hAnsi="仿宋" w:eastAsia="仿宋" w:cs="仿宋"/>
          <w:sz w:val="24"/>
          <w:shd w:val="clear"/>
          <w:lang w:eastAsia="zh-CN"/>
        </w:rPr>
        <w:t>支付</w:t>
      </w:r>
      <w:r>
        <w:rPr>
          <w:rFonts w:hint="eastAsia" w:ascii="仿宋" w:hAnsi="仿宋" w:eastAsia="仿宋" w:cs="仿宋"/>
          <w:sz w:val="24"/>
          <w:shd w:val="clear"/>
          <w:lang w:val="en-US" w:eastAsia="zh-CN"/>
        </w:rPr>
        <w:t>30%</w:t>
      </w:r>
      <w:r>
        <w:rPr>
          <w:rFonts w:hint="eastAsia" w:ascii="仿宋" w:hAnsi="仿宋" w:eastAsia="仿宋" w:cs="仿宋"/>
          <w:sz w:val="24"/>
          <w:shd w:val="clear"/>
        </w:rPr>
        <w:t>。</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项目</w:t>
      </w:r>
      <w:r>
        <w:rPr>
          <w:rFonts w:hint="eastAsia" w:ascii="仿宋" w:hAnsi="仿宋" w:eastAsia="仿宋" w:cs="仿宋"/>
          <w:sz w:val="24"/>
          <w:shd w:val="clear"/>
        </w:rPr>
        <w:t>通过验收</w:t>
      </w:r>
      <w:r>
        <w:rPr>
          <w:rFonts w:hint="eastAsia" w:ascii="仿宋" w:hAnsi="仿宋" w:eastAsia="仿宋" w:cs="仿宋"/>
          <w:sz w:val="24"/>
          <w:shd w:val="clear"/>
          <w:lang w:eastAsia="zh-CN"/>
        </w:rPr>
        <w:t>，项目资金到位</w:t>
      </w:r>
      <w:r>
        <w:rPr>
          <w:rFonts w:hint="eastAsia" w:ascii="仿宋" w:hAnsi="仿宋" w:eastAsia="仿宋" w:cs="仿宋"/>
          <w:sz w:val="24"/>
          <w:shd w:val="clear"/>
        </w:rPr>
        <w:t>后十个工作日内支付合同总额的</w:t>
      </w:r>
      <w:r>
        <w:rPr>
          <w:rFonts w:hint="eastAsia" w:ascii="仿宋" w:hAnsi="仿宋" w:eastAsia="仿宋" w:cs="仿宋"/>
          <w:sz w:val="24"/>
          <w:shd w:val="clear"/>
          <w:lang w:val="en-US" w:eastAsia="zh-CN"/>
        </w:rPr>
        <w:t>3</w:t>
      </w:r>
      <w:r>
        <w:rPr>
          <w:rFonts w:hint="eastAsia" w:ascii="仿宋" w:hAnsi="仿宋" w:eastAsia="仿宋" w:cs="仿宋"/>
          <w:sz w:val="24"/>
          <w:shd w:val="clear"/>
        </w:rPr>
        <w:t>0%。</w:t>
      </w:r>
    </w:p>
    <w:p>
      <w:pPr>
        <w:pStyle w:val="4"/>
        <w:numPr>
          <w:ilvl w:val="-1"/>
          <w:numId w:val="0"/>
        </w:numPr>
        <w:tabs>
          <w:tab w:val="clear" w:pos="432"/>
        </w:tabs>
        <w:ind w:left="432" w:firstLine="0" w:firstLineChars="0"/>
        <w:rPr>
          <w:rFonts w:hint="eastAsia" w:ascii="仿宋" w:hAnsi="仿宋" w:eastAsia="仿宋" w:cs="仿宋"/>
          <w:b/>
          <w:sz w:val="24"/>
          <w:szCs w:val="24"/>
          <w:lang w:val="en-US"/>
        </w:rPr>
      </w:pPr>
      <w:r>
        <w:rPr>
          <w:rFonts w:hint="eastAsia" w:ascii="仿宋" w:hAnsi="仿宋" w:eastAsia="仿宋" w:cs="仿宋"/>
          <w:b/>
          <w:sz w:val="24"/>
          <w:szCs w:val="24"/>
          <w:lang w:val="en-US"/>
        </w:rPr>
        <w:t>十</w:t>
      </w:r>
      <w:r>
        <w:rPr>
          <w:rFonts w:hint="eastAsia" w:ascii="仿宋" w:eastAsia="仿宋" w:cs="仿宋"/>
          <w:b/>
          <w:sz w:val="24"/>
          <w:szCs w:val="24"/>
          <w:lang w:val="en-US" w:eastAsia="zh-CN"/>
        </w:rPr>
        <w:t>三</w:t>
      </w:r>
      <w:r>
        <w:rPr>
          <w:rFonts w:hint="eastAsia" w:ascii="仿宋" w:hAnsi="仿宋" w:eastAsia="仿宋" w:cs="仿宋"/>
          <w:b/>
          <w:sz w:val="24"/>
          <w:szCs w:val="24"/>
          <w:lang w:val="en-US"/>
        </w:rPr>
        <w:t>、其他要求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中标单位必须按规定程序和安全文明服务有关要求进行实施，承担服务过程中的各种意外其责任由中标单位承担采购人不承担任何责任。</w:t>
      </w:r>
    </w:p>
    <w:bookmarkEnd w:id="71"/>
    <w:bookmarkEnd w:id="72"/>
    <w:bookmarkEnd w:id="73"/>
    <w:bookmarkEnd w:id="74"/>
    <w:bookmarkEnd w:id="75"/>
    <w:bookmarkEnd w:id="76"/>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pStyle w:val="17"/>
        <w:rPr>
          <w:rFonts w:hint="eastAsia"/>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hint="eastAsia" w:ascii="仿宋" w:hAnsi="仿宋" w:eastAsia="仿宋" w:cs="仿宋"/>
          <w:b/>
          <w:sz w:val="36"/>
          <w:szCs w:val="36"/>
        </w:rPr>
      </w:pPr>
    </w:p>
    <w:p>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 xml:space="preserve">第五部分  </w:t>
      </w:r>
      <w:bookmarkEnd w:id="69"/>
      <w:bookmarkEnd w:id="70"/>
      <w:bookmarkStart w:id="77" w:name="第四部分"/>
      <w:r>
        <w:rPr>
          <w:rFonts w:hint="eastAsia" w:ascii="仿宋" w:hAnsi="仿宋" w:eastAsia="仿宋" w:cs="仿宋"/>
          <w:b/>
          <w:sz w:val="36"/>
          <w:szCs w:val="36"/>
        </w:rPr>
        <w:t>评审方法及评审标准</w:t>
      </w:r>
    </w:p>
    <w:p>
      <w:pPr>
        <w:pStyle w:val="395"/>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7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03"/>
        <w:gridCol w:w="713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2" w:type="dxa"/>
            <w:vAlign w:val="center"/>
          </w:tcPr>
          <w:p>
            <w:pPr>
              <w:pStyle w:val="41"/>
              <w:tabs>
                <w:tab w:val="left" w:pos="900"/>
              </w:tabs>
              <w:spacing w:line="360" w:lineRule="auto"/>
              <w:ind w:left="0" w:leftChars="0" w:firstLine="0" w:firstLineChars="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评分项目</w:t>
            </w:r>
          </w:p>
        </w:tc>
        <w:tc>
          <w:tcPr>
            <w:tcW w:w="7132"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评分细则</w:t>
            </w:r>
          </w:p>
        </w:tc>
        <w:tc>
          <w:tcPr>
            <w:tcW w:w="679"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572"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03" w:type="dxa"/>
            <w:vAlign w:val="center"/>
          </w:tcPr>
          <w:p>
            <w:pPr>
              <w:pStyle w:val="18"/>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证书奖项</w:t>
            </w:r>
          </w:p>
        </w:tc>
        <w:tc>
          <w:tcPr>
            <w:tcW w:w="7132" w:type="dxa"/>
            <w:vAlign w:val="center"/>
          </w:tcPr>
          <w:p>
            <w:pPr>
              <w:numPr>
                <w:ilvl w:val="0"/>
                <w:numId w:val="10"/>
              </w:num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具有质量管理体系认证证书、职业健康安全管理体系认证证书、</w:t>
            </w:r>
            <w:r>
              <w:rPr>
                <w:rFonts w:hint="eastAsia" w:ascii="仿宋" w:hAnsi="仿宋" w:eastAsia="仿宋" w:cs="仿宋"/>
                <w:color w:val="auto"/>
                <w:sz w:val="21"/>
                <w:szCs w:val="21"/>
                <w:highlight w:val="none"/>
                <w:lang w:eastAsia="zh-CN"/>
              </w:rPr>
              <w:t>信息技术服务管理认证证书、信息安全管理认证证书</w:t>
            </w:r>
            <w:r>
              <w:rPr>
                <w:rFonts w:hint="eastAsia" w:ascii="仿宋" w:hAnsi="仿宋" w:eastAsia="仿宋" w:cs="仿宋"/>
                <w:color w:val="auto"/>
                <w:sz w:val="21"/>
                <w:szCs w:val="21"/>
                <w:highlight w:val="none"/>
              </w:rPr>
              <w:t>每个得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分。</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需提供</w:t>
            </w:r>
            <w:r>
              <w:rPr>
                <w:rFonts w:hint="eastAsia" w:ascii="仿宋" w:hAnsi="仿宋" w:eastAsia="仿宋" w:cs="仿宋"/>
                <w:color w:val="auto"/>
                <w:sz w:val="21"/>
                <w:szCs w:val="21"/>
                <w:highlight w:val="none"/>
                <w:lang w:eastAsia="zh-CN"/>
              </w:rPr>
              <w:t>证书复印件并加盖公章</w:t>
            </w:r>
            <w:r>
              <w:rPr>
                <w:rFonts w:hint="eastAsia" w:ascii="仿宋" w:hAnsi="仿宋" w:eastAsia="仿宋" w:cs="仿宋"/>
                <w:color w:val="auto"/>
                <w:sz w:val="21"/>
                <w:szCs w:val="21"/>
                <w:highlight w:val="none"/>
              </w:rPr>
              <w:t>，未提供者不得分</w:t>
            </w:r>
            <w:r>
              <w:rPr>
                <w:rFonts w:hint="eastAsia" w:ascii="仿宋" w:hAnsi="仿宋" w:eastAsia="仿宋" w:cs="仿宋"/>
                <w:color w:val="auto"/>
                <w:sz w:val="21"/>
                <w:szCs w:val="21"/>
                <w:highlight w:val="none"/>
                <w:lang w:val="en-US" w:eastAsia="zh-CN"/>
              </w:rPr>
              <w:t>(社会团体、行业</w:t>
            </w:r>
            <w:r>
              <w:rPr>
                <w:rFonts w:hint="eastAsia" w:ascii="仿宋" w:hAnsi="仿宋" w:eastAsia="仿宋" w:cs="仿宋"/>
                <w:color w:val="auto"/>
                <w:szCs w:val="21"/>
                <w:highlight w:val="none"/>
              </w:rPr>
              <w:t>协会颁发证书不得分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w:t>
            </w:r>
          </w:p>
        </w:tc>
        <w:tc>
          <w:tcPr>
            <w:tcW w:w="679" w:type="dxa"/>
            <w:vAlign w:val="center"/>
          </w:tcPr>
          <w:p>
            <w:pPr>
              <w:pStyle w:val="636"/>
              <w:spacing w:before="106" w:line="360" w:lineRule="auto"/>
              <w:ind w:left="106" w:right="32"/>
              <w:jc w:val="center"/>
              <w:rPr>
                <w:rFonts w:hint="eastAsia" w:ascii="仿宋" w:hAnsi="仿宋" w:eastAsia="仿宋" w:cs="仿宋"/>
                <w:color w:val="auto"/>
                <w:kern w:val="2"/>
                <w:sz w:val="21"/>
                <w:szCs w:val="21"/>
                <w:highlight w:val="none"/>
                <w:lang w:eastAsia="zh-CN"/>
              </w:rPr>
            </w:pPr>
            <w:r>
              <w:rPr>
                <w:rFonts w:hint="eastAsia" w:cs="仿宋"/>
                <w:color w:val="auto"/>
                <w:kern w:val="2"/>
                <w:sz w:val="21"/>
                <w:szCs w:val="21"/>
                <w:highlight w:val="none"/>
                <w:lang w:val="en-US" w:eastAsia="zh-CN"/>
              </w:rPr>
              <w:t>4</w:t>
            </w:r>
            <w:r>
              <w:rPr>
                <w:rFonts w:hint="eastAsia" w:ascii="仿宋" w:hAnsi="仿宋" w:eastAsia="仿宋" w:cs="仿宋"/>
                <w:color w:val="auto"/>
                <w:kern w:val="2"/>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jc w:val="center"/>
        </w:trPr>
        <w:tc>
          <w:tcPr>
            <w:tcW w:w="572" w:type="dxa"/>
            <w:vAlign w:val="center"/>
          </w:tcPr>
          <w:p>
            <w:pPr>
              <w:pStyle w:val="17"/>
              <w:spacing w:line="360" w:lineRule="auto"/>
              <w:ind w:firstLine="240"/>
              <w:rPr>
                <w:rFonts w:hint="eastAsia" w:ascii="仿宋" w:hAnsi="仿宋" w:eastAsia="仿宋" w:cs="仿宋"/>
                <w:b w:val="0"/>
                <w:bCs w:val="0"/>
                <w:color w:val="auto"/>
                <w:kern w:val="2"/>
                <w:sz w:val="21"/>
                <w:szCs w:val="21"/>
                <w:lang w:val="en-US" w:eastAsia="zh-CN"/>
              </w:rPr>
            </w:pPr>
            <w:r>
              <w:rPr>
                <w:rFonts w:hint="eastAsia" w:ascii="仿宋" w:hAnsi="仿宋" w:eastAsia="仿宋" w:cs="仿宋"/>
                <w:b w:val="0"/>
                <w:bCs w:val="0"/>
                <w:color w:val="auto"/>
                <w:kern w:val="2"/>
                <w:sz w:val="21"/>
                <w:szCs w:val="21"/>
                <w:lang w:val="en-US" w:eastAsia="zh-CN"/>
              </w:rPr>
              <w:t>2</w:t>
            </w:r>
          </w:p>
        </w:tc>
        <w:tc>
          <w:tcPr>
            <w:tcW w:w="903" w:type="dxa"/>
            <w:vAlign w:val="center"/>
          </w:tcPr>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企业</w:t>
            </w:r>
            <w:r>
              <w:rPr>
                <w:rFonts w:hint="eastAsia" w:ascii="仿宋" w:hAnsi="仿宋" w:eastAsia="仿宋" w:cs="仿宋"/>
                <w:b/>
                <w:bCs/>
                <w:color w:val="auto"/>
                <w:sz w:val="21"/>
                <w:szCs w:val="21"/>
              </w:rPr>
              <w:t>业绩</w:t>
            </w:r>
          </w:p>
        </w:tc>
        <w:tc>
          <w:tcPr>
            <w:tcW w:w="7132" w:type="dxa"/>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自202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年1月1日起（以合同签订时间为准），每承担过一项</w:t>
            </w:r>
            <w:r>
              <w:rPr>
                <w:rFonts w:hint="eastAsia" w:ascii="仿宋" w:hAnsi="仿宋" w:eastAsia="仿宋" w:cs="仿宋"/>
                <w:color w:val="auto"/>
                <w:sz w:val="21"/>
                <w:szCs w:val="21"/>
                <w:highlight w:val="none"/>
                <w:lang w:eastAsia="zh-CN"/>
              </w:rPr>
              <w:t>林权类调查测绘</w:t>
            </w:r>
            <w:r>
              <w:rPr>
                <w:rFonts w:hint="eastAsia" w:ascii="仿宋" w:hAnsi="仿宋" w:eastAsia="仿宋" w:cs="仿宋"/>
                <w:color w:val="auto"/>
                <w:sz w:val="21"/>
                <w:szCs w:val="21"/>
                <w:highlight w:val="none"/>
              </w:rPr>
              <w:t>项目业绩，可获得0.5分，此项最高得分为</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2、供应商</w:t>
            </w:r>
            <w:bookmarkStart w:id="184" w:name="_GoBack"/>
            <w:bookmarkEnd w:id="184"/>
            <w:r>
              <w:rPr>
                <w:rFonts w:hint="eastAsia" w:ascii="仿宋" w:hAnsi="仿宋" w:eastAsia="仿宋" w:cs="仿宋"/>
                <w:color w:val="auto"/>
                <w:sz w:val="21"/>
                <w:szCs w:val="21"/>
                <w:highlight w:val="none"/>
              </w:rPr>
              <w:t>承担过</w:t>
            </w:r>
            <w:r>
              <w:rPr>
                <w:rFonts w:hint="eastAsia" w:ascii="仿宋" w:hAnsi="仿宋" w:eastAsia="仿宋" w:cs="仿宋"/>
                <w:color w:val="auto"/>
                <w:sz w:val="21"/>
                <w:szCs w:val="21"/>
                <w:highlight w:val="none"/>
                <w:lang w:eastAsia="zh-CN"/>
              </w:rPr>
              <w:t>林权数据整合汇交工作的，</w:t>
            </w:r>
            <w:r>
              <w:rPr>
                <w:rFonts w:hint="eastAsia" w:ascii="仿宋" w:hAnsi="仿宋" w:eastAsia="仿宋" w:cs="仿宋"/>
                <w:color w:val="auto"/>
                <w:sz w:val="21"/>
                <w:szCs w:val="21"/>
                <w:highlight w:val="none"/>
              </w:rPr>
              <w:t>可获得0.5分。</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需提供中标通知书及合同的原件扫描件作为证明材料，未提供者不得分。</w:t>
            </w:r>
          </w:p>
        </w:tc>
        <w:tc>
          <w:tcPr>
            <w:tcW w:w="679" w:type="dxa"/>
            <w:vAlign w:val="center"/>
          </w:tcPr>
          <w:p>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572" w:type="dxa"/>
            <w:vAlign w:val="center"/>
          </w:tcPr>
          <w:p>
            <w:pPr>
              <w:pStyle w:val="17"/>
              <w:spacing w:line="360" w:lineRule="auto"/>
              <w:ind w:firstLine="240"/>
              <w:rPr>
                <w:rFonts w:hint="eastAsia" w:ascii="仿宋" w:hAnsi="仿宋" w:eastAsia="仿宋" w:cs="仿宋"/>
                <w:color w:val="auto"/>
                <w:kern w:val="2"/>
                <w:sz w:val="21"/>
                <w:szCs w:val="21"/>
                <w:lang w:eastAsia="zh-CN"/>
              </w:rPr>
            </w:pPr>
            <w:r>
              <w:rPr>
                <w:rFonts w:hint="eastAsia" w:ascii="仿宋" w:hAnsi="仿宋" w:eastAsia="仿宋" w:cs="仿宋"/>
                <w:b w:val="0"/>
                <w:bCs w:val="0"/>
                <w:color w:val="auto"/>
                <w:kern w:val="2"/>
                <w:sz w:val="21"/>
                <w:szCs w:val="21"/>
                <w:lang w:val="en-US" w:eastAsia="zh-CN"/>
              </w:rPr>
              <w:t>3</w:t>
            </w:r>
          </w:p>
        </w:tc>
        <w:tc>
          <w:tcPr>
            <w:tcW w:w="903" w:type="dxa"/>
            <w:vAlign w:val="center"/>
          </w:tcPr>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项目组人员</w:t>
            </w:r>
          </w:p>
        </w:tc>
        <w:tc>
          <w:tcPr>
            <w:tcW w:w="7132" w:type="dxa"/>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1、项目负责人、技术负责人（</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分）:</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项目负责人：</w:t>
            </w:r>
            <w:r>
              <w:rPr>
                <w:rFonts w:hint="eastAsia" w:ascii="仿宋" w:hAnsi="仿宋" w:eastAsia="仿宋" w:cs="仿宋"/>
                <w:color w:val="auto"/>
                <w:sz w:val="21"/>
                <w:szCs w:val="21"/>
                <w:highlight w:val="none"/>
              </w:rPr>
              <w:t>具有</w:t>
            </w:r>
            <w:r>
              <w:rPr>
                <w:rFonts w:hint="eastAsia" w:ascii="仿宋" w:hAnsi="仿宋" w:eastAsia="仿宋" w:cs="仿宋"/>
                <w:color w:val="auto"/>
                <w:sz w:val="21"/>
                <w:szCs w:val="21"/>
                <w:highlight w:val="none"/>
                <w:lang w:eastAsia="zh-CN"/>
              </w:rPr>
              <w:t>测绘类、地理信息类、</w:t>
            </w:r>
            <w:r>
              <w:rPr>
                <w:rFonts w:hint="eastAsia" w:ascii="仿宋" w:hAnsi="仿宋" w:eastAsia="仿宋" w:cs="仿宋"/>
                <w:color w:val="auto"/>
                <w:sz w:val="21"/>
                <w:szCs w:val="21"/>
                <w:highlight w:val="none"/>
              </w:rPr>
              <w:t>土地调查</w:t>
            </w:r>
            <w:r>
              <w:rPr>
                <w:rFonts w:hint="eastAsia" w:ascii="仿宋" w:hAnsi="仿宋" w:eastAsia="仿宋" w:cs="仿宋"/>
                <w:color w:val="auto"/>
                <w:sz w:val="21"/>
                <w:szCs w:val="21"/>
                <w:highlight w:val="none"/>
                <w:lang w:eastAsia="zh-CN"/>
              </w:rPr>
              <w:t>类正</w:t>
            </w:r>
            <w:r>
              <w:rPr>
                <w:rFonts w:hint="eastAsia" w:ascii="仿宋" w:hAnsi="仿宋" w:eastAsia="仿宋" w:cs="仿宋"/>
                <w:color w:val="auto"/>
                <w:sz w:val="21"/>
                <w:szCs w:val="21"/>
                <w:highlight w:val="none"/>
              </w:rPr>
              <w:t>高级职称</w:t>
            </w:r>
            <w:r>
              <w:rPr>
                <w:rFonts w:hint="eastAsia" w:ascii="仿宋" w:hAnsi="仿宋" w:eastAsia="仿宋" w:cs="仿宋"/>
                <w:color w:val="auto"/>
                <w:sz w:val="21"/>
                <w:szCs w:val="21"/>
                <w:highlight w:val="none"/>
                <w:lang w:eastAsia="zh-CN"/>
              </w:rPr>
              <w:t>的，每个得</w:t>
            </w:r>
            <w:r>
              <w:rPr>
                <w:rFonts w:hint="eastAsia" w:ascii="仿宋" w:hAnsi="仿宋" w:eastAsia="仿宋" w:cs="仿宋"/>
                <w:color w:val="auto"/>
                <w:sz w:val="21"/>
                <w:szCs w:val="21"/>
                <w:highlight w:val="none"/>
                <w:lang w:val="en-US" w:eastAsia="zh-CN"/>
              </w:rPr>
              <w:t>3分，最高3分；具有测</w:t>
            </w:r>
            <w:r>
              <w:rPr>
                <w:rFonts w:hint="eastAsia" w:ascii="仿宋" w:hAnsi="仿宋" w:eastAsia="仿宋" w:cs="仿宋"/>
                <w:color w:val="auto"/>
                <w:sz w:val="21"/>
                <w:szCs w:val="21"/>
                <w:highlight w:val="none"/>
                <w:lang w:eastAsia="zh-CN"/>
              </w:rPr>
              <w:t>绘类、地理信息类、</w:t>
            </w:r>
            <w:r>
              <w:rPr>
                <w:rFonts w:hint="eastAsia" w:ascii="仿宋" w:hAnsi="仿宋" w:eastAsia="仿宋" w:cs="仿宋"/>
                <w:color w:val="auto"/>
                <w:sz w:val="21"/>
                <w:szCs w:val="21"/>
                <w:highlight w:val="none"/>
              </w:rPr>
              <w:t>土地调查</w:t>
            </w:r>
            <w:r>
              <w:rPr>
                <w:rFonts w:hint="eastAsia" w:ascii="仿宋" w:hAnsi="仿宋" w:eastAsia="仿宋" w:cs="仿宋"/>
                <w:color w:val="auto"/>
                <w:sz w:val="21"/>
                <w:szCs w:val="21"/>
                <w:highlight w:val="none"/>
                <w:lang w:eastAsia="zh-CN"/>
              </w:rPr>
              <w:t>类</w:t>
            </w:r>
            <w:r>
              <w:rPr>
                <w:rFonts w:hint="eastAsia" w:ascii="仿宋" w:hAnsi="仿宋" w:eastAsia="仿宋" w:cs="仿宋"/>
                <w:color w:val="auto"/>
                <w:sz w:val="21"/>
                <w:szCs w:val="21"/>
                <w:highlight w:val="none"/>
              </w:rPr>
              <w:t>高级职称</w:t>
            </w:r>
            <w:r>
              <w:rPr>
                <w:rFonts w:hint="eastAsia" w:ascii="仿宋" w:hAnsi="仿宋" w:eastAsia="仿宋" w:cs="仿宋"/>
                <w:color w:val="auto"/>
                <w:sz w:val="21"/>
                <w:szCs w:val="21"/>
                <w:highlight w:val="none"/>
                <w:lang w:eastAsia="zh-CN"/>
              </w:rPr>
              <w:t>的，每个得</w:t>
            </w:r>
            <w:r>
              <w:rPr>
                <w:rFonts w:hint="eastAsia" w:ascii="仿宋" w:hAnsi="仿宋" w:eastAsia="仿宋" w:cs="仿宋"/>
                <w:color w:val="auto"/>
                <w:sz w:val="21"/>
                <w:szCs w:val="21"/>
                <w:highlight w:val="none"/>
                <w:lang w:val="en-US" w:eastAsia="zh-CN"/>
              </w:rPr>
              <w:t>2分，最高2分。(本项累计最高得5分)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技术负责人：具有测</w:t>
            </w:r>
            <w:r>
              <w:rPr>
                <w:rFonts w:hint="eastAsia" w:ascii="仿宋" w:hAnsi="仿宋" w:eastAsia="仿宋" w:cs="仿宋"/>
                <w:color w:val="auto"/>
                <w:sz w:val="21"/>
                <w:szCs w:val="21"/>
                <w:highlight w:val="none"/>
                <w:lang w:eastAsia="zh-CN"/>
              </w:rPr>
              <w:t>绘类、地理信息类、</w:t>
            </w:r>
            <w:r>
              <w:rPr>
                <w:rFonts w:hint="eastAsia" w:ascii="仿宋" w:hAnsi="仿宋" w:eastAsia="仿宋" w:cs="仿宋"/>
                <w:color w:val="auto"/>
                <w:sz w:val="21"/>
                <w:szCs w:val="21"/>
                <w:highlight w:val="none"/>
              </w:rPr>
              <w:t>土地调查</w:t>
            </w:r>
            <w:r>
              <w:rPr>
                <w:rFonts w:hint="eastAsia" w:ascii="仿宋" w:hAnsi="仿宋" w:eastAsia="仿宋" w:cs="仿宋"/>
                <w:color w:val="auto"/>
                <w:sz w:val="21"/>
                <w:szCs w:val="21"/>
                <w:highlight w:val="none"/>
                <w:lang w:eastAsia="zh-CN"/>
              </w:rPr>
              <w:t>类</w:t>
            </w:r>
            <w:r>
              <w:rPr>
                <w:rFonts w:hint="eastAsia" w:ascii="仿宋" w:hAnsi="仿宋" w:eastAsia="仿宋" w:cs="仿宋"/>
                <w:color w:val="auto"/>
                <w:sz w:val="21"/>
                <w:szCs w:val="21"/>
                <w:highlight w:val="none"/>
              </w:rPr>
              <w:t>高级职称</w:t>
            </w:r>
            <w:r>
              <w:rPr>
                <w:rFonts w:hint="eastAsia" w:ascii="仿宋" w:hAnsi="仿宋" w:eastAsia="仿宋" w:cs="仿宋"/>
                <w:color w:val="auto"/>
                <w:sz w:val="21"/>
                <w:szCs w:val="21"/>
                <w:highlight w:val="none"/>
                <w:lang w:eastAsia="zh-CN"/>
              </w:rPr>
              <w:t>的，每个得</w:t>
            </w:r>
            <w:r>
              <w:rPr>
                <w:rFonts w:hint="eastAsia" w:ascii="仿宋" w:hAnsi="仿宋" w:eastAsia="仿宋" w:cs="仿宋"/>
                <w:color w:val="auto"/>
                <w:sz w:val="21"/>
                <w:szCs w:val="21"/>
                <w:highlight w:val="none"/>
                <w:lang w:val="en-US" w:eastAsia="zh-CN"/>
              </w:rPr>
              <w:t>2分，最高2分；</w:t>
            </w:r>
            <w:r>
              <w:rPr>
                <w:rFonts w:hint="eastAsia" w:ascii="仿宋" w:hAnsi="仿宋" w:eastAsia="仿宋" w:cs="仿宋"/>
                <w:color w:val="auto"/>
                <w:sz w:val="21"/>
                <w:szCs w:val="21"/>
                <w:highlight w:val="none"/>
                <w:lang w:eastAsia="zh-CN"/>
              </w:rPr>
              <w:t>注册测绘师、</w:t>
            </w:r>
            <w:r>
              <w:rPr>
                <w:rFonts w:hint="eastAsia" w:ascii="仿宋" w:hAnsi="仿宋" w:eastAsia="仿宋" w:cs="仿宋"/>
                <w:color w:val="auto"/>
                <w:sz w:val="21"/>
                <w:szCs w:val="21"/>
                <w:highlight w:val="none"/>
              </w:rPr>
              <w:t>土地</w:t>
            </w:r>
            <w:r>
              <w:rPr>
                <w:rFonts w:hint="eastAsia" w:ascii="仿宋" w:hAnsi="仿宋" w:eastAsia="仿宋" w:cs="仿宋"/>
                <w:color w:val="auto"/>
                <w:sz w:val="21"/>
                <w:szCs w:val="21"/>
                <w:highlight w:val="none"/>
                <w:lang w:eastAsia="zh-CN"/>
              </w:rPr>
              <w:t>（或不动产）</w:t>
            </w:r>
            <w:r>
              <w:rPr>
                <w:rFonts w:hint="eastAsia" w:ascii="仿宋" w:hAnsi="仿宋" w:eastAsia="仿宋" w:cs="仿宋"/>
                <w:color w:val="auto"/>
                <w:sz w:val="21"/>
                <w:szCs w:val="21"/>
                <w:highlight w:val="none"/>
              </w:rPr>
              <w:t>登记代理人证书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每个得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(本项累计最高得2分)</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项目组其他成员（除项目负责人和技术负责人以外）（7分）：</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具有林业高级工程师证书的，</w:t>
            </w:r>
            <w:r>
              <w:rPr>
                <w:rFonts w:hint="eastAsia" w:ascii="仿宋" w:hAnsi="仿宋" w:eastAsia="仿宋" w:cs="仿宋"/>
                <w:color w:val="auto"/>
                <w:sz w:val="21"/>
                <w:szCs w:val="21"/>
                <w:highlight w:val="none"/>
                <w:lang w:val="en-US" w:eastAsia="zh-CN"/>
              </w:rPr>
              <w:t>得1分；</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具有测绘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地理信息</w:t>
            </w:r>
            <w:r>
              <w:rPr>
                <w:rFonts w:hint="eastAsia" w:ascii="仿宋" w:hAnsi="仿宋" w:eastAsia="仿宋" w:cs="仿宋"/>
                <w:color w:val="auto"/>
                <w:sz w:val="21"/>
                <w:szCs w:val="21"/>
                <w:highlight w:val="none"/>
                <w:lang w:eastAsia="zh-CN"/>
              </w:rPr>
              <w:t>、土地调查</w:t>
            </w:r>
            <w:r>
              <w:rPr>
                <w:rFonts w:hint="eastAsia" w:ascii="仿宋" w:hAnsi="仿宋" w:eastAsia="仿宋" w:cs="仿宋"/>
                <w:color w:val="auto"/>
                <w:sz w:val="21"/>
                <w:szCs w:val="21"/>
                <w:highlight w:val="none"/>
              </w:rPr>
              <w:t>类</w:t>
            </w:r>
            <w:r>
              <w:rPr>
                <w:rFonts w:hint="eastAsia" w:ascii="仿宋" w:hAnsi="仿宋" w:eastAsia="仿宋" w:cs="仿宋"/>
                <w:color w:val="auto"/>
                <w:sz w:val="21"/>
                <w:szCs w:val="21"/>
                <w:highlight w:val="none"/>
                <w:lang w:eastAsia="zh-CN"/>
              </w:rPr>
              <w:t>中级以上</w:t>
            </w:r>
            <w:r>
              <w:rPr>
                <w:rFonts w:hint="eastAsia" w:ascii="仿宋" w:hAnsi="仿宋" w:eastAsia="仿宋" w:cs="仿宋"/>
                <w:color w:val="auto"/>
                <w:sz w:val="21"/>
                <w:szCs w:val="21"/>
                <w:highlight w:val="none"/>
              </w:rPr>
              <w:t>职称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每人</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具有土地（或不动产）登记代理人证书的，每人得</w:t>
            </w:r>
            <w:r>
              <w:rPr>
                <w:rFonts w:hint="eastAsia" w:ascii="仿宋" w:hAnsi="仿宋" w:eastAsia="仿宋" w:cs="仿宋"/>
                <w:color w:val="auto"/>
                <w:sz w:val="21"/>
                <w:szCs w:val="21"/>
                <w:highlight w:val="none"/>
                <w:lang w:val="en-US" w:eastAsia="zh-CN"/>
              </w:rPr>
              <w:t>1分，最多2分；</w:t>
            </w:r>
          </w:p>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具有测绘地理信息保密知识培训证书的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每人得0.5分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最多得1分</w:t>
            </w:r>
            <w:r>
              <w:rPr>
                <w:rFonts w:hint="eastAsia" w:ascii="仿宋" w:hAnsi="仿宋" w:eastAsia="仿宋" w:cs="仿宋"/>
                <w:color w:val="auto"/>
                <w:sz w:val="21"/>
                <w:szCs w:val="21"/>
                <w:highlight w:val="none"/>
              </w:rPr>
              <w:t>。</w:t>
            </w:r>
          </w:p>
          <w:p>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需同时提供①相关证书扫描件；②截至开标前连续3个月</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为上述人员缴纳的</w:t>
            </w:r>
            <w:r>
              <w:rPr>
                <w:rFonts w:hint="eastAsia" w:ascii="仿宋" w:hAnsi="仿宋" w:eastAsia="仿宋" w:cs="仿宋"/>
                <w:color w:val="auto"/>
                <w:sz w:val="21"/>
                <w:szCs w:val="21"/>
                <w:highlight w:val="none"/>
                <w:lang w:val="en-US" w:eastAsia="zh-CN"/>
              </w:rPr>
              <w:t>社保</w:t>
            </w:r>
            <w:r>
              <w:rPr>
                <w:rFonts w:hint="eastAsia" w:ascii="仿宋" w:hAnsi="仿宋" w:eastAsia="仿宋" w:cs="仿宋"/>
                <w:color w:val="auto"/>
                <w:sz w:val="21"/>
                <w:szCs w:val="21"/>
                <w:highlight w:val="none"/>
              </w:rPr>
              <w:t>证明（缴纳凭证或人社部门出具的证明）扫描件；</w:t>
            </w:r>
            <w:r>
              <w:rPr>
                <w:rFonts w:hint="eastAsia" w:ascii="仿宋" w:hAnsi="仿宋" w:eastAsia="仿宋" w:cs="仿宋"/>
                <w:color w:val="auto"/>
                <w:sz w:val="21"/>
                <w:szCs w:val="21"/>
                <w:highlight w:val="none"/>
                <w:lang w:val="en-US" w:eastAsia="zh-CN"/>
              </w:rPr>
              <w:t>未按要求</w:t>
            </w:r>
            <w:r>
              <w:rPr>
                <w:rFonts w:hint="eastAsia" w:ascii="仿宋" w:hAnsi="仿宋" w:eastAsia="仿宋" w:cs="仿宋"/>
                <w:color w:val="auto"/>
                <w:sz w:val="21"/>
                <w:szCs w:val="21"/>
                <w:highlight w:val="none"/>
              </w:rPr>
              <w:t>提供不得分。</w:t>
            </w:r>
          </w:p>
        </w:tc>
        <w:tc>
          <w:tcPr>
            <w:tcW w:w="679" w:type="dxa"/>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整体理解分析</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对项目的整体理解与分析主要包括但不限下列内容：</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对本项目政策的理解（</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分）：评审</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对涉及本项目相关政策的解读深度与准确性，考量其能否清晰阐述政策要点对项目实施的指导作用与影响，依据针对性、完整性、合理性等方面进行0-</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分评定。</w:t>
            </w:r>
            <w:r>
              <w:rPr>
                <w:rFonts w:hint="eastAsia" w:ascii="仿宋" w:hAnsi="仿宋" w:eastAsia="仿宋" w:cs="仿宋"/>
                <w:color w:val="auto"/>
                <w:sz w:val="21"/>
                <w:szCs w:val="21"/>
                <w:lang w:val="en-US" w:eastAsia="zh-CN" w:bidi="ar"/>
              </w:rPr>
              <w:t>（评分范围：4，3，2，1，0）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对本项目需求的理解（</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分）：评估</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对项目需求的把握程度，包括是否精准识别各项功能需求、质量标准、交付时间等关键要素，能否详细且有条理地剖析需求细节，按评审要点进行0-</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分打分。</w:t>
            </w:r>
            <w:r>
              <w:rPr>
                <w:rFonts w:hint="eastAsia" w:ascii="仿宋" w:hAnsi="仿宋" w:eastAsia="仿宋" w:cs="仿宋"/>
                <w:color w:val="auto"/>
                <w:sz w:val="21"/>
                <w:szCs w:val="21"/>
                <w:lang w:val="en-US" w:eastAsia="zh-CN" w:bidi="ar"/>
              </w:rPr>
              <w:t>（评分范围：4，3，2，1，0）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对本项目已有资料利用情况的分析（</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分）：审查</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对项目已有资料的梳理与分析能力，判断其能否合理规划已有资料在项目各阶段的运用方式，分析利用方案是否具有可行性与高效性，给予0-</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分评分。</w:t>
            </w:r>
            <w:r>
              <w:rPr>
                <w:rFonts w:hint="eastAsia" w:ascii="仿宋" w:hAnsi="仿宋" w:eastAsia="仿宋" w:cs="仿宋"/>
                <w:color w:val="auto"/>
                <w:sz w:val="21"/>
                <w:szCs w:val="21"/>
                <w:lang w:val="en-US" w:eastAsia="zh-CN" w:bidi="ar"/>
              </w:rPr>
              <w:t>（评分范围：4，3，2，1，0）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1"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技术方案编制</w:t>
            </w:r>
          </w:p>
        </w:tc>
        <w:tc>
          <w:tcPr>
            <w:tcW w:w="7132" w:type="dxa"/>
            <w:vAlign w:val="center"/>
          </w:tcPr>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技术路线与措施评审涵盖以下主要方面但不限下列内容，评审小组将依据内容的针对性、完整性、合理性等进行0-4分的评分：</w:t>
            </w:r>
          </w:p>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投标技术方案总体设计（4分）：评估方案在科学性、先进性、可行性、扩展性、安全性及独特性上的表现。供应商需详细且深入地阐述项目所采用的技术路线、具体实现方法以及关键技术节点，评审小组将依据内容的完整性、合理性及创新性等方面进行0-4分的打分。</w:t>
            </w:r>
            <w:r>
              <w:rPr>
                <w:rFonts w:hint="eastAsia" w:ascii="仿宋" w:hAnsi="仿宋" w:eastAsia="仿宋" w:cs="仿宋"/>
                <w:color w:val="auto"/>
                <w:sz w:val="21"/>
                <w:szCs w:val="21"/>
                <w:lang w:val="en-US" w:eastAsia="zh-CN" w:bidi="ar"/>
              </w:rPr>
              <w:t>（评分范围：4，3，2，1，0）</w:t>
            </w:r>
          </w:p>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2.投标技术方案的针对性（4分）：考量方案是否紧密结合林场林权历史遗留问题清理工作的标准、要求和要素，点对点回答是否详尽、明细，是否切实满足招标需求，依据针对性和契合度给予0-4分评分。</w:t>
            </w:r>
            <w:r>
              <w:rPr>
                <w:rFonts w:hint="eastAsia" w:ascii="仿宋" w:hAnsi="仿宋" w:eastAsia="仿宋" w:cs="仿宋"/>
                <w:color w:val="auto"/>
                <w:sz w:val="21"/>
                <w:szCs w:val="21"/>
                <w:lang w:val="en-US" w:eastAsia="zh-CN" w:bidi="ar"/>
              </w:rPr>
              <w:t>（评分范围：4，3，2，1，0）</w:t>
            </w:r>
          </w:p>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3.林权权属调查（4分）：评估林场林权历史遗留问题分类是否齐全，是否符合要求，方案应涵盖全流程的规范操作流程，依据上述评审要点进行0-4分评定。</w:t>
            </w:r>
            <w:r>
              <w:rPr>
                <w:rFonts w:hint="eastAsia" w:ascii="仿宋" w:hAnsi="仿宋" w:eastAsia="仿宋" w:cs="仿宋"/>
                <w:color w:val="auto"/>
                <w:sz w:val="21"/>
                <w:szCs w:val="21"/>
                <w:lang w:val="en-US" w:eastAsia="zh-CN" w:bidi="ar"/>
              </w:rPr>
              <w:t>（评分范围：4，3，2，1，0）</w:t>
            </w:r>
          </w:p>
          <w:p>
            <w:pPr>
              <w:pStyle w:val="18"/>
              <w:numPr>
                <w:ilvl w:val="0"/>
                <w:numId w:val="0"/>
              </w:numPr>
              <w:spacing w:after="0"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4.实地测量（4分）：评审编制方法的合理性，是否选用适宜的测量方法，作业流程是否规范高效，依据上述多方面综合评定，给予0-4分的分值。</w:t>
            </w:r>
            <w:r>
              <w:rPr>
                <w:rFonts w:hint="eastAsia" w:ascii="仿宋" w:hAnsi="仿宋" w:eastAsia="仿宋" w:cs="仿宋"/>
                <w:color w:val="auto"/>
                <w:sz w:val="21"/>
                <w:szCs w:val="21"/>
                <w:lang w:val="en-US" w:eastAsia="zh-CN" w:bidi="ar"/>
              </w:rPr>
              <w:t>（评分范围：4，3，2，1，0）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16</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重难点工作分析</w:t>
            </w:r>
          </w:p>
        </w:tc>
        <w:tc>
          <w:tcPr>
            <w:tcW w:w="7132" w:type="dxa"/>
            <w:vAlign w:val="center"/>
          </w:tcPr>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重点工作分析主要包括但不限下列内容，评审小组严格按照每项内容在针对性、切合实际程度、内容完整性、条理清晰度等方面的表现，判断是否契合本项目采购需求，从而给出相应的分值。：</w:t>
            </w:r>
          </w:p>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对重难点工作的理解（3分）：供应商对于本项目重难点工作的认知程度。需清晰阐述对各项重难点工作的准确界定、产生根源以及在项目整体推进过程中的关键影响。依据上述多方面综合评定，给予0-3分的分值。</w:t>
            </w:r>
            <w:r>
              <w:rPr>
                <w:rFonts w:hint="eastAsia" w:ascii="仿宋" w:hAnsi="仿宋" w:eastAsia="仿宋" w:cs="仿宋"/>
                <w:color w:val="auto"/>
                <w:sz w:val="21"/>
                <w:szCs w:val="21"/>
                <w:lang w:val="en-US" w:eastAsia="zh-CN" w:bidi="ar"/>
              </w:rPr>
              <w:t>（评分范围：3，2，1，0）</w:t>
            </w:r>
          </w:p>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2.对重难点工作应对举措（3分）：供应商针对已识别的重难点工作所制定的应对措施。应对举措应涵盖具体的操作方法、实施步</w:t>
            </w:r>
            <w:r>
              <w:rPr>
                <w:rFonts w:hint="eastAsia" w:ascii="仿宋" w:hAnsi="仿宋" w:eastAsia="仿宋" w:cs="仿宋"/>
                <w:color w:val="auto"/>
                <w:sz w:val="21"/>
                <w:szCs w:val="21"/>
                <w:lang w:eastAsia="zh-CN"/>
              </w:rPr>
              <w:t>骤、资源配置以及时间规划等方面，确保具有切实的可操作性。</w:t>
            </w:r>
            <w:r>
              <w:rPr>
                <w:rFonts w:hint="eastAsia" w:ascii="仿宋" w:hAnsi="仿宋" w:eastAsia="仿宋" w:cs="仿宋"/>
                <w:color w:val="auto"/>
                <w:sz w:val="21"/>
                <w:szCs w:val="21"/>
                <w:lang w:val="en-US" w:eastAsia="zh-CN"/>
              </w:rPr>
              <w:t>依据上述多方面综合评定，给予0-3分的分值。</w:t>
            </w:r>
            <w:r>
              <w:rPr>
                <w:rFonts w:hint="eastAsia" w:ascii="仿宋" w:hAnsi="仿宋" w:eastAsia="仿宋" w:cs="仿宋"/>
                <w:color w:val="auto"/>
                <w:sz w:val="21"/>
                <w:szCs w:val="21"/>
                <w:lang w:val="en-US" w:eastAsia="zh-CN" w:bidi="ar"/>
              </w:rPr>
              <w:t>（评分范围：3，2，1，0）</w:t>
            </w:r>
          </w:p>
          <w:p>
            <w:pPr>
              <w:pStyle w:val="18"/>
              <w:numPr>
                <w:ilvl w:val="0"/>
                <w:numId w:val="0"/>
              </w:numPr>
              <w:spacing w:after="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3、针对本项目实施的合理化意见和建议（3分）：针对林权确权登记各类历史遗留问题，提出科学合理有效可操作性强的意见和建议，每条得1分，最高得3分。</w:t>
            </w:r>
            <w:r>
              <w:rPr>
                <w:rFonts w:hint="eastAsia" w:ascii="仿宋" w:hAnsi="仿宋" w:eastAsia="仿宋" w:cs="仿宋"/>
                <w:color w:val="auto"/>
                <w:sz w:val="21"/>
                <w:szCs w:val="21"/>
                <w:lang w:val="en-US" w:eastAsia="zh-CN" w:bidi="ar"/>
              </w:rPr>
              <w:t>（评分范围：3，2，1，0）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0"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组织实施方案</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实施方案主要包括但不限下列内容：</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1.项目管理方案</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2.与采购人沟通协调方案</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3.质量保证措施</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4.工期安排进度保障措施</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5.成果保密制度及措施</w:t>
            </w:r>
            <w:r>
              <w:rPr>
                <w:rFonts w:hint="eastAsia" w:ascii="仿宋" w:hAnsi="仿宋" w:eastAsia="仿宋" w:cs="仿宋"/>
                <w:color w:val="auto"/>
                <w:sz w:val="21"/>
                <w:szCs w:val="21"/>
                <w:lang w:val="en-US" w:eastAsia="zh-CN"/>
              </w:rPr>
              <w:t>(2分)</w:t>
            </w:r>
            <w:r>
              <w:rPr>
                <w:rFonts w:hint="eastAsia" w:ascii="仿宋" w:hAnsi="仿宋" w:eastAsia="仿宋" w:cs="仿宋"/>
                <w:color w:val="auto"/>
                <w:sz w:val="21"/>
                <w:szCs w:val="21"/>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评审小组根据每项内容评审：针对性强、切合实际、内容完整、条理清晰，符合本项目采购需求，</w:t>
            </w:r>
            <w:r>
              <w:rPr>
                <w:rFonts w:hint="eastAsia" w:ascii="仿宋" w:hAnsi="仿宋" w:eastAsia="仿宋" w:cs="仿宋"/>
                <w:color w:val="auto"/>
                <w:sz w:val="21"/>
                <w:szCs w:val="21"/>
                <w:lang w:val="en-US" w:eastAsia="zh-CN"/>
              </w:rPr>
              <w:t>每项</w:t>
            </w:r>
            <w:r>
              <w:rPr>
                <w:rFonts w:hint="eastAsia" w:ascii="仿宋" w:hAnsi="仿宋" w:eastAsia="仿宋" w:cs="仿宋"/>
                <w:color w:val="auto"/>
                <w:sz w:val="21"/>
                <w:szCs w:val="21"/>
              </w:rPr>
              <w:t>得0-</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bidi="ar"/>
              </w:rPr>
              <w:t>（评分范围：10，9，8，7，6，5，4，3，2，1，0）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8</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设备投入情况</w:t>
            </w:r>
          </w:p>
        </w:tc>
        <w:tc>
          <w:tcPr>
            <w:tcW w:w="7132" w:type="dxa"/>
            <w:vAlign w:val="center"/>
          </w:tcPr>
          <w:p>
            <w:pPr>
              <w:spacing w:line="36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rPr>
              <w:t>根据</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拟投入本项目的相关仪器、软硬件设备种类、数量、专业性等方面进行打分</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内容缺失严重或与项目不匹配的不得分。</w:t>
            </w:r>
            <w:r>
              <w:rPr>
                <w:rFonts w:hint="eastAsia" w:ascii="仿宋" w:hAnsi="仿宋" w:eastAsia="仿宋" w:cs="仿宋"/>
                <w:color w:val="auto"/>
                <w:sz w:val="21"/>
                <w:szCs w:val="21"/>
                <w:lang w:val="en-US" w:eastAsia="zh-CN" w:bidi="ar"/>
              </w:rPr>
              <w:t>（评分范围：5，4，3，2，1，0）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572" w:type="dxa"/>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9</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质量保障措施</w:t>
            </w:r>
          </w:p>
        </w:tc>
        <w:tc>
          <w:tcPr>
            <w:tcW w:w="7132" w:type="dxa"/>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质量保障措施内容科学合理</w:t>
            </w:r>
            <w:r>
              <w:rPr>
                <w:rFonts w:hint="eastAsia" w:ascii="仿宋" w:hAnsi="仿宋" w:eastAsia="仿宋" w:cs="仿宋"/>
                <w:color w:val="auto"/>
                <w:sz w:val="21"/>
                <w:szCs w:val="21"/>
                <w:lang w:val="en-US" w:eastAsia="zh-CN"/>
              </w:rPr>
              <w:t>性</w:t>
            </w:r>
            <w:r>
              <w:rPr>
                <w:rFonts w:hint="eastAsia" w:ascii="仿宋" w:hAnsi="仿宋" w:eastAsia="仿宋" w:cs="仿宋"/>
                <w:color w:val="auto"/>
                <w:sz w:val="21"/>
                <w:szCs w:val="21"/>
              </w:rPr>
              <w:t>，内容完整且与项目匹配度</w:t>
            </w:r>
            <w:r>
              <w:rPr>
                <w:rFonts w:hint="eastAsia" w:ascii="仿宋" w:hAnsi="仿宋" w:eastAsia="仿宋" w:cs="仿宋"/>
                <w:color w:val="auto"/>
                <w:sz w:val="21"/>
                <w:szCs w:val="21"/>
                <w:lang w:val="en-US" w:eastAsia="zh-CN"/>
              </w:rPr>
              <w:t>进行评分</w:t>
            </w:r>
            <w:r>
              <w:rPr>
                <w:rFonts w:hint="eastAsia" w:ascii="仿宋" w:hAnsi="仿宋" w:eastAsia="仿宋" w:cs="仿宋"/>
                <w:color w:val="auto"/>
                <w:sz w:val="21"/>
                <w:szCs w:val="21"/>
              </w:rPr>
              <w:t>；内容缺失严重或与项目不匹配的不得分。</w:t>
            </w:r>
            <w:r>
              <w:rPr>
                <w:rFonts w:hint="eastAsia" w:ascii="仿宋" w:hAnsi="仿宋" w:eastAsia="仿宋" w:cs="仿宋"/>
                <w:color w:val="auto"/>
                <w:sz w:val="21"/>
                <w:szCs w:val="21"/>
                <w:lang w:val="en-US" w:eastAsia="zh-CN" w:bidi="ar"/>
              </w:rPr>
              <w:t>（评分范围：5，4，3，2，1，0）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572" w:type="dxa"/>
            <w:vAlign w:val="center"/>
          </w:tcPr>
          <w:p>
            <w:pPr>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903" w:type="dxa"/>
            <w:vAlign w:val="center"/>
          </w:tcPr>
          <w:p>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服务方案</w:t>
            </w:r>
          </w:p>
        </w:tc>
        <w:tc>
          <w:tcPr>
            <w:tcW w:w="7132" w:type="dxa"/>
            <w:vAlign w:val="center"/>
          </w:tcPr>
          <w:p>
            <w:pPr>
              <w:spacing w:line="36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rPr>
              <w:t>根据各</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提出的售后服务方案情况。包括为本项目提供售后服务人员配置情况、售后响应能力、响应时效以及其他服务质量情况进行评分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方案内容缺失严重或与项目不匹配的不得分。</w:t>
            </w:r>
            <w:r>
              <w:rPr>
                <w:rFonts w:hint="eastAsia" w:ascii="仿宋" w:hAnsi="仿宋" w:eastAsia="仿宋" w:cs="仿宋"/>
                <w:color w:val="auto"/>
                <w:sz w:val="21"/>
                <w:szCs w:val="21"/>
                <w:lang w:val="en-US" w:eastAsia="zh-CN" w:bidi="ar"/>
              </w:rPr>
              <w:t>（评分范围：3，2，1，0）</w:t>
            </w:r>
          </w:p>
        </w:tc>
        <w:tc>
          <w:tcPr>
            <w:tcW w:w="679" w:type="dxa"/>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75" w:type="dxa"/>
            <w:gridSpan w:val="2"/>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
                <w:bCs w:val="0"/>
                <w:color w:val="auto"/>
                <w:sz w:val="21"/>
                <w:szCs w:val="21"/>
                <w:lang w:val="en-US" w:eastAsia="zh-CN"/>
              </w:rPr>
              <w:t>价格分</w:t>
            </w:r>
          </w:p>
        </w:tc>
        <w:tc>
          <w:tcPr>
            <w:tcW w:w="7132" w:type="dxa"/>
            <w:vAlign w:val="center"/>
          </w:tcPr>
          <w:p>
            <w:pPr>
              <w:pStyle w:val="18"/>
              <w:spacing w:line="360" w:lineRule="auto"/>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（一）磋商报价的合理性审查</w:t>
            </w:r>
          </w:p>
          <w:p>
            <w:pPr>
              <w:pStyle w:val="18"/>
              <w:spacing w:line="360" w:lineRule="auto"/>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1.分析磋商报价是否合理，磋商报价范围是否完整，有否重大错漏项；</w:t>
            </w:r>
          </w:p>
          <w:p>
            <w:pPr>
              <w:pStyle w:val="18"/>
              <w:spacing w:line="360" w:lineRule="auto"/>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pStyle w:val="18"/>
              <w:rPr>
                <w:rFonts w:hint="eastAsia" w:ascii="仿宋" w:hAnsi="仿宋" w:eastAsia="仿宋" w:cs="仿宋"/>
                <w:bCs/>
                <w:color w:val="auto"/>
                <w:sz w:val="21"/>
                <w:szCs w:val="21"/>
              </w:rPr>
            </w:pPr>
            <w:r>
              <w:rPr>
                <w:rFonts w:hint="eastAsia" w:ascii="仿宋" w:hAnsi="仿宋" w:eastAsia="仿宋" w:cs="仿宋"/>
                <w:color w:val="auto"/>
                <w:sz w:val="21"/>
                <w:szCs w:val="21"/>
                <w:lang w:val="en-US"/>
              </w:rPr>
              <w:t>（二）满足招标要求的有效投标且磋商报价最低的投标报价为评标基准价</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val="en-US"/>
              </w:rPr>
              <w:t>0分，投标报价得分=(评标基准价/投标报价)×</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val="en-US"/>
              </w:rPr>
              <w:t>0%×100。</w:t>
            </w:r>
          </w:p>
        </w:tc>
        <w:tc>
          <w:tcPr>
            <w:tcW w:w="679" w:type="dxa"/>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20</w:t>
            </w:r>
            <w:r>
              <w:rPr>
                <w:rFonts w:hint="eastAsia" w:ascii="仿宋" w:hAnsi="仿宋" w:eastAsia="仿宋" w:cs="仿宋"/>
                <w:bCs/>
                <w:color w:val="auto"/>
                <w:sz w:val="21"/>
                <w:szCs w:val="21"/>
              </w:rPr>
              <w:t>分</w:t>
            </w:r>
          </w:p>
        </w:tc>
      </w:tr>
    </w:tbl>
    <w:p>
      <w:pPr>
        <w:pStyle w:val="395"/>
        <w:spacing w:before="0"/>
        <w:ind w:firstLine="643"/>
        <w:jc w:val="center"/>
        <w:rPr>
          <w:rFonts w:hint="eastAsia" w:ascii="仿宋" w:hAnsi="仿宋" w:eastAsia="仿宋" w:cs="仿宋"/>
          <w:b/>
          <w:sz w:val="32"/>
        </w:rPr>
      </w:pPr>
    </w:p>
    <w:p>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w:t>
      </w:r>
      <w:r>
        <w:rPr>
          <w:rFonts w:hint="eastAsia" w:ascii="仿宋" w:hAnsi="仿宋" w:eastAsia="仿宋" w:cs="仿宋"/>
          <w:b/>
          <w:kern w:val="0"/>
          <w:sz w:val="24"/>
          <w:lang w:eastAsia="zh-CN"/>
        </w:rPr>
        <w:t>供应商</w:t>
      </w:r>
      <w:r>
        <w:rPr>
          <w:rFonts w:hint="eastAsia" w:ascii="仿宋" w:hAnsi="仿宋" w:eastAsia="仿宋" w:cs="仿宋"/>
          <w:b/>
          <w:kern w:val="0"/>
          <w:sz w:val="24"/>
        </w:rPr>
        <w:t>编制响应文件时，建议按此目录（序号和内容）提供评审标准相应的商务技术资料。</w:t>
      </w:r>
    </w:p>
    <w:p>
      <w:pPr>
        <w:adjustRightInd/>
        <w:spacing w:line="360" w:lineRule="auto"/>
        <w:ind w:firstLine="482" w:firstLineChars="200"/>
        <w:rPr>
          <w:rFonts w:ascii="仿宋" w:hAnsi="仿宋" w:eastAsia="仿宋" w:cs="仿宋"/>
          <w:b/>
          <w:kern w:val="0"/>
          <w:sz w:val="24"/>
        </w:rPr>
      </w:pPr>
    </w:p>
    <w:p>
      <w:pPr>
        <w:pStyle w:val="395"/>
        <w:spacing w:before="0"/>
        <w:ind w:firstLine="643"/>
        <w:jc w:val="center"/>
        <w:rPr>
          <w:rFonts w:ascii="仿宋" w:hAnsi="仿宋" w:eastAsia="仿宋" w:cs="仿宋"/>
          <w:b/>
        </w:rPr>
      </w:pPr>
      <w:r>
        <w:rPr>
          <w:rFonts w:hint="eastAsia" w:ascii="仿宋" w:hAnsi="仿宋" w:eastAsia="仿宋" w:cs="仿宋"/>
          <w:b/>
          <w:sz w:val="32"/>
        </w:rPr>
        <w:t>一、评审方法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仿宋"/>
          <w:kern w:val="0"/>
          <w:sz w:val="24"/>
        </w:rPr>
      </w:pPr>
    </w:p>
    <w:p>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5"/>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pPr>
        <w:pStyle w:val="395"/>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磋商小组由采购人代表和评审专家共3人以上单数组成，其中评审专家人数不得少于磋商小组成员总数的2/3，采购代理机构人员不得参加本机构代理的采购项目的评审。</w:t>
      </w:r>
    </w:p>
    <w:p>
      <w:pPr>
        <w:pStyle w:val="395"/>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5"/>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5"/>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pPr>
        <w:pStyle w:val="395"/>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pPr>
        <w:pStyle w:val="395"/>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5"/>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5"/>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5"/>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5"/>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pPr>
        <w:pStyle w:val="395"/>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pPr>
        <w:pStyle w:val="395"/>
        <w:spacing w:before="0"/>
        <w:ind w:firstLine="480"/>
        <w:rPr>
          <w:rFonts w:ascii="仿宋" w:hAnsi="仿宋" w:eastAsia="仿宋" w:cs="仿宋"/>
        </w:rPr>
      </w:pPr>
      <w:r>
        <w:rPr>
          <w:rFonts w:hint="eastAsia" w:ascii="仿宋" w:hAnsi="仿宋" w:eastAsia="仿宋" w:cs="仿宋"/>
        </w:rPr>
        <w:t>1.4磋商小组集中与单一供应商分别进行磋商；</w:t>
      </w:r>
    </w:p>
    <w:p>
      <w:pPr>
        <w:pStyle w:val="395"/>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pPr>
        <w:pStyle w:val="395"/>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5"/>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pPr>
        <w:pStyle w:val="395"/>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pPr>
        <w:pStyle w:val="395"/>
        <w:spacing w:before="0"/>
        <w:ind w:firstLine="480"/>
        <w:rPr>
          <w:rFonts w:ascii="仿宋" w:hAnsi="仿宋" w:eastAsia="仿宋" w:cs="仿宋"/>
        </w:rPr>
      </w:pPr>
      <w:r>
        <w:rPr>
          <w:rFonts w:hint="eastAsia" w:ascii="仿宋" w:hAnsi="仿宋" w:eastAsia="仿宋" w:cs="仿宋"/>
        </w:rPr>
        <w:t>1.9法律、法规、规章、磋商文件等规定的其它事项。</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5"/>
        <w:spacing w:before="0"/>
        <w:ind w:firstLine="480"/>
        <w:rPr>
          <w:rFonts w:ascii="仿宋" w:hAnsi="仿宋" w:eastAsia="仿宋" w:cs="仿宋"/>
        </w:rPr>
      </w:pPr>
      <w:r>
        <w:rPr>
          <w:rFonts w:hint="eastAsia" w:ascii="仿宋" w:hAnsi="仿宋" w:eastAsia="仿宋" w:cs="仿宋"/>
        </w:rPr>
        <w:t>2.1确定参与本项目至评审结束前私自接触供应商；</w:t>
      </w:r>
    </w:p>
    <w:p>
      <w:pPr>
        <w:pStyle w:val="395"/>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5"/>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pPr>
        <w:pStyle w:val="395"/>
        <w:spacing w:before="0"/>
        <w:ind w:firstLine="480"/>
        <w:rPr>
          <w:rFonts w:ascii="仿宋" w:hAnsi="仿宋" w:eastAsia="仿宋" w:cs="仿宋"/>
        </w:rPr>
      </w:pPr>
      <w:r>
        <w:rPr>
          <w:rFonts w:hint="eastAsia" w:ascii="仿宋" w:hAnsi="仿宋" w:eastAsia="仿宋" w:cs="仿宋"/>
        </w:rPr>
        <w:t>2.4对需要专业判断的主观评审因素协商评分；</w:t>
      </w:r>
    </w:p>
    <w:p>
      <w:pPr>
        <w:pStyle w:val="395"/>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pPr>
        <w:pStyle w:val="395"/>
        <w:spacing w:before="0"/>
        <w:ind w:firstLine="480"/>
        <w:rPr>
          <w:rFonts w:ascii="仿宋" w:hAnsi="仿宋" w:eastAsia="仿宋" w:cs="仿宋"/>
        </w:rPr>
      </w:pPr>
      <w:r>
        <w:rPr>
          <w:rFonts w:hint="eastAsia" w:ascii="仿宋" w:hAnsi="仿宋" w:eastAsia="仿宋" w:cs="仿宋"/>
        </w:rPr>
        <w:t>2.6记录、复制或者带走任何评审资料；</w:t>
      </w:r>
    </w:p>
    <w:p>
      <w:pPr>
        <w:pStyle w:val="395"/>
        <w:spacing w:before="0"/>
        <w:ind w:firstLine="480"/>
        <w:rPr>
          <w:rFonts w:ascii="仿宋" w:hAnsi="仿宋" w:eastAsia="仿宋" w:cs="仿宋"/>
        </w:rPr>
      </w:pPr>
      <w:r>
        <w:rPr>
          <w:rFonts w:hint="eastAsia" w:ascii="仿宋" w:hAnsi="仿宋" w:eastAsia="仿宋" w:cs="仿宋"/>
        </w:rPr>
        <w:t>2.7其他不遵守评审纪律的行为。</w:t>
      </w:r>
    </w:p>
    <w:p>
      <w:pPr>
        <w:pStyle w:val="395"/>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pPr>
        <w:pStyle w:val="395"/>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5"/>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8"/>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3.15报价明显低于其他供应商的报价，有可能影响产品质量或者不能诚信履约的，未能按要求提供书面说明或者提交相关证明材料，不能证明其报价合理性的;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pPr>
        <w:pStyle w:val="73"/>
        <w:numPr>
          <w:ilvl w:val="0"/>
          <w:numId w:val="11"/>
        </w:numPr>
        <w:ind w:firstLineChars="0"/>
        <w:rPr>
          <w:rFonts w:ascii="仿宋" w:hAnsi="仿宋" w:eastAsia="仿宋" w:cs="仿宋"/>
        </w:rPr>
      </w:pPr>
      <w:r>
        <w:rPr>
          <w:rFonts w:hint="eastAsia" w:ascii="仿宋" w:hAnsi="仿宋" w:eastAsia="仿宋" w:cs="仿宋"/>
        </w:rPr>
        <w:t>使用伪造、变造的许可证件；</w:t>
      </w:r>
    </w:p>
    <w:p>
      <w:pPr>
        <w:pStyle w:val="73"/>
        <w:numPr>
          <w:ilvl w:val="0"/>
          <w:numId w:val="11"/>
        </w:numPr>
        <w:ind w:firstLineChars="0"/>
        <w:rPr>
          <w:rFonts w:ascii="仿宋" w:hAnsi="仿宋" w:eastAsia="仿宋" w:cs="仿宋"/>
        </w:rPr>
      </w:pPr>
      <w:r>
        <w:rPr>
          <w:rFonts w:hint="eastAsia" w:ascii="仿宋" w:hAnsi="仿宋" w:eastAsia="仿宋" w:cs="仿宋"/>
        </w:rPr>
        <w:t>提供虚假的财务状况或者业绩；</w:t>
      </w:r>
    </w:p>
    <w:p>
      <w:pPr>
        <w:pStyle w:val="73"/>
        <w:numPr>
          <w:ilvl w:val="0"/>
          <w:numId w:val="11"/>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pPr>
        <w:pStyle w:val="73"/>
        <w:numPr>
          <w:ilvl w:val="0"/>
          <w:numId w:val="11"/>
        </w:numPr>
        <w:ind w:firstLineChars="0"/>
        <w:rPr>
          <w:rFonts w:ascii="仿宋" w:hAnsi="仿宋" w:eastAsia="仿宋" w:cs="仿宋"/>
        </w:rPr>
      </w:pPr>
      <w:r>
        <w:rPr>
          <w:rFonts w:hint="eastAsia" w:ascii="仿宋" w:hAnsi="仿宋" w:eastAsia="仿宋" w:cs="仿宋"/>
        </w:rPr>
        <w:t>提供虚假的信用状况；</w:t>
      </w:r>
    </w:p>
    <w:p>
      <w:pPr>
        <w:pStyle w:val="73"/>
        <w:numPr>
          <w:ilvl w:val="0"/>
          <w:numId w:val="11"/>
        </w:numPr>
        <w:ind w:firstLineChars="0"/>
        <w:rPr>
          <w:rFonts w:ascii="仿宋" w:hAnsi="仿宋" w:eastAsia="仿宋" w:cs="仿宋"/>
        </w:rPr>
      </w:pPr>
      <w:r>
        <w:rPr>
          <w:rFonts w:hint="eastAsia" w:ascii="仿宋" w:hAnsi="仿宋" w:eastAsia="仿宋" w:cs="仿宋"/>
        </w:rPr>
        <w:t>其他弄虚作假的行为。</w:t>
      </w:r>
    </w:p>
    <w:p>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pPr>
        <w:pStyle w:val="73"/>
        <w:numPr>
          <w:ilvl w:val="0"/>
          <w:numId w:val="12"/>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73"/>
        <w:numPr>
          <w:ilvl w:val="0"/>
          <w:numId w:val="12"/>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73"/>
        <w:numPr>
          <w:ilvl w:val="0"/>
          <w:numId w:val="12"/>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pPr>
        <w:pStyle w:val="73"/>
        <w:numPr>
          <w:ilvl w:val="0"/>
          <w:numId w:val="12"/>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73"/>
        <w:numPr>
          <w:ilvl w:val="0"/>
          <w:numId w:val="12"/>
        </w:numPr>
        <w:ind w:firstLineChars="0"/>
        <w:rPr>
          <w:rFonts w:ascii="仿宋" w:hAnsi="仿宋" w:eastAsia="仿宋" w:cs="仿宋"/>
        </w:rPr>
      </w:pPr>
      <w:r>
        <w:rPr>
          <w:rFonts w:hint="eastAsia" w:ascii="仿宋" w:hAnsi="仿宋" w:eastAsia="仿宋" w:cs="仿宋"/>
        </w:rPr>
        <w:t>供应商之间事先约定由某一特定供应商中标、成交；</w:t>
      </w:r>
    </w:p>
    <w:p>
      <w:pPr>
        <w:pStyle w:val="73"/>
        <w:numPr>
          <w:ilvl w:val="0"/>
          <w:numId w:val="12"/>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pPr>
        <w:pStyle w:val="73"/>
        <w:numPr>
          <w:ilvl w:val="0"/>
          <w:numId w:val="12"/>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不同供应商的响应文件由同一单位或者个人编制；</w:t>
      </w:r>
    </w:p>
    <w:p>
      <w:pPr>
        <w:pStyle w:val="73"/>
        <w:numPr>
          <w:ilvl w:val="0"/>
          <w:numId w:val="12"/>
        </w:numPr>
        <w:ind w:firstLineChars="0"/>
        <w:rPr>
          <w:rFonts w:ascii="仿宋" w:hAnsi="仿宋" w:eastAsia="仿宋" w:cs="仿宋"/>
        </w:rPr>
      </w:pPr>
      <w:r>
        <w:rPr>
          <w:rFonts w:hint="eastAsia" w:ascii="仿宋" w:hAnsi="仿宋" w:eastAsia="仿宋" w:cs="仿宋"/>
        </w:rPr>
        <w:t>不同供应商委托同一单位或者个人办理响应事宜；</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5"/>
        <w:spacing w:before="0"/>
        <w:ind w:firstLine="0" w:firstLineChars="0"/>
        <w:rPr>
          <w:rFonts w:ascii="仿宋" w:hAnsi="仿宋" w:eastAsia="仿宋" w:cs="仿宋"/>
          <w:b/>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adjustRightInd w:val="0"/>
        <w:spacing w:line="360" w:lineRule="auto"/>
        <w:ind w:firstLine="482" w:firstLineChars="200"/>
        <w:jc w:val="both"/>
        <w:rPr>
          <w:rFonts w:ascii="仿宋" w:hAnsi="仿宋" w:eastAsia="仿宋" w:cs="仿宋"/>
          <w:b/>
          <w:sz w:val="36"/>
          <w:szCs w:val="36"/>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r>
        <w:rPr>
          <w:rFonts w:hint="eastAsia" w:ascii="仿宋" w:hAnsi="仿宋" w:eastAsia="仿宋" w:cs="仿宋"/>
          <w:b/>
          <w:sz w:val="36"/>
          <w:szCs w:val="36"/>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77"/>
      <w:r>
        <w:rPr>
          <w:rFonts w:hint="eastAsia" w:ascii="仿宋" w:hAnsi="仿宋" w:eastAsia="仿宋" w:cs="仿宋"/>
          <w:b/>
          <w:sz w:val="36"/>
          <w:szCs w:val="36"/>
        </w:rPr>
        <w:t xml:space="preserve">  拟签订的合同文本</w:t>
      </w:r>
    </w:p>
    <w:p>
      <w:pPr>
        <w:spacing w:line="360" w:lineRule="auto"/>
        <w:rPr>
          <w:rFonts w:ascii="仿宋" w:hAnsi="仿宋" w:eastAsia="仿宋" w:cs="仿宋"/>
          <w:sz w:val="24"/>
        </w:rPr>
      </w:pPr>
      <w:bookmarkStart w:id="78" w:name="第五部分"/>
      <w:bookmarkStart w:id="79" w:name="_Toc86217003"/>
    </w:p>
    <w:p>
      <w:pPr>
        <w:spacing w:line="360" w:lineRule="auto"/>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p>
    <w:p>
      <w:pPr>
        <w:pStyle w:val="284"/>
        <w:ind w:leftChars="0" w:firstLine="2465" w:firstLineChars="682"/>
        <w:jc w:val="left"/>
        <w:rPr>
          <w:rFonts w:ascii="仿宋" w:hAnsi="仿宋" w:eastAsia="仿宋" w:cs="仿宋"/>
          <w:b/>
          <w:sz w:val="36"/>
          <w:szCs w:val="36"/>
        </w:rPr>
      </w:pPr>
      <w:r>
        <w:rPr>
          <w:rFonts w:hint="eastAsia" w:ascii="仿宋" w:hAnsi="仿宋" w:eastAsia="仿宋" w:cs="仿宋"/>
          <w:b/>
          <w:sz w:val="36"/>
          <w:szCs w:val="36"/>
        </w:rPr>
        <w:t>政府采购合同书</w:t>
      </w:r>
    </w:p>
    <w:p>
      <w:pPr>
        <w:pStyle w:val="284"/>
        <w:rPr>
          <w:rFonts w:ascii="仿宋" w:hAnsi="仿宋" w:eastAsia="仿宋" w:cs="仿宋"/>
          <w:szCs w:val="24"/>
        </w:rPr>
      </w:pPr>
    </w:p>
    <w:p>
      <w:pPr>
        <w:pStyle w:val="284"/>
        <w:rPr>
          <w:rFonts w:ascii="仿宋" w:hAnsi="仿宋" w:eastAsia="仿宋" w:cs="仿宋"/>
          <w:szCs w:val="24"/>
        </w:rPr>
      </w:pP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9"/>
        <w:spacing w:before="120"/>
        <w:rPr>
          <w:rFonts w:ascii="仿宋" w:hAnsi="仿宋" w:eastAsia="仿宋" w:cs="仿宋"/>
          <w:szCs w:val="24"/>
        </w:rPr>
      </w:pPr>
    </w:p>
    <w:p>
      <w:pPr>
        <w:spacing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ascii="仿宋" w:hAnsi="仿宋" w:eastAsia="仿宋" w:cs="仿宋"/>
          <w:b/>
          <w:sz w:val="24"/>
        </w:rPr>
      </w:pPr>
      <w:r>
        <w:rPr>
          <w:rFonts w:hint="eastAsia" w:ascii="仿宋" w:hAnsi="仿宋" w:eastAsia="仿宋" w:cs="仿宋"/>
          <w:b/>
          <w:sz w:val="24"/>
        </w:rPr>
        <w:br w:type="page"/>
      </w:r>
    </w:p>
    <w:p>
      <w:pPr>
        <w:rPr>
          <w:rFonts w:ascii="仿宋" w:hAnsi="仿宋" w:eastAsia="仿宋" w:cs="仿宋"/>
          <w:b/>
          <w:sz w:val="24"/>
        </w:r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为该项目中标或者成交供应商。现于中标或者成交通知书发出之日起30天内，按照采购文件确定的事项签订本合同。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w:t>
      </w:r>
      <w:r>
        <w:rPr>
          <w:rFonts w:hint="eastAsia" w:ascii="仿宋" w:hAnsi="仿宋" w:eastAsia="仿宋" w:cs="仿宋"/>
          <w:color w:val="auto"/>
          <w:sz w:val="24"/>
          <w:u w:val="single"/>
        </w:rPr>
        <w:t xml:space="preserve"> （中标或者成</w:t>
      </w:r>
      <w:r>
        <w:rPr>
          <w:rFonts w:hint="eastAsia" w:ascii="仿宋" w:hAnsi="仿宋" w:eastAsia="仿宋" w:cs="仿宋"/>
          <w:sz w:val="24"/>
          <w:u w:val="single"/>
        </w:rPr>
        <w:t xml:space="preserve">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bookmarkStart w:id="80" w:name="_Toc28855"/>
      <w:bookmarkStart w:id="81" w:name="_Toc15367"/>
      <w:bookmarkStart w:id="82" w:name="_Toc20421"/>
      <w:bookmarkStart w:id="83" w:name="_Toc19273"/>
      <w:bookmarkStart w:id="84" w:name="_Toc22967"/>
      <w:r>
        <w:rPr>
          <w:rFonts w:hint="eastAsia" w:ascii="仿宋" w:hAnsi="仿宋" w:eastAsia="仿宋" w:cs="仿宋"/>
          <w:b/>
          <w:sz w:val="24"/>
        </w:rPr>
        <w:t>1.1 合同组成部分</w:t>
      </w:r>
      <w:bookmarkEnd w:id="80"/>
      <w:bookmarkEnd w:id="81"/>
      <w:bookmarkEnd w:id="82"/>
      <w:bookmarkEnd w:id="83"/>
      <w:bookmarkEnd w:id="84"/>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85" w:name="_Toc2918"/>
      <w:bookmarkStart w:id="86" w:name="_Toc18585"/>
      <w:bookmarkStart w:id="87" w:name="_Toc6773"/>
      <w:bookmarkStart w:id="88" w:name="_Toc22185"/>
      <w:bookmarkStart w:id="89" w:name="_Toc6311"/>
      <w:r>
        <w:rPr>
          <w:rFonts w:hint="eastAsia" w:ascii="仿宋" w:hAnsi="仿宋" w:eastAsia="仿宋" w:cs="仿宋"/>
          <w:b/>
          <w:sz w:val="24"/>
        </w:rPr>
        <w:t>1.2 标的</w:t>
      </w:r>
      <w:bookmarkEnd w:id="85"/>
      <w:bookmarkEnd w:id="86"/>
      <w:bookmarkEnd w:id="87"/>
      <w:bookmarkEnd w:id="88"/>
      <w:bookmarkEnd w:id="89"/>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1.2.4 服务人员组成：</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rPr>
      </w:pPr>
      <w:r>
        <w:rPr>
          <w:rFonts w:hint="eastAsia" w:ascii="仿宋" w:hAnsi="仿宋" w:eastAsia="仿宋" w:cs="仿宋"/>
          <w:sz w:val="24"/>
        </w:rPr>
        <w:t>1.2.5合同</w:t>
      </w:r>
      <w:r>
        <w:rPr>
          <w:rFonts w:hint="eastAsia" w:ascii="仿宋" w:hAnsi="仿宋" w:eastAsia="仿宋" w:cs="仿宋"/>
          <w:sz w:val="24"/>
          <w:u w:val="single"/>
        </w:rPr>
        <w:t xml:space="preserve">     （是/否）</w:t>
      </w:r>
      <w:r>
        <w:rPr>
          <w:rFonts w:hint="eastAsia" w:ascii="仿宋" w:hAnsi="仿宋" w:eastAsia="仿宋" w:cs="仿宋"/>
          <w:sz w:val="24"/>
        </w:rPr>
        <w:t>涉及货物。若涉及货物的，则：</w:t>
      </w:r>
    </w:p>
    <w:p>
      <w:pPr>
        <w:spacing w:line="560" w:lineRule="exact"/>
        <w:ind w:firstLine="480" w:firstLineChars="200"/>
        <w:rPr>
          <w:rFonts w:ascii="仿宋" w:hAnsi="仿宋" w:eastAsia="仿宋" w:cs="仿宋"/>
          <w:sz w:val="24"/>
        </w:rPr>
      </w:pPr>
      <w:bookmarkStart w:id="90" w:name="_Toc1386"/>
      <w:bookmarkStart w:id="91" w:name="_Toc5635"/>
      <w:bookmarkStart w:id="92" w:name="_Toc4929"/>
      <w:bookmarkStart w:id="93" w:name="_Toc13918"/>
      <w:bookmarkStart w:id="94" w:name="_Toc21124"/>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1.2.5.2 货物数量：</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90"/>
      <w:bookmarkEnd w:id="91"/>
      <w:bookmarkEnd w:id="92"/>
      <w:bookmarkEnd w:id="93"/>
      <w:bookmarkEnd w:id="94"/>
    </w:p>
    <w:p>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71"/>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624"/>
              <w:spacing w:line="560" w:lineRule="exact"/>
              <w:ind w:firstLine="200"/>
              <w:jc w:val="center"/>
              <w:rPr>
                <w:rFonts w:ascii="仿宋" w:hAnsi="仿宋" w:eastAsia="仿宋" w:cs="仿宋"/>
                <w:sz w:val="24"/>
                <w:szCs w:val="24"/>
              </w:rPr>
            </w:pPr>
          </w:p>
        </w:tc>
      </w:tr>
    </w:tbl>
    <w:p>
      <w:pPr>
        <w:spacing w:line="560" w:lineRule="exact"/>
        <w:ind w:firstLine="480" w:firstLineChars="200"/>
        <w:rPr>
          <w:rFonts w:ascii="仿宋" w:hAnsi="仿宋" w:eastAsia="仿宋" w:cs="仿宋"/>
          <w:sz w:val="24"/>
        </w:rPr>
      </w:pPr>
      <w:bookmarkStart w:id="95" w:name="_Toc14993"/>
      <w:bookmarkStart w:id="96" w:name="_Toc26916"/>
      <w:bookmarkStart w:id="97" w:name="_Toc3654"/>
      <w:bookmarkStart w:id="98" w:name="_Toc30506"/>
      <w:bookmarkStart w:id="99"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4"/>
        <w:numPr>
          <w:ilvl w:val="255"/>
          <w:numId w:val="0"/>
        </w:numPr>
        <w:ind w:firstLine="241" w:firstLineChars="100"/>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95"/>
    <w:bookmarkEnd w:id="96"/>
    <w:bookmarkEnd w:id="97"/>
    <w:bookmarkEnd w:id="98"/>
    <w:bookmarkEnd w:id="99"/>
    <w:p>
      <w:pPr>
        <w:pStyle w:val="632"/>
        <w:spacing w:before="0" w:beforeAutospacing="0" w:after="0" w:afterAutospacing="0" w:line="360" w:lineRule="auto"/>
        <w:ind w:firstLine="480"/>
        <w:rPr>
          <w:rFonts w:ascii="仿宋" w:hAnsi="仿宋" w:eastAsia="仿宋" w:cs="仿宋"/>
          <w:b/>
        </w:rPr>
      </w:pPr>
      <w:bookmarkStart w:id="100" w:name="_Toc10340"/>
      <w:bookmarkStart w:id="101" w:name="_Toc22618"/>
      <w:bookmarkStart w:id="102" w:name="_Toc1814"/>
      <w:bookmarkStart w:id="103" w:name="_Toc11108"/>
      <w:bookmarkStart w:id="104" w:name="_Toc4760"/>
      <w:bookmarkStart w:id="105" w:name="_Toc8772"/>
      <w:bookmarkStart w:id="106" w:name="_Toc3625"/>
      <w:bookmarkStart w:id="107" w:name="_Toc31421"/>
      <w:r>
        <w:rPr>
          <w:rFonts w:hint="eastAsia" w:ascii="仿宋" w:hAnsi="仿宋" w:eastAsia="仿宋" w:cs="仿宋"/>
          <w:b/>
        </w:rPr>
        <w:t>1.4履约保证金</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4"/>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100"/>
      <w:bookmarkEnd w:id="101"/>
      <w:bookmarkEnd w:id="102"/>
      <w:r>
        <w:rPr>
          <w:rFonts w:hint="eastAsia" w:ascii="仿宋" w:hAnsi="仿宋" w:eastAsia="仿宋" w:cs="仿宋"/>
          <w:b/>
          <w:sz w:val="24"/>
        </w:rPr>
        <w:t>预付款</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1.6.1具体支付方式和时间如下：</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按实际测绘调查数量×成交单价计算费用，费用支付如下：</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完成</w:t>
      </w:r>
      <w:r>
        <w:rPr>
          <w:rFonts w:hint="eastAsia" w:ascii="仿宋" w:hAnsi="仿宋" w:eastAsia="仿宋" w:cs="仿宋"/>
          <w:sz w:val="24"/>
          <w:szCs w:val="24"/>
          <w:shd w:val="clear"/>
          <w:lang w:val="en-US" w:eastAsia="zh-CN"/>
        </w:rPr>
        <w:t>林场林权调查及落界</w:t>
      </w:r>
      <w:r>
        <w:rPr>
          <w:rFonts w:hint="eastAsia" w:ascii="仿宋" w:hAnsi="仿宋" w:eastAsia="仿宋" w:cs="仿宋"/>
          <w:sz w:val="24"/>
          <w:shd w:val="clear"/>
        </w:rPr>
        <w:t>工作</w:t>
      </w:r>
      <w:r>
        <w:rPr>
          <w:rFonts w:hint="eastAsia" w:ascii="仿宋" w:hAnsi="仿宋" w:eastAsia="仿宋" w:cs="仿宋"/>
          <w:sz w:val="24"/>
          <w:shd w:val="clear"/>
          <w:lang w:eastAsia="zh-CN"/>
        </w:rPr>
        <w:t>，项目资金到位</w:t>
      </w:r>
      <w:r>
        <w:rPr>
          <w:rFonts w:hint="eastAsia" w:ascii="仿宋" w:hAnsi="仿宋" w:eastAsia="仿宋" w:cs="仿宋"/>
          <w:sz w:val="24"/>
          <w:shd w:val="clear"/>
        </w:rPr>
        <w:t>十个工作日内</w:t>
      </w:r>
      <w:r>
        <w:rPr>
          <w:rFonts w:hint="eastAsia" w:ascii="仿宋" w:hAnsi="仿宋" w:eastAsia="仿宋" w:cs="仿宋"/>
          <w:sz w:val="24"/>
          <w:shd w:val="clear"/>
          <w:lang w:eastAsia="zh-CN"/>
        </w:rPr>
        <w:t>后支付</w:t>
      </w:r>
      <w:r>
        <w:rPr>
          <w:rFonts w:hint="eastAsia" w:ascii="仿宋" w:hAnsi="仿宋" w:eastAsia="仿宋" w:cs="仿宋"/>
          <w:sz w:val="24"/>
          <w:shd w:val="clear"/>
          <w:lang w:val="en-US" w:eastAsia="zh-CN"/>
        </w:rPr>
        <w:t>4</w:t>
      </w:r>
      <w:r>
        <w:rPr>
          <w:rFonts w:hint="eastAsia" w:ascii="仿宋" w:hAnsi="仿宋" w:eastAsia="仿宋" w:cs="仿宋"/>
          <w:sz w:val="24"/>
          <w:shd w:val="clear"/>
        </w:rPr>
        <w:t>0%；</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完成林场林权不动产证应发尽发，应变尽变工作，项目资金到位后</w:t>
      </w:r>
      <w:r>
        <w:rPr>
          <w:rFonts w:hint="eastAsia" w:ascii="仿宋" w:hAnsi="仿宋" w:eastAsia="仿宋" w:cs="仿宋"/>
          <w:sz w:val="24"/>
          <w:shd w:val="clear"/>
        </w:rPr>
        <w:t>十个工作日内</w:t>
      </w:r>
      <w:r>
        <w:rPr>
          <w:rFonts w:hint="eastAsia" w:ascii="仿宋" w:hAnsi="仿宋" w:eastAsia="仿宋" w:cs="仿宋"/>
          <w:sz w:val="24"/>
          <w:shd w:val="clear"/>
          <w:lang w:eastAsia="zh-CN"/>
        </w:rPr>
        <w:t>支付</w:t>
      </w:r>
      <w:r>
        <w:rPr>
          <w:rFonts w:hint="eastAsia" w:ascii="仿宋" w:hAnsi="仿宋" w:eastAsia="仿宋" w:cs="仿宋"/>
          <w:sz w:val="24"/>
          <w:shd w:val="clear"/>
          <w:lang w:val="en-US" w:eastAsia="zh-CN"/>
        </w:rPr>
        <w:t>30%</w:t>
      </w:r>
      <w:r>
        <w:rPr>
          <w:rFonts w:hint="eastAsia" w:ascii="仿宋" w:hAnsi="仿宋" w:eastAsia="仿宋" w:cs="仿宋"/>
          <w:sz w:val="24"/>
          <w:shd w:val="clear"/>
        </w:rPr>
        <w:t>。</w:t>
      </w:r>
    </w:p>
    <w:p>
      <w:pPr>
        <w:widowControl w:val="0"/>
        <w:numPr>
          <w:ilvl w:val="-1"/>
          <w:numId w:val="0"/>
        </w:numPr>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hd w:val="clear"/>
          <w:lang w:eastAsia="zh-CN"/>
        </w:rPr>
        <w:t>项目</w:t>
      </w:r>
      <w:r>
        <w:rPr>
          <w:rFonts w:hint="eastAsia" w:ascii="仿宋" w:hAnsi="仿宋" w:eastAsia="仿宋" w:cs="仿宋"/>
          <w:sz w:val="24"/>
          <w:shd w:val="clear"/>
        </w:rPr>
        <w:t>通过验收</w:t>
      </w:r>
      <w:r>
        <w:rPr>
          <w:rFonts w:hint="eastAsia" w:ascii="仿宋" w:hAnsi="仿宋" w:eastAsia="仿宋" w:cs="仿宋"/>
          <w:sz w:val="24"/>
          <w:shd w:val="clear"/>
          <w:lang w:eastAsia="zh-CN"/>
        </w:rPr>
        <w:t>，项目资金到位</w:t>
      </w:r>
      <w:r>
        <w:rPr>
          <w:rFonts w:hint="eastAsia" w:ascii="仿宋" w:hAnsi="仿宋" w:eastAsia="仿宋" w:cs="仿宋"/>
          <w:sz w:val="24"/>
          <w:shd w:val="clear"/>
        </w:rPr>
        <w:t>后十个工作日内支付合同总额的</w:t>
      </w:r>
      <w:r>
        <w:rPr>
          <w:rFonts w:hint="eastAsia" w:ascii="仿宋" w:hAnsi="仿宋" w:eastAsia="仿宋" w:cs="仿宋"/>
          <w:sz w:val="24"/>
          <w:shd w:val="clear"/>
          <w:lang w:val="en-US" w:eastAsia="zh-CN"/>
        </w:rPr>
        <w:t>3</w:t>
      </w:r>
      <w:r>
        <w:rPr>
          <w:rFonts w:hint="eastAsia" w:ascii="仿宋" w:hAnsi="仿宋" w:eastAsia="仿宋" w:cs="仿宋"/>
          <w:sz w:val="24"/>
          <w:shd w:val="clear"/>
        </w:rPr>
        <w:t>0%。</w:t>
      </w:r>
    </w:p>
    <w:p>
      <w:pPr>
        <w:tabs>
          <w:tab w:val="left" w:pos="0"/>
        </w:tabs>
        <w:spacing w:line="360" w:lineRule="auto"/>
        <w:ind w:firstLine="480" w:firstLineChars="0"/>
        <w:rPr>
          <w:rFonts w:ascii="仿宋" w:hAnsi="仿宋" w:eastAsia="仿宋" w:cs="仿宋"/>
        </w:rPr>
      </w:pPr>
      <w:r>
        <w:rPr>
          <w:rFonts w:hint="eastAsia" w:ascii="仿宋" w:hAnsi="仿宋" w:eastAsia="仿宋" w:cs="仿宋"/>
          <w:sz w:val="24"/>
        </w:rPr>
        <w:t>注：签订合同时供应商明确表示无需预付款或者要求降低预付款比例等其他情况，采购人可在合同中另行约定。</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103"/>
      <w:bookmarkEnd w:id="104"/>
      <w:bookmarkEnd w:id="105"/>
      <w:bookmarkEnd w:id="106"/>
      <w:bookmarkEnd w:id="107"/>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bCs/>
          <w:sz w:val="24"/>
        </w:rPr>
      </w:pPr>
      <w:bookmarkStart w:id="108" w:name="_Toc5698"/>
      <w:bookmarkStart w:id="109" w:name="_Toc8586"/>
      <w:bookmarkStart w:id="110" w:name="_Toc3079"/>
      <w:bookmarkStart w:id="111" w:name="_Toc24662"/>
      <w:bookmarkStart w:id="112" w:name="_Toc2375"/>
      <w:r>
        <w:rPr>
          <w:rFonts w:hint="eastAsia" w:ascii="仿宋" w:hAnsi="仿宋" w:eastAsia="仿宋" w:cs="仿宋"/>
          <w:bCs/>
          <w:sz w:val="24"/>
        </w:rPr>
        <w:t>1.7.4若服务涉及货物的，则货物的：</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108"/>
      <w:bookmarkEnd w:id="109"/>
      <w:bookmarkEnd w:id="110"/>
      <w:bookmarkEnd w:id="111"/>
      <w:bookmarkEnd w:id="112"/>
    </w:p>
    <w:p>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4"/>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bookmarkStart w:id="113" w:name="_Toc9497"/>
      <w:bookmarkStart w:id="114" w:name="_Toc30329"/>
      <w:bookmarkStart w:id="115" w:name="_Toc18683"/>
      <w:bookmarkStart w:id="116" w:name="_Toc26807"/>
      <w:bookmarkStart w:id="117"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13"/>
    <w:bookmarkEnd w:id="114"/>
    <w:bookmarkEnd w:id="115"/>
    <w:bookmarkEnd w:id="116"/>
    <w:bookmarkEnd w:id="117"/>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1.9合同争议的解决</w:t>
      </w:r>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2.0 合同生效</w:t>
      </w:r>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adjustRightInd/>
        <w:jc w:val="left"/>
        <w:rPr>
          <w:rFonts w:ascii="仿宋" w:hAnsi="仿宋" w:eastAsia="仿宋" w:cs="仿宋"/>
          <w:b/>
          <w:sz w:val="24"/>
        </w:rPr>
      </w:pPr>
    </w:p>
    <w:p>
      <w:pPr>
        <w:pStyle w:val="284"/>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118" w:name="_Toc14021"/>
      <w:bookmarkStart w:id="119" w:name="_Toc5228"/>
      <w:bookmarkStart w:id="120" w:name="_Toc31297"/>
      <w:bookmarkStart w:id="121" w:name="_Toc19680"/>
      <w:bookmarkStart w:id="122" w:name="_Toc25079"/>
      <w:r>
        <w:rPr>
          <w:rFonts w:hint="eastAsia" w:ascii="仿宋" w:hAnsi="仿宋" w:eastAsia="仿宋" w:cs="仿宋"/>
          <w:b/>
          <w:sz w:val="24"/>
        </w:rPr>
        <w:t>2.1 定义</w:t>
      </w:r>
      <w:bookmarkEnd w:id="118"/>
      <w:bookmarkEnd w:id="119"/>
      <w:bookmarkEnd w:id="120"/>
      <w:bookmarkEnd w:id="121"/>
      <w:bookmarkEnd w:id="122"/>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sz w:val="24"/>
        </w:rPr>
      </w:pPr>
      <w:bookmarkStart w:id="123" w:name="_Toc3769"/>
      <w:bookmarkStart w:id="124" w:name="_Toc23289"/>
      <w:bookmarkStart w:id="125" w:name="_Toc16752"/>
      <w:bookmarkStart w:id="126" w:name="_Toc31402"/>
      <w:bookmarkStart w:id="127" w:name="_Toc19539"/>
      <w:r>
        <w:rPr>
          <w:rFonts w:hint="eastAsia" w:ascii="仿宋" w:hAnsi="仿宋" w:eastAsia="仿宋" w:cs="仿宋"/>
          <w:b/>
          <w:sz w:val="24"/>
        </w:rPr>
        <w:t>2.2 技术规范</w:t>
      </w:r>
      <w:bookmarkEnd w:id="123"/>
      <w:bookmarkEnd w:id="124"/>
      <w:bookmarkEnd w:id="125"/>
      <w:bookmarkEnd w:id="126"/>
      <w:bookmarkEnd w:id="127"/>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128" w:name="_Toc9161"/>
      <w:bookmarkStart w:id="129" w:name="_Toc12412"/>
      <w:bookmarkStart w:id="130" w:name="_Toc13673"/>
      <w:bookmarkStart w:id="131" w:name="_Toc4133"/>
      <w:bookmarkStart w:id="132" w:name="_Toc27945"/>
      <w:r>
        <w:rPr>
          <w:rFonts w:hint="eastAsia" w:ascii="仿宋" w:hAnsi="仿宋" w:eastAsia="仿宋" w:cs="仿宋"/>
          <w:b/>
          <w:sz w:val="24"/>
        </w:rPr>
        <w:t>2.3 知识产权</w:t>
      </w:r>
      <w:bookmarkEnd w:id="128"/>
      <w:bookmarkEnd w:id="129"/>
      <w:bookmarkEnd w:id="130"/>
      <w:bookmarkEnd w:id="131"/>
      <w:bookmarkEnd w:id="132"/>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133" w:name="_Toc22011"/>
      <w:bookmarkStart w:id="134" w:name="_Toc26555"/>
      <w:bookmarkStart w:id="135" w:name="_Toc15447"/>
      <w:bookmarkStart w:id="136" w:name="_Toc32670"/>
      <w:bookmarkStart w:id="137" w:name="_Toc31233"/>
      <w:r>
        <w:rPr>
          <w:rFonts w:hint="eastAsia" w:ascii="仿宋" w:hAnsi="仿宋" w:eastAsia="仿宋" w:cs="仿宋"/>
          <w:b/>
          <w:sz w:val="24"/>
        </w:rPr>
        <w:t>2.5 结算方式和付款条件</w:t>
      </w:r>
      <w:bookmarkEnd w:id="133"/>
      <w:bookmarkEnd w:id="134"/>
      <w:bookmarkEnd w:id="135"/>
      <w:bookmarkEnd w:id="136"/>
      <w:bookmarkEnd w:id="137"/>
    </w:p>
    <w:p>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138" w:name="_Toc30507"/>
      <w:bookmarkStart w:id="139" w:name="_Toc13467"/>
      <w:bookmarkStart w:id="140" w:name="_Toc18990"/>
      <w:bookmarkStart w:id="141" w:name="_Toc16163"/>
      <w:bookmarkStart w:id="142" w:name="_Toc13154"/>
      <w:r>
        <w:rPr>
          <w:rFonts w:hint="eastAsia" w:ascii="仿宋" w:hAnsi="仿宋" w:eastAsia="仿宋" w:cs="仿宋"/>
          <w:b/>
          <w:sz w:val="24"/>
        </w:rPr>
        <w:t>2.6 技术资料和保密义务</w:t>
      </w:r>
      <w:bookmarkEnd w:id="138"/>
      <w:bookmarkEnd w:id="139"/>
      <w:bookmarkEnd w:id="140"/>
      <w:bookmarkEnd w:id="141"/>
      <w:bookmarkEnd w:id="142"/>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143" w:name="_Toc19069"/>
      <w:r>
        <w:rPr>
          <w:rFonts w:hint="eastAsia" w:ascii="仿宋" w:hAnsi="仿宋" w:eastAsia="仿宋" w:cs="仿宋"/>
          <w:b/>
          <w:sz w:val="24"/>
        </w:rPr>
        <w:t>2.7 质量保证</w:t>
      </w:r>
      <w:bookmarkEnd w:id="143"/>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144" w:name="_Toc22267"/>
      <w:r>
        <w:rPr>
          <w:rFonts w:hint="eastAsia" w:ascii="仿宋" w:hAnsi="仿宋" w:eastAsia="仿宋" w:cs="仿宋"/>
          <w:b/>
          <w:sz w:val="24"/>
        </w:rPr>
        <w:t>2.8 延迟履行</w:t>
      </w:r>
      <w:bookmarkEnd w:id="144"/>
    </w:p>
    <w:p>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rPr>
      </w:pPr>
      <w:bookmarkStart w:id="145" w:name="_Toc10611"/>
      <w:r>
        <w:rPr>
          <w:rFonts w:hint="eastAsia" w:ascii="仿宋" w:hAnsi="仿宋" w:eastAsia="仿宋" w:cs="仿宋"/>
          <w:b/>
          <w:sz w:val="24"/>
        </w:rPr>
        <w:t>2.9 合同变更</w:t>
      </w:r>
      <w:bookmarkEnd w:id="145"/>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46" w:name="_Toc10663"/>
      <w:bookmarkStart w:id="147" w:name="_Toc21830"/>
      <w:bookmarkStart w:id="148" w:name="_Toc42"/>
      <w:bookmarkStart w:id="149" w:name="_Toc26689"/>
      <w:bookmarkStart w:id="150" w:name="_Toc23368"/>
      <w:r>
        <w:rPr>
          <w:rFonts w:hint="eastAsia" w:ascii="仿宋" w:hAnsi="仿宋" w:eastAsia="仿宋" w:cs="仿宋"/>
          <w:b/>
          <w:sz w:val="24"/>
        </w:rPr>
        <w:t>2.10 合同转让和分包</w:t>
      </w:r>
      <w:bookmarkEnd w:id="146"/>
      <w:bookmarkEnd w:id="147"/>
      <w:bookmarkEnd w:id="148"/>
      <w:bookmarkEnd w:id="149"/>
      <w:bookmarkEnd w:id="150"/>
    </w:p>
    <w:p>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rPr>
      </w:pPr>
      <w:bookmarkStart w:id="151" w:name="_Toc32494"/>
      <w:bookmarkStart w:id="152" w:name="_Toc14371"/>
      <w:bookmarkStart w:id="153" w:name="_Toc26633"/>
      <w:bookmarkStart w:id="154" w:name="_Toc4720"/>
      <w:bookmarkStart w:id="155" w:name="_Toc25571"/>
      <w:r>
        <w:rPr>
          <w:rFonts w:hint="eastAsia" w:ascii="仿宋" w:hAnsi="仿宋" w:eastAsia="仿宋" w:cs="仿宋"/>
          <w:b/>
          <w:sz w:val="24"/>
        </w:rPr>
        <w:t>2.11 不可抗力</w:t>
      </w:r>
      <w:bookmarkEnd w:id="151"/>
      <w:bookmarkEnd w:id="152"/>
      <w:bookmarkEnd w:id="153"/>
      <w:bookmarkEnd w:id="154"/>
      <w:bookmarkEnd w:id="155"/>
    </w:p>
    <w:p>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156" w:name="_Toc23854"/>
      <w:bookmarkStart w:id="157" w:name="_Toc25783"/>
      <w:bookmarkStart w:id="158" w:name="_Toc24465"/>
      <w:bookmarkStart w:id="159" w:name="_Toc14115"/>
      <w:bookmarkStart w:id="160" w:name="_Toc3638"/>
      <w:r>
        <w:rPr>
          <w:rFonts w:hint="eastAsia" w:ascii="仿宋" w:hAnsi="仿宋" w:eastAsia="仿宋" w:cs="仿宋"/>
          <w:b/>
          <w:sz w:val="24"/>
        </w:rPr>
        <w:t>2.12 税费</w:t>
      </w:r>
      <w:bookmarkEnd w:id="156"/>
      <w:bookmarkEnd w:id="157"/>
      <w:bookmarkEnd w:id="158"/>
      <w:bookmarkEnd w:id="159"/>
      <w:bookmarkEnd w:id="160"/>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rPr>
      </w:pPr>
      <w:bookmarkStart w:id="161" w:name="_Toc26883"/>
      <w:bookmarkStart w:id="162" w:name="_Toc25525"/>
      <w:bookmarkStart w:id="163" w:name="_Toc30105"/>
      <w:bookmarkStart w:id="164" w:name="_Toc7315"/>
      <w:bookmarkStart w:id="165" w:name="_Toc14814"/>
      <w:r>
        <w:rPr>
          <w:rFonts w:hint="eastAsia" w:ascii="仿宋" w:hAnsi="仿宋" w:eastAsia="仿宋" w:cs="仿宋"/>
          <w:b/>
          <w:sz w:val="24"/>
        </w:rPr>
        <w:t>2.13 乙方破产</w:t>
      </w:r>
      <w:bookmarkEnd w:id="161"/>
      <w:bookmarkEnd w:id="162"/>
      <w:bookmarkEnd w:id="163"/>
      <w:bookmarkEnd w:id="164"/>
      <w:bookmarkEnd w:id="165"/>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166" w:name="_Toc2016"/>
      <w:bookmarkStart w:id="167" w:name="_Toc1123"/>
      <w:bookmarkStart w:id="168" w:name="_Toc23323"/>
      <w:r>
        <w:rPr>
          <w:rFonts w:hint="eastAsia" w:ascii="仿宋" w:hAnsi="仿宋" w:eastAsia="仿宋" w:cs="仿宋"/>
          <w:b/>
          <w:sz w:val="24"/>
        </w:rPr>
        <w:t>2.14 合同中止、终止</w:t>
      </w:r>
      <w:bookmarkEnd w:id="166"/>
      <w:bookmarkEnd w:id="167"/>
      <w:bookmarkEnd w:id="168"/>
    </w:p>
    <w:p>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69" w:name="_Toc17363"/>
      <w:bookmarkStart w:id="170" w:name="_Toc1969"/>
      <w:bookmarkStart w:id="171" w:name="_Toc14525"/>
      <w:r>
        <w:rPr>
          <w:rFonts w:hint="eastAsia" w:ascii="仿宋" w:hAnsi="仿宋" w:eastAsia="仿宋" w:cs="仿宋"/>
          <w:b/>
          <w:sz w:val="24"/>
        </w:rPr>
        <w:t>2.15 检验和验收</w:t>
      </w:r>
      <w:bookmarkEnd w:id="169"/>
      <w:bookmarkEnd w:id="170"/>
      <w:bookmarkEnd w:id="171"/>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bookmarkStart w:id="172" w:name="_Toc31892"/>
      <w:bookmarkStart w:id="173" w:name="_Toc9808"/>
      <w:bookmarkStart w:id="174" w:name="_Toc12666"/>
      <w:bookmarkStart w:id="175" w:name="_Toc2308"/>
      <w:bookmarkStart w:id="176" w:name="_Toc25198"/>
      <w:r>
        <w:rPr>
          <w:rFonts w:hint="eastAsia" w:ascii="仿宋" w:hAnsi="仿宋" w:eastAsia="仿宋" w:cs="仿宋"/>
          <w:b/>
          <w:sz w:val="24"/>
        </w:rPr>
        <w:t>2.16 通知和送达</w:t>
      </w:r>
      <w:bookmarkEnd w:id="172"/>
      <w:bookmarkEnd w:id="173"/>
      <w:bookmarkEnd w:id="174"/>
      <w:bookmarkEnd w:id="175"/>
      <w:bookmarkEnd w:id="176"/>
    </w:p>
    <w:p>
      <w:pPr>
        <w:spacing w:line="560" w:lineRule="exact"/>
        <w:ind w:firstLine="480" w:firstLineChars="200"/>
        <w:rPr>
          <w:rFonts w:ascii="仿宋" w:hAnsi="仿宋" w:eastAsia="仿宋" w:cs="仿宋"/>
          <w:sz w:val="24"/>
        </w:rPr>
      </w:pPr>
      <w:bookmarkStart w:id="177" w:name="_Toc27674"/>
      <w:bookmarkStart w:id="178"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p>
    <w:p>
      <w:pPr>
        <w:spacing w:line="560" w:lineRule="exact"/>
        <w:ind w:firstLine="482" w:firstLineChars="200"/>
        <w:outlineLvl w:val="0"/>
        <w:rPr>
          <w:rFonts w:ascii="仿宋" w:hAnsi="仿宋" w:eastAsia="仿宋" w:cs="仿宋"/>
          <w:b/>
          <w:sz w:val="24"/>
        </w:rPr>
      </w:pPr>
      <w:bookmarkStart w:id="179" w:name="_Toc12254"/>
      <w:bookmarkStart w:id="180" w:name="_Toc28906"/>
      <w:bookmarkStart w:id="181" w:name="_Toc27644"/>
      <w:bookmarkStart w:id="182" w:name="_Toc20808"/>
      <w:bookmarkStart w:id="183" w:name="_Toc5063"/>
      <w:r>
        <w:rPr>
          <w:rFonts w:hint="eastAsia" w:ascii="仿宋" w:hAnsi="仿宋" w:eastAsia="仿宋" w:cs="仿宋"/>
          <w:b/>
          <w:sz w:val="24"/>
        </w:rPr>
        <w:t>2.17 合同使用的文字和适用的法律</w:t>
      </w:r>
      <w:bookmarkEnd w:id="179"/>
      <w:bookmarkEnd w:id="180"/>
      <w:bookmarkEnd w:id="181"/>
      <w:bookmarkEnd w:id="182"/>
      <w:bookmarkEnd w:id="183"/>
    </w:p>
    <w:p>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2.18 计量单位</w:t>
      </w:r>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 xml:space="preserve"> 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8149"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2.19</w:t>
            </w:r>
          </w:p>
        </w:tc>
        <w:tc>
          <w:tcPr>
            <w:tcW w:w="8149" w:type="dxa"/>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firstLine="562" w:firstLineChars="200"/>
        <w:jc w:val="center"/>
        <w:rPr>
          <w:rFonts w:ascii="仿宋" w:hAnsi="仿宋" w:eastAsia="仿宋" w:cs="仿宋"/>
          <w:b/>
          <w:sz w:val="28"/>
          <w:szCs w:val="28"/>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78"/>
      <w:r>
        <w:rPr>
          <w:rFonts w:hint="eastAsia" w:ascii="仿宋" w:hAnsi="仿宋" w:eastAsia="仿宋" w:cs="仿宋"/>
          <w:b/>
          <w:sz w:val="36"/>
          <w:szCs w:val="20"/>
        </w:rPr>
        <w:t xml:space="preserve">  </w:t>
      </w:r>
      <w:bookmarkEnd w:id="79"/>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  ……………………………（页码）</w:t>
      </w:r>
    </w:p>
    <w:p>
      <w:pPr>
        <w:rPr>
          <w:rFonts w:ascii="仿宋" w:hAnsi="仿宋" w:eastAsia="仿宋" w:cs="仿宋"/>
          <w:sz w:val="24"/>
        </w:rPr>
      </w:pPr>
      <w:r>
        <w:rPr>
          <w:rFonts w:hint="eastAsia" w:ascii="仿宋" w:hAnsi="仿宋" w:eastAsia="仿宋" w:cs="仿宋"/>
          <w:sz w:val="24"/>
        </w:rPr>
        <w:t>（3）本项目的特定资格要求………………………………………………（页码）</w:t>
      </w: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rPr>
          <w:rFonts w:ascii="宋体" w:hAnsi="宋体" w:cs="宋体"/>
          <w:sz w:val="24"/>
        </w:rPr>
      </w:pPr>
    </w:p>
    <w:p>
      <w:pPr>
        <w:pStyle w:val="17"/>
        <w:rPr>
          <w:rFonts w:hAnsi="宋体" w:cs="宋体"/>
        </w:rPr>
      </w:pPr>
    </w:p>
    <w:p>
      <w:pPr>
        <w:pStyle w:val="17"/>
        <w:ind w:firstLine="0"/>
        <w:rPr>
          <w:rFonts w:hAnsi="宋体" w:cs="宋体"/>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2、落实政府采购政策需满足的资格要求</w:t>
      </w: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ind w:firstLine="964" w:firstLineChars="300"/>
        <w:rPr>
          <w:rFonts w:ascii="仿宋" w:hAnsi="仿宋" w:eastAsia="仿宋" w:cs="仿宋"/>
          <w:b/>
          <w:sz w:val="32"/>
          <w:szCs w:val="32"/>
        </w:rPr>
      </w:pPr>
      <w:r>
        <w:rPr>
          <w:rFonts w:hint="eastAsia" w:ascii="仿宋" w:hAnsi="仿宋" w:eastAsia="仿宋" w:cs="仿宋"/>
          <w:b/>
          <w:sz w:val="32"/>
          <w:szCs w:val="32"/>
        </w:rPr>
        <w:t>3、符合特定资格条件要求的资质文件（复印件）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spacing w:line="360" w:lineRule="auto"/>
        <w:ind w:firstLine="480" w:firstLineChars="200"/>
        <w:rPr>
          <w:rFonts w:ascii="仿宋" w:hAnsi="仿宋" w:eastAsia="仿宋" w:cs="仿宋"/>
          <w:snapToGrid w:val="0"/>
          <w:color w:val="0000FF"/>
          <w:kern w:val="28"/>
          <w:sz w:val="24"/>
          <w:szCs w:val="20"/>
          <w:highlight w:val="none"/>
        </w:rPr>
      </w:pPr>
      <w:r>
        <w:rPr>
          <w:rFonts w:hint="eastAsia" w:ascii="仿宋" w:hAnsi="仿宋" w:eastAsia="仿宋" w:cs="仿宋"/>
          <w:snapToGrid w:val="0"/>
          <w:color w:val="0000FF"/>
          <w:kern w:val="28"/>
          <w:sz w:val="24"/>
          <w:szCs w:val="20"/>
          <w:highlight w:val="none"/>
        </w:rPr>
        <w:t>本项目的特定资格要求：</w:t>
      </w:r>
      <w:r>
        <w:rPr>
          <w:rFonts w:hint="eastAsia" w:ascii="仿宋" w:hAnsi="仿宋" w:eastAsia="仿宋" w:cs="仿宋"/>
          <w:snapToGrid w:val="0"/>
          <w:color w:val="0000FF"/>
          <w:kern w:val="28"/>
          <w:sz w:val="24"/>
          <w:szCs w:val="20"/>
          <w:highlight w:val="none"/>
          <w:lang w:val="en-US" w:eastAsia="zh-CN"/>
        </w:rPr>
        <w:t>无</w:t>
      </w:r>
      <w:r>
        <w:rPr>
          <w:rFonts w:hint="eastAsia" w:ascii="仿宋" w:hAnsi="仿宋" w:eastAsia="仿宋" w:cs="仿宋"/>
          <w:snapToGrid w:val="0"/>
          <w:color w:val="0000FF"/>
          <w:kern w:val="28"/>
          <w:sz w:val="24"/>
          <w:szCs w:val="20"/>
          <w:highlight w:val="none"/>
        </w:rPr>
        <w:t>；</w:t>
      </w:r>
    </w:p>
    <w:p>
      <w:pPr>
        <w:widowControl/>
        <w:spacing w:line="360" w:lineRule="auto"/>
        <w:ind w:firstLine="480" w:firstLineChars="200"/>
        <w:jc w:val="left"/>
        <w:rPr>
          <w:rFonts w:ascii="仿宋" w:hAnsi="仿宋" w:eastAsia="仿宋" w:cs="仿宋"/>
          <w:sz w:val="24"/>
        </w:rPr>
      </w:pPr>
    </w:p>
    <w:p>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snapToGrid w:val="0"/>
        <w:spacing w:line="360" w:lineRule="auto"/>
        <w:ind w:right="480"/>
        <w:jc w:val="center"/>
        <w:rPr>
          <w:rFonts w:ascii="仿宋" w:hAnsi="仿宋" w:eastAsia="仿宋" w:cs="仿宋"/>
          <w:b/>
          <w:kern w:val="0"/>
          <w:sz w:val="32"/>
          <w:szCs w:val="32"/>
          <w:lang w:val="zh-CN"/>
        </w:rPr>
        <w:sectPr>
          <w:footerReference r:id="rId7" w:type="first"/>
          <w:footerReference r:id="rId6" w:type="default"/>
          <w:pgSz w:w="11906" w:h="16838"/>
          <w:pgMar w:top="1247" w:right="1418" w:bottom="1276"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left"/>
        <w:outlineLvl w:val="0"/>
        <w:rPr>
          <w:rFonts w:ascii="仿宋" w:hAnsi="仿宋" w:eastAsia="仿宋" w:cs="仿宋"/>
          <w:b/>
          <w:kern w:val="0"/>
          <w:sz w:val="24"/>
        </w:rPr>
      </w:pPr>
    </w:p>
    <w:p>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响应函……………………………………………………………………………（页码）</w:t>
      </w:r>
    </w:p>
    <w:p>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（3）评标标准相应的商务技术资料…………………………………………………（页码）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（4）商务技术偏离表…………………………………………………………………（页码）</w:t>
      </w:r>
    </w:p>
    <w:p>
      <w:pPr>
        <w:snapToGrid w:val="0"/>
        <w:spacing w:line="360" w:lineRule="auto"/>
        <w:rPr>
          <w:rFonts w:ascii="仿宋" w:hAnsi="仿宋" w:eastAsia="仿宋" w:cs="仿宋"/>
          <w:sz w:val="24"/>
        </w:rPr>
      </w:pPr>
      <w:r>
        <w:rPr>
          <w:rFonts w:hint="eastAsia" w:ascii="仿宋" w:hAnsi="仿宋" w:eastAsia="仿宋" w:cs="仿宋"/>
          <w:sz w:val="24"/>
        </w:rPr>
        <w:t>（5）政府采购供应商廉洁自律承诺书………………………………………………（页码）</w:t>
      </w: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
      <w:pPr>
        <w:pStyle w:val="73"/>
        <w:ind w:firstLine="480"/>
      </w:pPr>
    </w:p>
    <w:p>
      <w:pPr>
        <w:pStyle w:val="73"/>
        <w:ind w:firstLine="480"/>
      </w:pPr>
    </w:p>
    <w:p>
      <w:pPr>
        <w:pStyle w:val="73"/>
        <w:ind w:firstLine="480"/>
      </w:pPr>
    </w:p>
    <w:p>
      <w:pPr>
        <w:pStyle w:val="73"/>
        <w:ind w:firstLine="480"/>
      </w:pPr>
    </w:p>
    <w:p>
      <w:pPr>
        <w:pStyle w:val="17"/>
      </w:pPr>
    </w:p>
    <w:p/>
    <w:p/>
    <w:p>
      <w:pPr>
        <w:pStyle w:val="17"/>
      </w:pPr>
    </w:p>
    <w:p/>
    <w:p>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pPr>
        <w:pStyle w:val="73"/>
        <w:numPr>
          <w:ilvl w:val="0"/>
          <w:numId w:val="14"/>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90 </w:t>
      </w:r>
      <w:r>
        <w:rPr>
          <w:rFonts w:hint="eastAsia" w:ascii="仿宋" w:hAnsi="仿宋" w:eastAsia="仿宋" w:cs="仿宋"/>
        </w:rPr>
        <w:t>天，（不少于90天），本响应文件在响应有效期满之前均具有约束力。</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4.3按照磋商文件要求提交履约保证金；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其他补充说明:                                        。</w:t>
      </w:r>
    </w:p>
    <w:p>
      <w:pPr>
        <w:autoSpaceDE w:val="0"/>
        <w:autoSpaceDN w:val="0"/>
        <w:spacing w:line="360" w:lineRule="auto"/>
        <w:ind w:firstLine="3960" w:firstLineChars="1650"/>
        <w:rPr>
          <w:rFonts w:ascii="仿宋" w:hAnsi="仿宋" w:eastAsia="仿宋" w:cs="仿宋"/>
          <w:kern w:val="0"/>
          <w:sz w:val="24"/>
          <w:lang w:val="zh-CN"/>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pStyle w:val="17"/>
        <w:rPr>
          <w:lang w:val="en-US"/>
        </w:rPr>
      </w:pPr>
    </w:p>
    <w:p/>
    <w:p/>
    <w:p/>
    <w:p/>
    <w:p/>
    <w:p>
      <w:pPr>
        <w:pStyle w:val="73"/>
        <w:ind w:firstLine="480"/>
      </w:pPr>
    </w:p>
    <w:p>
      <w:pPr>
        <w:pStyle w:val="73"/>
        <w:ind w:firstLine="480"/>
      </w:pPr>
    </w:p>
    <w:p>
      <w:pPr>
        <w:pStyle w:val="73"/>
        <w:ind w:firstLine="480"/>
      </w:pPr>
    </w:p>
    <w:p>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pPr>
        <w:pStyle w:val="621"/>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7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621"/>
              <w:spacing w:line="360" w:lineRule="auto"/>
              <w:rPr>
                <w:rFonts w:ascii="仿宋" w:hAnsi="仿宋" w:eastAsia="仿宋" w:cs="仿宋"/>
                <w:bCs/>
                <w:sz w:val="24"/>
              </w:rPr>
            </w:pPr>
            <w:r>
              <w:rPr>
                <w:rFonts w:hint="eastAsia" w:ascii="仿宋" w:hAnsi="仿宋" w:eastAsia="仿宋" w:cs="仿宋"/>
                <w:bCs/>
                <w:sz w:val="24"/>
              </w:rPr>
              <w:t>正面：                                 反面：</w:t>
            </w:r>
          </w:p>
          <w:p>
            <w:pPr>
              <w:pStyle w:val="621"/>
              <w:spacing w:line="360" w:lineRule="auto"/>
              <w:rPr>
                <w:rFonts w:ascii="仿宋" w:hAnsi="仿宋" w:eastAsia="仿宋" w:cs="仿宋"/>
                <w:bCs/>
                <w:sz w:val="24"/>
              </w:rPr>
            </w:pPr>
          </w:p>
        </w:tc>
      </w:tr>
    </w:tbl>
    <w:p>
      <w:pPr>
        <w:snapToGrid w:val="0"/>
        <w:spacing w:line="360" w:lineRule="auto"/>
        <w:ind w:firstLine="576"/>
        <w:jc w:val="right"/>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ascii="仿宋" w:hAnsi="仿宋" w:eastAsia="仿宋" w:cs="仿宋"/>
          <w:sz w:val="28"/>
          <w:szCs w:val="28"/>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numPr>
          <w:ilvl w:val="255"/>
          <w:numId w:val="0"/>
        </w:numPr>
        <w:snapToGrid w:val="0"/>
        <w:spacing w:line="360" w:lineRule="auto"/>
        <w:ind w:firstLine="2249" w:firstLineChars="700"/>
        <w:rPr>
          <w:rFonts w:ascii="仿宋" w:hAnsi="仿宋" w:eastAsia="仿宋" w:cs="仿宋"/>
          <w:b/>
          <w:kern w:val="0"/>
          <w:sz w:val="32"/>
          <w:szCs w:val="32"/>
        </w:rPr>
      </w:pPr>
      <w:r>
        <w:rPr>
          <w:rFonts w:hint="eastAsia" w:ascii="仿宋" w:hAnsi="仿宋" w:eastAsia="仿宋" w:cs="仿宋"/>
          <w:b/>
          <w:kern w:val="0"/>
          <w:sz w:val="32"/>
          <w:szCs w:val="32"/>
        </w:rPr>
        <w:t>3、评标标准相应的商务技术资料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4、商务技术偏离表</w:t>
      </w:r>
    </w:p>
    <w:tbl>
      <w:tblPr>
        <w:tblStyle w:val="7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lang w:eastAsia="zh-CN"/>
        </w:rPr>
        <w:t>供应商</w:t>
      </w:r>
      <w:r>
        <w:rPr>
          <w:rFonts w:hint="eastAsia" w:ascii="仿宋" w:hAnsi="仿宋" w:eastAsia="仿宋" w:cs="仿宋"/>
          <w:kern w:val="0"/>
          <w:sz w:val="24"/>
        </w:rPr>
        <w:t>保证：除商务技术偏离表列出的偏离外，</w:t>
      </w:r>
      <w:r>
        <w:rPr>
          <w:rFonts w:hint="eastAsia" w:ascii="仿宋" w:hAnsi="仿宋" w:eastAsia="仿宋" w:cs="仿宋"/>
          <w:kern w:val="0"/>
          <w:sz w:val="24"/>
          <w:lang w:eastAsia="zh-CN"/>
        </w:rPr>
        <w:t>供应商</w:t>
      </w:r>
      <w:r>
        <w:rPr>
          <w:rFonts w:hint="eastAsia" w:ascii="仿宋" w:hAnsi="仿宋" w:eastAsia="仿宋" w:cs="仿宋"/>
          <w:kern w:val="0"/>
          <w:sz w:val="24"/>
        </w:rPr>
        <w:t>响应磋商文件的全部要求。不填写视同完全响应磋商文件要求。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rPr>
          <w:rFonts w:ascii="仿宋" w:hAnsi="仿宋" w:eastAsia="仿宋" w:cs="仿宋"/>
          <w:b/>
          <w:kern w:val="0"/>
          <w:sz w:val="32"/>
          <w:szCs w:val="32"/>
        </w:rPr>
      </w:pPr>
    </w:p>
    <w:p>
      <w:pPr>
        <w:pStyle w:val="17"/>
        <w:rPr>
          <w:rFonts w:ascii="仿宋" w:hAnsi="仿宋" w:eastAsia="仿宋" w:cs="仿宋"/>
          <w:b/>
          <w:kern w:val="0"/>
          <w:sz w:val="32"/>
          <w:szCs w:val="32"/>
          <w:lang w:val="en-US"/>
        </w:rPr>
      </w:pPr>
    </w:p>
    <w:p>
      <w:pPr>
        <w:rPr>
          <w:rFonts w:ascii="仿宋" w:hAnsi="仿宋" w:eastAsia="仿宋" w:cs="仿宋"/>
          <w:b/>
          <w:kern w:val="0"/>
          <w:sz w:val="32"/>
          <w:szCs w:val="32"/>
        </w:rPr>
      </w:pPr>
    </w:p>
    <w:p>
      <w:pPr>
        <w:pStyle w:val="17"/>
        <w:rPr>
          <w:rFonts w:ascii="仿宋" w:hAnsi="仿宋" w:eastAsia="仿宋" w:cs="仿宋"/>
          <w:b/>
          <w:kern w:val="0"/>
          <w:sz w:val="32"/>
          <w:szCs w:val="32"/>
          <w:lang w:val="en-US"/>
        </w:rPr>
      </w:pPr>
    </w:p>
    <w:p>
      <w:pPr>
        <w:rPr>
          <w:rFonts w:ascii="仿宋" w:hAnsi="仿宋" w:eastAsia="仿宋" w:cs="仿宋"/>
          <w:b/>
          <w:kern w:val="0"/>
          <w:sz w:val="32"/>
          <w:szCs w:val="32"/>
        </w:rPr>
      </w:pPr>
    </w:p>
    <w:p>
      <w:pPr>
        <w:pStyle w:val="17"/>
        <w:rPr>
          <w:rFonts w:ascii="仿宋" w:hAnsi="仿宋" w:eastAsia="仿宋" w:cs="仿宋"/>
          <w:b/>
          <w:kern w:val="0"/>
          <w:sz w:val="32"/>
          <w:szCs w:val="32"/>
          <w:lang w:val="en-US"/>
        </w:rPr>
      </w:pPr>
    </w:p>
    <w:p>
      <w:pPr>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rPr>
        <w:t>5、</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ind w:firstLine="5280" w:firstLineChars="2200"/>
        <w:rPr>
          <w:rFonts w:ascii="仿宋" w:hAnsi="仿宋" w:eastAsia="仿宋" w:cs="仿宋"/>
          <w:kern w:val="0"/>
          <w:sz w:val="24"/>
          <w:lang w:val="zh-CN"/>
        </w:rPr>
      </w:pPr>
    </w:p>
    <w:p>
      <w:pPr>
        <w:pStyle w:val="17"/>
        <w:rPr>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numPr>
          <w:ilvl w:val="0"/>
          <w:numId w:val="15"/>
        </w:numPr>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15"/>
        </w:numPr>
        <w:spacing w:line="360" w:lineRule="auto"/>
        <w:rPr>
          <w:rFonts w:ascii="仿宋" w:hAnsi="仿宋" w:eastAsia="仿宋" w:cs="仿宋"/>
          <w:sz w:val="24"/>
        </w:rPr>
      </w:pPr>
      <w:r>
        <w:rPr>
          <w:rFonts w:hint="eastAsia" w:ascii="仿宋" w:hAnsi="仿宋" w:eastAsia="仿宋" w:cs="仿宋"/>
          <w:sz w:val="24"/>
        </w:rPr>
        <w:t>报价情况说明（如有）………………………………………………（页码）</w:t>
      </w:r>
    </w:p>
    <w:p>
      <w:pPr>
        <w:pStyle w:val="17"/>
      </w:pPr>
    </w:p>
    <w:p>
      <w:pPr>
        <w:pStyle w:val="17"/>
        <w:ind w:firstLine="0"/>
        <w:rPr>
          <w:lang w:val="en-US"/>
        </w:rPr>
      </w:pPr>
    </w:p>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7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3"/>
        <w:gridCol w:w="4696"/>
        <w:gridCol w:w="1069"/>
        <w:gridCol w:w="1216"/>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593" w:type="dxa"/>
            <w:shd w:val="clear" w:color="auto" w:fill="FFFFFF"/>
            <w:vAlign w:val="center"/>
          </w:tcPr>
          <w:p>
            <w:pPr>
              <w:widowControl/>
              <w:jc w:val="center"/>
              <w:textAlignment w:val="center"/>
              <w:rPr>
                <w:rFonts w:hint="eastAsia" w:ascii="仿宋" w:hAnsi="仿宋" w:eastAsia="仿宋" w:cs="仿宋"/>
                <w:b/>
                <w:bCs/>
                <w:spacing w:val="-11"/>
                <w:szCs w:val="21"/>
              </w:rPr>
            </w:pPr>
            <w:r>
              <w:rPr>
                <w:rFonts w:hint="eastAsia" w:ascii="仿宋" w:hAnsi="仿宋" w:eastAsia="仿宋" w:cs="仿宋"/>
                <w:b/>
                <w:bCs/>
                <w:spacing w:val="-11"/>
                <w:kern w:val="0"/>
                <w:szCs w:val="21"/>
                <w:lang w:bidi="ar"/>
              </w:rPr>
              <w:t>序号</w:t>
            </w:r>
          </w:p>
        </w:tc>
        <w:tc>
          <w:tcPr>
            <w:tcW w:w="4696" w:type="dxa"/>
            <w:shd w:val="clear" w:color="auto" w:fill="FFFFFF"/>
            <w:vAlign w:val="center"/>
          </w:tcPr>
          <w:p>
            <w:pPr>
              <w:widowControl/>
              <w:jc w:val="center"/>
              <w:textAlignment w:val="center"/>
              <w:rPr>
                <w:rFonts w:hint="eastAsia" w:ascii="仿宋" w:hAnsi="仿宋" w:eastAsia="仿宋" w:cs="仿宋"/>
                <w:b/>
                <w:bCs/>
                <w:spacing w:val="-11"/>
                <w:kern w:val="0"/>
                <w:szCs w:val="21"/>
                <w:lang w:eastAsia="zh-CN" w:bidi="ar"/>
              </w:rPr>
            </w:pPr>
            <w:r>
              <w:rPr>
                <w:rFonts w:hint="eastAsia" w:ascii="仿宋" w:hAnsi="仿宋" w:eastAsia="仿宋" w:cs="仿宋"/>
                <w:b/>
                <w:bCs/>
                <w:spacing w:val="-11"/>
                <w:kern w:val="0"/>
                <w:szCs w:val="21"/>
                <w:lang w:val="en-US" w:eastAsia="zh-CN" w:bidi="ar"/>
              </w:rPr>
              <w:t>项目名称</w:t>
            </w:r>
          </w:p>
        </w:tc>
        <w:tc>
          <w:tcPr>
            <w:tcW w:w="1069" w:type="dxa"/>
            <w:shd w:val="clear" w:color="auto" w:fill="FFFFFF"/>
            <w:vAlign w:val="center"/>
          </w:tcPr>
          <w:p>
            <w:pPr>
              <w:widowControl/>
              <w:jc w:val="center"/>
              <w:textAlignment w:val="center"/>
              <w:rPr>
                <w:rFonts w:hint="eastAsia" w:ascii="仿宋" w:hAnsi="仿宋" w:eastAsia="仿宋" w:cs="仿宋"/>
                <w:b/>
                <w:bCs/>
                <w:spacing w:val="-11"/>
                <w:kern w:val="0"/>
                <w:szCs w:val="21"/>
                <w:lang w:bidi="ar"/>
              </w:rPr>
            </w:pPr>
            <w:r>
              <w:rPr>
                <w:rFonts w:hint="eastAsia" w:ascii="仿宋" w:hAnsi="仿宋" w:eastAsia="仿宋" w:cs="仿宋"/>
                <w:b/>
                <w:bCs/>
                <w:spacing w:val="-11"/>
                <w:kern w:val="0"/>
                <w:szCs w:val="21"/>
                <w:lang w:bidi="ar"/>
              </w:rPr>
              <w:t>综合单价（元）</w:t>
            </w:r>
            <w:r>
              <w:rPr>
                <w:rFonts w:hint="eastAsia" w:ascii="仿宋" w:hAnsi="仿宋" w:eastAsia="仿宋" w:cs="仿宋"/>
                <w:b/>
                <w:bCs/>
                <w:spacing w:val="-11"/>
                <w:kern w:val="0"/>
                <w:szCs w:val="21"/>
                <w:lang w:val="en-US" w:eastAsia="zh-CN" w:bidi="ar"/>
              </w:rPr>
              <w:t>/亩</w:t>
            </w:r>
          </w:p>
        </w:tc>
        <w:tc>
          <w:tcPr>
            <w:tcW w:w="1216" w:type="dxa"/>
            <w:shd w:val="clear" w:color="auto" w:fill="FFFFFF"/>
            <w:vAlign w:val="center"/>
          </w:tcPr>
          <w:p>
            <w:pPr>
              <w:widowControl/>
              <w:jc w:val="center"/>
              <w:textAlignment w:val="center"/>
              <w:rPr>
                <w:rFonts w:hint="eastAsia" w:ascii="仿宋" w:hAnsi="仿宋" w:eastAsia="仿宋" w:cs="仿宋"/>
                <w:b/>
                <w:bCs/>
                <w:spacing w:val="-11"/>
                <w:kern w:val="0"/>
                <w:szCs w:val="21"/>
                <w:lang w:bidi="ar"/>
              </w:rPr>
            </w:pPr>
            <w:r>
              <w:rPr>
                <w:rFonts w:hint="eastAsia" w:ascii="仿宋" w:hAnsi="仿宋" w:eastAsia="仿宋" w:cs="仿宋"/>
                <w:b/>
                <w:bCs/>
                <w:spacing w:val="-11"/>
                <w:kern w:val="0"/>
                <w:szCs w:val="21"/>
                <w:lang w:bidi="ar"/>
              </w:rPr>
              <w:t>合价（元）</w:t>
            </w:r>
          </w:p>
        </w:tc>
        <w:tc>
          <w:tcPr>
            <w:tcW w:w="1712" w:type="dxa"/>
            <w:shd w:val="clear" w:color="auto" w:fill="FFFFFF"/>
            <w:vAlign w:val="center"/>
          </w:tcPr>
          <w:p>
            <w:pPr>
              <w:widowControl/>
              <w:jc w:val="center"/>
              <w:textAlignment w:val="center"/>
              <w:rPr>
                <w:rFonts w:hint="eastAsia" w:ascii="仿宋" w:hAnsi="仿宋" w:eastAsia="仿宋" w:cs="仿宋"/>
                <w:b/>
                <w:bCs/>
                <w:spacing w:val="-11"/>
                <w:kern w:val="0"/>
                <w:szCs w:val="21"/>
                <w:lang w:bidi="ar"/>
              </w:rPr>
            </w:pPr>
            <w:r>
              <w:rPr>
                <w:rFonts w:hint="eastAsia" w:ascii="仿宋" w:hAnsi="仿宋" w:eastAsia="仿宋" w:cs="仿宋"/>
                <w:b/>
                <w:bCs/>
                <w:spacing w:val="-11"/>
                <w:kern w:val="0"/>
                <w:szCs w:val="21"/>
                <w:lang w:bidi="ar"/>
              </w:rPr>
              <w:t>备注</w:t>
            </w:r>
          </w:p>
          <w:p>
            <w:pPr>
              <w:widowControl/>
              <w:jc w:val="center"/>
              <w:textAlignment w:val="center"/>
              <w:rPr>
                <w:rFonts w:hint="eastAsia" w:ascii="仿宋" w:hAnsi="仿宋" w:eastAsia="仿宋" w:cs="仿宋"/>
                <w:b/>
                <w:bCs/>
                <w:spacing w:val="-1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2" w:hRule="atLeast"/>
        </w:trPr>
        <w:tc>
          <w:tcPr>
            <w:tcW w:w="593" w:type="dxa"/>
            <w:shd w:val="clear" w:color="auto" w:fill="FFFFFF"/>
            <w:vAlign w:val="center"/>
          </w:tcPr>
          <w:p>
            <w:pPr>
              <w:widowControl/>
              <w:spacing w:line="30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4696" w:type="dxa"/>
            <w:shd w:val="clear" w:color="auto" w:fill="FFFFFF"/>
            <w:vAlign w:val="center"/>
          </w:tcPr>
          <w:p>
            <w:pPr>
              <w:widowControl/>
              <w:spacing w:line="300" w:lineRule="exact"/>
              <w:jc w:val="center"/>
              <w:textAlignment w:val="center"/>
              <w:rPr>
                <w:rFonts w:hint="eastAsia" w:ascii="仿宋" w:hAnsi="仿宋" w:eastAsia="仿宋" w:cs="仿宋"/>
                <w:szCs w:val="21"/>
                <w:lang w:eastAsia="zh-CN"/>
              </w:rPr>
            </w:pPr>
            <w:r>
              <w:rPr>
                <w:rFonts w:hint="eastAsia" w:ascii="仿宋" w:hAnsi="仿宋" w:eastAsia="仿宋" w:cs="仿宋"/>
                <w:b/>
                <w:bCs/>
                <w:sz w:val="24"/>
                <w:lang w:eastAsia="zh-CN"/>
              </w:rPr>
              <w:t>长兴县林场林权历史遗留问题清理项目</w:t>
            </w:r>
          </w:p>
        </w:tc>
        <w:tc>
          <w:tcPr>
            <w:tcW w:w="1069" w:type="dxa"/>
            <w:shd w:val="clear" w:color="auto" w:fill="FFFFFF"/>
            <w:vAlign w:val="center"/>
          </w:tcPr>
          <w:p>
            <w:pPr>
              <w:widowControl/>
              <w:spacing w:line="300" w:lineRule="exact"/>
              <w:jc w:val="center"/>
              <w:textAlignment w:val="center"/>
              <w:rPr>
                <w:rFonts w:hint="eastAsia" w:ascii="仿宋" w:hAnsi="仿宋" w:eastAsia="仿宋" w:cs="仿宋"/>
                <w:szCs w:val="21"/>
                <w:lang w:eastAsia="zh-CN"/>
              </w:rPr>
            </w:pPr>
          </w:p>
        </w:tc>
        <w:tc>
          <w:tcPr>
            <w:tcW w:w="1216" w:type="dxa"/>
            <w:shd w:val="clear" w:color="auto" w:fill="FFFFFF"/>
            <w:vAlign w:val="center"/>
          </w:tcPr>
          <w:p>
            <w:pPr>
              <w:widowControl/>
              <w:spacing w:line="280" w:lineRule="exact"/>
              <w:jc w:val="center"/>
              <w:textAlignment w:val="center"/>
              <w:rPr>
                <w:rFonts w:hint="eastAsia" w:ascii="仿宋" w:hAnsi="仿宋" w:eastAsia="仿宋" w:cs="仿宋"/>
                <w:kern w:val="0"/>
                <w:szCs w:val="21"/>
                <w:lang w:bidi="ar"/>
              </w:rPr>
            </w:pPr>
          </w:p>
        </w:tc>
        <w:tc>
          <w:tcPr>
            <w:tcW w:w="1712" w:type="dxa"/>
            <w:shd w:val="clear" w:color="auto" w:fill="FFFFFF"/>
            <w:vAlign w:val="center"/>
          </w:tcPr>
          <w:p>
            <w:pPr>
              <w:adjustRightInd w:val="0"/>
              <w:snapToGrid w:val="0"/>
              <w:spacing w:line="280" w:lineRule="exact"/>
              <w:jc w:val="left"/>
              <w:rPr>
                <w:rFonts w:hint="eastAsia" w:ascii="仿宋" w:hAnsi="仿宋" w:eastAsia="仿宋" w:cs="仿宋"/>
                <w:lang w:val="en-US" w:eastAsia="zh-CN"/>
              </w:rPr>
            </w:pPr>
            <w:r>
              <w:rPr>
                <w:rFonts w:hint="eastAsia" w:ascii="仿宋" w:hAnsi="仿宋" w:eastAsia="仿宋" w:cs="仿宋"/>
                <w:lang w:val="en-US" w:eastAsia="zh-CN"/>
              </w:rPr>
              <w:t>按最终测绘调查的面积结算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5" w:hRule="atLeast"/>
        </w:trPr>
        <w:tc>
          <w:tcPr>
            <w:tcW w:w="9286" w:type="dxa"/>
            <w:gridSpan w:val="5"/>
            <w:shd w:val="clear" w:color="auto" w:fill="FFFFFF"/>
            <w:vAlign w:val="center"/>
          </w:tcPr>
          <w:p>
            <w:pPr>
              <w:jc w:val="center"/>
              <w:rPr>
                <w:rFonts w:hint="eastAsia" w:ascii="仿宋" w:hAnsi="仿宋" w:eastAsia="仿宋" w:cs="仿宋"/>
                <w:szCs w:val="21"/>
              </w:rPr>
            </w:pPr>
            <w:r>
              <w:rPr>
                <w:rFonts w:hint="eastAsia" w:ascii="仿宋" w:hAnsi="仿宋" w:eastAsia="仿宋" w:cs="仿宋"/>
                <w:b/>
                <w:bCs/>
                <w:kern w:val="0"/>
                <w:szCs w:val="22"/>
                <w:lang w:bidi="ar"/>
              </w:rPr>
              <w:t xml:space="preserve">合计金额：（大写）人民币 </w:t>
            </w:r>
            <w:r>
              <w:rPr>
                <w:rFonts w:hint="eastAsia" w:ascii="仿宋" w:hAnsi="仿宋" w:eastAsia="仿宋" w:cs="仿宋"/>
                <w:b/>
                <w:bCs/>
                <w:kern w:val="0"/>
                <w:szCs w:val="22"/>
                <w:u w:val="single"/>
                <w:lang w:bidi="ar"/>
              </w:rPr>
              <w:t xml:space="preserve">                    元整（￥           元）</w:t>
            </w:r>
          </w:p>
        </w:tc>
      </w:tr>
    </w:tbl>
    <w:p>
      <w:pPr>
        <w:pStyle w:val="73"/>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pPr>
        <w:numPr>
          <w:ilvl w:val="0"/>
          <w:numId w:val="16"/>
        </w:numPr>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ascii="仿宋" w:hAnsi="仿宋" w:eastAsia="仿宋" w:cs="仿宋"/>
          <w:b/>
          <w:bCs/>
          <w:color w:val="0000FF"/>
          <w:kern w:val="0"/>
          <w:sz w:val="24"/>
        </w:rPr>
      </w:pPr>
      <w:r>
        <w:rPr>
          <w:rFonts w:hint="eastAsia" w:ascii="仿宋" w:hAnsi="仿宋" w:eastAsia="仿宋" w:cs="仿宋"/>
          <w:kern w:val="0"/>
          <w:sz w:val="24"/>
        </w:rPr>
        <w:t>3、</w:t>
      </w:r>
      <w:r>
        <w:rPr>
          <w:rFonts w:hint="eastAsia" w:ascii="仿宋" w:hAnsi="仿宋" w:eastAsia="仿宋" w:cs="仿宋"/>
          <w:kern w:val="0"/>
          <w:sz w:val="24"/>
          <w:lang w:val="zh-CN"/>
        </w:rPr>
        <w:t>采购内容未包含在《</w:t>
      </w:r>
      <w:r>
        <w:rPr>
          <w:rFonts w:hint="eastAsia" w:ascii="仿宋" w:hAnsi="仿宋" w:eastAsia="仿宋" w:cs="仿宋"/>
          <w:kern w:val="0"/>
          <w:sz w:val="24"/>
        </w:rPr>
        <w:t>开标</w:t>
      </w:r>
      <w:r>
        <w:rPr>
          <w:rFonts w:hint="eastAsia" w:ascii="仿宋" w:hAnsi="仿宋" w:eastAsia="仿宋" w:cs="仿宋"/>
          <w:kern w:val="0"/>
          <w:sz w:val="24"/>
          <w:lang w:val="zh-CN"/>
        </w:rPr>
        <w:t>一览表（报价表）》名称栏中，供应商不能作出合理解释的，视为投标文件含有采购人不能接受的附加条件的，投标无效。</w:t>
      </w:r>
      <w:r>
        <w:rPr>
          <w:rFonts w:hint="eastAsia" w:ascii="仿宋" w:hAnsi="仿宋" w:eastAsia="仿宋" w:cs="仿宋"/>
          <w:b/>
          <w:bCs/>
          <w:color w:val="0000FF"/>
          <w:kern w:val="0"/>
          <w:sz w:val="24"/>
          <w:lang w:val="zh-CN"/>
        </w:rPr>
        <w:t>(如投标单位投标报价低于项目预算金额 50%的，应当提交报价情况说明，详细阐述不影响产品质量或者诚信履约的具体原因。)</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、特别提示：采购代理机构将对项目名称和项目编号，成交供应商名称、地址和成交金额，主要成交标的名称、服务范围、服务要求、服务时间、服务标准等予以公示。</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供应商名称（电子签名）：</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pPr>
        <w:pStyle w:val="73"/>
        <w:numPr>
          <w:ilvl w:val="255"/>
          <w:numId w:val="0"/>
        </w:numPr>
        <w:ind w:firstLine="2891" w:firstLineChars="900"/>
        <w:rPr>
          <w:rFonts w:hint="eastAsia" w:ascii="仿宋" w:hAnsi="仿宋" w:eastAsia="仿宋" w:cs="仿宋"/>
          <w:b/>
          <w:kern w:val="0"/>
          <w:sz w:val="32"/>
          <w:szCs w:val="32"/>
        </w:rPr>
      </w:pPr>
    </w:p>
    <w:p>
      <w:pPr>
        <w:pStyle w:val="73"/>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2、报价情况说明（如果有）</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（如供应商报价低于项目预算50%的，应当提交本文档，详细阐述不影响产品质量或者诚信履约的具体原因。）</w:t>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sectPr>
          <w:headerReference r:id="rId9" w:type="first"/>
          <w:footerReference r:id="rId11" w:type="first"/>
          <w:headerReference r:id="rId8" w:type="default"/>
          <w:footerReference r:id="rId10" w:type="default"/>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pPr>
        <w:spacing w:line="360" w:lineRule="auto"/>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pPr>
        <w:spacing w:line="360" w:lineRule="auto"/>
        <w:jc w:val="left"/>
        <w:rPr>
          <w:rFonts w:ascii="仿宋" w:hAnsi="仿宋" w:eastAsia="仿宋" w:cs="仿宋"/>
          <w:b/>
          <w:sz w:val="24"/>
        </w:rPr>
      </w:pPr>
    </w:p>
    <w:p>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ascii="仿宋" w:hAnsi="仿宋" w:eastAsia="仿宋" w:cs="仿宋"/>
          <w:b/>
          <w:bCs/>
          <w:sz w:val="32"/>
          <w:szCs w:val="32"/>
        </w:rPr>
      </w:pP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ZAPP9gAAAAK&#10;AQAADwAAAAAAAAABACAAAAAiAAAAZHJzL2Rvd25yZXYueG1sUEsBAhQAFAAAAAgAh07iQPM7IGkc&#10;AgAAMgQAAA4AAAAAAAAAAQAgAAAAJwEAAGRycy9lMm9Eb2MueG1sUEsFBgAAAAAGAAYAWQEAALUF&#10;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mMR6bYAAAA&#10;CgEAAA8AAAAAAAAAAQAgAAAAIgAAAGRycy9kb3ducmV2LnhtbFBLAQIUABQAAAAIAIdO4kBN54VH&#10;HQIAADIEAAAOAAAAAAAAAAEAIAAAACcBAABkcnMvZTJvRG9jLnhtbFBLBQYAAAAABgAGAFkBAAC2&#10;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ascii="仿宋" w:hAnsi="仿宋" w:eastAsia="仿宋" w:cs="仿宋"/>
          <w:kern w:val="0"/>
          <w:sz w:val="24"/>
        </w:rPr>
      </w:pPr>
    </w:p>
    <w:p>
      <w:pPr>
        <w:snapToGrid w:val="0"/>
        <w:spacing w:line="360" w:lineRule="auto"/>
        <w:jc w:val="cente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ascii="仿宋" w:hAnsi="仿宋" w:eastAsia="仿宋" w:cs="仿宋"/>
          <w:b/>
          <w:sz w:val="32"/>
          <w:szCs w:val="32"/>
        </w:rPr>
      </w:pP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pPr>
        <w:spacing w:line="360" w:lineRule="auto"/>
        <w:jc w:val="center"/>
        <w:rPr>
          <w:rFonts w:ascii="仿宋" w:hAnsi="仿宋" w:eastAsia="仿宋" w:cs="仿宋"/>
          <w:b/>
          <w:sz w:val="32"/>
          <w:szCs w:val="32"/>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p>
      <w:pPr>
        <w:pStyle w:val="73"/>
        <w:ind w:firstLine="4080" w:firstLineChars="1700"/>
        <w:rPr>
          <w:rFonts w:ascii="仿宋" w:hAnsi="仿宋" w:eastAsia="仿宋" w:cs="仿宋"/>
          <w:kern w:val="0"/>
        </w:rPr>
      </w:pP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sectPr>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Vrinda">
    <w:altName w:val="Segoe UI Symbol"/>
    <w:panose1 w:val="020B0502040204020203"/>
    <w:charset w:val="00"/>
    <w:family w:val="auto"/>
    <w:pitch w:val="default"/>
    <w:sig w:usb0="00000000" w:usb1="00000000" w:usb2="00000000" w:usb3="00000000" w:csb0="00000001" w:csb1="00000000"/>
  </w:font>
  <w:font w:name="ksdb">
    <w:altName w:val="Sitka Text"/>
    <w:panose1 w:val="020005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 w:name="Univers">
    <w:altName w:val="Segoe Print"/>
    <w:panose1 w:val="020B0603020202030204"/>
    <w:charset w:val="00"/>
    <w:family w:val="swiss"/>
    <w:pitch w:val="default"/>
    <w:sig w:usb0="00000000" w:usb1="00000000" w:usb2="000000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_x000B__x000C_">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42</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0"/>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70</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0"/>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70</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both"/>
      <w:rPr>
        <w:rFonts w:ascii="仿宋_GB2312" w:eastAsia="仿宋_GB2312"/>
        <w:b/>
        <w:bCs/>
        <w:i/>
        <w:u w:val="single"/>
      </w:rPr>
    </w:pP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both"/>
      <w:rPr>
        <w:rFonts w:eastAsia="仿宋_GB2312"/>
        <w:b/>
        <w:bCs/>
      </w:rPr>
    </w:pP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both"/>
      <w:rPr>
        <w:rFonts w:eastAsia="仿宋_GB2312"/>
        <w:b/>
        <w:bCs/>
      </w:rPr>
    </w:pP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p>
    <w:pPr>
      <w:pStyle w:val="43"/>
      <w:pBdr>
        <w:bottom w:val="none" w:color="auto" w:sz="0" w:space="1"/>
      </w:pBdr>
      <w:jc w:val="right"/>
      <w:rPr>
        <w:rFonts w:eastAsia="仿宋_GB2312"/>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both"/>
      <w:rPr>
        <w:rFonts w:hint="eastAsia" w:eastAsia="仿宋_GB2312"/>
        <w:lang w:eastAsia="zh-CN"/>
      </w:rPr>
    </w:pPr>
    <w:r>
      <w:rPr>
        <w:rFonts w:hint="eastAsia" w:eastAsia="仿宋_GB2312"/>
        <w:lang w:eastAsia="zh-CN"/>
      </w:rPr>
      <w:tab/>
    </w:r>
    <w:r>
      <w:rPr>
        <w:rFonts w:hint="eastAsia" w:ascii="仿宋" w:hAnsi="仿宋" w:eastAsia="仿宋" w:cs="仿宋"/>
        <w:b/>
        <w:bCs/>
        <w:sz w:val="24"/>
        <w:lang w:eastAsia="zh-CN"/>
      </w:rPr>
      <w:t>长兴县林场林权历史遗留问题清理项目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w:t>
    </w:r>
    <w:r>
      <w:rPr>
        <w:rFonts w:hint="eastAsia" w:ascii="仿宋" w:hAnsi="仿宋" w:eastAsia="仿宋" w:cs="仿宋"/>
        <w:b/>
        <w:bCs/>
        <w:sz w:val="24"/>
        <w:lang w:val="en-US" w:eastAsia="zh-CN"/>
      </w:rPr>
      <w:t>文件</w:t>
    </w:r>
    <w:r>
      <w:rPr>
        <w:rFonts w:hint="eastAsia" w:eastAsia="仿宋_GB2312"/>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8E4F"/>
    <w:multiLevelType w:val="singleLevel"/>
    <w:tmpl w:val="92E48E4F"/>
    <w:lvl w:ilvl="0" w:tentative="0">
      <w:start w:val="1"/>
      <w:numFmt w:val="decimal"/>
      <w:suff w:val="nothing"/>
      <w:lvlText w:val="（%1）"/>
      <w:lvlJc w:val="left"/>
    </w:lvl>
  </w:abstractNum>
  <w:abstractNum w:abstractNumId="1">
    <w:nsid w:val="A3BB790F"/>
    <w:multiLevelType w:val="singleLevel"/>
    <w:tmpl w:val="A3BB790F"/>
    <w:lvl w:ilvl="0" w:tentative="0">
      <w:start w:val="1"/>
      <w:numFmt w:val="decimal"/>
      <w:suff w:val="nothing"/>
      <w:lvlText w:val="（%1）"/>
      <w:lvlJc w:val="left"/>
    </w:lvl>
  </w:abstractNum>
  <w:abstractNum w:abstractNumId="2">
    <w:nsid w:val="CD116FD4"/>
    <w:multiLevelType w:val="singleLevel"/>
    <w:tmpl w:val="CD116FD4"/>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20"/>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361E849"/>
    <w:multiLevelType w:val="singleLevel"/>
    <w:tmpl w:val="0361E849"/>
    <w:lvl w:ilvl="0" w:tentative="0">
      <w:start w:val="1"/>
      <w:numFmt w:val="decimal"/>
      <w:suff w:val="nothing"/>
      <w:lvlText w:val="%1、"/>
      <w:lvlJc w:val="left"/>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47D3400"/>
    <w:multiLevelType w:val="singleLevel"/>
    <w:tmpl w:val="647D3400"/>
    <w:lvl w:ilvl="0" w:tentative="0">
      <w:start w:val="1"/>
      <w:numFmt w:val="decimal"/>
      <w:suff w:val="nothing"/>
      <w:lvlText w:val="（%1）"/>
      <w:lvlJc w:val="left"/>
    </w:lvl>
  </w:abstractNum>
  <w:abstractNum w:abstractNumId="13">
    <w:nsid w:val="67296FCC"/>
    <w:multiLevelType w:val="singleLevel"/>
    <w:tmpl w:val="67296FCC"/>
    <w:lvl w:ilvl="0" w:tentative="0">
      <w:start w:val="2"/>
      <w:numFmt w:val="decimal"/>
      <w:suff w:val="nothing"/>
      <w:lvlText w:val="%1、"/>
      <w:lvlJc w:val="left"/>
    </w:lvl>
  </w:abstractNum>
  <w:abstractNum w:abstractNumId="14">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4"/>
  </w:num>
  <w:num w:numId="7">
    <w:abstractNumId w:val="15"/>
  </w:num>
  <w:num w:numId="8">
    <w:abstractNumId w:val="0"/>
  </w:num>
  <w:num w:numId="9">
    <w:abstractNumId w:val="2"/>
  </w:num>
  <w:num w:numId="10">
    <w:abstractNumId w:val="6"/>
  </w:num>
  <w:num w:numId="11">
    <w:abstractNumId w:val="8"/>
  </w:num>
  <w:num w:numId="12">
    <w:abstractNumId w:val="11"/>
  </w:num>
  <w:num w:numId="13">
    <w:abstractNumId w:val="12"/>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0E47"/>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BFA"/>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5F7D"/>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E39"/>
    <w:rsid w:val="004C11A9"/>
    <w:rsid w:val="004C27CF"/>
    <w:rsid w:val="004C2CA7"/>
    <w:rsid w:val="004C38E3"/>
    <w:rsid w:val="004C45C8"/>
    <w:rsid w:val="004C612E"/>
    <w:rsid w:val="004C6C0A"/>
    <w:rsid w:val="004C7180"/>
    <w:rsid w:val="004C729B"/>
    <w:rsid w:val="004C77FF"/>
    <w:rsid w:val="004D0223"/>
    <w:rsid w:val="004D12E8"/>
    <w:rsid w:val="004D16A3"/>
    <w:rsid w:val="004D1E41"/>
    <w:rsid w:val="004D6F29"/>
    <w:rsid w:val="004D7F9C"/>
    <w:rsid w:val="004D7FF2"/>
    <w:rsid w:val="004E1D6F"/>
    <w:rsid w:val="004E1F19"/>
    <w:rsid w:val="004E365B"/>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72"/>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03EB"/>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5DB5"/>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0469"/>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817"/>
    <w:rsid w:val="008B16E6"/>
    <w:rsid w:val="008B2042"/>
    <w:rsid w:val="008B25F1"/>
    <w:rsid w:val="008B3737"/>
    <w:rsid w:val="008B3F4B"/>
    <w:rsid w:val="008B69B8"/>
    <w:rsid w:val="008C0335"/>
    <w:rsid w:val="008C094A"/>
    <w:rsid w:val="008C1077"/>
    <w:rsid w:val="008C13EF"/>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BEA"/>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839"/>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80E"/>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4F91"/>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E30"/>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50B"/>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2DB"/>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81F"/>
    <w:rsid w:val="00DC6AF3"/>
    <w:rsid w:val="00DC740D"/>
    <w:rsid w:val="00DC7608"/>
    <w:rsid w:val="00DC761E"/>
    <w:rsid w:val="00DC7CFC"/>
    <w:rsid w:val="00DD0090"/>
    <w:rsid w:val="00DD107E"/>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0D73"/>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3AE"/>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32457"/>
    <w:rsid w:val="029B223F"/>
    <w:rsid w:val="02DA0C0E"/>
    <w:rsid w:val="03DD35E4"/>
    <w:rsid w:val="04462ED7"/>
    <w:rsid w:val="04CB6939"/>
    <w:rsid w:val="055A7363"/>
    <w:rsid w:val="05A33A8A"/>
    <w:rsid w:val="06230D7C"/>
    <w:rsid w:val="065A6178"/>
    <w:rsid w:val="0666253B"/>
    <w:rsid w:val="075562B7"/>
    <w:rsid w:val="079A699B"/>
    <w:rsid w:val="07C25E27"/>
    <w:rsid w:val="07E90206"/>
    <w:rsid w:val="07EA5ACF"/>
    <w:rsid w:val="07F6164B"/>
    <w:rsid w:val="08063FF5"/>
    <w:rsid w:val="087A1B7A"/>
    <w:rsid w:val="093214DF"/>
    <w:rsid w:val="096B2097"/>
    <w:rsid w:val="0996661D"/>
    <w:rsid w:val="0A5B7E63"/>
    <w:rsid w:val="0B407F54"/>
    <w:rsid w:val="0BDB1C0C"/>
    <w:rsid w:val="0BE67B3C"/>
    <w:rsid w:val="0C495576"/>
    <w:rsid w:val="0C87121B"/>
    <w:rsid w:val="0CA74308"/>
    <w:rsid w:val="0D1B602A"/>
    <w:rsid w:val="0DD518D3"/>
    <w:rsid w:val="0DF702FE"/>
    <w:rsid w:val="0E3F698B"/>
    <w:rsid w:val="0E926382"/>
    <w:rsid w:val="0EB96713"/>
    <w:rsid w:val="0EBC1B02"/>
    <w:rsid w:val="0F21508F"/>
    <w:rsid w:val="0F816ACD"/>
    <w:rsid w:val="0FB94501"/>
    <w:rsid w:val="10B047CF"/>
    <w:rsid w:val="10FC16EA"/>
    <w:rsid w:val="11180ACD"/>
    <w:rsid w:val="111F7BD1"/>
    <w:rsid w:val="118963A1"/>
    <w:rsid w:val="127723A9"/>
    <w:rsid w:val="12D100A4"/>
    <w:rsid w:val="130535D3"/>
    <w:rsid w:val="13072A44"/>
    <w:rsid w:val="131E5E73"/>
    <w:rsid w:val="13222073"/>
    <w:rsid w:val="136944F3"/>
    <w:rsid w:val="13795995"/>
    <w:rsid w:val="138644B8"/>
    <w:rsid w:val="13E11941"/>
    <w:rsid w:val="145044FA"/>
    <w:rsid w:val="14C82439"/>
    <w:rsid w:val="14FC1AFD"/>
    <w:rsid w:val="15113E7E"/>
    <w:rsid w:val="15DD4589"/>
    <w:rsid w:val="15F16D9C"/>
    <w:rsid w:val="165778D6"/>
    <w:rsid w:val="17415C61"/>
    <w:rsid w:val="174923C9"/>
    <w:rsid w:val="17536395"/>
    <w:rsid w:val="17826A68"/>
    <w:rsid w:val="179D417C"/>
    <w:rsid w:val="17E63B1E"/>
    <w:rsid w:val="186742B0"/>
    <w:rsid w:val="186C7681"/>
    <w:rsid w:val="18811FD9"/>
    <w:rsid w:val="18DA5BE3"/>
    <w:rsid w:val="197A599A"/>
    <w:rsid w:val="1987672E"/>
    <w:rsid w:val="19AF432D"/>
    <w:rsid w:val="19C06489"/>
    <w:rsid w:val="19E76FC2"/>
    <w:rsid w:val="1A1435C6"/>
    <w:rsid w:val="1A5A1FD9"/>
    <w:rsid w:val="1A641C77"/>
    <w:rsid w:val="1B2A271F"/>
    <w:rsid w:val="1B890139"/>
    <w:rsid w:val="1BCF5E85"/>
    <w:rsid w:val="1C1C5755"/>
    <w:rsid w:val="1C2C6769"/>
    <w:rsid w:val="1CFC6ABD"/>
    <w:rsid w:val="1D1F4FE0"/>
    <w:rsid w:val="1D266CE1"/>
    <w:rsid w:val="1D3963AF"/>
    <w:rsid w:val="1E714A66"/>
    <w:rsid w:val="1F250DF2"/>
    <w:rsid w:val="1F580919"/>
    <w:rsid w:val="1F7B6A8C"/>
    <w:rsid w:val="1FE868A9"/>
    <w:rsid w:val="20853A55"/>
    <w:rsid w:val="20AC72E3"/>
    <w:rsid w:val="20C720E3"/>
    <w:rsid w:val="211E26D6"/>
    <w:rsid w:val="21283D08"/>
    <w:rsid w:val="21292866"/>
    <w:rsid w:val="21DA3844"/>
    <w:rsid w:val="22601F31"/>
    <w:rsid w:val="24CA15C7"/>
    <w:rsid w:val="25B440B3"/>
    <w:rsid w:val="26866819"/>
    <w:rsid w:val="27142F4F"/>
    <w:rsid w:val="27A36F1A"/>
    <w:rsid w:val="28773AC1"/>
    <w:rsid w:val="297E63DC"/>
    <w:rsid w:val="2AA07D81"/>
    <w:rsid w:val="2AA1365A"/>
    <w:rsid w:val="2B7405BF"/>
    <w:rsid w:val="2DD15014"/>
    <w:rsid w:val="2EA45618"/>
    <w:rsid w:val="2EC22DF5"/>
    <w:rsid w:val="2EEA2824"/>
    <w:rsid w:val="2F592CF0"/>
    <w:rsid w:val="2FD25781"/>
    <w:rsid w:val="2FE43BC5"/>
    <w:rsid w:val="305B3E0B"/>
    <w:rsid w:val="305F05E2"/>
    <w:rsid w:val="31491E1C"/>
    <w:rsid w:val="316E462C"/>
    <w:rsid w:val="319C6071"/>
    <w:rsid w:val="329A526F"/>
    <w:rsid w:val="32DB72BE"/>
    <w:rsid w:val="32EB6758"/>
    <w:rsid w:val="33195738"/>
    <w:rsid w:val="342E63AB"/>
    <w:rsid w:val="345D260B"/>
    <w:rsid w:val="352E5CEC"/>
    <w:rsid w:val="358E1937"/>
    <w:rsid w:val="35C63DF9"/>
    <w:rsid w:val="35FC67D9"/>
    <w:rsid w:val="36202463"/>
    <w:rsid w:val="36293FC7"/>
    <w:rsid w:val="365302AE"/>
    <w:rsid w:val="3682223E"/>
    <w:rsid w:val="37180854"/>
    <w:rsid w:val="37570008"/>
    <w:rsid w:val="37F142D2"/>
    <w:rsid w:val="38BB6F2F"/>
    <w:rsid w:val="394A0761"/>
    <w:rsid w:val="39A13F14"/>
    <w:rsid w:val="3A0379ED"/>
    <w:rsid w:val="3A396F6B"/>
    <w:rsid w:val="3A4F2913"/>
    <w:rsid w:val="3A6120B0"/>
    <w:rsid w:val="3A6351D1"/>
    <w:rsid w:val="3A992BF1"/>
    <w:rsid w:val="3AE27094"/>
    <w:rsid w:val="3AF50C88"/>
    <w:rsid w:val="3B4A174F"/>
    <w:rsid w:val="3B5A0B79"/>
    <w:rsid w:val="3B621E96"/>
    <w:rsid w:val="3BCB3FD1"/>
    <w:rsid w:val="3C5F759A"/>
    <w:rsid w:val="3CCF5D67"/>
    <w:rsid w:val="3D356C3F"/>
    <w:rsid w:val="3D500184"/>
    <w:rsid w:val="3D5C78D4"/>
    <w:rsid w:val="3D7F7EBD"/>
    <w:rsid w:val="3E544A86"/>
    <w:rsid w:val="3EAD477D"/>
    <w:rsid w:val="3EE95F27"/>
    <w:rsid w:val="3F08439D"/>
    <w:rsid w:val="3FBC483B"/>
    <w:rsid w:val="3FE13FF4"/>
    <w:rsid w:val="3FFB1940"/>
    <w:rsid w:val="3FFF72A6"/>
    <w:rsid w:val="40217837"/>
    <w:rsid w:val="406464A5"/>
    <w:rsid w:val="407D1A96"/>
    <w:rsid w:val="42E1381E"/>
    <w:rsid w:val="43FB717C"/>
    <w:rsid w:val="44942F6B"/>
    <w:rsid w:val="451E447A"/>
    <w:rsid w:val="45345B76"/>
    <w:rsid w:val="45414FCE"/>
    <w:rsid w:val="45896ADD"/>
    <w:rsid w:val="46713F51"/>
    <w:rsid w:val="46C10BF6"/>
    <w:rsid w:val="47307808"/>
    <w:rsid w:val="473C6BAD"/>
    <w:rsid w:val="47A300C5"/>
    <w:rsid w:val="486F747C"/>
    <w:rsid w:val="48703727"/>
    <w:rsid w:val="48E943E0"/>
    <w:rsid w:val="49796158"/>
    <w:rsid w:val="4A3E2263"/>
    <w:rsid w:val="4C8A7AFA"/>
    <w:rsid w:val="4CB103CD"/>
    <w:rsid w:val="4D765A97"/>
    <w:rsid w:val="4D861CF6"/>
    <w:rsid w:val="4E0A676A"/>
    <w:rsid w:val="4E9A7728"/>
    <w:rsid w:val="4EFF005A"/>
    <w:rsid w:val="4FA31645"/>
    <w:rsid w:val="501A01F0"/>
    <w:rsid w:val="505917F3"/>
    <w:rsid w:val="50B452C9"/>
    <w:rsid w:val="514765DE"/>
    <w:rsid w:val="51A0432A"/>
    <w:rsid w:val="51A86DD8"/>
    <w:rsid w:val="527140E5"/>
    <w:rsid w:val="527D76BC"/>
    <w:rsid w:val="5292508F"/>
    <w:rsid w:val="52A96B6F"/>
    <w:rsid w:val="537835CE"/>
    <w:rsid w:val="537D36C3"/>
    <w:rsid w:val="53A02594"/>
    <w:rsid w:val="543740A4"/>
    <w:rsid w:val="55044E3A"/>
    <w:rsid w:val="550764A4"/>
    <w:rsid w:val="551926E0"/>
    <w:rsid w:val="55866A02"/>
    <w:rsid w:val="55AF70B5"/>
    <w:rsid w:val="561279B9"/>
    <w:rsid w:val="56515F3B"/>
    <w:rsid w:val="572B71CA"/>
    <w:rsid w:val="57E958DA"/>
    <w:rsid w:val="58426063"/>
    <w:rsid w:val="5887626D"/>
    <w:rsid w:val="58AE4F0C"/>
    <w:rsid w:val="58C3741E"/>
    <w:rsid w:val="58F715D4"/>
    <w:rsid w:val="59665001"/>
    <w:rsid w:val="59FE50A1"/>
    <w:rsid w:val="5A2A7C7B"/>
    <w:rsid w:val="5AF768E0"/>
    <w:rsid w:val="5B1C38DA"/>
    <w:rsid w:val="5B9F0AB7"/>
    <w:rsid w:val="5C141922"/>
    <w:rsid w:val="5C80234E"/>
    <w:rsid w:val="5DDB38BD"/>
    <w:rsid w:val="5E261785"/>
    <w:rsid w:val="5E9E2DB7"/>
    <w:rsid w:val="5FCC5339"/>
    <w:rsid w:val="5FE70807"/>
    <w:rsid w:val="606D06E5"/>
    <w:rsid w:val="60C45B32"/>
    <w:rsid w:val="60E53485"/>
    <w:rsid w:val="61054A27"/>
    <w:rsid w:val="611D2366"/>
    <w:rsid w:val="61701DA3"/>
    <w:rsid w:val="62885958"/>
    <w:rsid w:val="62F277E6"/>
    <w:rsid w:val="64C43292"/>
    <w:rsid w:val="64CE2EAA"/>
    <w:rsid w:val="64F2178B"/>
    <w:rsid w:val="650225FD"/>
    <w:rsid w:val="662E75B1"/>
    <w:rsid w:val="66342C2E"/>
    <w:rsid w:val="66386CC5"/>
    <w:rsid w:val="663E784C"/>
    <w:rsid w:val="66AC6651"/>
    <w:rsid w:val="66CE24CF"/>
    <w:rsid w:val="67196227"/>
    <w:rsid w:val="685867EC"/>
    <w:rsid w:val="68D544E5"/>
    <w:rsid w:val="69FA3BC2"/>
    <w:rsid w:val="6A004C32"/>
    <w:rsid w:val="6A5A0B39"/>
    <w:rsid w:val="6A91530B"/>
    <w:rsid w:val="6AE5456F"/>
    <w:rsid w:val="6B6523F0"/>
    <w:rsid w:val="6B9B0F84"/>
    <w:rsid w:val="6B9F1ED9"/>
    <w:rsid w:val="6BA2023C"/>
    <w:rsid w:val="6C477482"/>
    <w:rsid w:val="6D4141E6"/>
    <w:rsid w:val="6D8341B3"/>
    <w:rsid w:val="6DCC49F7"/>
    <w:rsid w:val="6DCE7B9A"/>
    <w:rsid w:val="6E8E12EF"/>
    <w:rsid w:val="6F7433A6"/>
    <w:rsid w:val="701258A1"/>
    <w:rsid w:val="711B7C7A"/>
    <w:rsid w:val="71C257CF"/>
    <w:rsid w:val="71D43752"/>
    <w:rsid w:val="71E6344E"/>
    <w:rsid w:val="72146FB3"/>
    <w:rsid w:val="73DD6243"/>
    <w:rsid w:val="73F74EC0"/>
    <w:rsid w:val="749C4185"/>
    <w:rsid w:val="75DA2C18"/>
    <w:rsid w:val="7693580B"/>
    <w:rsid w:val="76A642E4"/>
    <w:rsid w:val="76E43B89"/>
    <w:rsid w:val="77037417"/>
    <w:rsid w:val="77057BFA"/>
    <w:rsid w:val="775319EF"/>
    <w:rsid w:val="7774220A"/>
    <w:rsid w:val="78470015"/>
    <w:rsid w:val="78836DAE"/>
    <w:rsid w:val="790F1C77"/>
    <w:rsid w:val="7937200F"/>
    <w:rsid w:val="795B1ADE"/>
    <w:rsid w:val="79E7270F"/>
    <w:rsid w:val="7A4B5DC8"/>
    <w:rsid w:val="7A4C6C68"/>
    <w:rsid w:val="7A5657C3"/>
    <w:rsid w:val="7A67303B"/>
    <w:rsid w:val="7AAB1D04"/>
    <w:rsid w:val="7ABA4368"/>
    <w:rsid w:val="7B257FFD"/>
    <w:rsid w:val="7B843A03"/>
    <w:rsid w:val="7B8E1858"/>
    <w:rsid w:val="7BD811F3"/>
    <w:rsid w:val="7BE57D12"/>
    <w:rsid w:val="7C2B1DA5"/>
    <w:rsid w:val="7CF404F4"/>
    <w:rsid w:val="7DF4317E"/>
    <w:rsid w:val="7E64308B"/>
    <w:rsid w:val="7F597303"/>
    <w:rsid w:val="7F7A68E5"/>
    <w:rsid w:val="7F88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7"/>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7">
    <w:name w:val="Normal Indent"/>
    <w:basedOn w:val="1"/>
    <w:next w:val="8"/>
    <w:link w:val="614"/>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1"/>
    <w:link w:val="476"/>
    <w:qFormat/>
    <w:uiPriority w:val="0"/>
    <w:pPr>
      <w:spacing w:line="480" w:lineRule="exact"/>
      <w:ind w:firstLine="480" w:firstLineChars="200"/>
    </w:pPr>
    <w:rPr>
      <w:rFonts w:ascii="宋体" w:hAnsi="宋体"/>
      <w:sz w:val="24"/>
    </w:rPr>
  </w:style>
  <w:style w:type="paragraph" w:styleId="14">
    <w:name w:val="annotation subject"/>
    <w:basedOn w:val="15"/>
    <w:next w:val="15"/>
    <w:semiHidden/>
    <w:qFormat/>
    <w:uiPriority w:val="0"/>
    <w:rPr>
      <w:b/>
      <w:bCs/>
    </w:rPr>
  </w:style>
  <w:style w:type="paragraph" w:styleId="15">
    <w:name w:val="annotation text"/>
    <w:basedOn w:val="1"/>
    <w:link w:val="615"/>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18"/>
    <w:next w:val="1"/>
    <w:link w:val="546"/>
    <w:qFormat/>
    <w:uiPriority w:val="0"/>
    <w:pPr>
      <w:ind w:firstLine="420"/>
    </w:pPr>
    <w:rPr>
      <w:szCs w:val="20"/>
    </w:rPr>
  </w:style>
  <w:style w:type="paragraph" w:styleId="18">
    <w:name w:val="Body Text"/>
    <w:basedOn w:val="1"/>
    <w:next w:val="17"/>
    <w:link w:val="513"/>
    <w:qFormat/>
    <w:uiPriority w:val="0"/>
    <w:pPr>
      <w:autoSpaceDE w:val="0"/>
      <w:autoSpaceDN w:val="0"/>
      <w:spacing w:line="360" w:lineRule="auto"/>
    </w:pPr>
    <w:rPr>
      <w:rFonts w:ascii="宋体"/>
      <w:sz w:val="24"/>
      <w:szCs w:val="21"/>
      <w:lang w:val="zh-CN"/>
    </w:r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semiHidden/>
    <w:qFormat/>
    <w:uiPriority w:val="0"/>
    <w:pPr>
      <w:shd w:val="clear" w:color="auto" w:fill="000080"/>
    </w:pPr>
  </w:style>
  <w:style w:type="paragraph" w:styleId="25">
    <w:name w:val="Salutation"/>
    <w:basedOn w:val="1"/>
    <w:next w:val="1"/>
    <w:link w:val="483"/>
    <w:qFormat/>
    <w:uiPriority w:val="0"/>
    <w:rPr>
      <w:rFonts w:ascii="仿宋_GB2312" w:eastAsia="仿宋_GB2312"/>
      <w:sz w:val="28"/>
      <w:szCs w:val="20"/>
    </w:rPr>
  </w:style>
  <w:style w:type="paragraph" w:styleId="26">
    <w:name w:val="Body Text 3"/>
    <w:basedOn w:val="1"/>
    <w:link w:val="582"/>
    <w:qFormat/>
    <w:uiPriority w:val="0"/>
    <w:pPr>
      <w:jc w:val="center"/>
    </w:pPr>
    <w:rPr>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8"/>
    <w:link w:val="490"/>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9"/>
    <w:qFormat/>
    <w:uiPriority w:val="0"/>
    <w:pPr>
      <w:ind w:left="100" w:leftChars="2500"/>
    </w:pPr>
    <w:rPr>
      <w:rFonts w:ascii="宋体"/>
      <w:sz w:val="24"/>
      <w:szCs w:val="21"/>
      <w:lang w:val="zh-CN"/>
    </w:rPr>
  </w:style>
  <w:style w:type="paragraph" w:styleId="38">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9">
    <w:name w:val="Balloon Text"/>
    <w:basedOn w:val="1"/>
    <w:link w:val="616"/>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Body Text First Indent 2"/>
    <w:basedOn w:val="8"/>
    <w:next w:val="42"/>
    <w:link w:val="503"/>
    <w:qFormat/>
    <w:uiPriority w:val="0"/>
    <w:pPr>
      <w:adjustRightInd/>
      <w:spacing w:after="120" w:line="240" w:lineRule="auto"/>
      <w:ind w:left="420" w:leftChars="200" w:firstLine="210"/>
    </w:pPr>
    <w:rPr>
      <w:sz w:val="21"/>
    </w:rPr>
  </w:style>
  <w:style w:type="paragraph" w:customStyle="1" w:styleId="42">
    <w:name w:val="xl53"/>
    <w:basedOn w:val="1"/>
    <w:next w:val="1"/>
    <w:qFormat/>
    <w:uiPriority w:val="0"/>
    <w:pPr>
      <w:spacing w:before="280" w:after="280" w:line="100" w:lineRule="exact"/>
      <w:jc w:val="center"/>
    </w:pPr>
    <w:rPr>
      <w:b/>
      <w:sz w:val="20"/>
    </w:rPr>
  </w:style>
  <w:style w:type="paragraph" w:styleId="4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9"/>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table" w:styleId="72">
    <w:name w:val="Table Grid"/>
    <w:basedOn w:val="7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3">
    <w:name w:val="List Paragraph"/>
    <w:basedOn w:val="1"/>
    <w:qFormat/>
    <w:uiPriority w:val="0"/>
    <w:pPr>
      <w:spacing w:line="360" w:lineRule="auto"/>
      <w:ind w:firstLine="200" w:firstLineChars="200"/>
    </w:pPr>
    <w:rPr>
      <w:rFonts w:eastAsia="楷体_GB2312" w:cs="Lucida Sans"/>
      <w:sz w:val="24"/>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next w:val="102"/>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目录 71"/>
    <w:next w:val="1"/>
    <w:qFormat/>
    <w:uiPriority w:val="0"/>
    <w:pPr>
      <w:wordWrap w:val="0"/>
      <w:ind w:left="2550"/>
      <w:jc w:val="both"/>
    </w:pPr>
    <w:rPr>
      <w:rFonts w:ascii="宋体" w:hAnsi="宋体" w:eastAsia="Times New Roman" w:cs="Times New Roman"/>
      <w:sz w:val="21"/>
      <w:szCs w:val="22"/>
      <w:lang w:val="en-US" w:eastAsia="zh-CN" w:bidi="ar-SA"/>
    </w:rPr>
  </w:style>
  <w:style w:type="paragraph" w:customStyle="1" w:styleId="103">
    <w:name w:val="正文文字缩进2字"/>
    <w:basedOn w:val="18"/>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1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6"/>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8"/>
    <w:qFormat/>
    <w:uiPriority w:val="0"/>
    <w:pPr>
      <w:snapToGrid w:val="0"/>
      <w:spacing w:line="360" w:lineRule="auto"/>
    </w:pPr>
    <w:rPr>
      <w:rFonts w:ascii="宋体"/>
      <w:b/>
      <w:sz w:val="24"/>
      <w:szCs w:val="20"/>
    </w:rPr>
  </w:style>
  <w:style w:type="paragraph" w:customStyle="1" w:styleId="231">
    <w:name w:val="模板普通正文"/>
    <w:basedOn w:val="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8"/>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4"/>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18"/>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9"/>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4"/>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2"/>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1"/>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8"/>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1"/>
    <w:qFormat/>
    <w:uiPriority w:val="0"/>
    <w:rPr>
      <w:b/>
      <w:bCs/>
      <w:kern w:val="2"/>
      <w:sz w:val="24"/>
      <w:szCs w:val="24"/>
    </w:rPr>
  </w:style>
  <w:style w:type="character" w:customStyle="1" w:styleId="483">
    <w:name w:val="称呼 Char"/>
    <w:link w:val="25"/>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8"/>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41"/>
    <w:qFormat/>
    <w:uiPriority w:val="0"/>
    <w:rPr>
      <w:rFonts w:ascii="宋体" w:hAnsi="宋体"/>
      <w:kern w:val="2"/>
      <w:sz w:val="21"/>
      <w:szCs w:val="24"/>
    </w:rPr>
  </w:style>
  <w:style w:type="character" w:customStyle="1" w:styleId="504">
    <w:name w:val="正文文本缩进 2 Char"/>
    <w:link w:val="38"/>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3"/>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basedOn w:val="62"/>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9"/>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17"/>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9"/>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6"/>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4"/>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7"/>
    <w:qFormat/>
    <w:uiPriority w:val="0"/>
    <w:rPr>
      <w:rFonts w:ascii="宋体"/>
      <w:kern w:val="2"/>
      <w:sz w:val="24"/>
      <w:szCs w:val="21"/>
      <w:lang w:val="zh-CN"/>
    </w:rPr>
  </w:style>
  <w:style w:type="character" w:customStyle="1" w:styleId="600">
    <w:name w:val="标题 4 Char"/>
    <w:link w:val="6"/>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10"/>
    <w:qFormat/>
    <w:uiPriority w:val="0"/>
    <w:rPr>
      <w:rFonts w:ascii="Arial" w:hAnsi="Arial" w:eastAsia="黑体"/>
      <w:b/>
      <w:bCs/>
      <w:kern w:val="2"/>
      <w:sz w:val="24"/>
      <w:szCs w:val="24"/>
    </w:rPr>
  </w:style>
  <w:style w:type="character" w:customStyle="1" w:styleId="614">
    <w:name w:val="正文缩进 Char2"/>
    <w:link w:val="7"/>
    <w:qFormat/>
    <w:uiPriority w:val="0"/>
    <w:rPr>
      <w:rFonts w:ascii="宋体" w:eastAsia="宋体"/>
      <w:snapToGrid w:val="0"/>
      <w:color w:val="000000"/>
      <w:kern w:val="28"/>
      <w:sz w:val="28"/>
      <w:lang w:val="en-US" w:eastAsia="zh-CN" w:bidi="ar-SA"/>
    </w:rPr>
  </w:style>
  <w:style w:type="character" w:customStyle="1" w:styleId="615">
    <w:name w:val="批注文字 Char1"/>
    <w:link w:val="15"/>
    <w:qFormat/>
    <w:uiPriority w:val="99"/>
    <w:rPr>
      <w:kern w:val="2"/>
      <w:sz w:val="21"/>
      <w:szCs w:val="24"/>
    </w:rPr>
  </w:style>
  <w:style w:type="character" w:customStyle="1" w:styleId="616">
    <w:name w:val="批注框文本 Char"/>
    <w:link w:val="39"/>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font91"/>
    <w:basedOn w:val="62"/>
    <w:qFormat/>
    <w:uiPriority w:val="0"/>
    <w:rPr>
      <w:rFonts w:hint="eastAsia" w:ascii="宋体" w:hAnsi="宋体" w:eastAsia="宋体" w:cs="宋体"/>
      <w:color w:val="000000"/>
      <w:sz w:val="24"/>
      <w:szCs w:val="24"/>
      <w:u w:val="none"/>
    </w:rPr>
  </w:style>
  <w:style w:type="paragraph" w:customStyle="1" w:styleId="634">
    <w:name w:val="正文首行缩进2字符"/>
    <w:basedOn w:val="1"/>
    <w:qFormat/>
    <w:uiPriority w:val="0"/>
    <w:pPr>
      <w:ind w:firstLine="200" w:firstLineChars="200"/>
    </w:pPr>
    <w:rPr>
      <w:szCs w:val="20"/>
    </w:rPr>
  </w:style>
  <w:style w:type="character" w:customStyle="1" w:styleId="635">
    <w:name w:val="font31"/>
    <w:basedOn w:val="62"/>
    <w:qFormat/>
    <w:uiPriority w:val="0"/>
    <w:rPr>
      <w:rFonts w:hint="default" w:ascii="Courier New" w:hAnsi="Courier New" w:cs="Courier New"/>
      <w:color w:val="000000"/>
      <w:sz w:val="21"/>
      <w:szCs w:val="21"/>
      <w:u w:val="none"/>
    </w:rPr>
  </w:style>
  <w:style w:type="paragraph" w:customStyle="1" w:styleId="636">
    <w:name w:val="Table Paragraph"/>
    <w:basedOn w:val="1"/>
    <w:qFormat/>
    <w:uiPriority w:val="0"/>
    <w:pPr>
      <w:autoSpaceDE w:val="0"/>
      <w:autoSpaceDN w:val="0"/>
      <w:jc w:val="left"/>
    </w:pPr>
    <w:rPr>
      <w:rFonts w:ascii="仿宋" w:hAnsi="仿宋" w:eastAsia="仿宋" w:cs="仿宋"/>
      <w:kern w:val="0"/>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430</Words>
  <Characters>503</Characters>
  <Lines>291</Lines>
  <Paragraphs>82</Paragraphs>
  <ScaleCrop>false</ScaleCrop>
  <LinksUpToDate>false</LinksUpToDate>
  <CharactersWithSpaces>633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ak</cp:lastModifiedBy>
  <cp:lastPrinted>2021-10-22T18:37:00Z</cp:lastPrinted>
  <dcterms:modified xsi:type="dcterms:W3CDTF">2025-07-17T02:14:32Z</dcterms:modified>
  <dc:title>杭州市市民卡扩大发卡工程</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3C8ED3BF52854911865ADA0B8825E3AE_13</vt:lpwstr>
  </property>
  <property fmtid="{D5CDD505-2E9C-101B-9397-08002B2CF9AE}" pid="4" name="KSOTemplateDocerSaveRecord">
    <vt:lpwstr>eyJoZGlkIjoiNjEwMDhkZDI1ZTM5NDM0ZTZhMmRkZjUzMTM4ZDQ1ZWYiLCJ1c2VySWQiOiI2OTAzNjkzMjYifQ==</vt:lpwstr>
  </property>
</Properties>
</file>