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5341E">
      <w:pPr>
        <w:pStyle w:val="54"/>
        <w:ind w:firstLine="0" w:firstLineChars="0"/>
        <w:rPr>
          <w:rFonts w:hint="eastAsia" w:ascii="宋体" w:hAnsi="宋体" w:eastAsia="宋体" w:cs="宋体"/>
          <w:b/>
          <w:bCs/>
          <w:color w:val="auto"/>
          <w:spacing w:val="-20"/>
          <w:sz w:val="48"/>
          <w:szCs w:val="48"/>
          <w:highlight w:val="none"/>
        </w:rPr>
      </w:pPr>
    </w:p>
    <w:p w14:paraId="0C9479BC">
      <w:pPr>
        <w:pStyle w:val="54"/>
        <w:ind w:firstLine="321"/>
        <w:jc w:val="center"/>
        <w:rPr>
          <w:rFonts w:hint="eastAsia" w:ascii="宋体" w:hAnsi="宋体" w:eastAsia="宋体" w:cs="宋体"/>
          <w:b/>
          <w:bCs/>
          <w:color w:val="auto"/>
          <w:sz w:val="48"/>
          <w:szCs w:val="48"/>
          <w:highlight w:val="none"/>
          <w:lang w:eastAsia="zh-CN"/>
        </w:rPr>
      </w:pPr>
      <w:r>
        <w:rPr>
          <w:rFonts w:hint="eastAsia" w:cs="宋体"/>
          <w:b/>
          <w:bCs/>
          <w:color w:val="auto"/>
          <w:spacing w:val="-20"/>
          <w:sz w:val="48"/>
          <w:szCs w:val="48"/>
          <w:highlight w:val="none"/>
          <w:lang w:eastAsia="zh-CN"/>
        </w:rPr>
        <w:t xml:space="preserve">长兴县太湖图影小学篮球场悬浮地板采购项目 </w:t>
      </w:r>
    </w:p>
    <w:p w14:paraId="75CA68BC">
      <w:pPr>
        <w:rPr>
          <w:rFonts w:hint="eastAsia" w:ascii="宋体" w:hAnsi="宋体" w:eastAsia="宋体" w:cs="宋体"/>
          <w:color w:val="auto"/>
          <w:highlight w:val="none"/>
        </w:rPr>
      </w:pPr>
    </w:p>
    <w:p w14:paraId="69FA28C8">
      <w:pPr>
        <w:pStyle w:val="54"/>
        <w:ind w:firstLine="210"/>
        <w:rPr>
          <w:rFonts w:hint="eastAsia" w:ascii="宋体" w:hAnsi="宋体" w:eastAsia="宋体" w:cs="宋体"/>
          <w:color w:val="auto"/>
          <w:highlight w:val="none"/>
        </w:rPr>
      </w:pPr>
    </w:p>
    <w:p w14:paraId="5BA5F9B8">
      <w:pPr>
        <w:rPr>
          <w:rFonts w:hint="eastAsia" w:ascii="宋体" w:hAnsi="宋体" w:eastAsia="宋体" w:cs="宋体"/>
          <w:color w:val="auto"/>
          <w:highlight w:val="none"/>
        </w:rPr>
      </w:pPr>
    </w:p>
    <w:p w14:paraId="04A9E64D">
      <w:pPr>
        <w:pStyle w:val="54"/>
        <w:ind w:firstLine="210"/>
        <w:rPr>
          <w:rFonts w:hint="eastAsia" w:ascii="宋体" w:hAnsi="宋体" w:eastAsia="宋体" w:cs="宋体"/>
          <w:color w:val="auto"/>
          <w:highlight w:val="none"/>
        </w:rPr>
      </w:pPr>
    </w:p>
    <w:p w14:paraId="01710AD4">
      <w:pPr>
        <w:rPr>
          <w:rFonts w:hint="eastAsia" w:ascii="宋体" w:hAnsi="宋体" w:eastAsia="宋体" w:cs="宋体"/>
          <w:color w:val="auto"/>
          <w:highlight w:val="none"/>
        </w:rPr>
      </w:pPr>
    </w:p>
    <w:p w14:paraId="7763013A">
      <w:pPr>
        <w:pStyle w:val="54"/>
        <w:ind w:firstLine="210"/>
        <w:rPr>
          <w:rFonts w:hint="eastAsia" w:ascii="宋体" w:hAnsi="宋体" w:eastAsia="宋体" w:cs="宋体"/>
          <w:color w:val="auto"/>
          <w:highlight w:val="none"/>
        </w:rPr>
      </w:pPr>
    </w:p>
    <w:p w14:paraId="39E2FDA0">
      <w:pPr>
        <w:pStyle w:val="54"/>
        <w:ind w:firstLine="210"/>
        <w:rPr>
          <w:rFonts w:hint="eastAsia" w:ascii="宋体" w:hAnsi="宋体" w:eastAsia="宋体" w:cs="宋体"/>
          <w:color w:val="auto"/>
          <w:highlight w:val="none"/>
        </w:rPr>
      </w:pPr>
    </w:p>
    <w:p w14:paraId="485A41C7">
      <w:pPr>
        <w:spacing w:before="120" w:after="120" w:line="460" w:lineRule="exact"/>
        <w:jc w:val="center"/>
        <w:rPr>
          <w:rFonts w:hint="eastAsia" w:ascii="宋体" w:hAnsi="宋体" w:eastAsia="宋体" w:cs="宋体"/>
          <w:b/>
          <w:bCs/>
          <w:color w:val="auto"/>
          <w:sz w:val="24"/>
          <w:highlight w:val="none"/>
        </w:rPr>
      </w:pPr>
    </w:p>
    <w:p w14:paraId="507A6F50">
      <w:pPr>
        <w:pStyle w:val="22"/>
        <w:jc w:val="center"/>
        <w:rPr>
          <w:rFonts w:hint="eastAsia" w:ascii="宋体" w:hAnsi="宋体" w:eastAsia="宋体" w:cs="宋体"/>
          <w:b/>
          <w:bCs/>
          <w:color w:val="auto"/>
          <w:sz w:val="96"/>
          <w:szCs w:val="96"/>
          <w:highlight w:val="none"/>
          <w:lang w:val="zh-CN"/>
        </w:rPr>
      </w:pPr>
      <w:r>
        <w:rPr>
          <w:rFonts w:hint="eastAsia" w:ascii="宋体" w:hAnsi="宋体" w:eastAsia="宋体" w:cs="宋体"/>
          <w:b/>
          <w:bCs/>
          <w:color w:val="auto"/>
          <w:sz w:val="96"/>
          <w:szCs w:val="96"/>
          <w:highlight w:val="none"/>
        </w:rPr>
        <w:t>竞争性磋商文件</w:t>
      </w:r>
      <w:r>
        <w:rPr>
          <w:rFonts w:hint="eastAsia" w:ascii="宋体" w:hAnsi="宋体" w:eastAsia="宋体" w:cs="宋体"/>
          <w:b/>
          <w:bCs/>
          <w:color w:val="auto"/>
          <w:sz w:val="96"/>
          <w:szCs w:val="96"/>
          <w:highlight w:val="none"/>
          <w:lang w:val="zh-CN"/>
        </w:rPr>
        <w:cr/>
      </w:r>
    </w:p>
    <w:p w14:paraId="44585762">
      <w:pPr>
        <w:rPr>
          <w:rFonts w:hint="eastAsia" w:ascii="宋体" w:hAnsi="宋体" w:eastAsia="宋体" w:cs="宋体"/>
          <w:color w:val="auto"/>
          <w:highlight w:val="none"/>
          <w:lang w:val="zh-CN"/>
        </w:rPr>
      </w:pPr>
    </w:p>
    <w:p w14:paraId="2B2BD0A5">
      <w:pPr>
        <w:autoSpaceDE w:val="0"/>
        <w:autoSpaceDN w:val="0"/>
        <w:spacing w:before="120" w:after="120"/>
        <w:rPr>
          <w:rFonts w:hint="eastAsia" w:ascii="宋体" w:hAnsi="宋体" w:eastAsia="宋体" w:cs="宋体"/>
          <w:color w:val="auto"/>
          <w:sz w:val="30"/>
          <w:highlight w:val="none"/>
          <w:lang w:val="zh-CN"/>
        </w:rPr>
      </w:pPr>
    </w:p>
    <w:p w14:paraId="6AC1EE2E">
      <w:pPr>
        <w:pStyle w:val="54"/>
        <w:ind w:firstLine="210"/>
        <w:rPr>
          <w:rFonts w:hint="eastAsia" w:ascii="宋体" w:hAnsi="宋体" w:eastAsia="宋体" w:cs="宋体"/>
          <w:color w:val="auto"/>
          <w:highlight w:val="none"/>
          <w:lang w:val="zh-CN"/>
        </w:rPr>
      </w:pPr>
    </w:p>
    <w:p w14:paraId="5AFCF4F1">
      <w:pPr>
        <w:pStyle w:val="3"/>
        <w:rPr>
          <w:rFonts w:hint="eastAsia" w:ascii="宋体" w:hAnsi="宋体" w:eastAsia="宋体" w:cs="宋体"/>
          <w:color w:val="auto"/>
          <w:highlight w:val="none"/>
          <w:lang w:val="zh-CN"/>
        </w:rPr>
      </w:pPr>
    </w:p>
    <w:p w14:paraId="57607B18">
      <w:pPr>
        <w:rPr>
          <w:rFonts w:hint="eastAsia" w:ascii="宋体" w:hAnsi="宋体" w:eastAsia="宋体" w:cs="宋体"/>
          <w:color w:val="auto"/>
          <w:highlight w:val="none"/>
          <w:lang w:val="zh-CN"/>
        </w:rPr>
      </w:pPr>
    </w:p>
    <w:p w14:paraId="7ECD5D03">
      <w:pPr>
        <w:widowControl/>
        <w:autoSpaceDE w:val="0"/>
        <w:autoSpaceDN w:val="0"/>
        <w:spacing w:before="120" w:after="120"/>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zh-CN"/>
        </w:rPr>
        <w:t>项目编号：HZTLCG-2025011</w:t>
      </w:r>
    </w:p>
    <w:p w14:paraId="0BB479B0">
      <w:pPr>
        <w:widowControl/>
        <w:autoSpaceDE w:val="0"/>
        <w:autoSpaceDN w:val="0"/>
        <w:spacing w:before="120" w:after="120"/>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 xml:space="preserve">项目名称：长兴县太湖图影小学篮球场悬浮地板采购项目 </w:t>
      </w:r>
    </w:p>
    <w:p w14:paraId="53F3FBC7">
      <w:pPr>
        <w:autoSpaceDE w:val="0"/>
        <w:autoSpaceDN w:val="0"/>
        <w:spacing w:before="120" w:after="120"/>
        <w:rPr>
          <w:rFonts w:hint="eastAsia" w:ascii="宋体" w:hAnsi="宋体" w:eastAsia="宋体" w:cs="宋体"/>
          <w:b/>
          <w:bCs/>
          <w:color w:val="auto"/>
          <w:sz w:val="30"/>
          <w:szCs w:val="30"/>
          <w:highlight w:val="none"/>
          <w:lang w:val="zh-CN"/>
        </w:rPr>
      </w:pPr>
      <w:r>
        <w:rPr>
          <w:rFonts w:hint="eastAsia" w:ascii="宋体" w:hAnsi="宋体" w:eastAsia="宋体" w:cs="宋体"/>
          <w:b/>
          <w:bCs/>
          <w:snapToGrid w:val="0"/>
          <w:color w:val="auto"/>
          <w:kern w:val="0"/>
          <w:sz w:val="30"/>
          <w:szCs w:val="30"/>
          <w:highlight w:val="none"/>
        </w:rPr>
        <w:t>采购单位</w:t>
      </w:r>
      <w:r>
        <w:rPr>
          <w:rFonts w:hint="eastAsia" w:ascii="宋体" w:hAnsi="宋体" w:eastAsia="宋体" w:cs="宋体"/>
          <w:b/>
          <w:bCs/>
          <w:color w:val="auto"/>
          <w:sz w:val="30"/>
          <w:szCs w:val="30"/>
          <w:highlight w:val="none"/>
          <w:lang w:val="zh-CN"/>
        </w:rPr>
        <w:t xml:space="preserve">：长兴县太湖图影小学 </w:t>
      </w:r>
    </w:p>
    <w:p w14:paraId="120622A5">
      <w:pPr>
        <w:spacing w:line="360" w:lineRule="auto"/>
        <w:ind w:right="246" w:rightChars="117"/>
        <w:rPr>
          <w:rFonts w:hint="eastAsia" w:ascii="宋体" w:hAnsi="宋体" w:eastAsia="宋体" w:cs="宋体"/>
          <w:b/>
          <w:bCs/>
          <w:snapToGrid w:val="0"/>
          <w:color w:val="auto"/>
          <w:kern w:val="0"/>
          <w:sz w:val="30"/>
          <w:szCs w:val="30"/>
          <w:highlight w:val="none"/>
        </w:rPr>
      </w:pPr>
      <w:r>
        <w:rPr>
          <w:rFonts w:hint="eastAsia" w:ascii="宋体" w:hAnsi="宋体" w:eastAsia="宋体" w:cs="宋体"/>
          <w:b/>
          <w:bCs/>
          <w:snapToGrid w:val="0"/>
          <w:color w:val="auto"/>
          <w:kern w:val="0"/>
          <w:sz w:val="30"/>
          <w:szCs w:val="30"/>
          <w:highlight w:val="none"/>
        </w:rPr>
        <w:t>采购代理机构：</w:t>
      </w:r>
      <w:r>
        <w:rPr>
          <w:rFonts w:hint="eastAsia" w:ascii="宋体" w:hAnsi="宋体" w:eastAsia="宋体" w:cs="宋体"/>
          <w:b/>
          <w:bCs/>
          <w:snapToGrid w:val="0"/>
          <w:color w:val="auto"/>
          <w:kern w:val="0"/>
          <w:sz w:val="30"/>
          <w:szCs w:val="30"/>
          <w:highlight w:val="none"/>
          <w:lang w:eastAsia="zh-CN"/>
        </w:rPr>
        <w:t>湖州同力招标代理有限公司</w:t>
      </w:r>
      <w:r>
        <w:rPr>
          <w:rFonts w:hint="eastAsia" w:ascii="宋体" w:hAnsi="宋体" w:eastAsia="宋体" w:cs="宋体"/>
          <w:b/>
          <w:bCs/>
          <w:snapToGrid w:val="0"/>
          <w:color w:val="auto"/>
          <w:kern w:val="0"/>
          <w:sz w:val="30"/>
          <w:szCs w:val="30"/>
          <w:highlight w:val="none"/>
        </w:rPr>
        <w:t xml:space="preserve">  </w:t>
      </w:r>
    </w:p>
    <w:p w14:paraId="7F61BCA7">
      <w:pPr>
        <w:autoSpaceDE w:val="0"/>
        <w:autoSpaceDN w:val="0"/>
        <w:spacing w:before="120"/>
        <w:rPr>
          <w:rFonts w:hint="eastAsia" w:ascii="宋体" w:hAnsi="宋体" w:eastAsia="宋体" w:cs="宋体"/>
          <w:b/>
          <w:snapToGrid w:val="0"/>
          <w:color w:val="auto"/>
          <w:kern w:val="0"/>
          <w:sz w:val="30"/>
          <w:szCs w:val="30"/>
          <w:highlight w:val="none"/>
        </w:rPr>
      </w:pPr>
      <w:r>
        <w:rPr>
          <w:rFonts w:hint="eastAsia" w:ascii="宋体" w:hAnsi="宋体" w:eastAsia="宋体" w:cs="宋体"/>
          <w:b/>
          <w:snapToGrid w:val="0"/>
          <w:color w:val="auto"/>
          <w:kern w:val="0"/>
          <w:sz w:val="30"/>
          <w:szCs w:val="30"/>
          <w:highlight w:val="none"/>
        </w:rPr>
        <w:t>日   期：二○二</w:t>
      </w:r>
      <w:r>
        <w:rPr>
          <w:rFonts w:hint="eastAsia" w:ascii="宋体" w:hAnsi="宋体" w:eastAsia="宋体" w:cs="宋体"/>
          <w:b/>
          <w:snapToGrid w:val="0"/>
          <w:color w:val="auto"/>
          <w:kern w:val="0"/>
          <w:sz w:val="30"/>
          <w:szCs w:val="30"/>
          <w:highlight w:val="none"/>
          <w:lang w:val="en-US" w:eastAsia="zh-CN"/>
        </w:rPr>
        <w:t>五</w:t>
      </w:r>
      <w:r>
        <w:rPr>
          <w:rFonts w:hint="eastAsia" w:ascii="宋体" w:hAnsi="宋体" w:eastAsia="宋体" w:cs="宋体"/>
          <w:b/>
          <w:snapToGrid w:val="0"/>
          <w:color w:val="auto"/>
          <w:kern w:val="0"/>
          <w:sz w:val="30"/>
          <w:szCs w:val="30"/>
          <w:highlight w:val="none"/>
        </w:rPr>
        <w:t>年</w:t>
      </w:r>
      <w:r>
        <w:rPr>
          <w:rFonts w:hint="eastAsia" w:ascii="宋体" w:hAnsi="宋体" w:eastAsia="宋体" w:cs="宋体"/>
          <w:b/>
          <w:snapToGrid w:val="0"/>
          <w:color w:val="auto"/>
          <w:kern w:val="0"/>
          <w:sz w:val="30"/>
          <w:szCs w:val="30"/>
          <w:highlight w:val="none"/>
          <w:lang w:val="en-US" w:eastAsia="zh-CN"/>
        </w:rPr>
        <w:t>六</w:t>
      </w:r>
      <w:r>
        <w:rPr>
          <w:rFonts w:hint="eastAsia" w:ascii="宋体" w:hAnsi="宋体" w:eastAsia="宋体" w:cs="宋体"/>
          <w:b/>
          <w:snapToGrid w:val="0"/>
          <w:color w:val="auto"/>
          <w:kern w:val="0"/>
          <w:sz w:val="30"/>
          <w:szCs w:val="30"/>
          <w:highlight w:val="none"/>
        </w:rPr>
        <w:t>月</w:t>
      </w:r>
    </w:p>
    <w:p w14:paraId="4947E394">
      <w:pPr>
        <w:autoSpaceDE w:val="0"/>
        <w:autoSpaceDN w:val="0"/>
        <w:spacing w:before="120"/>
        <w:jc w:val="center"/>
        <w:rPr>
          <w:rFonts w:hint="eastAsia" w:ascii="宋体" w:hAnsi="宋体" w:eastAsia="宋体" w:cs="宋体"/>
          <w:b/>
          <w:snapToGrid w:val="0"/>
          <w:color w:val="auto"/>
          <w:spacing w:val="20"/>
          <w:kern w:val="0"/>
          <w:sz w:val="30"/>
          <w:szCs w:val="30"/>
          <w:highlight w:val="none"/>
        </w:rPr>
      </w:pPr>
    </w:p>
    <w:p w14:paraId="53453C29">
      <w:pPr>
        <w:autoSpaceDE w:val="0"/>
        <w:autoSpaceDN w:val="0"/>
        <w:spacing w:before="120" w:after="120" w:line="400" w:lineRule="exact"/>
        <w:jc w:val="center"/>
        <w:rPr>
          <w:rFonts w:hint="eastAsia" w:ascii="宋体" w:hAnsi="宋体" w:eastAsia="宋体" w:cs="宋体"/>
          <w:b/>
          <w:bCs/>
          <w:color w:val="auto"/>
          <w:sz w:val="36"/>
          <w:szCs w:val="36"/>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850" w:gutter="0"/>
          <w:pgNumType w:start="1"/>
          <w:cols w:space="720" w:num="1"/>
          <w:titlePg/>
          <w:docGrid w:linePitch="312" w:charSpace="0"/>
        </w:sectPr>
      </w:pPr>
    </w:p>
    <w:p w14:paraId="6C2898FB">
      <w:pPr>
        <w:autoSpaceDE w:val="0"/>
        <w:autoSpaceDN w:val="0"/>
        <w:spacing w:before="120" w:after="120" w:line="400" w:lineRule="exact"/>
        <w:jc w:val="center"/>
        <w:rPr>
          <w:rFonts w:hint="eastAsia" w:ascii="宋体" w:hAnsi="宋体" w:eastAsia="宋体" w:cs="宋体"/>
          <w:b/>
          <w:bCs/>
          <w:color w:val="auto"/>
          <w:sz w:val="36"/>
          <w:szCs w:val="36"/>
          <w:highlight w:val="none"/>
        </w:rPr>
      </w:pPr>
    </w:p>
    <w:p w14:paraId="5F2A5D99">
      <w:pPr>
        <w:autoSpaceDE w:val="0"/>
        <w:autoSpaceDN w:val="0"/>
        <w:spacing w:before="120" w:after="120" w:line="400" w:lineRule="exact"/>
        <w:jc w:val="center"/>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t>目    录</w:t>
      </w:r>
    </w:p>
    <w:p w14:paraId="5036B681">
      <w:pPr>
        <w:autoSpaceDE w:val="0"/>
        <w:autoSpaceDN w:val="0"/>
        <w:spacing w:before="120" w:after="120" w:line="400" w:lineRule="exact"/>
        <w:jc w:val="center"/>
        <w:rPr>
          <w:rFonts w:hint="eastAsia" w:ascii="宋体" w:hAnsi="宋体" w:eastAsia="宋体" w:cs="宋体"/>
          <w:color w:val="auto"/>
          <w:sz w:val="32"/>
          <w:szCs w:val="32"/>
          <w:highlight w:val="none"/>
          <w:lang w:val="zh-CN"/>
        </w:rPr>
      </w:pPr>
    </w:p>
    <w:sdt>
      <w:sdtPr>
        <w:rPr>
          <w:rFonts w:hint="eastAsia" w:ascii="宋体" w:hAnsi="宋体" w:eastAsia="宋体" w:cs="宋体"/>
          <w:color w:val="auto"/>
          <w:highlight w:val="none"/>
        </w:rPr>
        <w:id w:val="147476200"/>
        <w:docPartObj>
          <w:docPartGallery w:val="Table of Contents"/>
          <w:docPartUnique/>
        </w:docPartObj>
      </w:sdtPr>
      <w:sdtEndPr>
        <w:rPr>
          <w:rFonts w:hint="eastAsia" w:ascii="宋体" w:hAnsi="宋体" w:eastAsia="宋体" w:cs="宋体"/>
          <w:b/>
          <w:bCs/>
          <w:color w:val="auto"/>
          <w:sz w:val="24"/>
          <w:highlight w:val="none"/>
        </w:rPr>
      </w:sdtEndPr>
      <w:sdtContent>
        <w:p w14:paraId="18EA6F0A">
          <w:pPr>
            <w:jc w:val="center"/>
            <w:rPr>
              <w:rFonts w:hint="eastAsia" w:ascii="宋体" w:hAnsi="宋体" w:eastAsia="宋体" w:cs="宋体"/>
              <w:color w:val="auto"/>
              <w:highlight w:val="none"/>
            </w:rPr>
          </w:pPr>
        </w:p>
        <w:p w14:paraId="4A4A5D0C">
          <w:pPr>
            <w:pStyle w:val="190"/>
            <w:tabs>
              <w:tab w:val="right" w:leader="dot" w:pos="9746"/>
            </w:tabs>
            <w:spacing w:line="48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TOC \o "1-1" \h \u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"_Toc15113"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第一章  竞争性磋商公告</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_Toc15113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0C882882">
          <w:pPr>
            <w:pStyle w:val="190"/>
            <w:tabs>
              <w:tab w:val="right" w:leader="dot" w:pos="9746"/>
            </w:tabs>
            <w:spacing w:line="480" w:lineRule="auto"/>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"_Toc24788"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第二章  磋商需求</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_Toc24788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71E0AA8A">
          <w:pPr>
            <w:pStyle w:val="190"/>
            <w:tabs>
              <w:tab w:val="right" w:leader="dot" w:pos="9746"/>
            </w:tabs>
            <w:spacing w:line="480" w:lineRule="auto"/>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"_Toc29022"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第三章  磋商须知</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_Toc29022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16</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0547ED26">
          <w:pPr>
            <w:pStyle w:val="190"/>
            <w:tabs>
              <w:tab w:val="right" w:leader="dot" w:pos="9746"/>
            </w:tabs>
            <w:spacing w:line="480" w:lineRule="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"_Toc31147"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第四章  磋商办法及评分标准</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_Toc31147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27</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1E958A18">
          <w:pPr>
            <w:pStyle w:val="190"/>
            <w:tabs>
              <w:tab w:val="right" w:leader="dot" w:pos="9746"/>
            </w:tabs>
            <w:spacing w:line="48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"_Toc18629"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第五章  合同协议书</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rPr>
            <w:t>30</w:t>
          </w:r>
        </w:p>
        <w:p w14:paraId="3F6448A0">
          <w:pPr>
            <w:pStyle w:val="190"/>
            <w:tabs>
              <w:tab w:val="right" w:leader="dot" w:pos="9746"/>
            </w:tabs>
            <w:spacing w:line="48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"_Toc14600"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 xml:space="preserve">第六章 </w:t>
          </w:r>
          <w:r>
            <w:rPr>
              <w:rFonts w:hint="eastAsia" w:ascii="宋体" w:hAnsi="宋体" w:eastAsia="宋体" w:cs="宋体"/>
              <w:b/>
              <w:bCs/>
              <w:color w:val="auto"/>
              <w:sz w:val="24"/>
              <w:szCs w:val="24"/>
              <w:highlight w:val="none"/>
              <w:lang w:val="zh-CN"/>
            </w:rPr>
            <w:t>磋商响应文件</w:t>
          </w:r>
          <w:r>
            <w:rPr>
              <w:rFonts w:hint="eastAsia" w:ascii="宋体" w:hAnsi="宋体" w:eastAsia="宋体" w:cs="宋体"/>
              <w:b/>
              <w:bCs/>
              <w:color w:val="auto"/>
              <w:sz w:val="24"/>
              <w:szCs w:val="24"/>
              <w:highlight w:val="none"/>
            </w:rPr>
            <w:t>格式</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rPr>
            <w:t>4</w:t>
          </w:r>
        </w:p>
        <w:p w14:paraId="7AD435B6">
          <w:pPr>
            <w:spacing w:line="48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fldChar w:fldCharType="end"/>
          </w:r>
        </w:p>
      </w:sdtContent>
    </w:sdt>
    <w:p w14:paraId="5615D544">
      <w:pPr>
        <w:spacing w:line="180" w:lineRule="exact"/>
        <w:jc w:val="center"/>
        <w:rPr>
          <w:rFonts w:hint="eastAsia" w:ascii="宋体" w:hAnsi="宋体" w:eastAsia="宋体" w:cs="宋体"/>
          <w:color w:val="auto"/>
          <w:sz w:val="32"/>
          <w:szCs w:val="32"/>
          <w:highlight w:val="none"/>
        </w:rPr>
        <w:sectPr>
          <w:headerReference r:id="rId9" w:type="default"/>
          <w:footerReference r:id="rId10" w:type="default"/>
          <w:pgSz w:w="11906" w:h="16838"/>
          <w:pgMar w:top="1440" w:right="1080" w:bottom="1440" w:left="1080" w:header="851" w:footer="850" w:gutter="0"/>
          <w:pgNumType w:start="1"/>
          <w:cols w:space="720" w:num="1"/>
          <w:docGrid w:linePitch="312" w:charSpace="0"/>
        </w:sectPr>
      </w:pPr>
    </w:p>
    <w:p w14:paraId="087F9103">
      <w:pPr>
        <w:pStyle w:val="54"/>
        <w:ind w:firstLine="210"/>
        <w:rPr>
          <w:rFonts w:hint="eastAsia" w:ascii="宋体" w:hAnsi="宋体" w:eastAsia="宋体" w:cs="宋体"/>
          <w:color w:val="auto"/>
          <w:highlight w:val="none"/>
        </w:rPr>
      </w:pPr>
    </w:p>
    <w:p w14:paraId="7E93C03D">
      <w:pPr>
        <w:spacing w:line="360" w:lineRule="auto"/>
        <w:jc w:val="center"/>
        <w:outlineLvl w:val="0"/>
        <w:rPr>
          <w:rFonts w:hint="eastAsia" w:ascii="宋体" w:hAnsi="宋体" w:eastAsia="宋体" w:cs="宋体"/>
          <w:b/>
          <w:color w:val="auto"/>
          <w:sz w:val="30"/>
          <w:szCs w:val="30"/>
          <w:highlight w:val="none"/>
        </w:rPr>
      </w:pPr>
      <w:bookmarkStart w:id="0" w:name="_Toc15113"/>
      <w:r>
        <w:rPr>
          <w:rFonts w:hint="eastAsia" w:ascii="宋体" w:hAnsi="宋体" w:eastAsia="宋体" w:cs="宋体"/>
          <w:b/>
          <w:color w:val="auto"/>
          <w:sz w:val="30"/>
          <w:szCs w:val="30"/>
          <w:highlight w:val="none"/>
        </w:rPr>
        <w:t>第一章  竞争性磋商公告</w:t>
      </w:r>
      <w:bookmarkEnd w:id="0"/>
    </w:p>
    <w:p w14:paraId="7DFFD284">
      <w:pPr>
        <w:autoSpaceDE w:val="0"/>
        <w:autoSpaceDN w:val="0"/>
        <w:adjustRightInd w:val="0"/>
        <w:snapToGrid w:val="0"/>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1270</wp:posOffset>
                </wp:positionH>
                <wp:positionV relativeFrom="paragraph">
                  <wp:posOffset>99695</wp:posOffset>
                </wp:positionV>
                <wp:extent cx="5886450" cy="819150"/>
                <wp:effectExtent l="4445" t="4445" r="14605" b="14605"/>
                <wp:wrapNone/>
                <wp:docPr id="6" name="文本框 6"/>
                <wp:cNvGraphicFramePr/>
                <a:graphic xmlns:a="http://schemas.openxmlformats.org/drawingml/2006/main">
                  <a:graphicData uri="http://schemas.microsoft.com/office/word/2010/wordprocessingShape">
                    <wps:wsp>
                      <wps:cNvSpPr txBox="1"/>
                      <wps:spPr>
                        <a:xfrm>
                          <a:off x="0" y="0"/>
                          <a:ext cx="5886450" cy="8191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767A32">
                            <w:pPr>
                              <w:ind w:firstLine="420" w:firstLineChars="200"/>
                              <w:rPr>
                                <w:rFonts w:ascii="宋体" w:hAnsi="宋体" w:eastAsia="宋体" w:cs="宋体"/>
                              </w:rPr>
                            </w:pPr>
                            <w:r>
                              <w:rPr>
                                <w:rFonts w:hint="eastAsia" w:ascii="宋体" w:hAnsi="宋体" w:eastAsia="宋体" w:cs="宋体"/>
                              </w:rPr>
                              <w:t>项目概况</w:t>
                            </w:r>
                          </w:p>
                          <w:p w14:paraId="132D1578">
                            <w:pPr>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 xml:space="preserve">长兴县太湖图影小学篮球场悬浮地板采购项目 </w:t>
                            </w:r>
                            <w:r>
                              <w:rPr>
                                <w:rFonts w:hint="eastAsia" w:ascii="宋体" w:hAnsi="宋体" w:eastAsia="宋体" w:cs="宋体"/>
                              </w:rPr>
                              <w:t>的潜在供应商应在政府采购云平台（www.zcygov.cn）获取（下载）采购文件，并于</w:t>
                            </w:r>
                            <w:r>
                              <w:rPr>
                                <w:rFonts w:hint="eastAsia" w:ascii="宋体" w:hAnsi="宋体" w:eastAsia="宋体" w:cs="宋体"/>
                                <w:kern w:val="0"/>
                                <w:szCs w:val="21"/>
                                <w:lang w:eastAsia="zh-CN"/>
                              </w:rPr>
                              <w:t>2025年</w:t>
                            </w:r>
                            <w:r>
                              <w:rPr>
                                <w:rFonts w:hint="eastAsia" w:ascii="宋体" w:hAnsi="宋体" w:eastAsia="宋体" w:cs="宋体"/>
                                <w:kern w:val="0"/>
                                <w:szCs w:val="21"/>
                                <w:lang w:val="en-US" w:eastAsia="zh-CN"/>
                              </w:rPr>
                              <w:t>7</w:t>
                            </w:r>
                            <w:r>
                              <w:rPr>
                                <w:rFonts w:hint="eastAsia" w:ascii="宋体" w:hAnsi="宋体" w:eastAsia="宋体" w:cs="宋体"/>
                                <w:kern w:val="0"/>
                                <w:szCs w:val="21"/>
                                <w:lang w:eastAsia="zh-CN"/>
                              </w:rPr>
                              <w:t>月</w:t>
                            </w:r>
                            <w:r>
                              <w:rPr>
                                <w:rFonts w:hint="eastAsia" w:ascii="宋体" w:hAnsi="宋体" w:eastAsia="宋体" w:cs="宋体"/>
                                <w:kern w:val="0"/>
                                <w:szCs w:val="21"/>
                                <w:lang w:val="en-US" w:eastAsia="zh-CN"/>
                              </w:rPr>
                              <w:t>7日09</w:t>
                            </w:r>
                            <w:r>
                              <w:rPr>
                                <w:rFonts w:hint="eastAsia" w:ascii="宋体" w:hAnsi="宋体" w:eastAsia="宋体" w:cs="宋体"/>
                                <w:kern w:val="0"/>
                                <w:szCs w:val="21"/>
                                <w:lang w:eastAsia="zh-CN"/>
                              </w:rPr>
                              <w:t>:00</w:t>
                            </w:r>
                            <w:r>
                              <w:rPr>
                                <w:rFonts w:hint="eastAsia" w:ascii="宋体" w:hAnsi="宋体" w:eastAsia="宋体" w:cs="宋体"/>
                              </w:rPr>
                              <w:t>（北京时间）前提交（上传）响应文件。</w:t>
                            </w:r>
                          </w:p>
                        </w:txbxContent>
                      </wps:txbx>
                      <wps:bodyPr upright="1"/>
                    </wps:wsp>
                  </a:graphicData>
                </a:graphic>
              </wp:anchor>
            </w:drawing>
          </mc:Choice>
          <mc:Fallback>
            <w:pict>
              <v:shape id="_x0000_s1026" o:spid="_x0000_s1026" o:spt="202" type="#_x0000_t202" style="position:absolute;left:0pt;margin-left:0.1pt;margin-top:7.85pt;height:64.5pt;width:463.5pt;z-index:251663360;mso-width-relative:page;mso-height-relative:page;" fillcolor="#FFFFFF" filled="t" stroked="t" coordsize="21600,21600" o:gfxdata="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L9r1a1QAAAAcBAAAPAAAAAAAAAAEAIAAAACIAAABk&#10;cnMvZG93bnJldi54bWxQSwECFAAUAAAACACHTuJAo832BQkCAAA2BAAADgAAAAAAAAABACAAAAAk&#10;AQAAZHJzL2Uyb0RvYy54bWxQSwUGAAAAAAYABgBZAQAAnwUAAAAA&#10;">
                <v:fill on="t" focussize="0,0"/>
                <v:stroke color="#000000" joinstyle="miter"/>
                <v:imagedata o:title=""/>
                <o:lock v:ext="edit" aspectratio="f"/>
                <v:textbox>
                  <w:txbxContent>
                    <w:p w14:paraId="4D767A32">
                      <w:pPr>
                        <w:ind w:firstLine="420" w:firstLineChars="200"/>
                        <w:rPr>
                          <w:rFonts w:ascii="宋体" w:hAnsi="宋体" w:eastAsia="宋体" w:cs="宋体"/>
                        </w:rPr>
                      </w:pPr>
                      <w:r>
                        <w:rPr>
                          <w:rFonts w:hint="eastAsia" w:ascii="宋体" w:hAnsi="宋体" w:eastAsia="宋体" w:cs="宋体"/>
                        </w:rPr>
                        <w:t>项目概况</w:t>
                      </w:r>
                    </w:p>
                    <w:p w14:paraId="132D1578">
                      <w:pPr>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 xml:space="preserve">长兴县太湖图影小学篮球场悬浮地板采购项目 </w:t>
                      </w:r>
                      <w:r>
                        <w:rPr>
                          <w:rFonts w:hint="eastAsia" w:ascii="宋体" w:hAnsi="宋体" w:eastAsia="宋体" w:cs="宋体"/>
                        </w:rPr>
                        <w:t>的潜在供应商应在政府采购云平台（www.zcygov.cn）获取（下载）采购文件，并于</w:t>
                      </w:r>
                      <w:r>
                        <w:rPr>
                          <w:rFonts w:hint="eastAsia" w:ascii="宋体" w:hAnsi="宋体" w:eastAsia="宋体" w:cs="宋体"/>
                          <w:kern w:val="0"/>
                          <w:szCs w:val="21"/>
                          <w:lang w:eastAsia="zh-CN"/>
                        </w:rPr>
                        <w:t>2025年</w:t>
                      </w:r>
                      <w:r>
                        <w:rPr>
                          <w:rFonts w:hint="eastAsia" w:ascii="宋体" w:hAnsi="宋体" w:eastAsia="宋体" w:cs="宋体"/>
                          <w:kern w:val="0"/>
                          <w:szCs w:val="21"/>
                          <w:lang w:val="en-US" w:eastAsia="zh-CN"/>
                        </w:rPr>
                        <w:t>7</w:t>
                      </w:r>
                      <w:r>
                        <w:rPr>
                          <w:rFonts w:hint="eastAsia" w:ascii="宋体" w:hAnsi="宋体" w:eastAsia="宋体" w:cs="宋体"/>
                          <w:kern w:val="0"/>
                          <w:szCs w:val="21"/>
                          <w:lang w:eastAsia="zh-CN"/>
                        </w:rPr>
                        <w:t>月</w:t>
                      </w:r>
                      <w:r>
                        <w:rPr>
                          <w:rFonts w:hint="eastAsia" w:ascii="宋体" w:hAnsi="宋体" w:eastAsia="宋体" w:cs="宋体"/>
                          <w:kern w:val="0"/>
                          <w:szCs w:val="21"/>
                          <w:lang w:val="en-US" w:eastAsia="zh-CN"/>
                        </w:rPr>
                        <w:t>7日09</w:t>
                      </w:r>
                      <w:r>
                        <w:rPr>
                          <w:rFonts w:hint="eastAsia" w:ascii="宋体" w:hAnsi="宋体" w:eastAsia="宋体" w:cs="宋体"/>
                          <w:kern w:val="0"/>
                          <w:szCs w:val="21"/>
                          <w:lang w:eastAsia="zh-CN"/>
                        </w:rPr>
                        <w:t>:00</w:t>
                      </w:r>
                      <w:r>
                        <w:rPr>
                          <w:rFonts w:hint="eastAsia" w:ascii="宋体" w:hAnsi="宋体" w:eastAsia="宋体" w:cs="宋体"/>
                        </w:rPr>
                        <w:t>（北京时间）前提交（上传）响应文件。</w:t>
                      </w:r>
                    </w:p>
                  </w:txbxContent>
                </v:textbox>
              </v:shape>
            </w:pict>
          </mc:Fallback>
        </mc:AlternateContent>
      </w:r>
    </w:p>
    <w:p w14:paraId="474D0D60">
      <w:pPr>
        <w:autoSpaceDE w:val="0"/>
        <w:autoSpaceDN w:val="0"/>
        <w:adjustRightInd w:val="0"/>
        <w:snapToGrid w:val="0"/>
        <w:spacing w:line="380" w:lineRule="exact"/>
        <w:ind w:firstLine="420" w:firstLineChars="200"/>
        <w:rPr>
          <w:rFonts w:hint="eastAsia" w:ascii="宋体" w:hAnsi="宋体" w:eastAsia="宋体" w:cs="宋体"/>
          <w:color w:val="auto"/>
          <w:szCs w:val="21"/>
          <w:highlight w:val="none"/>
        </w:rPr>
      </w:pPr>
    </w:p>
    <w:p w14:paraId="2689C756">
      <w:pPr>
        <w:autoSpaceDE w:val="0"/>
        <w:autoSpaceDN w:val="0"/>
        <w:adjustRightInd w:val="0"/>
        <w:snapToGrid w:val="0"/>
        <w:spacing w:line="380" w:lineRule="exact"/>
        <w:ind w:firstLine="420" w:firstLineChars="200"/>
        <w:rPr>
          <w:rFonts w:hint="eastAsia" w:ascii="宋体" w:hAnsi="宋体" w:eastAsia="宋体" w:cs="宋体"/>
          <w:color w:val="auto"/>
          <w:szCs w:val="21"/>
          <w:highlight w:val="none"/>
        </w:rPr>
      </w:pPr>
    </w:p>
    <w:p w14:paraId="28F67718">
      <w:pPr>
        <w:autoSpaceDE w:val="0"/>
        <w:autoSpaceDN w:val="0"/>
        <w:adjustRightInd w:val="0"/>
        <w:snapToGrid w:val="0"/>
        <w:spacing w:line="380" w:lineRule="exact"/>
        <w:ind w:firstLine="420" w:firstLineChars="200"/>
        <w:rPr>
          <w:rFonts w:hint="eastAsia" w:ascii="宋体" w:hAnsi="宋体" w:eastAsia="宋体" w:cs="宋体"/>
          <w:color w:val="auto"/>
          <w:szCs w:val="21"/>
          <w:highlight w:val="none"/>
        </w:rPr>
      </w:pPr>
    </w:p>
    <w:p w14:paraId="20C93D46">
      <w:pPr>
        <w:widowControl/>
        <w:spacing w:line="360" w:lineRule="exact"/>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一、项目基本情况</w:t>
      </w:r>
    </w:p>
    <w:p w14:paraId="22D3BEB9">
      <w:pPr>
        <w:widowControl/>
        <w:spacing w:line="36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项目编号：</w:t>
      </w:r>
      <w:r>
        <w:rPr>
          <w:rFonts w:hint="eastAsia" w:ascii="宋体" w:hAnsi="宋体" w:eastAsia="宋体" w:cs="宋体"/>
          <w:color w:val="auto"/>
          <w:kern w:val="0"/>
          <w:szCs w:val="21"/>
          <w:highlight w:val="none"/>
          <w:lang w:eastAsia="zh-CN"/>
        </w:rPr>
        <w:t>HZTLCG-2025011</w:t>
      </w:r>
    </w:p>
    <w:p w14:paraId="680CF8C0">
      <w:pPr>
        <w:widowControl/>
        <w:spacing w:line="36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项目名称：</w:t>
      </w:r>
      <w:r>
        <w:rPr>
          <w:rFonts w:hint="eastAsia" w:ascii="宋体" w:hAnsi="宋体" w:eastAsia="宋体" w:cs="宋体"/>
          <w:color w:val="auto"/>
          <w:kern w:val="0"/>
          <w:szCs w:val="21"/>
          <w:highlight w:val="none"/>
          <w:lang w:eastAsia="zh-CN"/>
        </w:rPr>
        <w:t xml:space="preserve">长兴县太湖图影小学篮球场悬浮地板采购项目 </w:t>
      </w:r>
    </w:p>
    <w:p w14:paraId="08DBBDE6">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采购方式：竞争性磋商</w:t>
      </w:r>
    </w:p>
    <w:p w14:paraId="6025A85D">
      <w:pPr>
        <w:widowControl/>
        <w:spacing w:line="3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预算金额（元）：</w:t>
      </w:r>
      <w:r>
        <w:rPr>
          <w:rFonts w:hint="eastAsia" w:ascii="宋体" w:hAnsi="宋体" w:eastAsia="宋体" w:cs="宋体"/>
          <w:color w:val="auto"/>
          <w:kern w:val="0"/>
          <w:szCs w:val="21"/>
          <w:highlight w:val="none"/>
          <w:lang w:eastAsia="zh-CN"/>
        </w:rPr>
        <w:t>300000.00</w:t>
      </w:r>
    </w:p>
    <w:p w14:paraId="38F836AE">
      <w:pPr>
        <w:widowControl/>
        <w:spacing w:line="3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最高限价（元）：</w:t>
      </w:r>
      <w:r>
        <w:rPr>
          <w:rFonts w:hint="eastAsia" w:ascii="宋体" w:hAnsi="宋体" w:eastAsia="宋体" w:cs="宋体"/>
          <w:color w:val="auto"/>
          <w:kern w:val="0"/>
          <w:szCs w:val="21"/>
          <w:highlight w:val="none"/>
          <w:lang w:eastAsia="zh-CN"/>
        </w:rPr>
        <w:t>300000.00</w:t>
      </w:r>
    </w:p>
    <w:p w14:paraId="16314D31">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磋商需求：</w:t>
      </w:r>
    </w:p>
    <w:p w14:paraId="60FC07D1">
      <w:pPr>
        <w:widowControl/>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标项一</w:t>
      </w:r>
    </w:p>
    <w:p w14:paraId="5241590D">
      <w:pPr>
        <w:widowControl/>
        <w:spacing w:line="36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预算金额（元）：</w:t>
      </w:r>
      <w:r>
        <w:rPr>
          <w:rFonts w:hint="eastAsia" w:ascii="宋体" w:hAnsi="宋体" w:eastAsia="宋体" w:cs="宋体"/>
          <w:color w:val="auto"/>
          <w:kern w:val="0"/>
          <w:szCs w:val="21"/>
          <w:highlight w:val="none"/>
          <w:lang w:eastAsia="zh-CN"/>
        </w:rPr>
        <w:t>300000.00</w:t>
      </w:r>
    </w:p>
    <w:p w14:paraId="58DBB522">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数量：1 </w:t>
      </w:r>
    </w:p>
    <w:p w14:paraId="1E26B792">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单位：项</w:t>
      </w:r>
    </w:p>
    <w:p w14:paraId="2800CEFA">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简要规格描述：</w:t>
      </w:r>
      <w:r>
        <w:rPr>
          <w:rFonts w:hint="eastAsia" w:ascii="宋体" w:hAnsi="宋体" w:eastAsia="宋体" w:cs="宋体"/>
          <w:color w:val="auto"/>
          <w:kern w:val="0"/>
          <w:szCs w:val="21"/>
          <w:highlight w:val="none"/>
          <w:lang w:val="en-US" w:eastAsia="zh-CN"/>
        </w:rPr>
        <w:t>本次采购长兴县太湖图影小学篮球场悬浮地板采购项目 ，具体详见竞争性磋商文件要求</w:t>
      </w:r>
      <w:r>
        <w:rPr>
          <w:rFonts w:hint="eastAsia" w:ascii="宋体" w:hAnsi="宋体" w:eastAsia="宋体" w:cs="宋体"/>
          <w:color w:val="auto"/>
          <w:kern w:val="0"/>
          <w:szCs w:val="21"/>
          <w:highlight w:val="none"/>
        </w:rPr>
        <w:t>。</w:t>
      </w:r>
    </w:p>
    <w:p w14:paraId="6ED09796">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7E2F513A">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合同履约期限： </w:t>
      </w:r>
      <w:bookmarkStart w:id="1" w:name="_Toc28359080"/>
      <w:bookmarkStart w:id="2" w:name="_Toc35393791"/>
      <w:bookmarkStart w:id="3" w:name="_Toc35393622"/>
      <w:bookmarkStart w:id="4" w:name="_Toc28359003"/>
      <w:r>
        <w:rPr>
          <w:rFonts w:hint="eastAsia" w:ascii="宋体" w:hAnsi="宋体" w:eastAsia="宋体" w:cs="宋体"/>
          <w:color w:val="auto"/>
          <w:kern w:val="0"/>
          <w:szCs w:val="21"/>
          <w:highlight w:val="none"/>
        </w:rPr>
        <w:t>合同签订后</w:t>
      </w:r>
      <w:r>
        <w:rPr>
          <w:rFonts w:hint="eastAsia" w:ascii="宋体" w:hAnsi="宋体" w:eastAsia="宋体" w:cs="宋体"/>
          <w:color w:val="auto"/>
          <w:kern w:val="0"/>
          <w:szCs w:val="21"/>
          <w:highlight w:val="none"/>
          <w:lang w:val="en-US" w:eastAsia="zh-CN"/>
        </w:rPr>
        <w:t>30日历天内供货、</w:t>
      </w:r>
      <w:r>
        <w:rPr>
          <w:rFonts w:hint="eastAsia" w:ascii="宋体" w:hAnsi="宋体" w:eastAsia="宋体" w:cs="宋体"/>
          <w:color w:val="auto"/>
          <w:kern w:val="0"/>
          <w:szCs w:val="21"/>
          <w:highlight w:val="none"/>
        </w:rPr>
        <w:t>安装调试完毕并通过验收合格。</w:t>
      </w:r>
    </w:p>
    <w:p w14:paraId="2C01B266">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w:t>
      </w:r>
      <w:r>
        <w:rPr>
          <w:rFonts w:hint="eastAsia" w:ascii="宋体" w:hAnsi="宋体" w:eastAsia="宋体" w:cs="宋体"/>
          <w:color w:val="auto"/>
          <w:kern w:val="0"/>
          <w:szCs w:val="21"/>
          <w:highlight w:val="none"/>
          <w:lang w:val="en-US" w:eastAsia="zh-CN"/>
        </w:rPr>
        <w:t>是</w:t>
      </w:r>
      <w:r>
        <w:rPr>
          <w:rFonts w:hint="eastAsia" w:ascii="宋体" w:hAnsi="宋体" w:eastAsia="宋体" w:cs="宋体"/>
          <w:color w:val="auto"/>
          <w:kern w:val="0"/>
          <w:szCs w:val="21"/>
          <w:highlight w:val="none"/>
        </w:rPr>
        <w:t>）接受联合体</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响应</w:t>
      </w:r>
      <w:r>
        <w:rPr>
          <w:rFonts w:hint="eastAsia" w:ascii="宋体" w:hAnsi="宋体" w:eastAsia="宋体" w:cs="宋体"/>
          <w:color w:val="auto"/>
          <w:kern w:val="0"/>
          <w:szCs w:val="21"/>
          <w:highlight w:val="none"/>
        </w:rPr>
        <w:t>。</w:t>
      </w:r>
    </w:p>
    <w:p w14:paraId="491ECB18">
      <w:pPr>
        <w:widowControl/>
        <w:spacing w:line="360" w:lineRule="exact"/>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二、申请人的资格要求：</w:t>
      </w:r>
      <w:bookmarkEnd w:id="1"/>
      <w:bookmarkEnd w:id="2"/>
      <w:bookmarkEnd w:id="3"/>
      <w:bookmarkEnd w:id="4"/>
    </w:p>
    <w:p w14:paraId="2C2272A3">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bookmarkStart w:id="5" w:name="_Toc28359004"/>
      <w:bookmarkStart w:id="6" w:name="_Toc28359081"/>
      <w:r>
        <w:rPr>
          <w:rFonts w:hint="eastAsia" w:ascii="宋体" w:hAnsi="宋体" w:eastAsia="宋体" w:cs="宋体"/>
          <w:color w:val="auto"/>
          <w:kern w:val="0"/>
          <w:szCs w:val="21"/>
          <w:highlight w:val="none"/>
        </w:rPr>
        <w:t>满足《中华人民共和国政府采购法》第二十二条规定；未被“信用中国”（www.creditchina.gov.cn</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、中国政府采购网（www.ccgp.gov.cn）列入失信被执行人、重大税收违法失信主体、政府采购严重违法失信行为记录名单。</w:t>
      </w:r>
    </w:p>
    <w:p w14:paraId="3A6D78A6">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2.落实政府采购政策需满足的资格要求：本项目属于专门面向中小企业采购的项目。</w:t>
      </w:r>
    </w:p>
    <w:p w14:paraId="474C7AB4">
      <w:pPr>
        <w:adjustRightInd w:val="0"/>
        <w:snapToGrid w:val="0"/>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3.本项目的特定资格要求：标项1：无。</w:t>
      </w:r>
    </w:p>
    <w:p w14:paraId="5144E90D">
      <w:pPr>
        <w:widowControl/>
        <w:spacing w:line="360" w:lineRule="exact"/>
        <w:ind w:firstLine="422" w:firstLineChars="200"/>
        <w:rPr>
          <w:rFonts w:hint="eastAsia" w:ascii="宋体" w:hAnsi="宋体" w:eastAsia="宋体" w:cs="宋体"/>
          <w:b/>
          <w:bCs/>
          <w:color w:val="auto"/>
          <w:kern w:val="0"/>
          <w:szCs w:val="21"/>
          <w:highlight w:val="none"/>
        </w:rPr>
      </w:pPr>
      <w:bookmarkStart w:id="7" w:name="_Toc35393623"/>
      <w:bookmarkStart w:id="8" w:name="_Toc35393792"/>
      <w:r>
        <w:rPr>
          <w:rFonts w:hint="eastAsia" w:ascii="宋体" w:hAnsi="宋体" w:eastAsia="宋体" w:cs="宋体"/>
          <w:b/>
          <w:bCs/>
          <w:color w:val="auto"/>
          <w:kern w:val="0"/>
          <w:szCs w:val="21"/>
          <w:highlight w:val="none"/>
        </w:rPr>
        <w:t>三、获取</w:t>
      </w:r>
      <w:bookmarkEnd w:id="5"/>
      <w:bookmarkEnd w:id="6"/>
      <w:bookmarkEnd w:id="7"/>
      <w:bookmarkEnd w:id="8"/>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rPr>
        <w:t>下载</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rPr>
        <w:t>采购文件</w:t>
      </w:r>
    </w:p>
    <w:p w14:paraId="118DC4BA">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1.时间</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Cs w:val="21"/>
          <w:highlight w:val="none"/>
        </w:rPr>
        <w:t>至</w:t>
      </w:r>
      <w:r>
        <w:rPr>
          <w:rFonts w:hint="eastAsia" w:ascii="宋体" w:hAnsi="宋体" w:eastAsia="宋体" w:cs="宋体"/>
          <w:color w:val="auto"/>
          <w:szCs w:val="21"/>
          <w:highlight w:val="none"/>
          <w:lang w:eastAsia="zh-CN"/>
        </w:rPr>
        <w:t>2025年</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lang w:val="en-US" w:eastAsia="zh-CN"/>
        </w:rPr>
        <w:t>7日</w:t>
      </w:r>
      <w:r>
        <w:rPr>
          <w:rFonts w:hint="eastAsia" w:ascii="宋体" w:hAnsi="宋体" w:eastAsia="宋体" w:cs="宋体"/>
          <w:color w:val="auto"/>
          <w:szCs w:val="21"/>
          <w:highlight w:val="none"/>
        </w:rPr>
        <w:t>，每天上午00:00至12:00，下午12:00至23:59（北京时间，线上获取法定节假日均可，线下获取文件法定节假日除外）。</w:t>
      </w:r>
    </w:p>
    <w:p w14:paraId="10CE5365">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2.地点（网址）：</w:t>
      </w:r>
      <w:r>
        <w:rPr>
          <w:rStyle w:val="203"/>
          <w:rFonts w:hint="eastAsia" w:ascii="宋体" w:hAnsi="宋体" w:eastAsia="宋体" w:cs="宋体"/>
          <w:color w:val="auto"/>
          <w:szCs w:val="21"/>
          <w:highlight w:val="none"/>
        </w:rPr>
        <w:t>政府采购云平台（www.zcygov.cn）。</w:t>
      </w:r>
    </w:p>
    <w:p w14:paraId="08AF0AB8">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3.方式：在线获取（潜在供应商</w:t>
      </w:r>
      <w:r>
        <w:rPr>
          <w:rFonts w:hint="eastAsia" w:ascii="宋体" w:hAnsi="宋体" w:eastAsia="宋体" w:cs="宋体"/>
          <w:color w:val="auto"/>
          <w:kern w:val="0"/>
          <w:szCs w:val="21"/>
          <w:highlight w:val="none"/>
          <w:lang w:eastAsia="zh-CN"/>
        </w:rPr>
        <w:t>登录</w:t>
      </w:r>
      <w:r>
        <w:rPr>
          <w:rFonts w:hint="eastAsia" w:ascii="宋体" w:hAnsi="宋体" w:eastAsia="宋体" w:cs="宋体"/>
          <w:color w:val="auto"/>
          <w:kern w:val="0"/>
          <w:szCs w:val="21"/>
          <w:highlight w:val="none"/>
        </w:rPr>
        <w:t>政府采购云平台，进入“项目采购”，在“获取采购文件”菜单中选择项目后“申请获取采购文件”）。仅需浏览竞争性磋商文件的可点击“游客，浏览采购文件”直接下载竞争性磋商文件浏览。本项目不提供纸质版竞争性磋商文件。</w:t>
      </w:r>
    </w:p>
    <w:p w14:paraId="23A67B14">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4.售价（元）：0 。</w:t>
      </w:r>
    </w:p>
    <w:p w14:paraId="0D311946">
      <w:pPr>
        <w:widowControl/>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竞争性磋商文件同时以本公告附件形式发布。该竞争性磋商文件仅供阅览使用，供应商只有在“政府采购云平台”完成注册并下载了竞争性磋商文件后才视作依法获取竞争性磋商文件，未在政采云平台上获取竞争性磋商文件的潜在供应商均无资格参加本次磋商。已依法获取竞争性磋商文件的供应商不代表已通过资格审查，资格审查由</w:t>
      </w:r>
      <w:r>
        <w:rPr>
          <w:rFonts w:hint="eastAsia" w:ascii="宋体" w:hAnsi="宋体" w:eastAsia="宋体" w:cs="宋体"/>
          <w:color w:val="auto"/>
          <w:kern w:val="0"/>
          <w:szCs w:val="21"/>
          <w:highlight w:val="none"/>
          <w:lang w:val="en-US" w:eastAsia="zh-CN"/>
        </w:rPr>
        <w:t>磋商小组</w:t>
      </w:r>
      <w:r>
        <w:rPr>
          <w:rFonts w:hint="eastAsia" w:ascii="宋体" w:hAnsi="宋体" w:eastAsia="宋体" w:cs="宋体"/>
          <w:color w:val="auto"/>
          <w:kern w:val="0"/>
          <w:szCs w:val="21"/>
          <w:highlight w:val="none"/>
        </w:rPr>
        <w:t>代表根据供应商提交的磋商响应文件认定</w:t>
      </w:r>
      <w:r>
        <w:rPr>
          <w:rFonts w:hint="eastAsia" w:ascii="宋体" w:hAnsi="宋体" w:eastAsia="宋体" w:cs="宋体"/>
          <w:color w:val="auto"/>
          <w:szCs w:val="21"/>
          <w:highlight w:val="none"/>
        </w:rPr>
        <w:t>。</w:t>
      </w:r>
    </w:p>
    <w:p w14:paraId="103AA05C">
      <w:pPr>
        <w:widowControl/>
        <w:spacing w:line="360" w:lineRule="exact"/>
        <w:ind w:firstLine="420" w:firstLineChars="200"/>
        <w:rPr>
          <w:rFonts w:hint="eastAsia" w:ascii="宋体" w:hAnsi="宋体" w:eastAsia="宋体" w:cs="宋体"/>
          <w:color w:val="auto"/>
          <w:kern w:val="0"/>
          <w:szCs w:val="21"/>
          <w:highlight w:val="none"/>
        </w:rPr>
      </w:pPr>
      <w:bookmarkStart w:id="9" w:name="_Toc28359082"/>
      <w:bookmarkStart w:id="10" w:name="_Toc35393793"/>
      <w:bookmarkStart w:id="11" w:name="_Toc35393624"/>
      <w:bookmarkStart w:id="12" w:name="_Toc28359005"/>
      <w:r>
        <w:rPr>
          <w:rFonts w:hint="eastAsia" w:ascii="宋体" w:hAnsi="宋体" w:eastAsia="宋体" w:cs="宋体"/>
          <w:color w:val="auto"/>
          <w:kern w:val="0"/>
          <w:szCs w:val="21"/>
          <w:highlight w:val="none"/>
        </w:rPr>
        <w:t>6.采购项目信息发布网址：“浙江省政府采购网”（http://zfcg.czt.zj.gov.cn/）、“长兴县公共资源交易中心网 ”（</w:t>
      </w:r>
      <w:r>
        <w:rPr>
          <w:rFonts w:hint="eastAsia" w:ascii="宋体" w:hAnsi="宋体" w:eastAsia="宋体" w:cs="宋体"/>
          <w:color w:val="auto"/>
          <w:kern w:val="0"/>
          <w:szCs w:val="21"/>
          <w:highlight w:val="none"/>
          <w:lang w:eastAsia="zh-CN"/>
        </w:rPr>
        <w:t>http://www.zjcx.gov.cn/col/col1229713478/index.html</w:t>
      </w:r>
      <w:r>
        <w:rPr>
          <w:rFonts w:hint="eastAsia" w:ascii="宋体" w:hAnsi="宋体" w:eastAsia="宋体" w:cs="宋体"/>
          <w:color w:val="auto"/>
          <w:kern w:val="0"/>
          <w:szCs w:val="21"/>
          <w:highlight w:val="none"/>
        </w:rPr>
        <w:t>）</w:t>
      </w:r>
    </w:p>
    <w:p w14:paraId="33831D58">
      <w:pPr>
        <w:widowControl/>
        <w:spacing w:line="360" w:lineRule="exact"/>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四、</w:t>
      </w:r>
      <w:bookmarkEnd w:id="9"/>
      <w:bookmarkEnd w:id="10"/>
      <w:bookmarkEnd w:id="11"/>
      <w:bookmarkEnd w:id="12"/>
      <w:r>
        <w:rPr>
          <w:rFonts w:hint="eastAsia" w:ascii="宋体" w:hAnsi="宋体" w:eastAsia="宋体" w:cs="宋体"/>
          <w:b/>
          <w:bCs/>
          <w:color w:val="auto"/>
          <w:kern w:val="0"/>
          <w:szCs w:val="21"/>
          <w:highlight w:val="none"/>
        </w:rPr>
        <w:t>响应文件提交（上传）</w:t>
      </w:r>
    </w:p>
    <w:p w14:paraId="12DA8A1A">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1.截止时间：</w:t>
      </w:r>
      <w:r>
        <w:rPr>
          <w:rFonts w:hint="eastAsia" w:ascii="宋体" w:hAnsi="宋体" w:eastAsia="宋体" w:cs="宋体"/>
          <w:color w:val="auto"/>
          <w:kern w:val="0"/>
          <w:szCs w:val="21"/>
          <w:highlight w:val="none"/>
          <w:lang w:eastAsia="zh-CN"/>
        </w:rPr>
        <w:t>2025年7月7日09:00</w:t>
      </w:r>
      <w:r>
        <w:rPr>
          <w:rFonts w:hint="eastAsia" w:ascii="宋体" w:hAnsi="宋体" w:eastAsia="宋体" w:cs="宋体"/>
          <w:color w:val="auto"/>
          <w:kern w:val="0"/>
          <w:szCs w:val="21"/>
          <w:highlight w:val="none"/>
        </w:rPr>
        <w:t>（北京时间）。</w:t>
      </w:r>
    </w:p>
    <w:p w14:paraId="16C8071E">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2.地点（网址）：</w:t>
      </w:r>
      <w:r>
        <w:rPr>
          <w:rFonts w:hint="eastAsia" w:ascii="宋体" w:hAnsi="宋体" w:eastAsia="宋体" w:cs="宋体"/>
          <w:color w:val="auto"/>
          <w:szCs w:val="21"/>
          <w:highlight w:val="none"/>
          <w:lang w:val="zh-CN"/>
        </w:rPr>
        <w:t>长兴县市民服务中心四楼（长兴县锦绣路8号）公共资源交易中心开标室（届时详见四楼大屏公告栏）</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网址：通过“政府采购云平台（www.zcygov.cn）”实行在线</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响应。 ）</w:t>
      </w:r>
    </w:p>
    <w:p w14:paraId="1716E841">
      <w:pPr>
        <w:widowControl/>
        <w:spacing w:line="360" w:lineRule="exact"/>
        <w:ind w:firstLine="422" w:firstLineChars="200"/>
        <w:rPr>
          <w:rFonts w:hint="eastAsia" w:ascii="宋体" w:hAnsi="宋体" w:eastAsia="宋体" w:cs="宋体"/>
          <w:b/>
          <w:bCs/>
          <w:color w:val="auto"/>
          <w:kern w:val="0"/>
          <w:szCs w:val="21"/>
          <w:highlight w:val="none"/>
        </w:rPr>
      </w:pPr>
      <w:bookmarkStart w:id="13" w:name="_Toc35393794"/>
      <w:bookmarkStart w:id="14" w:name="_Toc28359007"/>
      <w:bookmarkStart w:id="15" w:name="_Toc28359084"/>
      <w:bookmarkStart w:id="16" w:name="_Toc35393625"/>
      <w:r>
        <w:rPr>
          <w:rFonts w:hint="eastAsia" w:ascii="宋体" w:hAnsi="宋体" w:eastAsia="宋体" w:cs="宋体"/>
          <w:b/>
          <w:bCs/>
          <w:color w:val="auto"/>
          <w:kern w:val="0"/>
          <w:szCs w:val="21"/>
          <w:highlight w:val="none"/>
        </w:rPr>
        <w:t>五、响应文件开启</w:t>
      </w:r>
    </w:p>
    <w:p w14:paraId="6241E286">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1.开启时间：</w:t>
      </w:r>
      <w:r>
        <w:rPr>
          <w:rFonts w:hint="eastAsia" w:ascii="宋体" w:hAnsi="宋体" w:eastAsia="宋体" w:cs="宋体"/>
          <w:color w:val="auto"/>
          <w:kern w:val="0"/>
          <w:szCs w:val="21"/>
          <w:highlight w:val="none"/>
          <w:lang w:eastAsia="zh-CN"/>
        </w:rPr>
        <w:t>2025年7月7日09:00</w:t>
      </w:r>
      <w:r>
        <w:rPr>
          <w:rFonts w:hint="eastAsia" w:ascii="宋体" w:hAnsi="宋体" w:eastAsia="宋体" w:cs="宋体"/>
          <w:color w:val="auto"/>
          <w:kern w:val="0"/>
          <w:szCs w:val="21"/>
          <w:highlight w:val="none"/>
        </w:rPr>
        <w:t>（北京时间）。</w:t>
      </w:r>
    </w:p>
    <w:p w14:paraId="387EEC52">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2.地点（网址）：</w:t>
      </w:r>
      <w:r>
        <w:rPr>
          <w:rFonts w:hint="eastAsia" w:ascii="宋体" w:hAnsi="宋体" w:eastAsia="宋体" w:cs="宋体"/>
          <w:color w:val="auto"/>
          <w:szCs w:val="21"/>
          <w:highlight w:val="none"/>
          <w:lang w:val="zh-CN"/>
        </w:rPr>
        <w:t>长兴县市民服务中心四楼（长兴县锦绣路8号）公共资源交易中心开标室（届时详见四楼大屏公告栏）。（</w:t>
      </w:r>
      <w:r>
        <w:rPr>
          <w:rFonts w:hint="eastAsia" w:ascii="宋体" w:hAnsi="宋体" w:eastAsia="宋体" w:cs="宋体"/>
          <w:color w:val="auto"/>
          <w:szCs w:val="21"/>
          <w:highlight w:val="none"/>
        </w:rPr>
        <w:t>网址：通过“政府采购云平台（www.zcygov.cn）”实行在线</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响应。 ）</w:t>
      </w:r>
    </w:p>
    <w:p w14:paraId="09E86839">
      <w:pPr>
        <w:widowControl/>
        <w:spacing w:line="360" w:lineRule="exact"/>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六、公告期限</w:t>
      </w:r>
      <w:bookmarkEnd w:id="13"/>
      <w:bookmarkEnd w:id="14"/>
      <w:bookmarkEnd w:id="15"/>
      <w:bookmarkEnd w:id="16"/>
    </w:p>
    <w:p w14:paraId="34D238D6">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自本公告发布之日起3个工作日。</w:t>
      </w:r>
    </w:p>
    <w:p w14:paraId="61E8673F">
      <w:pPr>
        <w:widowControl/>
        <w:spacing w:line="360" w:lineRule="exact"/>
        <w:ind w:firstLine="422" w:firstLineChars="200"/>
        <w:rPr>
          <w:rFonts w:hint="eastAsia" w:ascii="宋体" w:hAnsi="宋体" w:eastAsia="宋体" w:cs="宋体"/>
          <w:b/>
          <w:bCs/>
          <w:color w:val="auto"/>
          <w:kern w:val="0"/>
          <w:szCs w:val="21"/>
          <w:highlight w:val="none"/>
        </w:rPr>
      </w:pPr>
      <w:bookmarkStart w:id="17" w:name="_Toc35393795"/>
      <w:bookmarkStart w:id="18" w:name="_Toc35393626"/>
      <w:r>
        <w:rPr>
          <w:rFonts w:hint="eastAsia" w:ascii="宋体" w:hAnsi="宋体" w:eastAsia="宋体" w:cs="宋体"/>
          <w:b/>
          <w:bCs/>
          <w:color w:val="auto"/>
          <w:kern w:val="0"/>
          <w:szCs w:val="21"/>
          <w:highlight w:val="none"/>
        </w:rPr>
        <w:t>七、其他补充事宜</w:t>
      </w:r>
      <w:bookmarkEnd w:id="17"/>
      <w:bookmarkEnd w:id="18"/>
    </w:p>
    <w:p w14:paraId="6299E91A">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DC69830">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其他事项：2.1本项目实行电子投标，应按照本项目磋商文件和政采云平台的要求编制、加密并递交磋商响应文件（使用政采云平台专用编制工具）。供应商在使用系统进行响应的过程中遇到涉及平台使用的任何问题，可致电政采云平台技术支持热线咨询，联系方式：400-881-7190。</w:t>
      </w:r>
    </w:p>
    <w:p w14:paraId="5BA95B85">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2.2供应商应在磋商前完成CA数字证书办理（办理流程详见http://www.zjzfcg.gov.cn/bidClientTemplate/2019-05-27/12945.html）。完成CA数字证书办理预计一周左右，建议各供应商抓紧时间办理。</w:t>
      </w:r>
    </w:p>
    <w:p w14:paraId="27D18CD1">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供应商通过政采云平台电子投标工具制作磋商响应文件，电子投标工具请供应商自行前往浙江省政府采购网下载并安装（下载网址：http://zfcg.czt.zj.gov.cn/bidClientTemplate/2019-09-24/12975.html），电子投标制作具体流程详见“政采云供应商项目采购</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电子招投标操作指南”（请供应商点击链接https://help.zcygov.cn/web/site_2/2018/12-28/2573.html）以获取最新操作指南。</w:t>
      </w:r>
    </w:p>
    <w:p w14:paraId="4949F777">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2.4因本次磋商为全流程电子开评标，请各供应商自备可联网的电脑及CA锁，最后报价由各供应商在规定的时间内在政采云平台在线完成。政采云平台在线报价操作失败的，供应商应通过指定的电子邮箱或电话及时联系采购代理机构。</w:t>
      </w:r>
    </w:p>
    <w:p w14:paraId="333A9153">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供应商应当在磋商响应截止时间前完成电子磋商响应文件的传输递交，并可以补充、修改或者撤回电子磋商响应文件。补充或者修改电子磋商响应文件的，应当先行撤回原文件，补充、修改后重新传输递交。磋商响应截止时间前未完成传输的，视为撤回磋商响应文件。磋商响应截止时间后送达的磋商响应文件，将被政采云平台拒收。</w:t>
      </w:r>
    </w:p>
    <w:p w14:paraId="3006633E">
      <w:pPr>
        <w:pStyle w:val="54"/>
        <w:spacing w:after="0" w:line="360" w:lineRule="exact"/>
        <w:ind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2.6供</w:t>
      </w:r>
      <w:r>
        <w:rPr>
          <w:rFonts w:hint="eastAsia" w:ascii="宋体" w:hAnsi="宋体" w:eastAsia="宋体" w:cs="宋体"/>
          <w:b/>
          <w:bCs/>
          <w:color w:val="auto"/>
          <w:kern w:val="0"/>
          <w:szCs w:val="21"/>
          <w:highlight w:val="none"/>
        </w:rPr>
        <w:t>应商应当在磋商响应截止时间前，如认为需要，供应商可以选择递交以介质存储的数据电文形式的U盘或光盘备份文件一份和制作纸质备份磋商响应文件一份。</w:t>
      </w:r>
      <w:r>
        <w:rPr>
          <w:rFonts w:hint="eastAsia" w:ascii="宋体" w:hAnsi="宋体" w:eastAsia="宋体" w:cs="宋体"/>
          <w:color w:val="auto"/>
          <w:kern w:val="0"/>
          <w:szCs w:val="21"/>
          <w:highlight w:val="none"/>
        </w:rPr>
        <w:t>U盘或光盘备份文件和纸质备份磋商响应将通过邮寄快递方式送达，邮寄地址为：</w:t>
      </w:r>
      <w:r>
        <w:rPr>
          <w:rFonts w:hint="eastAsia" w:ascii="宋体" w:hAnsi="宋体" w:eastAsia="宋体" w:cs="宋体"/>
          <w:color w:val="auto"/>
          <w:kern w:val="0"/>
          <w:szCs w:val="21"/>
          <w:highlight w:val="none"/>
          <w:lang w:eastAsia="zh-CN"/>
        </w:rPr>
        <w:t>湖州同力招标代理有限公司</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长兴县雉城街道阳光天地小区北区27幢</w:t>
      </w:r>
      <w:r>
        <w:rPr>
          <w:rFonts w:hint="eastAsia" w:ascii="宋体" w:hAnsi="宋体" w:eastAsia="宋体" w:cs="宋体"/>
          <w:color w:val="auto"/>
          <w:kern w:val="0"/>
          <w:szCs w:val="21"/>
          <w:highlight w:val="none"/>
        </w:rPr>
        <w:t xml:space="preserve">），联系电话： </w:t>
      </w:r>
      <w:r>
        <w:rPr>
          <w:rFonts w:hint="eastAsia" w:ascii="宋体" w:hAnsi="宋体" w:eastAsia="宋体" w:cs="宋体"/>
          <w:color w:val="auto"/>
          <w:kern w:val="0"/>
          <w:szCs w:val="21"/>
          <w:highlight w:val="none"/>
          <w:lang w:eastAsia="zh-CN"/>
        </w:rPr>
        <w:t>18768213747</w:t>
      </w:r>
      <w:r>
        <w:rPr>
          <w:rFonts w:hint="eastAsia" w:ascii="宋体" w:hAnsi="宋体" w:eastAsia="宋体" w:cs="宋体"/>
          <w:color w:val="auto"/>
          <w:kern w:val="0"/>
          <w:szCs w:val="21"/>
          <w:highlight w:val="none"/>
        </w:rPr>
        <w:t xml:space="preserve"> ，由采购代理机构统一负责接收，邮寄接收截止时间：</w:t>
      </w:r>
      <w:r>
        <w:rPr>
          <w:rFonts w:hint="eastAsia" w:cs="宋体"/>
          <w:color w:val="auto"/>
          <w:kern w:val="0"/>
          <w:szCs w:val="21"/>
          <w:highlight w:val="none"/>
          <w:lang w:eastAsia="zh-CN"/>
        </w:rPr>
        <w:t>2025年6月</w:t>
      </w:r>
      <w:r>
        <w:rPr>
          <w:rFonts w:hint="eastAsia" w:cs="宋体"/>
          <w:color w:val="auto"/>
          <w:kern w:val="0"/>
          <w:szCs w:val="21"/>
          <w:highlight w:val="none"/>
          <w:lang w:val="en-US" w:eastAsia="zh-CN"/>
        </w:rPr>
        <w:t>*</w:t>
      </w:r>
      <w:r>
        <w:rPr>
          <w:rFonts w:hint="eastAsia" w:ascii="宋体" w:hAnsi="宋体" w:eastAsia="宋体" w:cs="宋体"/>
          <w:color w:val="auto"/>
          <w:kern w:val="0"/>
          <w:szCs w:val="21"/>
          <w:highlight w:val="none"/>
        </w:rPr>
        <w:t>日11∶00时。</w:t>
      </w:r>
    </w:p>
    <w:p w14:paraId="2519E990">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2.7供应商应留足响应文件邮寄时间</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确保备份磋商响应文件于接收截止时间前送达指定地点，逾期送达或未密封将被拒收。供应商自行承担所有风险和由此带来的后果。</w:t>
      </w:r>
    </w:p>
    <w:p w14:paraId="0D8C01C1">
      <w:pPr>
        <w:pStyle w:val="54"/>
        <w:spacing w:after="0" w:line="360" w:lineRule="exact"/>
        <w:ind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2.8为有效破解当前中小企业面临的“融资难、融资贵”困局，充分发挥好政府采购扶持中小企业发展的政策功能，本项目中标供应商可凭政府采购合同或中标通知书等材料至政采云平台申请相关融资产品。</w:t>
      </w:r>
    </w:p>
    <w:p w14:paraId="594B17E8">
      <w:pPr>
        <w:pStyle w:val="54"/>
        <w:spacing w:after="0" w:line="360" w:lineRule="exact"/>
        <w:ind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办理流程：政采云平台线上发起申请——银行审批给出额度利率——贷款发放。</w:t>
      </w:r>
    </w:p>
    <w:p w14:paraId="0CFDF3E1">
      <w:pPr>
        <w:pStyle w:val="54"/>
        <w:spacing w:after="0" w:line="360" w:lineRule="exact"/>
        <w:ind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操作方式：登录政采云平台（</w:t>
      </w:r>
      <w:r>
        <w:rPr>
          <w:rFonts w:hint="eastAsia" w:ascii="宋体" w:hAnsi="宋体" w:eastAsia="宋体" w:cs="宋体"/>
          <w:color w:val="auto"/>
          <w:kern w:val="0"/>
          <w:szCs w:val="21"/>
          <w:highlight w:val="none"/>
        </w:rPr>
        <w:fldChar w:fldCharType="begin"/>
      </w:r>
      <w:r>
        <w:rPr>
          <w:rFonts w:hint="eastAsia" w:ascii="宋体" w:hAnsi="宋体" w:eastAsia="宋体" w:cs="宋体"/>
          <w:color w:val="auto"/>
          <w:highlight w:val="none"/>
        </w:rPr>
        <w:instrText xml:space="preserve"> INCLUDEPICTURE "D:\\我的文档\\Documents\\WeChat Files\\wxid_b2tupcfpmkjx21\\FileStorage\\Administrator\\AppData\\Roaming\\Tencent\\QQTempSys\\%25W@GJ$ACOF(TYDYECOKVDYB.png" \* MERGEFORMAT \d </w:instrText>
      </w:r>
      <w:r>
        <w:rPr>
          <w:rFonts w:hint="eastAsia" w:ascii="宋体" w:hAnsi="宋体" w:eastAsia="宋体" w:cs="宋体"/>
          <w:color w:val="auto"/>
          <w:kern w:val="0"/>
          <w:szCs w:val="21"/>
          <w:highlight w:val="none"/>
        </w:rPr>
        <w:fldChar w:fldCharType="separate"/>
      </w:r>
      <w:r>
        <w:rPr>
          <w:rFonts w:hint="eastAsia" w:ascii="宋体" w:hAnsi="宋体" w:eastAsia="宋体" w:cs="宋体"/>
          <w:color w:val="auto"/>
          <w:kern w:val="0"/>
          <w:szCs w:val="21"/>
          <w:highlight w:val="none"/>
        </w:rPr>
        <w:drawing>
          <wp:inline distT="0" distB="0" distL="114300" distR="114300">
            <wp:extent cx="190500" cy="142875"/>
            <wp:effectExtent l="0" t="0" r="0" b="9525"/>
            <wp:docPr id="2"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7"/>
                    <pic:cNvPicPr>
                      <a:picLocks noChangeAspect="1"/>
                    </pic:cNvPicPr>
                  </pic:nvPicPr>
                  <pic:blipFill>
                    <a:blip r:embed="rId13"/>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https://www.zcygov.cn/）——点击右上角金融服务（</w:t>
      </w:r>
      <w:r>
        <w:rPr>
          <w:rFonts w:hint="eastAsia" w:ascii="宋体" w:hAnsi="宋体" w:eastAsia="宋体" w:cs="宋体"/>
          <w:color w:val="auto"/>
          <w:kern w:val="0"/>
          <w:szCs w:val="21"/>
          <w:highlight w:val="none"/>
        </w:rPr>
        <w:fldChar w:fldCharType="begin"/>
      </w:r>
      <w:r>
        <w:rPr>
          <w:rFonts w:hint="eastAsia" w:ascii="宋体" w:hAnsi="宋体" w:eastAsia="宋体" w:cs="宋体"/>
          <w:color w:val="auto"/>
          <w:highlight w:val="none"/>
        </w:rPr>
        <w:instrText xml:space="preserve"> INCLUDEPICTURE "D:\\我的文档\\Documents\\WeChat Files\\wxid_b2tupcfpmkjx21\\FileStorage\\Administrator\\AppData\\Roaming\\Tencent\\QQTempSys\\%25W@GJ$ACOF(TYDYECOKVDYB.png" \* MERGEFORMAT \d </w:instrText>
      </w:r>
      <w:r>
        <w:rPr>
          <w:rFonts w:hint="eastAsia" w:ascii="宋体" w:hAnsi="宋体" w:eastAsia="宋体" w:cs="宋体"/>
          <w:color w:val="auto"/>
          <w:kern w:val="0"/>
          <w:szCs w:val="21"/>
          <w:highlight w:val="none"/>
        </w:rPr>
        <w:fldChar w:fldCharType="separate"/>
      </w:r>
      <w:r>
        <w:rPr>
          <w:rFonts w:hint="eastAsia" w:ascii="宋体" w:hAnsi="宋体" w:eastAsia="宋体" w:cs="宋体"/>
          <w:color w:val="auto"/>
          <w:kern w:val="0"/>
          <w:szCs w:val="21"/>
          <w:highlight w:val="none"/>
        </w:rPr>
        <w:drawing>
          <wp:inline distT="0" distB="0" distL="114300" distR="114300">
            <wp:extent cx="190500" cy="1428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13"/>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https://jinrong.zcygov.cn/）——选择融资服务——选择银行及产品——线上直接申请。</w:t>
      </w:r>
    </w:p>
    <w:p w14:paraId="793F9F40">
      <w:pPr>
        <w:widowControl/>
        <w:spacing w:line="360" w:lineRule="exact"/>
        <w:ind w:firstLine="422" w:firstLineChars="200"/>
        <w:rPr>
          <w:rFonts w:hint="eastAsia" w:ascii="宋体" w:hAnsi="宋体" w:eastAsia="宋体" w:cs="宋体"/>
          <w:color w:val="auto"/>
          <w:kern w:val="0"/>
          <w:szCs w:val="21"/>
          <w:highlight w:val="none"/>
        </w:rPr>
      </w:pPr>
      <w:bookmarkStart w:id="19" w:name="_Toc28359008"/>
      <w:bookmarkStart w:id="20" w:name="_Toc28359085"/>
      <w:bookmarkStart w:id="21" w:name="_Toc35393796"/>
      <w:bookmarkStart w:id="22" w:name="_Toc35393627"/>
      <w:r>
        <w:rPr>
          <w:rFonts w:hint="eastAsia" w:ascii="宋体" w:hAnsi="宋体" w:eastAsia="宋体" w:cs="宋体"/>
          <w:b/>
          <w:bCs/>
          <w:color w:val="auto"/>
          <w:kern w:val="0"/>
          <w:szCs w:val="21"/>
          <w:highlight w:val="none"/>
        </w:rPr>
        <w:t>八、</w:t>
      </w:r>
      <w:bookmarkEnd w:id="19"/>
      <w:bookmarkEnd w:id="20"/>
      <w:bookmarkEnd w:id="21"/>
      <w:bookmarkEnd w:id="22"/>
      <w:r>
        <w:rPr>
          <w:rFonts w:hint="eastAsia" w:ascii="宋体" w:hAnsi="宋体" w:eastAsia="宋体" w:cs="宋体"/>
          <w:b/>
          <w:bCs/>
          <w:color w:val="auto"/>
          <w:kern w:val="0"/>
          <w:szCs w:val="21"/>
          <w:highlight w:val="none"/>
        </w:rPr>
        <w:t>对本次招标提出询问、质疑、投诉，请按以下方式联系</w:t>
      </w:r>
      <w:bookmarkStart w:id="23" w:name="_Toc11970"/>
      <w:bookmarkStart w:id="24" w:name="_Toc9404"/>
      <w:bookmarkStart w:id="25" w:name="_Toc1764"/>
      <w:bookmarkStart w:id="26" w:name="_Toc11186"/>
      <w:bookmarkStart w:id="27" w:name="_Toc11212"/>
      <w:bookmarkStart w:id="28" w:name="_Toc24708"/>
      <w:bookmarkStart w:id="29" w:name="_Toc30974"/>
      <w:bookmarkStart w:id="30" w:name="_Toc12917"/>
      <w:bookmarkStart w:id="31" w:name="_Toc28515"/>
      <w:bookmarkStart w:id="32" w:name="_Toc9637"/>
      <w:bookmarkStart w:id="33" w:name="_Toc24861"/>
      <w:r>
        <w:rPr>
          <w:rFonts w:hint="eastAsia" w:ascii="宋体" w:hAnsi="宋体" w:eastAsia="宋体" w:cs="宋体"/>
          <w:color w:val="auto"/>
          <w:kern w:val="0"/>
          <w:szCs w:val="21"/>
          <w:highlight w:val="none"/>
        </w:rPr>
        <w:t>　　　　　　　　　</w:t>
      </w:r>
    </w:p>
    <w:p w14:paraId="7E5ECEF2">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1、采购人信息</w:t>
      </w:r>
    </w:p>
    <w:p w14:paraId="17C31974">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r>
        <w:rPr>
          <w:rFonts w:hint="eastAsia" w:ascii="宋体" w:hAnsi="宋体" w:eastAsia="宋体" w:cs="宋体"/>
          <w:color w:val="auto"/>
          <w:kern w:val="0"/>
          <w:szCs w:val="21"/>
          <w:highlight w:val="none"/>
          <w:lang w:eastAsia="zh-CN"/>
        </w:rPr>
        <w:t xml:space="preserve">长兴县太湖图影小学 </w:t>
      </w:r>
      <w:r>
        <w:rPr>
          <w:rFonts w:hint="eastAsia" w:ascii="宋体" w:hAnsi="宋体" w:eastAsia="宋体" w:cs="宋体"/>
          <w:color w:val="auto"/>
          <w:kern w:val="0"/>
          <w:szCs w:val="21"/>
          <w:highlight w:val="none"/>
        </w:rPr>
        <w:t xml:space="preserve">      </w:t>
      </w:r>
    </w:p>
    <w:p w14:paraId="71431492">
      <w:pPr>
        <w:widowControl/>
        <w:spacing w:line="3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地 址： </w:t>
      </w:r>
      <w:r>
        <w:rPr>
          <w:rFonts w:hint="eastAsia" w:ascii="宋体" w:hAnsi="宋体" w:eastAsia="宋体" w:cs="宋体"/>
          <w:color w:val="auto"/>
          <w:kern w:val="0"/>
          <w:szCs w:val="21"/>
          <w:highlight w:val="none"/>
          <w:lang w:eastAsia="zh-CN"/>
        </w:rPr>
        <w:t>长兴县洪桥镇龙之梦大道2009号</w:t>
      </w:r>
    </w:p>
    <w:p w14:paraId="643C5238">
      <w:pPr>
        <w:widowControl/>
        <w:spacing w:line="360" w:lineRule="exact"/>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传 真</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w:t>
      </w:r>
    </w:p>
    <w:p w14:paraId="42A31535">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项目联系人（询问）：</w:t>
      </w:r>
      <w:r>
        <w:rPr>
          <w:rFonts w:hint="eastAsia" w:ascii="宋体" w:hAnsi="宋体" w:eastAsia="宋体" w:cs="宋体"/>
          <w:color w:val="auto"/>
          <w:kern w:val="0"/>
          <w:szCs w:val="21"/>
          <w:highlight w:val="none"/>
          <w:lang w:val="en-US" w:eastAsia="zh-CN"/>
        </w:rPr>
        <w:t>曹老师</w:t>
      </w:r>
    </w:p>
    <w:p w14:paraId="746D9B27">
      <w:pPr>
        <w:widowControl/>
        <w:spacing w:line="3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项目联系方式（询问）：</w:t>
      </w:r>
      <w:r>
        <w:rPr>
          <w:rFonts w:hint="eastAsia" w:ascii="宋体" w:hAnsi="宋体" w:eastAsia="宋体" w:cs="宋体"/>
          <w:color w:val="auto"/>
          <w:kern w:val="0"/>
          <w:szCs w:val="21"/>
          <w:highlight w:val="none"/>
          <w:lang w:val="en-US" w:eastAsia="zh-CN"/>
        </w:rPr>
        <w:t>0572-6298917</w:t>
      </w:r>
      <w:r>
        <w:rPr>
          <w:rFonts w:hint="default" w:ascii="宋体" w:hAnsi="宋体" w:eastAsia="宋体" w:cs="宋体"/>
          <w:color w:val="auto"/>
          <w:kern w:val="0"/>
          <w:szCs w:val="21"/>
          <w:highlight w:val="none"/>
          <w:lang w:val="en-US" w:eastAsia="zh-CN"/>
        </w:rPr>
        <w:t>  </w:t>
      </w:r>
      <w:r>
        <w:rPr>
          <w:rFonts w:hint="default" w:ascii="Segoe UI" w:hAnsi="Segoe UI" w:eastAsia="Segoe UI" w:cs="Segoe UI"/>
          <w:i w:val="0"/>
          <w:iCs w:val="0"/>
          <w:caps w:val="0"/>
          <w:color w:val="auto"/>
          <w:spacing w:val="0"/>
          <w:sz w:val="19"/>
          <w:szCs w:val="19"/>
          <w:highlight w:val="none"/>
          <w:shd w:val="clear" w:fill="FFFFFF"/>
        </w:rPr>
        <w:t xml:space="preserve">   </w:t>
      </w:r>
    </w:p>
    <w:p w14:paraId="3AD0B80B">
      <w:pPr>
        <w:widowControl/>
        <w:spacing w:line="3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质疑联系人：</w:t>
      </w:r>
      <w:r>
        <w:rPr>
          <w:rFonts w:hint="eastAsia" w:ascii="宋体" w:hAnsi="宋体" w:eastAsia="宋体" w:cs="宋体"/>
          <w:color w:val="auto"/>
          <w:kern w:val="0"/>
          <w:szCs w:val="21"/>
          <w:highlight w:val="none"/>
          <w:lang w:val="en-US" w:eastAsia="zh-CN"/>
        </w:rPr>
        <w:t>曹老师</w:t>
      </w:r>
    </w:p>
    <w:p w14:paraId="632F57CD">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质疑联系方式：</w:t>
      </w:r>
      <w:r>
        <w:rPr>
          <w:rFonts w:hint="eastAsia" w:ascii="宋体" w:hAnsi="宋体" w:eastAsia="宋体" w:cs="宋体"/>
          <w:color w:val="auto"/>
          <w:kern w:val="0"/>
          <w:szCs w:val="21"/>
          <w:highlight w:val="none"/>
          <w:lang w:val="en-US" w:eastAsia="zh-CN"/>
        </w:rPr>
        <w:t>0572-6298917</w:t>
      </w:r>
      <w:r>
        <w:rPr>
          <w:rFonts w:hint="default" w:ascii="宋体" w:hAnsi="宋体" w:eastAsia="宋体" w:cs="宋体"/>
          <w:color w:val="auto"/>
          <w:kern w:val="0"/>
          <w:szCs w:val="21"/>
          <w:highlight w:val="none"/>
          <w:lang w:val="en-US" w:eastAsia="zh-CN"/>
        </w:rPr>
        <w:t> </w:t>
      </w:r>
    </w:p>
    <w:p w14:paraId="00EA66B5">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2、采购代理机构信息</w:t>
      </w:r>
    </w:p>
    <w:p w14:paraId="33923545">
      <w:pPr>
        <w:widowControl/>
        <w:spacing w:line="360" w:lineRule="exact"/>
        <w:ind w:firstLine="420" w:firstLineChars="200"/>
        <w:rPr>
          <w:rFonts w:hint="eastAsia" w:ascii="宋体" w:hAnsi="宋体" w:eastAsia="宋体" w:cs="宋体"/>
          <w:color w:val="auto"/>
          <w:spacing w:val="11"/>
          <w:kern w:val="0"/>
          <w:szCs w:val="21"/>
          <w:highlight w:val="none"/>
          <w:lang w:eastAsia="zh-CN"/>
        </w:rPr>
      </w:pPr>
      <w:r>
        <w:rPr>
          <w:rFonts w:hint="eastAsia" w:ascii="宋体" w:hAnsi="宋体" w:eastAsia="宋体" w:cs="宋体"/>
          <w:color w:val="auto"/>
          <w:kern w:val="0"/>
          <w:szCs w:val="21"/>
          <w:highlight w:val="none"/>
        </w:rPr>
        <w:t>名 称：</w:t>
      </w:r>
      <w:r>
        <w:rPr>
          <w:rFonts w:hint="eastAsia" w:ascii="宋体" w:hAnsi="宋体" w:eastAsia="宋体" w:cs="宋体"/>
          <w:color w:val="auto"/>
          <w:spacing w:val="11"/>
          <w:kern w:val="0"/>
          <w:szCs w:val="21"/>
          <w:highlight w:val="none"/>
          <w:lang w:eastAsia="zh-CN"/>
        </w:rPr>
        <w:t>湖州同力招标代理有限公司</w:t>
      </w:r>
    </w:p>
    <w:p w14:paraId="1AAD13EC">
      <w:pPr>
        <w:widowControl/>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地 址：</w:t>
      </w:r>
      <w:r>
        <w:rPr>
          <w:rFonts w:hint="eastAsia" w:ascii="宋体" w:hAnsi="宋体" w:eastAsia="宋体" w:cs="宋体"/>
          <w:color w:val="auto"/>
          <w:szCs w:val="21"/>
          <w:highlight w:val="none"/>
          <w:lang w:val="zh-CN"/>
        </w:rPr>
        <w:t>长兴县雉城街道阳光天地小区北区27幢</w:t>
      </w:r>
    </w:p>
    <w:p w14:paraId="1C44A6E6">
      <w:pPr>
        <w:widowControl/>
        <w:spacing w:line="360" w:lineRule="exact"/>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传 真</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w:t>
      </w:r>
    </w:p>
    <w:p w14:paraId="076AB0B4">
      <w:pPr>
        <w:widowControl/>
        <w:spacing w:line="3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项目联系人（询问）：</w:t>
      </w:r>
      <w:r>
        <w:rPr>
          <w:rFonts w:hint="eastAsia" w:ascii="宋体" w:hAnsi="宋体" w:eastAsia="宋体" w:cs="宋体"/>
          <w:color w:val="auto"/>
          <w:kern w:val="0"/>
          <w:szCs w:val="21"/>
          <w:highlight w:val="none"/>
          <w:lang w:val="en-US" w:eastAsia="zh-CN"/>
        </w:rPr>
        <w:t>王工</w:t>
      </w:r>
      <w:r>
        <w:rPr>
          <w:rFonts w:hint="eastAsia" w:ascii="宋体" w:hAnsi="宋体" w:eastAsia="宋体" w:cs="宋体"/>
          <w:color w:val="auto"/>
          <w:kern w:val="0"/>
          <w:szCs w:val="21"/>
          <w:highlight w:val="none"/>
        </w:rPr>
        <w:t xml:space="preserve"> 项目联系方式（询问）：</w:t>
      </w:r>
      <w:r>
        <w:rPr>
          <w:rFonts w:hint="eastAsia" w:ascii="宋体" w:hAnsi="宋体" w:eastAsia="宋体" w:cs="宋体"/>
          <w:color w:val="auto"/>
          <w:kern w:val="0"/>
          <w:szCs w:val="21"/>
          <w:highlight w:val="none"/>
          <w:lang w:eastAsia="zh-CN"/>
        </w:rPr>
        <w:t>18768213747</w:t>
      </w:r>
    </w:p>
    <w:p w14:paraId="6112E685">
      <w:pPr>
        <w:widowControl/>
        <w:spacing w:line="3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质疑联系人：</w:t>
      </w:r>
      <w:r>
        <w:rPr>
          <w:rFonts w:hint="eastAsia" w:ascii="宋体" w:hAnsi="宋体" w:eastAsia="宋体" w:cs="宋体"/>
          <w:color w:val="auto"/>
          <w:kern w:val="0"/>
          <w:szCs w:val="21"/>
          <w:highlight w:val="none"/>
          <w:lang w:val="en-US" w:eastAsia="zh-CN"/>
        </w:rPr>
        <w:t>王工</w:t>
      </w:r>
      <w:r>
        <w:rPr>
          <w:rFonts w:hint="eastAsia" w:ascii="宋体" w:hAnsi="宋体" w:eastAsia="宋体" w:cs="宋体"/>
          <w:color w:val="auto"/>
          <w:kern w:val="0"/>
          <w:szCs w:val="21"/>
          <w:highlight w:val="none"/>
        </w:rPr>
        <w:t xml:space="preserve">    质疑联系方式：</w:t>
      </w:r>
      <w:r>
        <w:rPr>
          <w:rFonts w:hint="eastAsia" w:ascii="宋体" w:hAnsi="宋体" w:eastAsia="宋体" w:cs="宋体"/>
          <w:color w:val="auto"/>
          <w:kern w:val="0"/>
          <w:szCs w:val="21"/>
          <w:highlight w:val="none"/>
          <w:lang w:eastAsia="zh-CN"/>
        </w:rPr>
        <w:t>18768213747</w:t>
      </w:r>
    </w:p>
    <w:p w14:paraId="48964271">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3.同级政府采购监督管理部门</w:t>
      </w:r>
    </w:p>
    <w:p w14:paraId="7D8C0AEC">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称：长兴县财政局政府采购监管科</w:t>
      </w:r>
    </w:p>
    <w:p w14:paraId="401A0EEB">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址：长兴县龙山街道锦绣路6号兴国商务楼1号楼1305室</w:t>
      </w:r>
    </w:p>
    <w:p w14:paraId="7BB96566">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 ：佘科    监督投诉电话：0572-6027789</w:t>
      </w:r>
    </w:p>
    <w:p w14:paraId="2E7BA9FE">
      <w:pPr>
        <w:widowControl/>
        <w:spacing w:line="360" w:lineRule="exact"/>
        <w:ind w:firstLine="420" w:firstLineChars="200"/>
        <w:jc w:val="left"/>
        <w:rPr>
          <w:rFonts w:hint="eastAsia" w:ascii="宋体" w:hAnsi="宋体" w:eastAsia="宋体" w:cs="宋体"/>
          <w:color w:val="auto"/>
          <w:kern w:val="0"/>
          <w:szCs w:val="21"/>
          <w:highlight w:val="none"/>
        </w:rPr>
      </w:pPr>
    </w:p>
    <w:p w14:paraId="06BF5F6D">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bookmarkEnd w:id="23"/>
    <w:bookmarkEnd w:id="24"/>
    <w:bookmarkEnd w:id="25"/>
    <w:bookmarkEnd w:id="26"/>
    <w:bookmarkEnd w:id="27"/>
    <w:bookmarkEnd w:id="28"/>
    <w:bookmarkEnd w:id="29"/>
    <w:bookmarkEnd w:id="30"/>
    <w:bookmarkEnd w:id="31"/>
    <w:bookmarkEnd w:id="32"/>
    <w:bookmarkEnd w:id="33"/>
    <w:p w14:paraId="01B49B17">
      <w:pPr>
        <w:widowControl/>
        <w:rPr>
          <w:rFonts w:hint="eastAsia" w:ascii="宋体" w:hAnsi="宋体" w:eastAsia="宋体" w:cs="宋体"/>
          <w:b/>
          <w:color w:val="auto"/>
          <w:sz w:val="32"/>
          <w:szCs w:val="32"/>
          <w:highlight w:val="none"/>
        </w:rPr>
      </w:pPr>
    </w:p>
    <w:p w14:paraId="2A86F81A">
      <w:pPr>
        <w:spacing w:line="360" w:lineRule="auto"/>
        <w:jc w:val="center"/>
        <w:outlineLvl w:val="0"/>
        <w:rPr>
          <w:rFonts w:hint="eastAsia" w:ascii="宋体" w:hAnsi="宋体" w:eastAsia="宋体" w:cs="宋体"/>
          <w:b/>
          <w:color w:val="auto"/>
          <w:sz w:val="30"/>
          <w:szCs w:val="30"/>
          <w:highlight w:val="none"/>
        </w:rPr>
      </w:pPr>
      <w:bookmarkStart w:id="34" w:name="_Toc24788"/>
    </w:p>
    <w:p w14:paraId="5B3B33FA">
      <w:pPr>
        <w:spacing w:line="360" w:lineRule="auto"/>
        <w:jc w:val="center"/>
        <w:outlineLvl w:val="0"/>
        <w:rPr>
          <w:rFonts w:hint="eastAsia" w:ascii="宋体" w:hAnsi="宋体" w:eastAsia="宋体" w:cs="宋体"/>
          <w:color w:val="auto"/>
          <w:szCs w:val="21"/>
          <w:highlight w:val="none"/>
        </w:rPr>
      </w:pPr>
      <w:r>
        <w:rPr>
          <w:rFonts w:hint="eastAsia" w:ascii="宋体" w:hAnsi="宋体" w:eastAsia="宋体" w:cs="宋体"/>
          <w:b/>
          <w:color w:val="auto"/>
          <w:sz w:val="30"/>
          <w:szCs w:val="30"/>
          <w:highlight w:val="none"/>
        </w:rPr>
        <w:t>第二章  磋商需求</w:t>
      </w:r>
      <w:bookmarkEnd w:id="34"/>
    </w:p>
    <w:p w14:paraId="6C09165D">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0"/>
        <w:rPr>
          <w:rFonts w:hint="eastAsia" w:ascii="宋体" w:hAnsi="宋体" w:eastAsia="宋体" w:cs="宋体"/>
          <w:b/>
          <w:color w:val="auto"/>
          <w:szCs w:val="21"/>
          <w:highlight w:val="none"/>
        </w:rPr>
      </w:pPr>
      <w:bookmarkStart w:id="35" w:name="_Toc4767"/>
      <w:bookmarkStart w:id="36" w:name="_Toc3127"/>
      <w:bookmarkStart w:id="37" w:name="_Toc12148"/>
      <w:bookmarkStart w:id="38" w:name="_Toc535421303"/>
      <w:bookmarkStart w:id="39" w:name="_Toc172836894"/>
      <w:bookmarkStart w:id="40" w:name="_Toc157410886"/>
      <w:bookmarkStart w:id="41" w:name="_Toc520894397"/>
      <w:r>
        <w:rPr>
          <w:rFonts w:hint="eastAsia" w:ascii="宋体" w:hAnsi="宋体" w:eastAsia="宋体" w:cs="宋体"/>
          <w:b/>
          <w:color w:val="auto"/>
          <w:szCs w:val="21"/>
          <w:highlight w:val="none"/>
        </w:rPr>
        <w:t>一、</w:t>
      </w:r>
      <w:bookmarkEnd w:id="35"/>
      <w:bookmarkEnd w:id="36"/>
      <w:bookmarkStart w:id="42" w:name="_Toc2017"/>
      <w:bookmarkStart w:id="43" w:name="_Toc6166"/>
      <w:r>
        <w:rPr>
          <w:rFonts w:hint="eastAsia" w:ascii="宋体" w:hAnsi="宋体" w:eastAsia="宋体" w:cs="宋体"/>
          <w:b/>
          <w:color w:val="auto"/>
          <w:szCs w:val="21"/>
          <w:highlight w:val="none"/>
        </w:rPr>
        <w:t>项目概况</w:t>
      </w:r>
      <w:bookmarkEnd w:id="42"/>
      <w:bookmarkEnd w:id="43"/>
    </w:p>
    <w:p w14:paraId="2DCF037E">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1.项目名称：</w:t>
      </w:r>
      <w:r>
        <w:rPr>
          <w:rFonts w:hint="eastAsia" w:ascii="宋体" w:hAnsi="宋体" w:eastAsia="宋体" w:cs="宋体"/>
          <w:color w:val="auto"/>
          <w:szCs w:val="21"/>
          <w:highlight w:val="none"/>
          <w:lang w:eastAsia="zh-CN"/>
        </w:rPr>
        <w:t xml:space="preserve">长兴县太湖图影小学篮球场悬浮地板采购项目 </w:t>
      </w:r>
    </w:p>
    <w:p w14:paraId="0151946D">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2.采购单位：</w:t>
      </w:r>
      <w:r>
        <w:rPr>
          <w:rFonts w:hint="eastAsia" w:ascii="宋体" w:hAnsi="宋体" w:eastAsia="宋体" w:cs="宋体"/>
          <w:color w:val="auto"/>
          <w:szCs w:val="21"/>
          <w:highlight w:val="none"/>
          <w:lang w:eastAsia="zh-CN"/>
        </w:rPr>
        <w:t xml:space="preserve">长兴县太湖图影小学 </w:t>
      </w:r>
    </w:p>
    <w:p w14:paraId="518880F9">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3.供货期：</w:t>
      </w:r>
      <w:r>
        <w:rPr>
          <w:rFonts w:hint="eastAsia" w:ascii="宋体" w:hAnsi="宋体" w:eastAsia="宋体" w:cs="宋体"/>
          <w:color w:val="auto"/>
          <w:szCs w:val="21"/>
          <w:highlight w:val="none"/>
          <w:lang w:val="en-US" w:eastAsia="zh-CN"/>
        </w:rPr>
        <w:t>30日历天</w:t>
      </w:r>
      <w:r>
        <w:rPr>
          <w:rFonts w:hint="eastAsia" w:ascii="宋体" w:hAnsi="宋体" w:eastAsia="宋体" w:cs="宋体"/>
          <w:color w:val="auto"/>
          <w:szCs w:val="21"/>
          <w:highlight w:val="none"/>
        </w:rPr>
        <w:t>，合同签订后</w:t>
      </w:r>
      <w:r>
        <w:rPr>
          <w:rFonts w:hint="eastAsia" w:ascii="宋体" w:hAnsi="宋体" w:eastAsia="宋体" w:cs="宋体"/>
          <w:color w:val="auto"/>
          <w:szCs w:val="21"/>
          <w:highlight w:val="none"/>
          <w:lang w:val="en-US" w:eastAsia="zh-CN"/>
        </w:rPr>
        <w:t>30日历天</w:t>
      </w:r>
      <w:r>
        <w:rPr>
          <w:rFonts w:hint="eastAsia" w:ascii="宋体" w:hAnsi="宋体" w:eastAsia="宋体" w:cs="宋体"/>
          <w:color w:val="auto"/>
          <w:szCs w:val="21"/>
          <w:highlight w:val="none"/>
        </w:rPr>
        <w:t>内完成供货、安装调试</w:t>
      </w:r>
      <w:r>
        <w:rPr>
          <w:rFonts w:hint="eastAsia" w:ascii="宋体" w:hAnsi="宋体" w:eastAsia="宋体" w:cs="宋体"/>
          <w:color w:val="auto"/>
          <w:kern w:val="0"/>
          <w:szCs w:val="21"/>
          <w:highlight w:val="none"/>
        </w:rPr>
        <w:t>完毕并通过验收合格</w:t>
      </w:r>
      <w:r>
        <w:rPr>
          <w:rFonts w:hint="eastAsia" w:ascii="宋体" w:hAnsi="宋体" w:eastAsia="宋体" w:cs="宋体"/>
          <w:color w:val="auto"/>
          <w:szCs w:val="21"/>
          <w:highlight w:val="none"/>
        </w:rPr>
        <w:t>。</w:t>
      </w:r>
    </w:p>
    <w:p w14:paraId="1BCC7688">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4.供货地点：采购人指定地点</w:t>
      </w:r>
    </w:p>
    <w:p w14:paraId="38DFC1CB">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5.采购预算：</w:t>
      </w:r>
      <w:r>
        <w:rPr>
          <w:rFonts w:hint="eastAsia" w:ascii="宋体" w:hAnsi="宋体" w:eastAsia="宋体" w:cs="宋体"/>
          <w:color w:val="auto"/>
          <w:szCs w:val="21"/>
          <w:highlight w:val="none"/>
          <w:lang w:eastAsia="zh-CN"/>
        </w:rPr>
        <w:t>300000.00</w:t>
      </w:r>
      <w:r>
        <w:rPr>
          <w:rFonts w:hint="eastAsia" w:ascii="宋体" w:hAnsi="宋体" w:eastAsia="宋体" w:cs="宋体"/>
          <w:color w:val="auto"/>
          <w:szCs w:val="21"/>
          <w:highlight w:val="none"/>
        </w:rPr>
        <w:t>元</w:t>
      </w:r>
    </w:p>
    <w:p w14:paraId="658B58F6">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6.最高限价：</w:t>
      </w:r>
      <w:r>
        <w:rPr>
          <w:rFonts w:hint="eastAsia" w:ascii="宋体" w:hAnsi="宋体" w:eastAsia="宋体" w:cs="宋体"/>
          <w:color w:val="auto"/>
          <w:szCs w:val="21"/>
          <w:highlight w:val="none"/>
          <w:lang w:eastAsia="zh-CN"/>
        </w:rPr>
        <w:t>300000.00</w:t>
      </w:r>
      <w:r>
        <w:rPr>
          <w:rFonts w:hint="eastAsia" w:ascii="宋体" w:hAnsi="宋体" w:eastAsia="宋体" w:cs="宋体"/>
          <w:color w:val="auto"/>
          <w:szCs w:val="21"/>
          <w:highlight w:val="none"/>
        </w:rPr>
        <w:t>元</w:t>
      </w:r>
    </w:p>
    <w:p w14:paraId="6B18F2D9">
      <w:pPr>
        <w:keepNext w:val="0"/>
        <w:keepLines w:val="0"/>
        <w:pageBreakBefore w:val="0"/>
        <w:widowControl w:val="0"/>
        <w:kinsoku/>
        <w:wordWrap/>
        <w:overflowPunct/>
        <w:topLinePunct w:val="0"/>
        <w:bidi w:val="0"/>
        <w:adjustRightInd/>
        <w:snapToGrid/>
        <w:spacing w:line="400" w:lineRule="exact"/>
        <w:ind w:firstLine="422" w:firstLineChars="200"/>
        <w:jc w:val="left"/>
        <w:textAlignment w:val="auto"/>
        <w:rPr>
          <w:rFonts w:hint="eastAsia" w:ascii="宋体" w:hAnsi="宋体" w:eastAsia="宋体" w:cs="宋体"/>
          <w:b/>
          <w:color w:val="auto"/>
          <w:szCs w:val="21"/>
          <w:highlight w:val="none"/>
          <w:lang w:val="en-US" w:eastAsia="zh-CN"/>
        </w:rPr>
      </w:pPr>
      <w:r>
        <w:rPr>
          <w:rFonts w:hint="eastAsia" w:ascii="宋体" w:hAnsi="宋体" w:eastAsia="宋体" w:cs="宋体"/>
          <w:b/>
          <w:bCs/>
          <w:color w:val="auto"/>
          <w:szCs w:val="21"/>
          <w:highlight w:val="none"/>
        </w:rPr>
        <w:t>注：供应商须按最新国家相关标准、行业标准、地方标准或者其他标准、规范完成本次项目的供货、运输、装卸、安装、调试、检验与</w:t>
      </w:r>
      <w:r>
        <w:rPr>
          <w:rFonts w:hint="eastAsia" w:ascii="宋体" w:hAnsi="宋体" w:eastAsia="宋体" w:cs="宋体"/>
          <w:b/>
          <w:color w:val="auto"/>
          <w:szCs w:val="21"/>
          <w:highlight w:val="none"/>
        </w:rPr>
        <w:t>验收、质保期服务、维修等各项工作，并保证</w:t>
      </w:r>
      <w:r>
        <w:rPr>
          <w:rFonts w:hint="eastAsia" w:ascii="宋体" w:hAnsi="宋体" w:eastAsia="宋体" w:cs="宋体"/>
          <w:b/>
          <w:color w:val="auto"/>
          <w:szCs w:val="21"/>
          <w:highlight w:val="none"/>
          <w:lang w:val="en-US" w:eastAsia="zh-CN"/>
        </w:rPr>
        <w:t>磋商响应</w:t>
      </w:r>
      <w:r>
        <w:rPr>
          <w:rFonts w:hint="eastAsia" w:ascii="宋体" w:hAnsi="宋体" w:eastAsia="宋体" w:cs="宋体"/>
          <w:b/>
          <w:color w:val="auto"/>
          <w:szCs w:val="21"/>
          <w:highlight w:val="none"/>
        </w:rPr>
        <w:t>产品使用的安全性能与检测结果的可靠性。</w:t>
      </w:r>
      <w:bookmarkEnd w:id="37"/>
      <w:bookmarkEnd w:id="38"/>
      <w:bookmarkEnd w:id="39"/>
      <w:bookmarkEnd w:id="40"/>
      <w:bookmarkEnd w:id="41"/>
    </w:p>
    <w:p w14:paraId="4AC8AB18">
      <w:pPr>
        <w:keepNext w:val="0"/>
        <w:keepLines w:val="0"/>
        <w:pageBreakBefore w:val="0"/>
        <w:widowControl w:val="0"/>
        <w:numPr>
          <w:ilvl w:val="0"/>
          <w:numId w:val="0"/>
        </w:numPr>
        <w:kinsoku/>
        <w:wordWrap/>
        <w:overflowPunct/>
        <w:topLinePunct w:val="0"/>
        <w:bidi w:val="0"/>
        <w:adjustRightInd/>
        <w:snapToGrid/>
        <w:spacing w:line="400" w:lineRule="exact"/>
        <w:jc w:val="left"/>
        <w:textAlignment w:val="auto"/>
        <w:rPr>
          <w:rFonts w:hint="eastAsia" w:ascii="宋体" w:hAnsi="宋体" w:eastAsia="宋体" w:cs="宋体"/>
          <w:b/>
          <w:color w:val="auto"/>
          <w:szCs w:val="21"/>
          <w:highlight w:val="none"/>
          <w:lang w:val="en-US" w:eastAsia="zh-CN"/>
        </w:rPr>
      </w:pPr>
    </w:p>
    <w:p w14:paraId="4392A066">
      <w:pPr>
        <w:pStyle w:val="54"/>
        <w:numPr>
          <w:ilvl w:val="0"/>
          <w:numId w:val="4"/>
        </w:numPr>
        <w:ind w:left="0" w:leftChars="0" w:firstLine="422" w:firstLineChars="20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参数要求</w:t>
      </w:r>
    </w:p>
    <w:tbl>
      <w:tblPr>
        <w:tblStyle w:val="60"/>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589"/>
        <w:gridCol w:w="7538"/>
        <w:gridCol w:w="533"/>
        <w:gridCol w:w="679"/>
      </w:tblGrid>
      <w:tr w14:paraId="74716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498" w:type="dxa"/>
            <w:noWrap w:val="0"/>
            <w:vAlign w:val="center"/>
          </w:tcPr>
          <w:p w14:paraId="221F000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89" w:type="dxa"/>
            <w:noWrap w:val="0"/>
            <w:vAlign w:val="center"/>
          </w:tcPr>
          <w:p w14:paraId="5F31D14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7538" w:type="dxa"/>
            <w:noWrap w:val="0"/>
            <w:vAlign w:val="center"/>
          </w:tcPr>
          <w:p w14:paraId="6A315D9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质量技术标准（技术参数）</w:t>
            </w:r>
          </w:p>
        </w:tc>
        <w:tc>
          <w:tcPr>
            <w:tcW w:w="533" w:type="dxa"/>
            <w:noWrap w:val="0"/>
            <w:vAlign w:val="center"/>
          </w:tcPr>
          <w:p w14:paraId="024F8FC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679" w:type="dxa"/>
            <w:noWrap w:val="0"/>
            <w:vAlign w:val="center"/>
          </w:tcPr>
          <w:p w14:paraId="5DBE293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r>
      <w:tr w14:paraId="49EE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5" w:hRule="atLeast"/>
          <w:jc w:val="center"/>
        </w:trPr>
        <w:tc>
          <w:tcPr>
            <w:tcW w:w="498" w:type="dxa"/>
            <w:noWrap w:val="0"/>
            <w:vAlign w:val="center"/>
          </w:tcPr>
          <w:p w14:paraId="4DE85D0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89" w:type="dxa"/>
            <w:noWrap w:val="0"/>
            <w:vAlign w:val="center"/>
          </w:tcPr>
          <w:p w14:paraId="047624A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悬浮式拼装地板</w:t>
            </w:r>
          </w:p>
        </w:tc>
        <w:tc>
          <w:tcPr>
            <w:tcW w:w="7538" w:type="dxa"/>
            <w:vMerge w:val="restart"/>
            <w:shd w:val="clear" w:color="auto" w:fill="auto"/>
            <w:noWrap w:val="0"/>
            <w:vAlign w:val="top"/>
          </w:tcPr>
          <w:p w14:paraId="5F721CF4">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产品要求</w:t>
            </w:r>
          </w:p>
          <w:p w14:paraId="08267D97">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1、悬浮式拼装地板采用环保材料高强度聚丙烯聚合物（PP）,无毒、无味、绿色环保，地板安装后舒适、平稳、耐用，地板规格为软性连接结构，单块产品尺寸长度≥</w:t>
            </w:r>
            <w:r>
              <w:rPr>
                <w:rFonts w:hint="eastAsia" w:ascii="宋体" w:hAnsi="宋体" w:eastAsia="宋体" w:cs="宋体"/>
                <w:color w:val="auto"/>
                <w:sz w:val="21"/>
                <w:szCs w:val="21"/>
                <w:highlight w:val="none"/>
                <w:lang w:val="en-US" w:eastAsia="zh-CN"/>
              </w:rPr>
              <w:t>53</w:t>
            </w:r>
            <w:r>
              <w:rPr>
                <w:rFonts w:hint="eastAsia" w:ascii="宋体" w:hAnsi="宋体" w:eastAsia="宋体" w:cs="宋体"/>
                <w:color w:val="auto"/>
                <w:sz w:val="21"/>
                <w:szCs w:val="21"/>
                <w:highlight w:val="none"/>
              </w:rPr>
              <w:t>cm，宽度≥5</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cm，厚度≥1.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cm；单块改性聚丙烯（PP）+</w:t>
            </w:r>
            <w:r>
              <w:rPr>
                <w:rFonts w:hint="eastAsia" w:ascii="宋体" w:hAnsi="宋体" w:eastAsia="宋体" w:cs="宋体"/>
                <w:color w:val="auto"/>
                <w:sz w:val="21"/>
                <w:szCs w:val="21"/>
                <w:highlight w:val="none"/>
                <w:lang w:val="en-US" w:eastAsia="zh-CN"/>
              </w:rPr>
              <w:t>橡胶</w:t>
            </w:r>
            <w:r>
              <w:rPr>
                <w:rFonts w:hint="eastAsia" w:ascii="宋体" w:hAnsi="宋体" w:eastAsia="宋体" w:cs="宋体"/>
                <w:color w:val="auto"/>
                <w:sz w:val="21"/>
                <w:szCs w:val="21"/>
                <w:highlight w:val="none"/>
              </w:rPr>
              <w:t>弹性垫</w:t>
            </w:r>
          </w:p>
          <w:p w14:paraId="08170AB5">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2、悬浮式拼装地板定位条：安装后场地定位精准，缓解热涨冷缩问题， 单块产品尺寸长度≥5</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cm   宽度≥13cm，厚度≥1.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cm；双层镂空设计，采用锁扣式拼接，单块改性聚丙烯（PP）+</w:t>
            </w:r>
            <w:r>
              <w:rPr>
                <w:rFonts w:hint="eastAsia" w:ascii="宋体" w:hAnsi="宋体" w:eastAsia="宋体" w:cs="宋体"/>
                <w:color w:val="auto"/>
                <w:sz w:val="21"/>
                <w:szCs w:val="21"/>
                <w:highlight w:val="none"/>
                <w:lang w:val="en-US" w:eastAsia="zh-CN"/>
              </w:rPr>
              <w:t>橡胶</w:t>
            </w:r>
            <w:r>
              <w:rPr>
                <w:rFonts w:hint="eastAsia" w:ascii="宋体" w:hAnsi="宋体" w:eastAsia="宋体" w:cs="宋体"/>
                <w:color w:val="auto"/>
                <w:sz w:val="21"/>
                <w:szCs w:val="21"/>
                <w:highlight w:val="none"/>
              </w:rPr>
              <w:t>弹性垫</w:t>
            </w:r>
          </w:p>
          <w:p w14:paraId="6C1CAFB6">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3、悬浮式拼装地板扣边条，单块产品长度≥50cm，宽度≥7.5cm，厚度 ≥1.5cm；单块改性聚丙烯（PP）+</w:t>
            </w:r>
            <w:r>
              <w:rPr>
                <w:rFonts w:hint="eastAsia" w:ascii="宋体" w:hAnsi="宋体" w:eastAsia="宋体" w:cs="宋体"/>
                <w:color w:val="auto"/>
                <w:sz w:val="21"/>
                <w:szCs w:val="21"/>
                <w:highlight w:val="none"/>
                <w:lang w:val="en-US" w:eastAsia="zh-CN"/>
              </w:rPr>
              <w:t>橡胶</w:t>
            </w:r>
            <w:r>
              <w:rPr>
                <w:rFonts w:hint="eastAsia" w:ascii="宋体" w:hAnsi="宋体" w:eastAsia="宋体" w:cs="宋体"/>
                <w:color w:val="auto"/>
                <w:sz w:val="21"/>
                <w:szCs w:val="21"/>
                <w:highlight w:val="none"/>
              </w:rPr>
              <w:t>弹性垫</w:t>
            </w:r>
          </w:p>
          <w:p w14:paraId="75D14A78">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sz w:val="21"/>
                <w:szCs w:val="21"/>
                <w:highlight w:val="none"/>
              </w:rPr>
              <w:t>单块克重≥10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0g/块</w:t>
            </w:r>
          </w:p>
          <w:p w14:paraId="57A7C9BD">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性能参数</w:t>
            </w:r>
          </w:p>
          <w:p w14:paraId="00505B3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1、球反弹率：≥96%</w:t>
            </w:r>
          </w:p>
          <w:p w14:paraId="08B3B65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2、抗滑值（干测，20℃）/BPN≥90</w:t>
            </w:r>
          </w:p>
          <w:p w14:paraId="7DBFDEB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3、高温试验：（100℃，24h）试验后无融化、无龟裂、无明显色差</w:t>
            </w:r>
          </w:p>
          <w:p w14:paraId="6E3D856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4、低温试验：（-50℃，24h）试验后无龟裂、无明显色差</w:t>
            </w:r>
          </w:p>
          <w:p w14:paraId="5BF1891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5、垂直变形0.6-3.0mm</w:t>
            </w:r>
          </w:p>
          <w:p w14:paraId="2528447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6、拉伸强度≥0.4MPa</w:t>
            </w:r>
          </w:p>
          <w:p w14:paraId="0E20293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7、拉断伸长率≥40%</w:t>
            </w:r>
          </w:p>
          <w:p w14:paraId="6038274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8、阻燃性能I级</w:t>
            </w:r>
          </w:p>
          <w:p w14:paraId="3BBBBF0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9、冲击吸收≥32%</w:t>
            </w:r>
          </w:p>
          <w:p w14:paraId="353D3C9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10、总挥发性有机化合物（TVOC）/(mg/(㎡.h))≤5.0</w:t>
            </w:r>
          </w:p>
          <w:p w14:paraId="628B4CB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11、6种邻苯二甲酸酯类化合物总和（g/kg）未检出，</w:t>
            </w:r>
          </w:p>
          <w:p w14:paraId="144EF458">
            <w:pPr>
              <w:numPr>
                <w:ilvl w:val="0"/>
                <w:numId w:val="5"/>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可溶性铅，镉，铬，汞（mg/kg）未检出，</w:t>
            </w:r>
          </w:p>
          <w:p w14:paraId="0639246E">
            <w:pPr>
              <w:numPr>
                <w:ilvl w:val="0"/>
                <w:numId w:val="5"/>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18种多环芳烃总和（mg/kg）未检出</w:t>
            </w:r>
          </w:p>
          <w:p w14:paraId="06B92711">
            <w:pPr>
              <w:numPr>
                <w:ilvl w:val="0"/>
                <w:numId w:val="5"/>
              </w:numPr>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有害物质释放量苯和二硫化碳[mg/（㎡•h）] 未检出</w:t>
            </w:r>
            <w:r>
              <w:rPr>
                <w:rFonts w:hint="eastAsia" w:ascii="宋体" w:hAnsi="宋体" w:eastAsia="宋体" w:cs="宋体"/>
                <w:color w:val="auto"/>
                <w:sz w:val="21"/>
                <w:szCs w:val="21"/>
                <w:highlight w:val="none"/>
                <w:lang w:val="en-US" w:eastAsia="zh-CN"/>
              </w:rPr>
              <w:t xml:space="preserve">           </w:t>
            </w:r>
          </w:p>
          <w:p w14:paraId="434F9E96">
            <w:pPr>
              <w:numPr>
                <w:ilvl w:val="0"/>
                <w:numId w:val="5"/>
              </w:numPr>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耐湿热老化（60℃，≥17000h），外观无明显变化,</w:t>
            </w:r>
            <w:r>
              <w:rPr>
                <w:rFonts w:hint="eastAsia" w:ascii="宋体" w:hAnsi="宋体" w:eastAsia="宋体" w:cs="宋体"/>
                <w:color w:val="auto"/>
                <w:sz w:val="21"/>
                <w:szCs w:val="21"/>
                <w:highlight w:val="none"/>
                <w:lang w:val="en-US" w:eastAsia="zh-CN"/>
              </w:rPr>
              <w:t xml:space="preserve">              </w:t>
            </w:r>
          </w:p>
          <w:p w14:paraId="03916D77">
            <w:pPr>
              <w:numPr>
                <w:ilvl w:val="0"/>
                <w:numId w:val="0"/>
              </w:numPr>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16、高温试验（120℃，≥5000h）后，样品无变色，断裂伸长率≥240%，</w:t>
            </w:r>
          </w:p>
          <w:p w14:paraId="346D763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17、低温试验（-40℃，5000h）后，样品外观无明显变化、开裂、无变色、无变形，拉伸强度≥20MPa，断裂标称应变≥100%</w:t>
            </w:r>
          </w:p>
          <w:p w14:paraId="46AC8D68">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18、臭氧老化（浓度200pphm, ≥5000h），老化后外观无龟裂现象，硬度≥85（Shore A)，拉伸强度变化率≤±5%，</w:t>
            </w:r>
            <w:r>
              <w:rPr>
                <w:rFonts w:hint="eastAsia" w:ascii="宋体" w:hAnsi="宋体" w:eastAsia="宋体" w:cs="宋体"/>
                <w:color w:val="auto"/>
                <w:sz w:val="21"/>
                <w:szCs w:val="21"/>
                <w:highlight w:val="none"/>
                <w:lang w:val="en-US" w:eastAsia="zh-CN"/>
              </w:rPr>
              <w:t xml:space="preserve">                   </w:t>
            </w:r>
          </w:p>
          <w:p w14:paraId="1A9B03B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19、氙灯老化不少于5000h后，拉伸强度≥20Mpa，标称应变≥160%，</w:t>
            </w:r>
          </w:p>
          <w:p w14:paraId="71CBC25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、防霉性能检测(黑曲霉、球毛壳霉等10种以上霉菌)，防霉等级达到0级（不生长）</w:t>
            </w:r>
          </w:p>
          <w:p w14:paraId="0109A1C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、辅料划线漆挥发性有机化合物(g/L)≤20</w:t>
            </w:r>
          </w:p>
          <w:p w14:paraId="27E83A1B">
            <w:pPr>
              <w:ind w:left="210" w:hanging="210" w:hanging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、辅料划线漆甲苯、二甲苯和乙苯总和/(g/kg)未检出</w:t>
            </w:r>
            <w:r>
              <w:rPr>
                <w:rFonts w:hint="eastAsia" w:ascii="宋体" w:hAnsi="宋体" w:eastAsia="宋体" w:cs="宋体"/>
                <w:color w:val="auto"/>
                <w:sz w:val="21"/>
                <w:szCs w:val="21"/>
                <w:highlight w:val="none"/>
                <w:lang w:val="en-US" w:eastAsia="zh-CN"/>
              </w:rPr>
              <w:t xml:space="preserve">          </w:t>
            </w:r>
          </w:p>
          <w:p w14:paraId="77C89AAF">
            <w:pPr>
              <w:ind w:left="210" w:hanging="210" w:hanging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、热老化试验（不少于5000h，拉伸速度: 不少于50mm/min，120℃）后，样品无变色，断裂伸长率≥240%，断裂标称应变≥150%，</w:t>
            </w:r>
            <w:r>
              <w:rPr>
                <w:rFonts w:hint="eastAsia" w:ascii="宋体" w:hAnsi="宋体" w:eastAsia="宋体" w:cs="宋体"/>
                <w:color w:val="auto"/>
                <w:sz w:val="21"/>
                <w:szCs w:val="21"/>
                <w:highlight w:val="none"/>
                <w:lang w:val="en-US" w:eastAsia="zh-CN"/>
              </w:rPr>
              <w:t xml:space="preserve">     </w:t>
            </w:r>
          </w:p>
          <w:p w14:paraId="54A18789">
            <w:pPr>
              <w:ind w:left="210" w:hanging="210" w:hanging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、耐环境应力开裂测试时长≥16000h，破裂率为0%</w:t>
            </w:r>
          </w:p>
          <w:p w14:paraId="097A0889">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、抗菌性能检测（大肠杆菌、金色葡萄球菌等5种以上细菌），抗菌率≥99.5%</w:t>
            </w:r>
          </w:p>
          <w:p w14:paraId="422BFC8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、运动地板原料熔体质量流动速率（(230℃，2.16kg)）≤1.16g/10min</w:t>
            </w:r>
          </w:p>
          <w:p w14:paraId="4EF8035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、运动地板原料经急性皮肤刺激性/腐蚀性试验分别在24h、48h和72h后，对皮肤的刺激强度为无刺激性（无红肿、红斑现象）</w:t>
            </w:r>
          </w:p>
          <w:p w14:paraId="5328D5F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、小鼠经口毒性试验测试（14天观察期），检测结果根据毒性等级分类属于低毒等级</w:t>
            </w:r>
          </w:p>
          <w:p w14:paraId="2EED9DE2">
            <w:pPr>
              <w:pStyle w:val="3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29</w:t>
            </w:r>
            <w:r>
              <w:rPr>
                <w:rFonts w:hint="eastAsia" w:ascii="宋体" w:hAnsi="宋体" w:eastAsia="宋体" w:cs="宋体"/>
                <w:b w:val="0"/>
                <w:bCs/>
                <w:color w:val="auto"/>
                <w:sz w:val="21"/>
                <w:szCs w:val="21"/>
                <w:highlight w:val="none"/>
              </w:rPr>
              <w:t>、为保证产品在湿热条件下产品整体稳定性，不会因为潮湿环境发生变形伸缩，提供湿热条件下测试时间≥10000h后，产品尺寸变化率（长和宽方向）≤±0.1%；</w:t>
            </w:r>
          </w:p>
          <w:p w14:paraId="12D97A22">
            <w:pPr>
              <w:jc w:val="left"/>
              <w:rPr>
                <w:b/>
                <w:bCs/>
                <w:color w:val="auto"/>
                <w:highlight w:val="none"/>
              </w:rPr>
            </w:pPr>
            <w:r>
              <w:rPr>
                <w:rFonts w:hint="eastAsia" w:ascii="宋体" w:hAnsi="宋体" w:eastAsia="宋体" w:cs="宋体"/>
                <w:b/>
                <w:bCs/>
                <w:color w:val="auto"/>
                <w:sz w:val="21"/>
                <w:szCs w:val="21"/>
                <w:highlight w:val="none"/>
                <w:lang w:val="en-US" w:eastAsia="zh-CN"/>
              </w:rPr>
              <w:t>以上性能参数共计29项</w:t>
            </w:r>
            <w:r>
              <w:rPr>
                <w:rFonts w:hint="eastAsia" w:ascii="宋体" w:hAnsi="宋体" w:eastAsia="宋体" w:cs="宋体"/>
                <w:b/>
                <w:bCs/>
                <w:color w:val="auto"/>
                <w:sz w:val="21"/>
                <w:szCs w:val="21"/>
                <w:highlight w:val="none"/>
              </w:rPr>
              <w:t>需提供带</w:t>
            </w:r>
            <w:r>
              <w:rPr>
                <w:rFonts w:hint="eastAsia" w:ascii="宋体" w:hAnsi="宋体" w:eastAsia="宋体" w:cs="宋体"/>
                <w:b/>
                <w:bCs/>
                <w:color w:val="auto"/>
                <w:sz w:val="21"/>
                <w:szCs w:val="21"/>
                <w:highlight w:val="none"/>
                <w:lang w:val="en-US" w:eastAsia="zh-CN"/>
              </w:rPr>
              <w:t>有</w:t>
            </w:r>
            <w:r>
              <w:rPr>
                <w:rFonts w:hint="eastAsia" w:ascii="宋体" w:hAnsi="宋体" w:eastAsia="宋体" w:cs="宋体"/>
                <w:b/>
                <w:bCs/>
                <w:color w:val="auto"/>
                <w:sz w:val="21"/>
                <w:szCs w:val="21"/>
                <w:highlight w:val="none"/>
              </w:rPr>
              <w:t>“CMA”标志的检测报告复印件和在全国认证认可信息公共服务平台网（http://cx.cnca.cn/CertECloud/qts/qts/qtsPage）查询截图加盖</w:t>
            </w:r>
            <w:r>
              <w:rPr>
                <w:rFonts w:hint="eastAsia" w:ascii="宋体" w:hAnsi="宋体" w:eastAsia="宋体" w:cs="宋体"/>
                <w:b/>
                <w:bCs/>
                <w:color w:val="auto"/>
                <w:sz w:val="21"/>
                <w:szCs w:val="21"/>
                <w:highlight w:val="none"/>
                <w:lang w:val="en-US" w:eastAsia="zh-CN"/>
              </w:rPr>
              <w:t>供应商公</w:t>
            </w:r>
            <w:r>
              <w:rPr>
                <w:rFonts w:hint="eastAsia" w:ascii="宋体" w:hAnsi="宋体" w:eastAsia="宋体" w:cs="宋体"/>
                <w:b/>
                <w:bCs/>
                <w:color w:val="auto"/>
                <w:sz w:val="21"/>
                <w:szCs w:val="21"/>
                <w:highlight w:val="none"/>
              </w:rPr>
              <w:t>章。（原件</w:t>
            </w:r>
            <w:r>
              <w:rPr>
                <w:rFonts w:hint="eastAsia" w:ascii="宋体" w:hAnsi="宋体" w:eastAsia="宋体" w:cs="宋体"/>
                <w:b/>
                <w:bCs/>
                <w:color w:val="auto"/>
                <w:sz w:val="21"/>
                <w:szCs w:val="21"/>
                <w:highlight w:val="none"/>
                <w:lang w:val="en-US" w:eastAsia="zh-CN"/>
              </w:rPr>
              <w:t>中标后提供</w:t>
            </w:r>
            <w:r>
              <w:rPr>
                <w:rFonts w:hint="eastAsia" w:ascii="宋体" w:hAnsi="宋体" w:eastAsia="宋体" w:cs="宋体"/>
                <w:b/>
                <w:bCs/>
                <w:color w:val="auto"/>
                <w:sz w:val="21"/>
                <w:szCs w:val="21"/>
                <w:highlight w:val="none"/>
              </w:rPr>
              <w:t>）</w:t>
            </w:r>
          </w:p>
          <w:p w14:paraId="6B975630">
            <w:pPr>
              <w:rPr>
                <w:rFonts w:hint="eastAsia"/>
                <w:color w:val="auto"/>
                <w:highlight w:val="none"/>
                <w:lang w:val="en-US" w:eastAsia="zh-CN"/>
              </w:rPr>
            </w:pPr>
          </w:p>
        </w:tc>
        <w:tc>
          <w:tcPr>
            <w:tcW w:w="533" w:type="dxa"/>
            <w:noWrap w:val="0"/>
            <w:vAlign w:val="center"/>
          </w:tcPr>
          <w:p w14:paraId="1CE5758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平方米</w:t>
            </w:r>
          </w:p>
        </w:tc>
        <w:tc>
          <w:tcPr>
            <w:tcW w:w="679" w:type="dxa"/>
            <w:noWrap w:val="0"/>
            <w:vAlign w:val="center"/>
          </w:tcPr>
          <w:p w14:paraId="53C56B0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2017</w:t>
            </w:r>
          </w:p>
        </w:tc>
      </w:tr>
      <w:tr w14:paraId="1608D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2" w:hRule="atLeast"/>
          <w:jc w:val="center"/>
        </w:trPr>
        <w:tc>
          <w:tcPr>
            <w:tcW w:w="0" w:type="auto"/>
          </w:tcPr>
          <w:p w14:paraId="421BF92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0" w:type="auto"/>
          </w:tcPr>
          <w:p w14:paraId="57AC106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7538" w:type="dxa"/>
            <w:vMerge w:val="continue"/>
            <w:shd w:val="clear" w:color="auto" w:fill="auto"/>
            <w:vAlign w:val="top"/>
          </w:tcPr>
          <w:p w14:paraId="6822CF9E">
            <w:pPr>
              <w:rPr>
                <w:rFonts w:hint="eastAsia" w:ascii="宋体" w:hAnsi="宋体" w:eastAsia="微软雅黑" w:cs="宋体"/>
                <w:color w:val="auto"/>
                <w:kern w:val="2"/>
                <w:sz w:val="21"/>
                <w:szCs w:val="21"/>
                <w:highlight w:val="none"/>
                <w:lang w:val="en-US" w:eastAsia="zh-CN" w:bidi="ar-SA"/>
              </w:rPr>
            </w:pPr>
          </w:p>
        </w:tc>
        <w:tc>
          <w:tcPr>
            <w:tcW w:w="0" w:type="auto"/>
          </w:tcPr>
          <w:p w14:paraId="581BE02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0" w:type="auto"/>
          </w:tcPr>
          <w:p w14:paraId="4268D8C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r>
    </w:tbl>
    <w:p w14:paraId="21265C52">
      <w:pPr>
        <w:pStyle w:val="55"/>
        <w:ind w:left="0" w:leftChars="0" w:firstLine="0" w:firstLineChars="0"/>
        <w:rPr>
          <w:rFonts w:hint="eastAsia" w:ascii="宋体" w:hAnsi="宋体" w:eastAsia="宋体" w:cs="宋体"/>
          <w:color w:val="auto"/>
          <w:highlight w:val="none"/>
          <w:lang w:val="en-US" w:eastAsia="zh-CN"/>
        </w:rPr>
      </w:pPr>
    </w:p>
    <w:p w14:paraId="50D5DC82">
      <w:pPr>
        <w:pStyle w:val="154"/>
        <w:spacing w:line="360" w:lineRule="exact"/>
        <w:ind w:left="0" w:firstLine="422" w:firstLineChars="200"/>
        <w:rPr>
          <w:rFonts w:hint="eastAsia" w:ascii="宋体" w:hAnsi="宋体" w:eastAsia="宋体" w:cs="宋体"/>
          <w:b/>
          <w:bCs w:val="0"/>
          <w:color w:val="auto"/>
          <w:kern w:val="2"/>
          <w:sz w:val="21"/>
          <w:szCs w:val="21"/>
          <w:highlight w:val="none"/>
          <w:lang w:eastAsia="zh-CN"/>
        </w:rPr>
      </w:pPr>
      <w:r>
        <w:rPr>
          <w:rFonts w:hint="eastAsia" w:ascii="宋体" w:hAnsi="宋体" w:eastAsia="宋体" w:cs="宋体"/>
          <w:b/>
          <w:bCs w:val="0"/>
          <w:color w:val="auto"/>
          <w:kern w:val="2"/>
          <w:sz w:val="21"/>
          <w:szCs w:val="21"/>
          <w:highlight w:val="none"/>
          <w:lang w:val="en-US" w:eastAsia="zh-CN"/>
        </w:rPr>
        <w:t>注：1、</w:t>
      </w:r>
      <w:r>
        <w:rPr>
          <w:rFonts w:hint="eastAsia" w:ascii="宋体" w:hAnsi="宋体" w:eastAsia="宋体" w:cs="宋体"/>
          <w:b/>
          <w:bCs w:val="0"/>
          <w:color w:val="auto"/>
          <w:kern w:val="2"/>
          <w:sz w:val="21"/>
          <w:szCs w:val="21"/>
          <w:highlight w:val="none"/>
        </w:rPr>
        <w:t>以上</w:t>
      </w:r>
      <w:r>
        <w:rPr>
          <w:rFonts w:hint="eastAsia" w:ascii="宋体" w:hAnsi="宋体" w:eastAsia="宋体" w:cs="宋体"/>
          <w:b/>
          <w:bCs w:val="0"/>
          <w:color w:val="auto"/>
          <w:kern w:val="2"/>
          <w:sz w:val="21"/>
          <w:szCs w:val="21"/>
          <w:highlight w:val="none"/>
          <w:lang w:val="en-US" w:eastAsia="zh-CN"/>
        </w:rPr>
        <w:t>数量</w:t>
      </w:r>
      <w:r>
        <w:rPr>
          <w:rFonts w:hint="eastAsia" w:ascii="宋体" w:hAnsi="宋体" w:eastAsia="宋体" w:cs="宋体"/>
          <w:b/>
          <w:bCs w:val="0"/>
          <w:color w:val="auto"/>
          <w:kern w:val="2"/>
          <w:sz w:val="21"/>
          <w:szCs w:val="21"/>
          <w:highlight w:val="none"/>
        </w:rPr>
        <w:t>为预估</w:t>
      </w:r>
      <w:r>
        <w:rPr>
          <w:rFonts w:hint="eastAsia" w:ascii="宋体" w:hAnsi="宋体" w:eastAsia="宋体" w:cs="宋体"/>
          <w:b/>
          <w:bCs w:val="0"/>
          <w:color w:val="auto"/>
          <w:kern w:val="2"/>
          <w:sz w:val="21"/>
          <w:szCs w:val="21"/>
          <w:highlight w:val="none"/>
          <w:lang w:val="en-US" w:eastAsia="zh-CN"/>
        </w:rPr>
        <w:t>数量</w:t>
      </w:r>
      <w:r>
        <w:rPr>
          <w:rFonts w:hint="eastAsia" w:ascii="宋体" w:hAnsi="宋体" w:eastAsia="宋体" w:cs="宋体"/>
          <w:b/>
          <w:bCs w:val="0"/>
          <w:color w:val="auto"/>
          <w:kern w:val="2"/>
          <w:sz w:val="21"/>
          <w:szCs w:val="21"/>
          <w:highlight w:val="none"/>
        </w:rPr>
        <w:t>，结算以实际</w:t>
      </w:r>
      <w:r>
        <w:rPr>
          <w:rFonts w:hint="eastAsia" w:ascii="宋体" w:hAnsi="宋体" w:eastAsia="宋体" w:cs="宋体"/>
          <w:b/>
          <w:bCs w:val="0"/>
          <w:color w:val="auto"/>
          <w:kern w:val="2"/>
          <w:sz w:val="21"/>
          <w:szCs w:val="21"/>
          <w:highlight w:val="none"/>
          <w:lang w:val="en-US" w:eastAsia="zh-CN"/>
        </w:rPr>
        <w:t>数量</w:t>
      </w:r>
      <w:r>
        <w:rPr>
          <w:rFonts w:hint="eastAsia" w:ascii="宋体" w:hAnsi="宋体" w:eastAsia="宋体" w:cs="宋体"/>
          <w:b/>
          <w:bCs w:val="0"/>
          <w:color w:val="auto"/>
          <w:kern w:val="2"/>
          <w:sz w:val="21"/>
          <w:szCs w:val="21"/>
          <w:highlight w:val="none"/>
        </w:rPr>
        <w:t>为准。当采购数量与实际使用数量不一致时，成交供应商应根据实际使用量供货，合同的最终结算金额按实际使用量乘以成交单价</w:t>
      </w:r>
      <w:r>
        <w:rPr>
          <w:rFonts w:hint="eastAsia" w:ascii="宋体" w:hAnsi="宋体" w:eastAsia="宋体" w:cs="宋体"/>
          <w:b/>
          <w:bCs w:val="0"/>
          <w:color w:val="auto"/>
          <w:kern w:val="2"/>
          <w:sz w:val="21"/>
          <w:szCs w:val="21"/>
          <w:highlight w:val="none"/>
          <w:lang w:eastAsia="zh-CN"/>
        </w:rPr>
        <w:t>（</w:t>
      </w:r>
      <w:r>
        <w:rPr>
          <w:rFonts w:hint="eastAsia" w:ascii="宋体" w:hAnsi="宋体" w:eastAsia="宋体" w:cs="宋体"/>
          <w:b/>
          <w:bCs w:val="0"/>
          <w:color w:val="auto"/>
          <w:kern w:val="2"/>
          <w:sz w:val="21"/>
          <w:szCs w:val="21"/>
          <w:highlight w:val="none"/>
          <w:lang w:val="en-US" w:eastAsia="zh-CN"/>
        </w:rPr>
        <w:t>单价为成交总价除以磋商文件清单要求总平方数为成交单价</w:t>
      </w:r>
      <w:r>
        <w:rPr>
          <w:rFonts w:hint="eastAsia" w:ascii="宋体" w:hAnsi="宋体" w:eastAsia="宋体" w:cs="宋体"/>
          <w:b/>
          <w:bCs w:val="0"/>
          <w:color w:val="auto"/>
          <w:kern w:val="2"/>
          <w:sz w:val="21"/>
          <w:szCs w:val="21"/>
          <w:highlight w:val="none"/>
          <w:lang w:eastAsia="zh-CN"/>
        </w:rPr>
        <w:t>）</w:t>
      </w:r>
      <w:r>
        <w:rPr>
          <w:rFonts w:hint="eastAsia" w:ascii="宋体" w:hAnsi="宋体" w:eastAsia="宋体" w:cs="宋体"/>
          <w:b/>
          <w:bCs w:val="0"/>
          <w:color w:val="auto"/>
          <w:kern w:val="2"/>
          <w:sz w:val="21"/>
          <w:szCs w:val="21"/>
          <w:highlight w:val="none"/>
        </w:rPr>
        <w:t>进行计算</w:t>
      </w:r>
      <w:r>
        <w:rPr>
          <w:rFonts w:hint="eastAsia" w:ascii="宋体" w:hAnsi="宋体" w:eastAsia="宋体" w:cs="宋体"/>
          <w:b/>
          <w:bCs w:val="0"/>
          <w:color w:val="auto"/>
          <w:kern w:val="2"/>
          <w:sz w:val="21"/>
          <w:szCs w:val="21"/>
          <w:highlight w:val="none"/>
          <w:lang w:eastAsia="zh-CN"/>
        </w:rPr>
        <w:t>，</w:t>
      </w:r>
      <w:r>
        <w:rPr>
          <w:rFonts w:hint="eastAsia" w:ascii="宋体" w:hAnsi="宋体" w:eastAsia="宋体" w:cs="宋体"/>
          <w:b/>
          <w:bCs w:val="0"/>
          <w:color w:val="auto"/>
          <w:kern w:val="2"/>
          <w:sz w:val="21"/>
          <w:szCs w:val="21"/>
          <w:highlight w:val="none"/>
        </w:rPr>
        <w:t>成交单价在合同实施过程中不予调整</w:t>
      </w:r>
      <w:r>
        <w:rPr>
          <w:rFonts w:hint="eastAsia" w:ascii="宋体" w:hAnsi="宋体" w:eastAsia="宋体" w:cs="宋体"/>
          <w:b/>
          <w:bCs w:val="0"/>
          <w:color w:val="auto"/>
          <w:kern w:val="2"/>
          <w:sz w:val="21"/>
          <w:szCs w:val="21"/>
          <w:highlight w:val="none"/>
          <w:lang w:eastAsia="zh-CN"/>
        </w:rPr>
        <w:t>。</w:t>
      </w:r>
    </w:p>
    <w:p w14:paraId="36F49F21">
      <w:pPr>
        <w:pStyle w:val="154"/>
        <w:spacing w:line="360" w:lineRule="exact"/>
        <w:ind w:left="0" w:firstLine="422" w:firstLineChars="200"/>
        <w:rPr>
          <w:rFonts w:hint="eastAsia" w:ascii="宋体" w:hAnsi="宋体" w:eastAsia="宋体" w:cs="宋体"/>
          <w:b/>
          <w:bCs w:val="0"/>
          <w:color w:val="auto"/>
          <w:kern w:val="2"/>
          <w:sz w:val="21"/>
          <w:szCs w:val="21"/>
          <w:highlight w:val="none"/>
          <w:lang w:eastAsia="zh-CN"/>
        </w:rPr>
      </w:pPr>
      <w:r>
        <w:rPr>
          <w:rFonts w:hint="eastAsia" w:ascii="宋体" w:hAnsi="宋体" w:eastAsia="宋体" w:cs="宋体"/>
          <w:b/>
          <w:bCs w:val="0"/>
          <w:color w:val="auto"/>
          <w:kern w:val="2"/>
          <w:sz w:val="21"/>
          <w:szCs w:val="21"/>
          <w:highlight w:val="none"/>
          <w:lang w:val="en-US" w:eastAsia="zh-CN"/>
        </w:rPr>
        <w:t>2、</w:t>
      </w:r>
      <w:r>
        <w:rPr>
          <w:rFonts w:hint="eastAsia" w:ascii="宋体" w:hAnsi="宋体" w:eastAsia="宋体" w:cs="宋体"/>
          <w:b/>
          <w:bCs w:val="0"/>
          <w:color w:val="auto"/>
          <w:kern w:val="2"/>
          <w:sz w:val="21"/>
          <w:szCs w:val="21"/>
          <w:highlight w:val="none"/>
          <w:lang w:eastAsia="zh-CN"/>
        </w:rPr>
        <w:t>为保障技术响应的真实性，成交后在签订采购合同前，成交供应商须根据</w:t>
      </w:r>
      <w:r>
        <w:rPr>
          <w:rFonts w:hint="eastAsia" w:ascii="宋体" w:hAnsi="宋体" w:eastAsia="宋体" w:cs="宋体"/>
          <w:b/>
          <w:bCs w:val="0"/>
          <w:color w:val="auto"/>
          <w:kern w:val="2"/>
          <w:sz w:val="21"/>
          <w:szCs w:val="21"/>
          <w:highlight w:val="none"/>
          <w:lang w:val="en-US" w:eastAsia="zh-CN"/>
        </w:rPr>
        <w:t>项目需求清单和</w:t>
      </w:r>
      <w:r>
        <w:rPr>
          <w:rFonts w:hint="eastAsia" w:ascii="宋体" w:hAnsi="宋体" w:eastAsia="宋体" w:cs="宋体"/>
          <w:b/>
          <w:bCs w:val="0"/>
          <w:color w:val="auto"/>
          <w:kern w:val="2"/>
          <w:sz w:val="21"/>
          <w:szCs w:val="21"/>
          <w:highlight w:val="none"/>
          <w:lang w:eastAsia="zh-CN"/>
        </w:rPr>
        <w:t>实际技术响应情况提供</w:t>
      </w:r>
      <w:r>
        <w:rPr>
          <w:rFonts w:hint="eastAsia" w:ascii="宋体" w:hAnsi="宋体" w:eastAsia="宋体" w:cs="宋体"/>
          <w:b/>
          <w:bCs w:val="0"/>
          <w:color w:val="auto"/>
          <w:kern w:val="2"/>
          <w:sz w:val="21"/>
          <w:szCs w:val="21"/>
          <w:highlight w:val="none"/>
          <w:lang w:val="en-US" w:eastAsia="zh-CN"/>
        </w:rPr>
        <w:t>需求清单</w:t>
      </w:r>
      <w:r>
        <w:rPr>
          <w:rFonts w:hint="eastAsia" w:ascii="宋体" w:hAnsi="宋体" w:eastAsia="宋体" w:cs="宋体"/>
          <w:b/>
          <w:bCs w:val="0"/>
          <w:color w:val="auto"/>
          <w:kern w:val="2"/>
          <w:sz w:val="21"/>
          <w:szCs w:val="21"/>
          <w:highlight w:val="none"/>
          <w:lang w:eastAsia="zh-CN"/>
        </w:rPr>
        <w:t>中各项技术性能指标的检测报告等相关证明文件原件（同时附证明文件的清单一份，注明磋商文件需求清单里所属的序号及名称，并按顺序排列）供采购人核验，</w:t>
      </w:r>
      <w:r>
        <w:rPr>
          <w:rFonts w:hint="eastAsia" w:ascii="宋体" w:hAnsi="宋体" w:eastAsia="宋体" w:cs="宋体"/>
          <w:b/>
          <w:bCs w:val="0"/>
          <w:color w:val="auto"/>
          <w:kern w:val="2"/>
          <w:sz w:val="21"/>
          <w:szCs w:val="21"/>
          <w:highlight w:val="none"/>
          <w:lang w:val="en-US" w:eastAsia="zh-CN"/>
        </w:rPr>
        <w:t>若</w:t>
      </w:r>
      <w:r>
        <w:rPr>
          <w:rFonts w:hint="eastAsia" w:ascii="宋体" w:hAnsi="宋体" w:eastAsia="宋体" w:cs="宋体"/>
          <w:b/>
          <w:bCs w:val="0"/>
          <w:color w:val="auto"/>
          <w:kern w:val="2"/>
          <w:sz w:val="21"/>
          <w:szCs w:val="21"/>
          <w:highlight w:val="none"/>
          <w:lang w:eastAsia="zh-CN"/>
        </w:rPr>
        <w:t>未能提供或发现与磋商响应承诺不符的，视为虚假响应，采购人有权取消其成交资格，并依照政府采购法相关规定追究法律责任，供应商自行承担由此产生的一切后果。</w:t>
      </w:r>
    </w:p>
    <w:p w14:paraId="1BB58DD3">
      <w:pPr>
        <w:pStyle w:val="54"/>
        <w:adjustRightInd w:val="0"/>
        <w:spacing w:after="0" w:line="240" w:lineRule="auto"/>
        <w:ind w:left="0" w:firstLine="0" w:firstLineChars="0"/>
        <w:rPr>
          <w:rFonts w:hint="eastAsia" w:ascii="宋体" w:hAnsi="宋体" w:eastAsia="宋体" w:cs="宋体"/>
          <w:b/>
          <w:bCs/>
          <w:color w:val="auto"/>
          <w:kern w:val="2"/>
          <w:sz w:val="21"/>
          <w:szCs w:val="21"/>
          <w:highlight w:val="none"/>
          <w:lang w:eastAsia="zh-CN"/>
        </w:rPr>
      </w:pPr>
      <w:r>
        <w:rPr>
          <w:rFonts w:hint="eastAsia" w:ascii="宋体" w:hAnsi="宋体" w:eastAsia="宋体" w:cs="宋体"/>
          <w:b/>
          <w:bCs/>
          <w:color w:val="auto"/>
          <w:kern w:val="2"/>
          <w:sz w:val="21"/>
          <w:szCs w:val="21"/>
          <w:highlight w:val="none"/>
          <w:lang w:val="en-US" w:eastAsia="zh-CN"/>
        </w:rPr>
        <w:t>三</w:t>
      </w:r>
      <w:r>
        <w:rPr>
          <w:rFonts w:hint="eastAsia" w:ascii="宋体" w:hAnsi="宋体" w:eastAsia="宋体" w:cs="宋体"/>
          <w:b/>
          <w:bCs/>
          <w:color w:val="auto"/>
          <w:kern w:val="2"/>
          <w:sz w:val="21"/>
          <w:szCs w:val="21"/>
          <w:highlight w:val="none"/>
        </w:rPr>
        <w:t>、项目服务要求</w:t>
      </w:r>
    </w:p>
    <w:p w14:paraId="3346475E">
      <w:pPr>
        <w:spacing w:line="24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val="en-US" w:eastAsia="zh-CN"/>
        </w:rPr>
        <w:t>.成交供应商</w:t>
      </w:r>
      <w:r>
        <w:rPr>
          <w:rFonts w:hint="eastAsia" w:ascii="宋体" w:hAnsi="宋体" w:eastAsia="宋体" w:cs="宋体"/>
          <w:b w:val="0"/>
          <w:bCs/>
          <w:color w:val="auto"/>
          <w:sz w:val="21"/>
          <w:szCs w:val="21"/>
          <w:highlight w:val="none"/>
        </w:rPr>
        <w:t>应免费将所供产品运输到用户指定地点，用户组织产品供货验收合格后，根据用户要求免费实施产品的安装</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调试等相关工作。</w:t>
      </w:r>
    </w:p>
    <w:p w14:paraId="7B7FDDC7">
      <w:pPr>
        <w:spacing w:line="30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根据用户实际应用的要求，免费提供产品的安装调试，应包含项目所需相应的所有附件等材料。</w:t>
      </w:r>
    </w:p>
    <w:p w14:paraId="0E88288A">
      <w:pPr>
        <w:spacing w:line="300" w:lineRule="exact"/>
        <w:ind w:firstLine="422" w:firstLineChars="200"/>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sz w:val="21"/>
          <w:szCs w:val="21"/>
          <w:highlight w:val="none"/>
        </w:rPr>
        <w:t>3.</w:t>
      </w:r>
      <w:r>
        <w:rPr>
          <w:rFonts w:hint="eastAsia" w:ascii="宋体" w:hAnsi="宋体" w:eastAsia="宋体" w:cs="宋体"/>
          <w:b/>
          <w:bCs w:val="0"/>
          <w:color w:val="auto"/>
          <w:sz w:val="21"/>
          <w:szCs w:val="21"/>
          <w:highlight w:val="none"/>
          <w:lang w:eastAsia="zh-CN"/>
        </w:rPr>
        <w:t>签订合同前，成交供应商须提供所投产品的原厂质保授权书，若不能提供，采购单位有权不与其签订合同。若原厂无故不予授权的，在成交供应商作出保证产品质量和售后服务的承诺后，应在合同的验收、结算和违约责任中补充增加相应的制约性条款。</w:t>
      </w:r>
    </w:p>
    <w:p w14:paraId="3910D3C9">
      <w:pPr>
        <w:spacing w:line="30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kern w:val="2"/>
          <w:sz w:val="21"/>
          <w:szCs w:val="21"/>
          <w:highlight w:val="none"/>
          <w:lang w:val="en-US" w:eastAsia="zh-CN"/>
        </w:rPr>
        <w:t>4.</w:t>
      </w:r>
      <w:r>
        <w:rPr>
          <w:rFonts w:hint="eastAsia" w:ascii="宋体" w:hAnsi="宋体" w:eastAsia="宋体" w:cs="宋体"/>
          <w:b/>
          <w:bCs w:val="0"/>
          <w:color w:val="auto"/>
          <w:sz w:val="21"/>
          <w:szCs w:val="21"/>
          <w:highlight w:val="none"/>
        </w:rPr>
        <w:t>所投产品应满足现行环保的相关规定及要求，并能达到第三方检测的要求。</w:t>
      </w:r>
    </w:p>
    <w:p w14:paraId="615B5113">
      <w:pPr>
        <w:spacing w:line="300" w:lineRule="exact"/>
        <w:ind w:firstLine="422" w:firstLineChars="200"/>
        <w:rPr>
          <w:rFonts w:hint="default" w:ascii="宋体" w:hAnsi="宋体" w:eastAsia="宋体" w:cs="宋体"/>
          <w:b/>
          <w:bCs/>
          <w:color w:val="auto"/>
          <w:kern w:val="0"/>
          <w:szCs w:val="21"/>
          <w:highlight w:val="none"/>
          <w:lang w:val="en-US" w:eastAsia="zh-CN"/>
        </w:rPr>
      </w:pPr>
      <w:r>
        <w:rPr>
          <w:rFonts w:hint="eastAsia" w:ascii="宋体" w:hAnsi="宋体" w:eastAsia="宋体" w:cs="宋体"/>
          <w:b/>
          <w:bCs w:val="0"/>
          <w:color w:val="auto"/>
          <w:sz w:val="21"/>
          <w:szCs w:val="21"/>
          <w:highlight w:val="none"/>
          <w:lang w:val="en-US" w:eastAsia="zh-CN"/>
        </w:rPr>
        <w:t>5.</w:t>
      </w:r>
      <w:r>
        <w:rPr>
          <w:rFonts w:hint="eastAsia" w:ascii="宋体" w:hAnsi="宋体" w:eastAsia="宋体" w:cs="宋体"/>
          <w:b/>
          <w:bCs w:val="0"/>
          <w:color w:val="auto"/>
          <w:sz w:val="21"/>
          <w:szCs w:val="21"/>
          <w:highlight w:val="none"/>
        </w:rPr>
        <w:t>采购人有权对</w:t>
      </w:r>
      <w:r>
        <w:rPr>
          <w:rFonts w:hint="eastAsia" w:ascii="宋体" w:hAnsi="宋体" w:eastAsia="宋体" w:cs="宋体"/>
          <w:b/>
          <w:bCs w:val="0"/>
          <w:color w:val="auto"/>
          <w:sz w:val="21"/>
          <w:szCs w:val="21"/>
          <w:highlight w:val="none"/>
          <w:lang w:val="en-US" w:eastAsia="zh-CN"/>
        </w:rPr>
        <w:t>成交供应商提供的产品</w:t>
      </w:r>
      <w:r>
        <w:rPr>
          <w:rFonts w:hint="eastAsia" w:ascii="宋体" w:hAnsi="宋体" w:eastAsia="宋体" w:cs="宋体"/>
          <w:b/>
          <w:bCs w:val="0"/>
          <w:color w:val="auto"/>
          <w:sz w:val="21"/>
          <w:szCs w:val="21"/>
          <w:highlight w:val="none"/>
        </w:rPr>
        <w:t>进行随机抽样送至第三方机构进行检测，检测费用由</w:t>
      </w:r>
      <w:r>
        <w:rPr>
          <w:rFonts w:hint="eastAsia" w:ascii="宋体" w:hAnsi="宋体" w:eastAsia="宋体" w:cs="宋体"/>
          <w:b/>
          <w:bCs w:val="0"/>
          <w:color w:val="auto"/>
          <w:sz w:val="21"/>
          <w:szCs w:val="21"/>
          <w:highlight w:val="none"/>
          <w:lang w:val="en-US" w:eastAsia="zh-CN"/>
        </w:rPr>
        <w:t>成交</w:t>
      </w:r>
      <w:r>
        <w:rPr>
          <w:rFonts w:hint="eastAsia" w:ascii="宋体" w:hAnsi="宋体" w:eastAsia="宋体" w:cs="宋体"/>
          <w:b/>
          <w:bCs w:val="0"/>
          <w:color w:val="auto"/>
          <w:sz w:val="21"/>
          <w:szCs w:val="21"/>
          <w:highlight w:val="none"/>
        </w:rPr>
        <w:t>供应商承担</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若检测结果不合格的，采购人将立即终止合同并追究责任，由此产生的一切损失由成交供应商</w:t>
      </w:r>
      <w:r>
        <w:rPr>
          <w:rFonts w:hint="eastAsia" w:ascii="宋体" w:hAnsi="宋体" w:eastAsia="宋体" w:cs="宋体"/>
          <w:b/>
          <w:bCs w:val="0"/>
          <w:color w:val="auto"/>
          <w:sz w:val="21"/>
          <w:szCs w:val="21"/>
          <w:highlight w:val="none"/>
          <w:lang w:val="en-US" w:eastAsia="zh-CN"/>
        </w:rPr>
        <w:t>自行</w:t>
      </w:r>
      <w:r>
        <w:rPr>
          <w:rFonts w:hint="eastAsia" w:ascii="宋体" w:hAnsi="宋体" w:eastAsia="宋体" w:cs="宋体"/>
          <w:b/>
          <w:bCs w:val="0"/>
          <w:color w:val="auto"/>
          <w:sz w:val="21"/>
          <w:szCs w:val="21"/>
          <w:highlight w:val="none"/>
        </w:rPr>
        <w:t>承担。</w:t>
      </w:r>
    </w:p>
    <w:p w14:paraId="56783DC9">
      <w:pPr>
        <w:keepNext w:val="0"/>
        <w:keepLines w:val="0"/>
        <w:pageBreakBefore w:val="0"/>
        <w:kinsoku/>
        <w:wordWrap/>
        <w:overflowPunct/>
        <w:topLinePunct w:val="0"/>
        <w:bidi w:val="0"/>
        <w:adjustRightInd/>
        <w:snapToGrid/>
        <w:spacing w:line="40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四</w:t>
      </w:r>
      <w:r>
        <w:rPr>
          <w:rFonts w:hint="eastAsia" w:ascii="宋体" w:hAnsi="宋体" w:eastAsia="宋体" w:cs="宋体"/>
          <w:b/>
          <w:bCs/>
          <w:color w:val="auto"/>
          <w:kern w:val="0"/>
          <w:szCs w:val="21"/>
          <w:highlight w:val="none"/>
        </w:rPr>
        <w:t>、供货要求</w:t>
      </w:r>
    </w:p>
    <w:p w14:paraId="78071FA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1.供方</w:t>
      </w:r>
      <w:r>
        <w:rPr>
          <w:rFonts w:hint="eastAsia" w:ascii="宋体" w:hAnsi="宋体" w:eastAsia="宋体" w:cs="宋体"/>
          <w:color w:val="auto"/>
          <w:kern w:val="0"/>
          <w:szCs w:val="21"/>
          <w:highlight w:val="none"/>
          <w:lang w:eastAsia="zh-CN"/>
        </w:rPr>
        <w:t>所提</w:t>
      </w:r>
      <w:r>
        <w:rPr>
          <w:rFonts w:hint="eastAsia" w:ascii="宋体" w:hAnsi="宋体" w:eastAsia="宋体" w:cs="宋体"/>
          <w:color w:val="auto"/>
          <w:kern w:val="0"/>
          <w:szCs w:val="21"/>
          <w:highlight w:val="none"/>
        </w:rPr>
        <w:t>供的货物必须为全新未开封使用过的产品，符合国家标准的合格产品；</w:t>
      </w:r>
    </w:p>
    <w:p w14:paraId="631613C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2.所供货物不会侵犯任何第三方知识产权；</w:t>
      </w:r>
    </w:p>
    <w:p w14:paraId="7F00DA1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3.送货地址：采购人指定地点。</w:t>
      </w:r>
    </w:p>
    <w:p w14:paraId="707336F9">
      <w:pPr>
        <w:keepNext w:val="0"/>
        <w:keepLines w:val="0"/>
        <w:pageBreakBefore w:val="0"/>
        <w:kinsoku/>
        <w:wordWrap/>
        <w:overflowPunct/>
        <w:topLinePunct w:val="0"/>
        <w:bidi w:val="0"/>
        <w:adjustRightInd/>
        <w:snapToGrid/>
        <w:spacing w:line="40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五</w:t>
      </w:r>
      <w:r>
        <w:rPr>
          <w:rFonts w:hint="eastAsia" w:ascii="宋体" w:hAnsi="宋体" w:eastAsia="宋体" w:cs="宋体"/>
          <w:b/>
          <w:bCs/>
          <w:color w:val="auto"/>
          <w:kern w:val="0"/>
          <w:szCs w:val="21"/>
          <w:highlight w:val="none"/>
        </w:rPr>
        <w:t>、售后服务要求</w:t>
      </w:r>
    </w:p>
    <w:p w14:paraId="08F9793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1.质保期（保修期）要求：</w:t>
      </w:r>
      <w:r>
        <w:rPr>
          <w:rFonts w:hint="eastAsia" w:ascii="宋体" w:hAnsi="宋体" w:eastAsia="宋体" w:cs="宋体"/>
          <w:color w:val="auto"/>
          <w:kern w:val="0"/>
          <w:szCs w:val="21"/>
          <w:highlight w:val="none"/>
          <w:lang w:val="en-US" w:eastAsia="zh-CN"/>
        </w:rPr>
        <w:t>至少6年或成交供应商自行承诺时间</w:t>
      </w:r>
      <w:r>
        <w:rPr>
          <w:rFonts w:hint="eastAsia" w:ascii="宋体" w:hAnsi="宋体" w:eastAsia="宋体" w:cs="宋体"/>
          <w:color w:val="auto"/>
          <w:kern w:val="0"/>
          <w:szCs w:val="21"/>
          <w:highlight w:val="none"/>
        </w:rPr>
        <w:t>；</w:t>
      </w:r>
    </w:p>
    <w:p w14:paraId="5CC7695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2.技术支持要求：质保期内出现问题，6小时内响应，12小时内到达现场，48小时内解决问题，现场解决不了的采取用备品备件更换保证</w:t>
      </w:r>
      <w:r>
        <w:rPr>
          <w:rFonts w:hint="eastAsia" w:ascii="宋体" w:hAnsi="宋体" w:eastAsia="宋体" w:cs="宋体"/>
          <w:color w:val="auto"/>
          <w:kern w:val="0"/>
          <w:szCs w:val="21"/>
          <w:highlight w:val="none"/>
          <w:lang w:val="en-US" w:eastAsia="zh-CN"/>
        </w:rPr>
        <w:t>场地</w:t>
      </w:r>
      <w:r>
        <w:rPr>
          <w:rFonts w:hint="eastAsia" w:ascii="宋体" w:hAnsi="宋体" w:eastAsia="宋体" w:cs="宋体"/>
          <w:color w:val="auto"/>
          <w:kern w:val="0"/>
          <w:szCs w:val="21"/>
          <w:highlight w:val="none"/>
        </w:rPr>
        <w:t>正常运行的措施。</w:t>
      </w:r>
    </w:p>
    <w:p w14:paraId="669D20D9">
      <w:pPr>
        <w:keepNext w:val="0"/>
        <w:keepLines w:val="0"/>
        <w:pageBreakBefore w:val="0"/>
        <w:kinsoku/>
        <w:wordWrap/>
        <w:overflowPunct/>
        <w:topLinePunct w:val="0"/>
        <w:bidi w:val="0"/>
        <w:adjustRightInd/>
        <w:snapToGrid/>
        <w:spacing w:line="40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六</w:t>
      </w:r>
      <w:r>
        <w:rPr>
          <w:rFonts w:hint="eastAsia" w:ascii="宋体" w:hAnsi="宋体" w:eastAsia="宋体" w:cs="宋体"/>
          <w:b/>
          <w:bCs/>
          <w:color w:val="auto"/>
          <w:kern w:val="0"/>
          <w:szCs w:val="21"/>
          <w:highlight w:val="none"/>
        </w:rPr>
        <w:t>、货款支付</w:t>
      </w:r>
    </w:p>
    <w:p w14:paraId="034E3EB1">
      <w:pPr>
        <w:spacing w:line="360" w:lineRule="exact"/>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根据省财政厅《关于进一步发挥政府采购政策功能全力推动经济稳进提质的通知》（浙财采监【2022】3号）要求，制定如下付款方式：</w:t>
      </w:r>
    </w:p>
    <w:p w14:paraId="1006A458">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1、合同生效及具备实施条件后7个工作日内支付合同金额的40%预付款；</w:t>
      </w:r>
    </w:p>
    <w:p w14:paraId="22DEEAB2">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2、全部货物安装完毕并验收合格后，付至合同价的100%（含预付款）。</w:t>
      </w:r>
    </w:p>
    <w:p w14:paraId="2165A09C">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在签订合同时，供应商明确表示无需预付款或者主动要求降低预付款比例的，采购合同可不适用上述支付预付款的规定。</w:t>
      </w:r>
    </w:p>
    <w:p w14:paraId="21B94900">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采购人在向供应商支付预付款之前，有权要求供应商向采购人提供与预付款金额相对应的担保措施，担保措施可以是银行、保险公司等金融机构出具的预付款保函或其他担保措施。</w:t>
      </w:r>
    </w:p>
    <w:p w14:paraId="11C3A059">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（备注：在合同实施过程中，当采购数量与实际使用数量不一致时，乙方应根据实际使用量供货，合同的最终结算金额按实际使用量乘以</w:t>
      </w:r>
      <w:r>
        <w:rPr>
          <w:rFonts w:hint="eastAsia" w:ascii="宋体" w:hAnsi="宋体" w:eastAsia="宋体" w:cs="宋体"/>
          <w:color w:val="auto"/>
          <w:szCs w:val="21"/>
          <w:highlight w:val="none"/>
          <w:lang w:val="en-US" w:eastAsia="zh-CN"/>
        </w:rPr>
        <w:t>中标</w:t>
      </w:r>
      <w:r>
        <w:rPr>
          <w:rFonts w:hint="eastAsia" w:ascii="宋体" w:hAnsi="宋体" w:eastAsia="宋体" w:cs="宋体"/>
          <w:color w:val="auto"/>
          <w:szCs w:val="21"/>
          <w:highlight w:val="none"/>
        </w:rPr>
        <w:t>单价进行结算。）</w:t>
      </w:r>
    </w:p>
    <w:p w14:paraId="7DAFA88D">
      <w:pPr>
        <w:autoSpaceDE w:val="0"/>
        <w:autoSpaceDN w:val="0"/>
        <w:adjustRightInd w:val="0"/>
        <w:snapToGrid w:val="0"/>
        <w:spacing w:line="360" w:lineRule="exact"/>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中标供应商应开具符合采购人要求的正规税务发票。</w:t>
      </w:r>
    </w:p>
    <w:p w14:paraId="6D10C2D4">
      <w:pPr>
        <w:keepNext w:val="0"/>
        <w:keepLines w:val="0"/>
        <w:pageBreakBefore w:val="0"/>
        <w:numPr>
          <w:ilvl w:val="0"/>
          <w:numId w:val="6"/>
        </w:numPr>
        <w:kinsoku/>
        <w:wordWrap/>
        <w:overflowPunct/>
        <w:topLinePunct w:val="0"/>
        <w:bidi w:val="0"/>
        <w:adjustRightInd/>
        <w:snapToGrid/>
        <w:spacing w:line="40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采购人认为必须说明的其他内容</w:t>
      </w:r>
    </w:p>
    <w:p w14:paraId="7157C3D2">
      <w:pPr>
        <w:keepNext w:val="0"/>
        <w:keepLines w:val="0"/>
        <w:pageBreakBefore w:val="0"/>
        <w:widowControl/>
        <w:numPr>
          <w:ilvl w:val="-1"/>
          <w:numId w:val="0"/>
        </w:numPr>
        <w:kinsoku/>
        <w:wordWrap/>
        <w:overflowPunct/>
        <w:topLinePunct w:val="0"/>
        <w:autoSpaceDE/>
        <w:autoSpaceDN/>
        <w:bidi w:val="0"/>
        <w:adjustRightInd/>
        <w:snapToGrid/>
        <w:spacing w:line="400" w:lineRule="exact"/>
        <w:ind w:firstLine="421" w:firstLineChars="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采购文件中带▲号的是实质性条款</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不允许负偏离</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带★号的是主要性能指标</w:t>
      </w:r>
      <w:r>
        <w:rPr>
          <w:rFonts w:hint="eastAsia" w:ascii="宋体" w:hAnsi="宋体" w:eastAsia="宋体" w:cs="宋体"/>
          <w:color w:val="auto"/>
          <w:kern w:val="0"/>
          <w:szCs w:val="21"/>
          <w:highlight w:val="none"/>
          <w:lang w:val="en-US" w:eastAsia="zh-CN"/>
        </w:rPr>
        <w:t>，具体详见评标办法</w:t>
      </w:r>
      <w:r>
        <w:rPr>
          <w:rFonts w:hint="eastAsia" w:ascii="宋体" w:hAnsi="宋体" w:eastAsia="宋体" w:cs="宋体"/>
          <w:color w:val="auto"/>
          <w:kern w:val="0"/>
          <w:szCs w:val="21"/>
          <w:highlight w:val="none"/>
        </w:rPr>
        <w:t>。</w:t>
      </w:r>
    </w:p>
    <w:p w14:paraId="28E47018">
      <w:pPr>
        <w:pStyle w:val="39"/>
        <w:numPr>
          <w:ilvl w:val="0"/>
          <w:numId w:val="6"/>
        </w:numPr>
        <w:ind w:left="0" w:leftChars="0" w:firstLine="0" w:firstLineChars="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报价及其他要求</w:t>
      </w:r>
    </w:p>
    <w:p w14:paraId="17361010">
      <w:pPr>
        <w:spacing w:line="36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报价应是</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文件所确定的</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范围内全部工作内容的价格表现。</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所报的全费用</w:t>
      </w:r>
      <w:r>
        <w:rPr>
          <w:rFonts w:hint="eastAsia" w:ascii="宋体" w:hAnsi="宋体" w:eastAsia="宋体" w:cs="宋体"/>
          <w:color w:val="auto"/>
          <w:szCs w:val="21"/>
          <w:highlight w:val="none"/>
          <w:lang w:val="zh-CN"/>
        </w:rPr>
        <w:t>应</w:t>
      </w:r>
      <w:r>
        <w:rPr>
          <w:rFonts w:hint="eastAsia" w:ascii="宋体" w:hAnsi="宋体" w:eastAsia="宋体" w:cs="宋体"/>
          <w:color w:val="auto"/>
          <w:szCs w:val="21"/>
          <w:highlight w:val="none"/>
        </w:rPr>
        <w:t>包括</w:t>
      </w:r>
      <w:r>
        <w:rPr>
          <w:rFonts w:hint="eastAsia" w:ascii="宋体" w:hAnsi="宋体" w:eastAsia="宋体" w:cs="宋体"/>
          <w:color w:val="auto"/>
          <w:szCs w:val="21"/>
          <w:highlight w:val="none"/>
          <w:lang w:val="en-US" w:eastAsia="zh-CN"/>
        </w:rPr>
        <w:t>所投</w:t>
      </w:r>
      <w:r>
        <w:rPr>
          <w:rFonts w:hint="eastAsia" w:ascii="宋体" w:hAnsi="宋体" w:eastAsia="宋体" w:cs="宋体"/>
          <w:color w:val="auto"/>
          <w:szCs w:val="21"/>
          <w:highlight w:val="none"/>
        </w:rPr>
        <w:t>货物、标准附件、备品备件、专用工具、包装、运输、装卸、安装</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施工、</w:t>
      </w:r>
      <w:r>
        <w:rPr>
          <w:rFonts w:hint="eastAsia" w:ascii="宋体" w:hAnsi="宋体" w:eastAsia="宋体" w:cs="宋体"/>
          <w:color w:val="auto"/>
          <w:szCs w:val="21"/>
          <w:highlight w:val="none"/>
        </w:rPr>
        <w:t>调试、劳务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现场安全</w:t>
      </w:r>
      <w:r>
        <w:rPr>
          <w:rFonts w:hint="eastAsia" w:ascii="宋体" w:hAnsi="宋体" w:eastAsia="宋体" w:cs="宋体"/>
          <w:color w:val="auto"/>
          <w:szCs w:val="21"/>
          <w:highlight w:val="none"/>
          <w:lang w:val="en-US" w:eastAsia="zh-CN"/>
        </w:rPr>
        <w:t>文明</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水电使用、成品保护、技术措施、组织措施、检测</w:t>
      </w:r>
      <w:r>
        <w:rPr>
          <w:rFonts w:hint="eastAsia" w:ascii="宋体" w:hAnsi="宋体" w:eastAsia="宋体" w:cs="宋体"/>
          <w:color w:val="auto"/>
          <w:szCs w:val="21"/>
          <w:highlight w:val="none"/>
        </w:rPr>
        <w:t>验收</w:t>
      </w:r>
      <w:r>
        <w:rPr>
          <w:rFonts w:hint="eastAsia" w:ascii="宋体" w:hAnsi="宋体" w:eastAsia="宋体" w:cs="宋体"/>
          <w:color w:val="auto"/>
          <w:szCs w:val="21"/>
          <w:highlight w:val="none"/>
          <w:lang w:eastAsia="zh-CN"/>
        </w:rPr>
        <w:t>、技术服务、培训、</w:t>
      </w:r>
      <w:r>
        <w:rPr>
          <w:rFonts w:hint="eastAsia" w:ascii="宋体" w:hAnsi="宋体" w:eastAsia="宋体" w:cs="宋体"/>
          <w:color w:val="auto"/>
          <w:szCs w:val="21"/>
          <w:highlight w:val="none"/>
        </w:rPr>
        <w:t>质保期内</w:t>
      </w:r>
      <w:r>
        <w:rPr>
          <w:rFonts w:hint="eastAsia" w:ascii="宋体" w:hAnsi="宋体" w:eastAsia="宋体" w:cs="宋体"/>
          <w:color w:val="auto"/>
          <w:szCs w:val="21"/>
          <w:highlight w:val="none"/>
          <w:lang w:val="en-US" w:eastAsia="zh-CN"/>
        </w:rPr>
        <w:t>维修维护</w:t>
      </w:r>
      <w:r>
        <w:rPr>
          <w:rFonts w:hint="eastAsia" w:ascii="宋体" w:hAnsi="宋体" w:eastAsia="宋体" w:cs="宋体"/>
          <w:color w:val="auto"/>
          <w:szCs w:val="21"/>
          <w:highlight w:val="none"/>
        </w:rPr>
        <w:t>、售后服务、管理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保险、利润、税金（增值税）等一切费用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以及合同明示或暗示的所有责任、义务和一切风险。如在实施期间有需要实施而未列入报价的费用，将被视为均已包含在报价中</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lang w:val="zh-CN"/>
        </w:rPr>
        <w:t>报价的市场风险由</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lang w:val="zh-CN"/>
        </w:rPr>
        <w:t>承担，结算时，不得以任何理由调整</w:t>
      </w:r>
      <w:r>
        <w:rPr>
          <w:rFonts w:hint="eastAsia" w:ascii="宋体" w:hAnsi="宋体" w:eastAsia="宋体" w:cs="宋体"/>
          <w:color w:val="auto"/>
          <w:szCs w:val="21"/>
          <w:highlight w:val="none"/>
          <w:lang w:val="en-US" w:eastAsia="zh-CN"/>
        </w:rPr>
        <w:t>综合单价</w:t>
      </w:r>
      <w:r>
        <w:rPr>
          <w:rFonts w:hint="eastAsia" w:ascii="宋体" w:hAnsi="宋体" w:eastAsia="宋体" w:cs="宋体"/>
          <w:color w:val="auto"/>
          <w:szCs w:val="21"/>
          <w:highlight w:val="none"/>
          <w:lang w:val="zh-CN"/>
        </w:rPr>
        <w:t>。</w:t>
      </w:r>
    </w:p>
    <w:p w14:paraId="09279336">
      <w:pPr>
        <w:spacing w:line="36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3.本项目涉及的</w:t>
      </w:r>
      <w:r>
        <w:rPr>
          <w:rFonts w:hint="eastAsia" w:ascii="宋体" w:hAnsi="宋体" w:eastAsia="宋体" w:cs="宋体"/>
          <w:color w:val="auto"/>
          <w:szCs w:val="21"/>
          <w:highlight w:val="none"/>
        </w:rPr>
        <w:t>全部检验、检测费（含材料全部检验试验费，包括采购人认为按照有关规定需要检验、检测的项目）由供应商承担，所需费用考虑计入磋商报价中。</w:t>
      </w:r>
    </w:p>
    <w:p w14:paraId="1F085FE7">
      <w:pPr>
        <w:spacing w:line="36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采购人不提供生产加工场地，由此产生的费用由供应商自理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相关费用</w:t>
      </w:r>
      <w:r>
        <w:rPr>
          <w:rFonts w:hint="eastAsia" w:ascii="宋体" w:hAnsi="宋体" w:eastAsia="宋体" w:cs="宋体"/>
          <w:color w:val="auto"/>
          <w:szCs w:val="21"/>
          <w:highlight w:val="none"/>
        </w:rPr>
        <w:t>考虑计入磋商报价中。</w:t>
      </w:r>
    </w:p>
    <w:p w14:paraId="1801EE30">
      <w:pPr>
        <w:numPr>
          <w:ilvl w:val="0"/>
          <w:numId w:val="0"/>
        </w:numPr>
        <w:spacing w:line="360" w:lineRule="exact"/>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kern w:val="2"/>
          <w:sz w:val="21"/>
          <w:szCs w:val="21"/>
          <w:highlight w:val="none"/>
          <w:lang w:val="en-US" w:eastAsia="zh-CN" w:bidi="ar-SA"/>
        </w:rPr>
        <w:t>5.安装</w:t>
      </w:r>
      <w:r>
        <w:rPr>
          <w:rFonts w:hint="eastAsia" w:ascii="宋体" w:hAnsi="宋体" w:eastAsia="宋体" w:cs="宋体"/>
          <w:color w:val="auto"/>
          <w:szCs w:val="21"/>
          <w:highlight w:val="none"/>
        </w:rPr>
        <w:t>过程中产生的垃圾</w:t>
      </w:r>
      <w:r>
        <w:rPr>
          <w:rFonts w:hint="eastAsia" w:ascii="宋体" w:hAnsi="宋体" w:eastAsia="宋体" w:cs="宋体"/>
          <w:color w:val="auto"/>
          <w:szCs w:val="21"/>
          <w:highlight w:val="none"/>
          <w:lang w:val="en-US" w:eastAsia="zh-CN"/>
        </w:rPr>
        <w:t>日产日清</w:t>
      </w:r>
      <w:r>
        <w:rPr>
          <w:rFonts w:hint="eastAsia" w:ascii="宋体" w:hAnsi="宋体" w:eastAsia="宋体" w:cs="宋体"/>
          <w:color w:val="auto"/>
          <w:szCs w:val="21"/>
          <w:highlight w:val="none"/>
        </w:rPr>
        <w:t>，不能影响</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的日常工作，</w:t>
      </w:r>
      <w:r>
        <w:rPr>
          <w:rFonts w:hint="eastAsia" w:ascii="宋体" w:hAnsi="宋体" w:eastAsia="宋体" w:cs="宋体"/>
          <w:color w:val="auto"/>
          <w:szCs w:val="21"/>
          <w:highlight w:val="none"/>
          <w:lang w:val="en-US" w:eastAsia="zh-CN"/>
        </w:rPr>
        <w:t>安装施工</w:t>
      </w:r>
      <w:r>
        <w:rPr>
          <w:rFonts w:hint="eastAsia" w:ascii="宋体" w:hAnsi="宋体" w:eastAsia="宋体" w:cs="宋体"/>
          <w:color w:val="auto"/>
          <w:szCs w:val="21"/>
          <w:highlight w:val="none"/>
        </w:rPr>
        <w:t>结束后供应商应对现场彻底清理，做到工完、料尽、场地清。清理出的垃圾不能随意堆放在采购人管理场地内，</w:t>
      </w:r>
      <w:r>
        <w:rPr>
          <w:rFonts w:hint="eastAsia" w:ascii="宋体" w:hAnsi="宋体" w:eastAsia="宋体" w:cs="宋体"/>
          <w:color w:val="auto"/>
          <w:szCs w:val="21"/>
          <w:highlight w:val="none"/>
          <w:lang w:val="en-US" w:eastAsia="zh-CN"/>
        </w:rPr>
        <w:t>清</w:t>
      </w:r>
      <w:r>
        <w:rPr>
          <w:rFonts w:hint="eastAsia" w:ascii="宋体" w:hAnsi="宋体" w:eastAsia="宋体" w:cs="宋体"/>
          <w:color w:val="auto"/>
          <w:szCs w:val="21"/>
          <w:highlight w:val="none"/>
        </w:rPr>
        <w:t>理后需袋装处理并外运</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运距、堆放地点及相关部门涉及的各项费用供应商自行考虑解决</w:t>
      </w:r>
      <w:r>
        <w:rPr>
          <w:rFonts w:hint="eastAsia" w:ascii="宋体" w:hAnsi="宋体" w:eastAsia="宋体" w:cs="宋体"/>
          <w:color w:val="auto"/>
          <w:szCs w:val="21"/>
          <w:highlight w:val="none"/>
          <w:lang w:eastAsia="zh-CN"/>
        </w:rPr>
        <w:t>。</w:t>
      </w:r>
    </w:p>
    <w:p w14:paraId="246D455B">
      <w:pPr>
        <w:spacing w:line="360" w:lineRule="exact"/>
        <w:ind w:firstLine="420" w:firstLineChars="200"/>
        <w:jc w:val="both"/>
        <w:rPr>
          <w:rFonts w:hint="default"/>
          <w:color w:val="auto"/>
          <w:highlight w:val="none"/>
          <w:lang w:val="en-US" w:eastAsia="zh-CN"/>
        </w:rPr>
      </w:pPr>
      <w:r>
        <w:rPr>
          <w:rFonts w:hint="eastAsia" w:ascii="宋体" w:hAnsi="宋体" w:eastAsia="宋体" w:cs="宋体"/>
          <w:color w:val="auto"/>
          <w:szCs w:val="21"/>
          <w:highlight w:val="none"/>
          <w:lang w:val="en-US" w:eastAsia="zh-CN"/>
        </w:rPr>
        <w:t>6.成交供应商应遵守采购人有关的规章制度，并负责现场人员及货物的安全。项目实施过程中，成交供应商应落实安全文明管理，做好安全维护措施并达到采购人的相关要求，确保安装工作的安全、有序进行，如因成交供应商原因造成的任何安全事故，一切责任和后果均由成交供应商负责。</w:t>
      </w:r>
    </w:p>
    <w:p w14:paraId="76539AF7">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0" w:firstLineChars="0"/>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九、商务响应表</w:t>
      </w:r>
    </w:p>
    <w:tbl>
      <w:tblPr>
        <w:tblStyle w:val="60"/>
        <w:tblW w:w="4995"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04"/>
        <w:gridCol w:w="8148"/>
      </w:tblGrid>
      <w:tr w14:paraId="4D851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06" w:type="pct"/>
            <w:tcBorders>
              <w:top w:val="single" w:color="auto" w:sz="4" w:space="0"/>
              <w:bottom w:val="single" w:color="auto" w:sz="4" w:space="0"/>
              <w:right w:val="single" w:color="auto" w:sz="4" w:space="0"/>
            </w:tcBorders>
            <w:noWrap w:val="0"/>
            <w:vAlign w:val="center"/>
          </w:tcPr>
          <w:p w14:paraId="6AE85C5B">
            <w:pPr>
              <w:snapToGrid w:val="0"/>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供货期及供货地点</w:t>
            </w:r>
          </w:p>
        </w:tc>
        <w:tc>
          <w:tcPr>
            <w:tcW w:w="4093" w:type="pct"/>
            <w:tcBorders>
              <w:top w:val="single" w:color="auto" w:sz="4" w:space="0"/>
              <w:left w:val="single" w:color="auto" w:sz="4" w:space="0"/>
              <w:bottom w:val="single" w:color="auto" w:sz="4" w:space="0"/>
            </w:tcBorders>
            <w:noWrap w:val="0"/>
            <w:vAlign w:val="center"/>
          </w:tcPr>
          <w:p w14:paraId="02E604F0">
            <w:pPr>
              <w:snapToGrid w:val="0"/>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供货期：自合同签订之日起</w:t>
            </w:r>
            <w:r>
              <w:rPr>
                <w:rFonts w:hint="eastAsia" w:ascii="宋体" w:hAnsi="宋体" w:eastAsia="宋体" w:cs="宋体"/>
                <w:color w:val="auto"/>
                <w:szCs w:val="21"/>
                <w:highlight w:val="none"/>
                <w:lang w:val="en-US" w:eastAsia="zh-CN"/>
              </w:rPr>
              <w:t>30日历天</w:t>
            </w:r>
            <w:r>
              <w:rPr>
                <w:rFonts w:hint="eastAsia" w:ascii="宋体" w:hAnsi="宋体" w:eastAsia="宋体" w:cs="宋体"/>
                <w:color w:val="auto"/>
                <w:szCs w:val="21"/>
                <w:highlight w:val="none"/>
              </w:rPr>
              <w:t>。</w:t>
            </w:r>
          </w:p>
          <w:p w14:paraId="2C6B6EE6">
            <w:pPr>
              <w:pStyle w:val="54"/>
              <w:ind w:firstLine="0" w:firstLineChars="0"/>
              <w:rPr>
                <w:rFonts w:hint="eastAsia" w:ascii="宋体" w:hAnsi="宋体" w:eastAsia="宋体" w:cs="宋体"/>
                <w:color w:val="auto"/>
                <w:highlight w:val="none"/>
              </w:rPr>
            </w:pPr>
            <w:r>
              <w:rPr>
                <w:rFonts w:hint="eastAsia" w:ascii="宋体" w:hAnsi="宋体" w:eastAsia="宋体" w:cs="宋体"/>
                <w:color w:val="auto"/>
                <w:szCs w:val="21"/>
                <w:highlight w:val="none"/>
              </w:rPr>
              <w:t>供货地点：采购人指定地点，供货并安装调试完毕。</w:t>
            </w:r>
          </w:p>
        </w:tc>
      </w:tr>
      <w:tr w14:paraId="66C00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906" w:type="pct"/>
            <w:tcBorders>
              <w:top w:val="single" w:color="auto" w:sz="4" w:space="0"/>
              <w:bottom w:val="single" w:color="auto" w:sz="4" w:space="0"/>
              <w:right w:val="single" w:color="auto" w:sz="4" w:space="0"/>
            </w:tcBorders>
            <w:noWrap w:val="0"/>
            <w:vAlign w:val="center"/>
          </w:tcPr>
          <w:p w14:paraId="62767C67">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质保要求</w:t>
            </w:r>
          </w:p>
        </w:tc>
        <w:tc>
          <w:tcPr>
            <w:tcW w:w="4093" w:type="pct"/>
            <w:tcBorders>
              <w:top w:val="single" w:color="auto" w:sz="4" w:space="0"/>
              <w:left w:val="single" w:color="auto" w:sz="4" w:space="0"/>
              <w:bottom w:val="single" w:color="auto" w:sz="4" w:space="0"/>
            </w:tcBorders>
            <w:noWrap w:val="0"/>
            <w:vAlign w:val="center"/>
          </w:tcPr>
          <w:p w14:paraId="1BD796D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自供货完毕验收合格之日起</w:t>
            </w:r>
            <w:r>
              <w:rPr>
                <w:rFonts w:hint="eastAsia" w:ascii="宋体" w:hAnsi="宋体" w:eastAsia="宋体" w:cs="宋体"/>
                <w:color w:val="auto"/>
                <w:szCs w:val="21"/>
                <w:highlight w:val="none"/>
                <w:lang w:val="en-US" w:eastAsia="zh-CN"/>
              </w:rPr>
              <w:t>6年</w:t>
            </w:r>
            <w:r>
              <w:rPr>
                <w:rFonts w:hint="eastAsia" w:ascii="宋体" w:hAnsi="宋体" w:eastAsia="宋体" w:cs="宋体"/>
                <w:color w:val="auto"/>
                <w:szCs w:val="21"/>
                <w:highlight w:val="none"/>
              </w:rPr>
              <w:t>（或投标时自行承诺质保期限），技术支持要求：质保期内出现问题，6小时内响应，12小时内到达现场，48小时内解决问题，现场解决不了的采取用备品备件更换保证</w:t>
            </w:r>
            <w:r>
              <w:rPr>
                <w:rFonts w:hint="eastAsia" w:ascii="宋体" w:hAnsi="宋体" w:eastAsia="宋体" w:cs="宋体"/>
                <w:color w:val="auto"/>
                <w:szCs w:val="21"/>
                <w:highlight w:val="none"/>
                <w:lang w:val="en-US" w:eastAsia="zh-CN"/>
              </w:rPr>
              <w:t>场地</w:t>
            </w:r>
            <w:r>
              <w:rPr>
                <w:rFonts w:hint="eastAsia" w:ascii="宋体" w:hAnsi="宋体" w:eastAsia="宋体" w:cs="宋体"/>
                <w:color w:val="auto"/>
                <w:szCs w:val="21"/>
                <w:highlight w:val="none"/>
              </w:rPr>
              <w:t>正常运行的措施。质保期满后终身维修只收取配件成本费用。</w:t>
            </w:r>
          </w:p>
        </w:tc>
      </w:tr>
      <w:tr w14:paraId="0D918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06" w:type="pct"/>
            <w:tcBorders>
              <w:top w:val="single" w:color="auto" w:sz="4" w:space="0"/>
              <w:bottom w:val="single" w:color="auto" w:sz="4" w:space="0"/>
              <w:right w:val="single" w:color="auto" w:sz="4" w:space="0"/>
            </w:tcBorders>
            <w:noWrap w:val="0"/>
            <w:vAlign w:val="center"/>
          </w:tcPr>
          <w:p w14:paraId="770FD376">
            <w:pPr>
              <w:spacing w:line="34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付款方式</w:t>
            </w:r>
          </w:p>
        </w:tc>
        <w:tc>
          <w:tcPr>
            <w:tcW w:w="4093" w:type="pct"/>
            <w:tcBorders>
              <w:top w:val="single" w:color="auto" w:sz="4" w:space="0"/>
              <w:left w:val="single" w:color="auto" w:sz="4" w:space="0"/>
              <w:bottom w:val="single" w:color="auto" w:sz="4" w:space="0"/>
            </w:tcBorders>
            <w:noWrap w:val="0"/>
            <w:vAlign w:val="center"/>
          </w:tcPr>
          <w:p w14:paraId="5D79F381">
            <w:pPr>
              <w:spacing w:line="360" w:lineRule="exact"/>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根据省财政厅《关于进一步发挥政府采购政策功能全力推动经济稳进提质的通知》（浙财采监【2022】3号）要求，制定如下付款方式：</w:t>
            </w:r>
          </w:p>
          <w:p w14:paraId="4DDAF1ED">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1、合同生效及具备实施条件后7个工作日内支付合同金额的40%预付款；</w:t>
            </w:r>
          </w:p>
          <w:p w14:paraId="27E65935">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2、全部货物安装完毕并验收合格后，付至合同价的100%（含预付款）。</w:t>
            </w:r>
          </w:p>
          <w:p w14:paraId="2653CF4F">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在签订合同时，供应商明确表示无需预付款或者主动要求降低预付款比例的，采购合同可不适用上述支付预付款的规定。</w:t>
            </w:r>
          </w:p>
          <w:p w14:paraId="76FC3571">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采购人在向供应商支付预付款之前，有权要求供应商向采购人提供与预付款金额相对应的担保措施，担保措施可以是银行、保险公司等金融机构出具的预付款保函或其他担保措施。</w:t>
            </w:r>
          </w:p>
          <w:p w14:paraId="3945D5EC">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（备注：在合同实施过程中，当采购数量与实际使用数量不一致时，乙方应根据实际使用量供货，合同的最终结算金额按实际使用量乘以成交单价进行结算。）</w:t>
            </w:r>
          </w:p>
          <w:p w14:paraId="417219F6">
            <w:pPr>
              <w:autoSpaceDE w:val="0"/>
              <w:autoSpaceDN w:val="0"/>
              <w:adjustRightInd w:val="0"/>
              <w:snapToGrid w:val="0"/>
              <w:spacing w:line="360" w:lineRule="exact"/>
              <w:ind w:firstLine="422" w:firstLineChars="200"/>
              <w:jc w:val="left"/>
              <w:rPr>
                <w:rFonts w:hint="eastAsia" w:ascii="宋体" w:hAnsi="宋体" w:eastAsia="宋体" w:cs="宋体"/>
                <w:color w:val="auto"/>
                <w:highlight w:val="none"/>
              </w:rPr>
            </w:pPr>
            <w:r>
              <w:rPr>
                <w:rFonts w:hint="eastAsia" w:ascii="宋体" w:hAnsi="宋体" w:eastAsia="宋体" w:cs="宋体"/>
                <w:b/>
                <w:bCs/>
                <w:color w:val="auto"/>
                <w:szCs w:val="21"/>
                <w:highlight w:val="none"/>
              </w:rPr>
              <w:t>中标供应商应开具符合采购人要求的正规税务发票。</w:t>
            </w:r>
          </w:p>
        </w:tc>
      </w:tr>
    </w:tbl>
    <w:p w14:paraId="2B6C316D">
      <w:pPr>
        <w:spacing w:line="360" w:lineRule="auto"/>
        <w:jc w:val="both"/>
        <w:outlineLvl w:val="0"/>
        <w:rPr>
          <w:rFonts w:hint="eastAsia" w:ascii="宋体" w:hAnsi="宋体" w:eastAsia="宋体" w:cs="宋体"/>
          <w:b/>
          <w:color w:val="auto"/>
          <w:sz w:val="30"/>
          <w:szCs w:val="30"/>
          <w:highlight w:val="none"/>
        </w:rPr>
      </w:pPr>
      <w:bookmarkStart w:id="44" w:name="_Toc29022"/>
    </w:p>
    <w:p w14:paraId="7678BB81">
      <w:pPr>
        <w:pStyle w:val="55"/>
        <w:rPr>
          <w:rFonts w:hint="eastAsia"/>
          <w:color w:val="auto"/>
          <w:highlight w:val="none"/>
        </w:rPr>
      </w:pPr>
    </w:p>
    <w:p w14:paraId="46EB7C2B">
      <w:pPr>
        <w:spacing w:line="360" w:lineRule="auto"/>
        <w:jc w:val="center"/>
        <w:outlineLvl w:val="0"/>
        <w:rPr>
          <w:rFonts w:hint="eastAsia" w:ascii="宋体" w:hAnsi="宋体" w:eastAsia="宋体" w:cs="宋体"/>
          <w:b/>
          <w:color w:val="auto"/>
          <w:sz w:val="30"/>
          <w:szCs w:val="30"/>
          <w:highlight w:val="none"/>
        </w:rPr>
      </w:pPr>
    </w:p>
    <w:p w14:paraId="7697CD3B">
      <w:pPr>
        <w:spacing w:line="360" w:lineRule="auto"/>
        <w:jc w:val="center"/>
        <w:outlineLvl w:val="0"/>
        <w:rPr>
          <w:rFonts w:hint="eastAsia" w:ascii="宋体" w:hAnsi="宋体" w:eastAsia="宋体" w:cs="宋体"/>
          <w:b/>
          <w:color w:val="auto"/>
          <w:sz w:val="30"/>
          <w:szCs w:val="30"/>
          <w:highlight w:val="none"/>
        </w:rPr>
      </w:pPr>
    </w:p>
    <w:p w14:paraId="5B725892">
      <w:pPr>
        <w:spacing w:line="360" w:lineRule="auto"/>
        <w:jc w:val="center"/>
        <w:outlineLvl w:val="0"/>
        <w:rPr>
          <w:rFonts w:hint="eastAsia" w:ascii="宋体" w:hAnsi="宋体" w:eastAsia="宋体" w:cs="宋体"/>
          <w:b/>
          <w:color w:val="auto"/>
          <w:sz w:val="30"/>
          <w:szCs w:val="30"/>
          <w:highlight w:val="none"/>
        </w:rPr>
      </w:pPr>
    </w:p>
    <w:p w14:paraId="7B1B0168">
      <w:pPr>
        <w:spacing w:line="360" w:lineRule="auto"/>
        <w:jc w:val="center"/>
        <w:outlineLvl w:val="0"/>
        <w:rPr>
          <w:rFonts w:hint="eastAsia" w:ascii="宋体" w:hAnsi="宋体" w:eastAsia="宋体" w:cs="宋体"/>
          <w:b/>
          <w:color w:val="auto"/>
          <w:sz w:val="30"/>
          <w:szCs w:val="30"/>
          <w:highlight w:val="none"/>
        </w:rPr>
      </w:pPr>
    </w:p>
    <w:p w14:paraId="6211A2C0">
      <w:pPr>
        <w:spacing w:line="360" w:lineRule="auto"/>
        <w:jc w:val="center"/>
        <w:outlineLvl w:val="0"/>
        <w:rPr>
          <w:rFonts w:hint="eastAsia" w:ascii="宋体" w:hAnsi="宋体" w:eastAsia="宋体" w:cs="宋体"/>
          <w:b/>
          <w:color w:val="auto"/>
          <w:sz w:val="30"/>
          <w:szCs w:val="30"/>
          <w:highlight w:val="none"/>
        </w:rPr>
      </w:pPr>
    </w:p>
    <w:p w14:paraId="5EFE5EF5">
      <w:pPr>
        <w:spacing w:line="360" w:lineRule="auto"/>
        <w:jc w:val="center"/>
        <w:outlineLvl w:val="0"/>
        <w:rPr>
          <w:rFonts w:hint="eastAsia" w:ascii="宋体" w:hAnsi="宋体" w:eastAsia="宋体" w:cs="宋体"/>
          <w:b/>
          <w:color w:val="auto"/>
          <w:sz w:val="30"/>
          <w:szCs w:val="30"/>
          <w:highlight w:val="none"/>
        </w:rPr>
      </w:pPr>
    </w:p>
    <w:p w14:paraId="6CDF6D3B">
      <w:pPr>
        <w:spacing w:line="360" w:lineRule="auto"/>
        <w:jc w:val="center"/>
        <w:outlineLvl w:val="0"/>
        <w:rPr>
          <w:rFonts w:hint="eastAsia" w:ascii="宋体" w:hAnsi="宋体" w:eastAsia="宋体" w:cs="宋体"/>
          <w:b/>
          <w:color w:val="auto"/>
          <w:sz w:val="30"/>
          <w:szCs w:val="30"/>
          <w:highlight w:val="none"/>
        </w:rPr>
      </w:pPr>
    </w:p>
    <w:p w14:paraId="7DEA0107">
      <w:pPr>
        <w:spacing w:line="360" w:lineRule="auto"/>
        <w:jc w:val="center"/>
        <w:outlineLvl w:val="0"/>
        <w:rPr>
          <w:rFonts w:hint="eastAsia" w:ascii="宋体" w:hAnsi="宋体" w:eastAsia="宋体" w:cs="宋体"/>
          <w:b/>
          <w:color w:val="auto"/>
          <w:sz w:val="30"/>
          <w:szCs w:val="30"/>
          <w:highlight w:val="none"/>
        </w:rPr>
      </w:pPr>
    </w:p>
    <w:p w14:paraId="4294E0B2">
      <w:pPr>
        <w:spacing w:line="360" w:lineRule="auto"/>
        <w:jc w:val="center"/>
        <w:outlineLvl w:val="0"/>
        <w:rPr>
          <w:rFonts w:hint="eastAsia" w:ascii="宋体" w:hAnsi="宋体" w:eastAsia="宋体" w:cs="宋体"/>
          <w:b/>
          <w:color w:val="auto"/>
          <w:sz w:val="30"/>
          <w:szCs w:val="30"/>
          <w:highlight w:val="none"/>
        </w:rPr>
      </w:pPr>
    </w:p>
    <w:p w14:paraId="629A6A55">
      <w:pPr>
        <w:spacing w:line="360" w:lineRule="auto"/>
        <w:jc w:val="center"/>
        <w:outlineLvl w:val="0"/>
        <w:rPr>
          <w:rFonts w:hint="eastAsia" w:ascii="宋体" w:hAnsi="宋体" w:eastAsia="宋体" w:cs="宋体"/>
          <w:b/>
          <w:color w:val="auto"/>
          <w:sz w:val="30"/>
          <w:szCs w:val="30"/>
          <w:highlight w:val="none"/>
        </w:rPr>
      </w:pPr>
    </w:p>
    <w:p w14:paraId="0DE575D9">
      <w:pPr>
        <w:spacing w:line="360" w:lineRule="auto"/>
        <w:jc w:val="center"/>
        <w:outlineLvl w:val="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第三章  磋商须知</w:t>
      </w:r>
      <w:bookmarkEnd w:id="44"/>
    </w:p>
    <w:tbl>
      <w:tblPr>
        <w:tblStyle w:val="6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9"/>
        <w:gridCol w:w="9063"/>
      </w:tblGrid>
      <w:tr w14:paraId="76062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99" w:type="dxa"/>
            <w:tcBorders>
              <w:top w:val="single" w:color="auto" w:sz="4" w:space="0"/>
              <w:left w:val="single" w:color="auto" w:sz="4" w:space="0"/>
              <w:bottom w:val="single" w:color="auto" w:sz="4" w:space="0"/>
              <w:right w:val="single" w:color="auto" w:sz="4" w:space="0"/>
            </w:tcBorders>
            <w:vAlign w:val="center"/>
          </w:tcPr>
          <w:p w14:paraId="68C24CB8">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序号</w:t>
            </w:r>
          </w:p>
        </w:tc>
        <w:tc>
          <w:tcPr>
            <w:tcW w:w="9063" w:type="dxa"/>
            <w:tcBorders>
              <w:top w:val="single" w:color="auto" w:sz="4" w:space="0"/>
              <w:left w:val="single" w:color="auto" w:sz="4" w:space="0"/>
              <w:bottom w:val="single" w:color="auto" w:sz="4" w:space="0"/>
              <w:right w:val="single" w:color="auto" w:sz="4" w:space="0"/>
            </w:tcBorders>
            <w:vAlign w:val="center"/>
          </w:tcPr>
          <w:p w14:paraId="7C7AA564">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内容、要求</w:t>
            </w:r>
          </w:p>
        </w:tc>
      </w:tr>
      <w:tr w14:paraId="4527D5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899" w:type="dxa"/>
            <w:tcBorders>
              <w:top w:val="single" w:color="auto" w:sz="4" w:space="0"/>
              <w:left w:val="single" w:color="auto" w:sz="4" w:space="0"/>
              <w:bottom w:val="single" w:color="auto" w:sz="4" w:space="0"/>
              <w:right w:val="single" w:color="auto" w:sz="4" w:space="0"/>
            </w:tcBorders>
            <w:vAlign w:val="center"/>
          </w:tcPr>
          <w:p w14:paraId="40CA4A3F">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w:t>
            </w:r>
          </w:p>
        </w:tc>
        <w:tc>
          <w:tcPr>
            <w:tcW w:w="9063" w:type="dxa"/>
            <w:tcBorders>
              <w:top w:val="single" w:color="auto" w:sz="4" w:space="0"/>
              <w:left w:val="single" w:color="auto" w:sz="4" w:space="0"/>
              <w:bottom w:val="single" w:color="auto" w:sz="4" w:space="0"/>
              <w:right w:val="single" w:color="auto" w:sz="4" w:space="0"/>
            </w:tcBorders>
            <w:vAlign w:val="center"/>
          </w:tcPr>
          <w:p w14:paraId="08B6975F">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项目名称：</w:t>
            </w:r>
            <w:r>
              <w:rPr>
                <w:rFonts w:hint="eastAsia" w:ascii="宋体" w:hAnsi="宋体" w:eastAsia="宋体" w:cs="宋体"/>
                <w:color w:val="auto"/>
                <w:spacing w:val="11"/>
                <w:szCs w:val="21"/>
                <w:highlight w:val="none"/>
                <w:lang w:eastAsia="zh-CN"/>
              </w:rPr>
              <w:t xml:space="preserve">长兴县太湖图影小学篮球场悬浮地板采购项目 </w:t>
            </w:r>
            <w:r>
              <w:rPr>
                <w:rFonts w:hint="eastAsia" w:ascii="宋体" w:hAnsi="宋体" w:eastAsia="宋体" w:cs="宋体"/>
                <w:color w:val="auto"/>
                <w:spacing w:val="11"/>
                <w:szCs w:val="21"/>
                <w:highlight w:val="none"/>
              </w:rPr>
              <w:t xml:space="preserve"> </w:t>
            </w:r>
          </w:p>
        </w:tc>
      </w:tr>
      <w:tr w14:paraId="36479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899" w:type="dxa"/>
            <w:tcBorders>
              <w:top w:val="single" w:color="auto" w:sz="4" w:space="0"/>
              <w:left w:val="single" w:color="auto" w:sz="4" w:space="0"/>
              <w:bottom w:val="single" w:color="auto" w:sz="4" w:space="0"/>
              <w:right w:val="single" w:color="auto" w:sz="4" w:space="0"/>
            </w:tcBorders>
            <w:vAlign w:val="center"/>
          </w:tcPr>
          <w:p w14:paraId="79ABB83B">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w:t>
            </w:r>
          </w:p>
        </w:tc>
        <w:tc>
          <w:tcPr>
            <w:tcW w:w="9063" w:type="dxa"/>
            <w:tcBorders>
              <w:top w:val="single" w:color="auto" w:sz="4" w:space="0"/>
              <w:left w:val="single" w:color="auto" w:sz="4" w:space="0"/>
              <w:bottom w:val="single" w:color="auto" w:sz="4" w:space="0"/>
              <w:right w:val="single" w:color="auto" w:sz="4" w:space="0"/>
            </w:tcBorders>
            <w:vAlign w:val="center"/>
          </w:tcPr>
          <w:p w14:paraId="06D53F04">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采购内容及数量：详见磋商需求</w:t>
            </w:r>
          </w:p>
        </w:tc>
      </w:tr>
      <w:tr w14:paraId="1DFF7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899" w:type="dxa"/>
            <w:tcBorders>
              <w:top w:val="single" w:color="auto" w:sz="4" w:space="0"/>
              <w:left w:val="single" w:color="auto" w:sz="4" w:space="0"/>
              <w:bottom w:val="single" w:color="auto" w:sz="4" w:space="0"/>
              <w:right w:val="single" w:color="auto" w:sz="4" w:space="0"/>
            </w:tcBorders>
            <w:vAlign w:val="center"/>
          </w:tcPr>
          <w:p w14:paraId="3D21BE6C">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w:t>
            </w:r>
          </w:p>
        </w:tc>
        <w:tc>
          <w:tcPr>
            <w:tcW w:w="9063" w:type="dxa"/>
            <w:tcBorders>
              <w:top w:val="single" w:color="auto" w:sz="4" w:space="0"/>
              <w:left w:val="single" w:color="auto" w:sz="4" w:space="0"/>
              <w:bottom w:val="single" w:color="auto" w:sz="4" w:space="0"/>
              <w:right w:val="single" w:color="auto" w:sz="4" w:space="0"/>
            </w:tcBorders>
            <w:vAlign w:val="center"/>
          </w:tcPr>
          <w:p w14:paraId="1B60564A">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磋商报价及费用：1.本项目磋商应以人民币报价；2.不论磋商结果如何，供应商均应自行承担所有与磋商有关的全部费用。</w:t>
            </w:r>
          </w:p>
        </w:tc>
      </w:tr>
      <w:tr w14:paraId="560517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899" w:type="dxa"/>
            <w:tcBorders>
              <w:top w:val="single" w:color="auto" w:sz="4" w:space="0"/>
              <w:left w:val="single" w:color="auto" w:sz="4" w:space="0"/>
              <w:bottom w:val="single" w:color="auto" w:sz="4" w:space="0"/>
              <w:right w:val="single" w:color="auto" w:sz="4" w:space="0"/>
            </w:tcBorders>
            <w:vAlign w:val="center"/>
          </w:tcPr>
          <w:p w14:paraId="760DEAA2">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w:t>
            </w:r>
          </w:p>
        </w:tc>
        <w:tc>
          <w:tcPr>
            <w:tcW w:w="9063" w:type="dxa"/>
            <w:tcBorders>
              <w:top w:val="single" w:color="auto" w:sz="4" w:space="0"/>
              <w:left w:val="single" w:color="auto" w:sz="4" w:space="0"/>
              <w:bottom w:val="single" w:color="auto" w:sz="4" w:space="0"/>
              <w:right w:val="single" w:color="auto" w:sz="4" w:space="0"/>
            </w:tcBorders>
            <w:vAlign w:val="center"/>
          </w:tcPr>
          <w:p w14:paraId="2AE06836">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磋商保证金：</w:t>
            </w:r>
            <w:r>
              <w:rPr>
                <w:rFonts w:hint="eastAsia" w:ascii="宋体" w:hAnsi="宋体" w:eastAsia="宋体" w:cs="宋体"/>
                <w:b/>
                <w:bCs/>
                <w:color w:val="auto"/>
                <w:kern w:val="0"/>
                <w:szCs w:val="21"/>
                <w:highlight w:val="none"/>
              </w:rPr>
              <w:t>无</w:t>
            </w:r>
            <w:r>
              <w:rPr>
                <w:rFonts w:hint="eastAsia" w:ascii="宋体" w:hAnsi="宋体" w:eastAsia="宋体" w:cs="宋体"/>
                <w:b/>
                <w:bCs/>
                <w:color w:val="auto"/>
                <w:szCs w:val="21"/>
                <w:highlight w:val="none"/>
              </w:rPr>
              <w:t>。</w:t>
            </w:r>
          </w:p>
        </w:tc>
      </w:tr>
      <w:tr w14:paraId="4862D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899" w:type="dxa"/>
            <w:tcBorders>
              <w:top w:val="single" w:color="auto" w:sz="4" w:space="0"/>
              <w:left w:val="single" w:color="auto" w:sz="4" w:space="0"/>
              <w:bottom w:val="single" w:color="auto" w:sz="4" w:space="0"/>
              <w:right w:val="single" w:color="auto" w:sz="4" w:space="0"/>
            </w:tcBorders>
            <w:vAlign w:val="center"/>
          </w:tcPr>
          <w:p w14:paraId="5BAA14FF">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5</w:t>
            </w:r>
          </w:p>
        </w:tc>
        <w:tc>
          <w:tcPr>
            <w:tcW w:w="9063" w:type="dxa"/>
            <w:tcBorders>
              <w:top w:val="single" w:color="auto" w:sz="4" w:space="0"/>
              <w:left w:val="single" w:color="auto" w:sz="4" w:space="0"/>
              <w:bottom w:val="single" w:color="auto" w:sz="4" w:space="0"/>
              <w:right w:val="single" w:color="auto" w:sz="4" w:space="0"/>
            </w:tcBorders>
            <w:vAlign w:val="center"/>
          </w:tcPr>
          <w:p w14:paraId="2EE21709">
            <w:pPr>
              <w:snapToGrid w:val="0"/>
              <w:spacing w:line="300" w:lineRule="exact"/>
              <w:rPr>
                <w:rFonts w:hint="eastAsia" w:ascii="宋体" w:hAnsi="宋体" w:eastAsia="宋体" w:cs="宋体"/>
                <w:b/>
                <w:color w:val="auto"/>
                <w:spacing w:val="11"/>
                <w:szCs w:val="21"/>
                <w:highlight w:val="none"/>
              </w:rPr>
            </w:pPr>
            <w:r>
              <w:rPr>
                <w:rFonts w:hint="eastAsia" w:ascii="宋体" w:hAnsi="宋体" w:eastAsia="宋体" w:cs="宋体"/>
                <w:color w:val="auto"/>
                <w:spacing w:val="11"/>
                <w:szCs w:val="21"/>
                <w:highlight w:val="none"/>
              </w:rPr>
              <w:t>答疑与澄清：供应商应认真阅读本磋商文件，如认为竞争性磋商文件表述不清晰、存在歧视性、排他性或者其他违法内容的，应当在</w:t>
            </w:r>
            <w:r>
              <w:rPr>
                <w:rFonts w:hint="eastAsia" w:ascii="宋体" w:hAnsi="宋体" w:eastAsia="宋体" w:cs="宋体"/>
                <w:color w:val="auto"/>
                <w:spacing w:val="11"/>
                <w:szCs w:val="21"/>
                <w:highlight w:val="none"/>
                <w:lang w:eastAsia="zh-CN"/>
              </w:rPr>
              <w:t>2025年6月</w:t>
            </w:r>
            <w:r>
              <w:rPr>
                <w:rFonts w:hint="eastAsia" w:ascii="宋体" w:hAnsi="宋体" w:eastAsia="宋体" w:cs="宋体"/>
                <w:color w:val="auto"/>
                <w:spacing w:val="11"/>
                <w:szCs w:val="21"/>
                <w:highlight w:val="none"/>
                <w:lang w:val="en-US" w:eastAsia="zh-CN"/>
              </w:rPr>
              <w:t>27</w:t>
            </w:r>
            <w:r>
              <w:rPr>
                <w:rFonts w:hint="eastAsia" w:ascii="宋体" w:hAnsi="宋体" w:eastAsia="宋体" w:cs="宋体"/>
                <w:color w:val="auto"/>
                <w:spacing w:val="11"/>
                <w:szCs w:val="21"/>
                <w:highlight w:val="none"/>
              </w:rPr>
              <w:t>日上午11：00时前以书面（含传真）形式向采购人一次性提出（供应商应把握所提疑问是否确需澄清或质疑，相关非实质性问题可以沟通解决的请及时电话联系，以免答疑后影响用户的正常采购进程）；采购人将在</w:t>
            </w:r>
            <w:r>
              <w:rPr>
                <w:rFonts w:hint="eastAsia" w:ascii="宋体" w:hAnsi="宋体" w:eastAsia="宋体" w:cs="宋体"/>
                <w:color w:val="auto"/>
                <w:spacing w:val="11"/>
                <w:szCs w:val="21"/>
                <w:highlight w:val="none"/>
                <w:lang w:eastAsia="zh-CN"/>
              </w:rPr>
              <w:t>2025年</w:t>
            </w:r>
            <w:r>
              <w:rPr>
                <w:rFonts w:hint="eastAsia" w:ascii="宋体" w:hAnsi="宋体" w:eastAsia="宋体" w:cs="宋体"/>
                <w:color w:val="auto"/>
                <w:spacing w:val="11"/>
                <w:szCs w:val="21"/>
                <w:highlight w:val="none"/>
                <w:lang w:val="en-US" w:eastAsia="zh-CN"/>
              </w:rPr>
              <w:t>7月</w:t>
            </w:r>
            <w:bookmarkStart w:id="74" w:name="_GoBack"/>
            <w:bookmarkEnd w:id="74"/>
            <w:r>
              <w:rPr>
                <w:rFonts w:hint="eastAsia" w:ascii="宋体" w:hAnsi="宋体" w:eastAsia="宋体" w:cs="宋体"/>
                <w:color w:val="auto"/>
                <w:spacing w:val="11"/>
                <w:szCs w:val="21"/>
                <w:highlight w:val="none"/>
                <w:lang w:val="en-US" w:eastAsia="zh-CN"/>
              </w:rPr>
              <w:t>2</w:t>
            </w:r>
            <w:r>
              <w:rPr>
                <w:rFonts w:hint="eastAsia" w:ascii="宋体" w:hAnsi="宋体" w:eastAsia="宋体" w:cs="宋体"/>
                <w:color w:val="auto"/>
                <w:spacing w:val="11"/>
                <w:szCs w:val="21"/>
                <w:highlight w:val="none"/>
              </w:rPr>
              <w:t>日17：00前内统一进行澄清和修改，</w:t>
            </w:r>
            <w:r>
              <w:rPr>
                <w:rFonts w:hint="eastAsia" w:ascii="宋体" w:hAnsi="宋体" w:eastAsia="宋体" w:cs="宋体"/>
                <w:color w:val="auto"/>
                <w:szCs w:val="21"/>
                <w:highlight w:val="none"/>
              </w:rPr>
              <w:t>在财政部门指定的政府采购信息发布媒体上发布更正公告，</w:t>
            </w:r>
            <w:r>
              <w:rPr>
                <w:rFonts w:hint="eastAsia" w:ascii="宋体" w:hAnsi="宋体" w:eastAsia="宋体" w:cs="宋体"/>
                <w:color w:val="auto"/>
                <w:spacing w:val="11"/>
                <w:szCs w:val="21"/>
                <w:highlight w:val="none"/>
              </w:rPr>
              <w:t>并书面（含传真）通知所有认购竞争性磋商文件的供应商。供应商未按规定要求提出的，则视同认可竞争性磋商文件，但法律法规及规范性文件有明确规定的除外。</w:t>
            </w:r>
          </w:p>
        </w:tc>
      </w:tr>
      <w:tr w14:paraId="1DBDA8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99" w:type="dxa"/>
            <w:tcBorders>
              <w:top w:val="single" w:color="auto" w:sz="4" w:space="0"/>
              <w:left w:val="single" w:color="auto" w:sz="4" w:space="0"/>
              <w:bottom w:val="single" w:color="auto" w:sz="4" w:space="0"/>
              <w:right w:val="single" w:color="auto" w:sz="4" w:space="0"/>
            </w:tcBorders>
            <w:vAlign w:val="center"/>
          </w:tcPr>
          <w:p w14:paraId="5E0E52BE">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6</w:t>
            </w:r>
          </w:p>
        </w:tc>
        <w:tc>
          <w:tcPr>
            <w:tcW w:w="9063" w:type="dxa"/>
            <w:tcBorders>
              <w:top w:val="single" w:color="auto" w:sz="4" w:space="0"/>
              <w:left w:val="single" w:color="auto" w:sz="4" w:space="0"/>
              <w:bottom w:val="single" w:color="auto" w:sz="4" w:space="0"/>
              <w:right w:val="single" w:color="auto" w:sz="4" w:space="0"/>
            </w:tcBorders>
            <w:vAlign w:val="center"/>
          </w:tcPr>
          <w:p w14:paraId="7B1D7867">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b/>
                <w:color w:val="auto"/>
                <w:spacing w:val="14"/>
                <w:kern w:val="24"/>
                <w:szCs w:val="21"/>
                <w:highlight w:val="none"/>
              </w:rPr>
              <w:t>▲本项目设定最高限价：</w:t>
            </w:r>
            <w:r>
              <w:rPr>
                <w:rFonts w:hint="eastAsia" w:ascii="宋体" w:hAnsi="宋体" w:eastAsia="宋体" w:cs="宋体"/>
                <w:b/>
                <w:color w:val="auto"/>
                <w:spacing w:val="14"/>
                <w:kern w:val="24"/>
                <w:szCs w:val="21"/>
                <w:highlight w:val="none"/>
                <w:lang w:val="en-US" w:eastAsia="zh-CN"/>
              </w:rPr>
              <w:t>300000.00</w:t>
            </w:r>
            <w:r>
              <w:rPr>
                <w:rFonts w:hint="eastAsia" w:ascii="宋体" w:hAnsi="宋体" w:eastAsia="宋体" w:cs="宋体"/>
                <w:b/>
                <w:bCs/>
                <w:color w:val="auto"/>
                <w:spacing w:val="11"/>
                <w:szCs w:val="21"/>
                <w:highlight w:val="none"/>
              </w:rPr>
              <w:t>元，高于最高限价的</w:t>
            </w:r>
            <w:r>
              <w:rPr>
                <w:rFonts w:hint="eastAsia" w:ascii="宋体" w:hAnsi="宋体" w:eastAsia="宋体" w:cs="宋体"/>
                <w:b/>
                <w:bCs/>
                <w:color w:val="auto"/>
                <w:spacing w:val="11"/>
                <w:szCs w:val="21"/>
                <w:highlight w:val="none"/>
                <w:lang w:val="en-US" w:eastAsia="zh-CN"/>
              </w:rPr>
              <w:t>磋商响应</w:t>
            </w:r>
            <w:r>
              <w:rPr>
                <w:rFonts w:hint="eastAsia" w:ascii="宋体" w:hAnsi="宋体" w:eastAsia="宋体" w:cs="宋体"/>
                <w:b/>
                <w:bCs/>
                <w:color w:val="auto"/>
                <w:spacing w:val="11"/>
                <w:szCs w:val="21"/>
                <w:highlight w:val="none"/>
              </w:rPr>
              <w:t>都将被否决。</w:t>
            </w:r>
          </w:p>
        </w:tc>
      </w:tr>
      <w:tr w14:paraId="7D0A4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899" w:type="dxa"/>
            <w:tcBorders>
              <w:top w:val="single" w:color="auto" w:sz="4" w:space="0"/>
              <w:left w:val="single" w:color="auto" w:sz="4" w:space="0"/>
              <w:bottom w:val="single" w:color="auto" w:sz="4" w:space="0"/>
              <w:right w:val="single" w:color="auto" w:sz="4" w:space="0"/>
            </w:tcBorders>
            <w:vAlign w:val="center"/>
          </w:tcPr>
          <w:p w14:paraId="04BDF69E">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7</w:t>
            </w:r>
          </w:p>
        </w:tc>
        <w:tc>
          <w:tcPr>
            <w:tcW w:w="9063" w:type="dxa"/>
            <w:tcBorders>
              <w:top w:val="single" w:color="auto" w:sz="4" w:space="0"/>
              <w:left w:val="single" w:color="auto" w:sz="4" w:space="0"/>
              <w:bottom w:val="single" w:color="auto" w:sz="4" w:space="0"/>
              <w:right w:val="single" w:color="auto" w:sz="4" w:space="0"/>
            </w:tcBorders>
            <w:vAlign w:val="center"/>
          </w:tcPr>
          <w:p w14:paraId="0BC551DD">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磋商响应文件构成和份数：</w:t>
            </w:r>
          </w:p>
          <w:p w14:paraId="21230915">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1.形式：本项目实行全流程网上电子投标。</w:t>
            </w:r>
          </w:p>
          <w:p w14:paraId="4E0EDA6E">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2.组成：供应商应准备</w:t>
            </w:r>
            <w:r>
              <w:rPr>
                <w:rFonts w:hint="eastAsia" w:ascii="宋体" w:hAnsi="宋体" w:eastAsia="宋体" w:cs="宋体"/>
                <w:color w:val="auto"/>
                <w:szCs w:val="21"/>
                <w:highlight w:val="none"/>
                <w:lang w:val="zh-CN"/>
              </w:rPr>
              <w:t>上传的</w:t>
            </w:r>
            <w:r>
              <w:rPr>
                <w:rFonts w:hint="eastAsia" w:ascii="宋体" w:hAnsi="宋体" w:eastAsia="宋体" w:cs="宋体"/>
                <w:color w:val="auto"/>
                <w:spacing w:val="11"/>
                <w:szCs w:val="21"/>
                <w:highlight w:val="none"/>
              </w:rPr>
              <w:t>电子磋商响应文件1份、以介质存储的数据电文形式的备份磋商响应文件（U盘或光盘）1份、纸质备份磋商响应文件1份，共三类。</w:t>
            </w:r>
          </w:p>
          <w:p w14:paraId="507FFF58">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w:t>
            </w:r>
            <w:r>
              <w:rPr>
                <w:rFonts w:hint="eastAsia" w:ascii="宋体" w:hAnsi="宋体" w:eastAsia="宋体" w:cs="宋体"/>
                <w:b/>
                <w:bCs/>
                <w:color w:val="auto"/>
                <w:szCs w:val="21"/>
                <w:highlight w:val="none"/>
              </w:rPr>
              <w:t>成交供应商在领取成交通知书之前再递交</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份纸质版磋商响应文件。</w:t>
            </w:r>
          </w:p>
        </w:tc>
      </w:tr>
      <w:tr w14:paraId="162D04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899" w:type="dxa"/>
            <w:tcBorders>
              <w:top w:val="single" w:color="auto" w:sz="4" w:space="0"/>
              <w:left w:val="single" w:color="auto" w:sz="4" w:space="0"/>
              <w:bottom w:val="single" w:color="auto" w:sz="4" w:space="0"/>
              <w:right w:val="single" w:color="auto" w:sz="4" w:space="0"/>
            </w:tcBorders>
            <w:vAlign w:val="center"/>
          </w:tcPr>
          <w:p w14:paraId="1F9EB12A">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8</w:t>
            </w:r>
          </w:p>
        </w:tc>
        <w:tc>
          <w:tcPr>
            <w:tcW w:w="9063" w:type="dxa"/>
            <w:tcBorders>
              <w:top w:val="single" w:color="auto" w:sz="4" w:space="0"/>
              <w:left w:val="single" w:color="auto" w:sz="4" w:space="0"/>
              <w:bottom w:val="single" w:color="auto" w:sz="4" w:space="0"/>
              <w:right w:val="single" w:color="auto" w:sz="4" w:space="0"/>
            </w:tcBorders>
            <w:vAlign w:val="center"/>
          </w:tcPr>
          <w:p w14:paraId="0EE85DB2">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磋商响应文件的形式和效力：</w:t>
            </w:r>
          </w:p>
          <w:p w14:paraId="67400733">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磋商响应文件分为电子磋商响应文件以及备份磋商响应文件，备份文件分为以介质存储的数据电文形式的备份磋商响应文件（U盘或光盘）和纸质备份磋商响应文件。</w:t>
            </w:r>
          </w:p>
          <w:p w14:paraId="0C51D2FA">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1.电子磋商响应文件部分：供应商应根据“政采云供应商项目采购</w:t>
            </w:r>
            <w:r>
              <w:rPr>
                <w:rFonts w:hint="eastAsia" w:ascii="宋体" w:hAnsi="宋体" w:eastAsia="宋体" w:cs="宋体"/>
                <w:color w:val="auto"/>
                <w:spacing w:val="11"/>
                <w:szCs w:val="21"/>
                <w:highlight w:val="none"/>
                <w:lang w:eastAsia="zh-CN"/>
              </w:rPr>
              <w:t>－</w:t>
            </w:r>
            <w:r>
              <w:rPr>
                <w:rFonts w:hint="eastAsia" w:ascii="宋体" w:hAnsi="宋体" w:eastAsia="宋体" w:cs="宋体"/>
                <w:color w:val="auto"/>
                <w:spacing w:val="11"/>
                <w:szCs w:val="21"/>
                <w:highlight w:val="none"/>
              </w:rPr>
              <w:t>电子招投标操作指南”及本磋商文件规定的格式和顺序编制，按电子磋商响应文件要求制作、加密并递交，进行关联定位。</w:t>
            </w:r>
          </w:p>
          <w:p w14:paraId="320989C1">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2.以介质存储的数据电文形式的备份磋商响应文件部分：即电子磋商响应文件的备份文件，按“政采云供应商项目采购</w:t>
            </w:r>
            <w:r>
              <w:rPr>
                <w:rFonts w:hint="eastAsia" w:ascii="宋体" w:hAnsi="宋体" w:eastAsia="宋体" w:cs="宋体"/>
                <w:color w:val="auto"/>
                <w:spacing w:val="11"/>
                <w:szCs w:val="21"/>
                <w:highlight w:val="none"/>
                <w:lang w:eastAsia="zh-CN"/>
              </w:rPr>
              <w:t>－</w:t>
            </w:r>
            <w:r>
              <w:rPr>
                <w:rFonts w:hint="eastAsia" w:ascii="宋体" w:hAnsi="宋体" w:eastAsia="宋体" w:cs="宋体"/>
                <w:color w:val="auto"/>
                <w:spacing w:val="11"/>
                <w:szCs w:val="21"/>
                <w:highlight w:val="none"/>
              </w:rPr>
              <w:t>电子招投标操作指南”制作的备份文件。以U盘或光盘形式存储，并单独密封递交。</w:t>
            </w:r>
          </w:p>
          <w:p w14:paraId="2D644DD3">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3.纸质备份磋商响应文件部分：电子磋商响应文件的备份文件按须知“磋商响应文件的组成”编制，制作成纸质文件，并单独密封递交。</w:t>
            </w:r>
          </w:p>
          <w:p w14:paraId="159AA336">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磋商响应文件的效力：磋商响应文件的启用，按先后顺位分别为电子磋商响应文件、以介质存储的数据电文形式的备份磋商响应文件（U盘或光盘）、纸质备份磋商响应文件。在下一顺位的磋商响应文件启用时，前一顺位的磋商响应文件自动失效。</w:t>
            </w:r>
          </w:p>
          <w:p w14:paraId="6F016666">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备注：以供应商解密成功的上传电子磋商响应文件为准，除非供应商原因导致的电子磋商响应文件上传不全、无法打开、显示缺陷等才进行第二、第三效力文件的启用。</w:t>
            </w:r>
          </w:p>
        </w:tc>
      </w:tr>
      <w:tr w14:paraId="592FB0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899" w:type="dxa"/>
            <w:tcBorders>
              <w:top w:val="single" w:color="auto" w:sz="4" w:space="0"/>
              <w:left w:val="single" w:color="auto" w:sz="4" w:space="0"/>
              <w:bottom w:val="single" w:color="auto" w:sz="4" w:space="0"/>
              <w:right w:val="single" w:color="auto" w:sz="4" w:space="0"/>
            </w:tcBorders>
            <w:vAlign w:val="center"/>
          </w:tcPr>
          <w:p w14:paraId="26333AF5">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9</w:t>
            </w:r>
          </w:p>
        </w:tc>
        <w:tc>
          <w:tcPr>
            <w:tcW w:w="9063" w:type="dxa"/>
            <w:tcBorders>
              <w:top w:val="single" w:color="auto" w:sz="4" w:space="0"/>
              <w:left w:val="single" w:color="auto" w:sz="4" w:space="0"/>
              <w:bottom w:val="single" w:color="auto" w:sz="4" w:space="0"/>
              <w:right w:val="single" w:color="auto" w:sz="4" w:space="0"/>
            </w:tcBorders>
            <w:vAlign w:val="center"/>
          </w:tcPr>
          <w:p w14:paraId="5861AC4C">
            <w:pPr>
              <w:spacing w:line="300" w:lineRule="exact"/>
              <w:rPr>
                <w:rFonts w:hint="eastAsia" w:ascii="宋体" w:hAnsi="宋体" w:eastAsia="宋体" w:cs="宋体"/>
                <w:color w:val="auto"/>
                <w:spacing w:val="11"/>
                <w:szCs w:val="21"/>
                <w:highlight w:val="none"/>
              </w:rPr>
            </w:pPr>
            <w:r>
              <w:rPr>
                <w:rFonts w:hint="eastAsia" w:ascii="宋体" w:hAnsi="宋体" w:eastAsia="宋体" w:cs="宋体"/>
                <w:b/>
                <w:bCs/>
                <w:color w:val="auto"/>
                <w:spacing w:val="11"/>
                <w:szCs w:val="21"/>
                <w:highlight w:val="none"/>
              </w:rPr>
              <w:t>纸质备份磋商响应文件</w:t>
            </w:r>
            <w:r>
              <w:rPr>
                <w:rFonts w:hint="eastAsia" w:ascii="宋体" w:hAnsi="宋体" w:eastAsia="宋体" w:cs="宋体"/>
                <w:color w:val="auto"/>
                <w:spacing w:val="11"/>
                <w:szCs w:val="21"/>
                <w:highlight w:val="none"/>
              </w:rPr>
              <w:t>应按以下要求装订：</w:t>
            </w:r>
          </w:p>
          <w:p w14:paraId="2F1FBA25">
            <w:pPr>
              <w:spacing w:line="300" w:lineRule="exact"/>
              <w:rPr>
                <w:rFonts w:hint="eastAsia" w:ascii="宋体" w:hAnsi="宋体" w:eastAsia="宋体" w:cs="宋体"/>
                <w:b/>
                <w:color w:val="auto"/>
                <w:spacing w:val="11"/>
                <w:szCs w:val="21"/>
                <w:highlight w:val="none"/>
                <w:u w:val="single"/>
              </w:rPr>
            </w:pPr>
            <w:r>
              <w:rPr>
                <w:rFonts w:hint="eastAsia" w:ascii="宋体" w:hAnsi="宋体" w:eastAsia="宋体" w:cs="宋体"/>
                <w:color w:val="auto"/>
                <w:spacing w:val="11"/>
                <w:szCs w:val="21"/>
                <w:highlight w:val="none"/>
              </w:rPr>
              <w:t>分册装订，</w:t>
            </w:r>
            <w:r>
              <w:rPr>
                <w:rFonts w:hint="eastAsia" w:ascii="宋体" w:hAnsi="宋体" w:eastAsia="宋体" w:cs="宋体"/>
                <w:b/>
                <w:color w:val="auto"/>
                <w:spacing w:val="11"/>
                <w:szCs w:val="21"/>
                <w:highlight w:val="none"/>
              </w:rPr>
              <w:t>共分</w:t>
            </w:r>
            <w:r>
              <w:rPr>
                <w:rFonts w:hint="eastAsia" w:ascii="宋体" w:hAnsi="宋体" w:eastAsia="宋体" w:cs="宋体"/>
                <w:b/>
                <w:color w:val="auto"/>
                <w:spacing w:val="11"/>
                <w:szCs w:val="21"/>
                <w:highlight w:val="none"/>
                <w:u w:val="single"/>
              </w:rPr>
              <w:t>2</w:t>
            </w:r>
            <w:r>
              <w:rPr>
                <w:rFonts w:hint="eastAsia" w:ascii="宋体" w:hAnsi="宋体" w:eastAsia="宋体" w:cs="宋体"/>
                <w:b/>
                <w:color w:val="auto"/>
                <w:spacing w:val="11"/>
                <w:szCs w:val="21"/>
                <w:highlight w:val="none"/>
              </w:rPr>
              <w:t>册，分别为：“</w:t>
            </w:r>
            <w:r>
              <w:rPr>
                <w:rFonts w:hint="eastAsia" w:ascii="宋体" w:hAnsi="宋体" w:eastAsia="宋体" w:cs="宋体"/>
                <w:b/>
                <w:bCs/>
                <w:color w:val="auto"/>
                <w:spacing w:val="11"/>
                <w:szCs w:val="21"/>
                <w:highlight w:val="none"/>
                <w:u w:val="single"/>
              </w:rPr>
              <w:t>商务及资信技术文件</w:t>
            </w:r>
            <w:r>
              <w:rPr>
                <w:rFonts w:hint="eastAsia" w:ascii="宋体" w:hAnsi="宋体" w:eastAsia="宋体" w:cs="宋体"/>
                <w:b/>
                <w:bCs/>
                <w:color w:val="auto"/>
                <w:spacing w:val="11"/>
                <w:szCs w:val="21"/>
                <w:highlight w:val="none"/>
                <w:u w:val="single"/>
                <w:lang w:eastAsia="zh-CN"/>
              </w:rPr>
              <w:t>”“</w:t>
            </w:r>
            <w:r>
              <w:rPr>
                <w:rFonts w:hint="eastAsia" w:ascii="宋体" w:hAnsi="宋体" w:eastAsia="宋体" w:cs="宋体"/>
                <w:b/>
                <w:bCs/>
                <w:color w:val="auto"/>
                <w:spacing w:val="11"/>
                <w:szCs w:val="21"/>
                <w:highlight w:val="none"/>
                <w:u w:val="single"/>
              </w:rPr>
              <w:t>报价文件”。</w:t>
            </w:r>
          </w:p>
          <w:p w14:paraId="02E76F4B">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b/>
                <w:bCs/>
                <w:color w:val="auto"/>
                <w:spacing w:val="11"/>
                <w:szCs w:val="21"/>
                <w:highlight w:val="none"/>
              </w:rPr>
              <w:t>纸质备份磋商响应文件每册装订应牢固、不易拆散和换页，不得采用活页装订（提倡双面编制）。</w:t>
            </w:r>
          </w:p>
        </w:tc>
      </w:tr>
      <w:tr w14:paraId="32E56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899" w:type="dxa"/>
            <w:tcBorders>
              <w:top w:val="single" w:color="auto" w:sz="4" w:space="0"/>
              <w:left w:val="single" w:color="auto" w:sz="4" w:space="0"/>
              <w:bottom w:val="single" w:color="auto" w:sz="4" w:space="0"/>
              <w:right w:val="single" w:color="auto" w:sz="4" w:space="0"/>
            </w:tcBorders>
            <w:vAlign w:val="center"/>
          </w:tcPr>
          <w:p w14:paraId="1C5F501D">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10</w:t>
            </w:r>
          </w:p>
        </w:tc>
        <w:tc>
          <w:tcPr>
            <w:tcW w:w="9063" w:type="dxa"/>
            <w:tcBorders>
              <w:top w:val="single" w:color="auto" w:sz="4" w:space="0"/>
              <w:left w:val="single" w:color="auto" w:sz="4" w:space="0"/>
              <w:bottom w:val="single" w:color="auto" w:sz="4" w:space="0"/>
              <w:right w:val="single" w:color="auto" w:sz="4" w:space="0"/>
            </w:tcBorders>
            <w:vAlign w:val="center"/>
          </w:tcPr>
          <w:p w14:paraId="1E911F16">
            <w:pPr>
              <w:snapToGrid w:val="0"/>
              <w:spacing w:line="300" w:lineRule="exact"/>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磋商响应文件签字、盖章要求：上传的电子磋商响应文件的盖章可采用CA锁电子签章进行，如办理了法人电子锁，</w:t>
            </w:r>
            <w:r>
              <w:rPr>
                <w:rFonts w:hint="eastAsia" w:ascii="宋体" w:hAnsi="宋体" w:eastAsia="宋体" w:cs="宋体"/>
                <w:b/>
                <w:bCs/>
                <w:color w:val="auto"/>
                <w:spacing w:val="11"/>
                <w:szCs w:val="21"/>
                <w:highlight w:val="none"/>
                <w:lang w:eastAsia="zh-CN"/>
              </w:rPr>
              <w:t>法</w:t>
            </w:r>
            <w:r>
              <w:rPr>
                <w:rFonts w:hint="eastAsia" w:ascii="宋体" w:hAnsi="宋体" w:eastAsia="宋体" w:cs="宋体"/>
                <w:b/>
                <w:bCs/>
                <w:color w:val="auto"/>
                <w:spacing w:val="11"/>
                <w:szCs w:val="21"/>
                <w:highlight w:val="none"/>
                <w:lang w:val="en-US" w:eastAsia="zh-CN"/>
              </w:rPr>
              <w:t>定</w:t>
            </w:r>
            <w:r>
              <w:rPr>
                <w:rFonts w:hint="eastAsia" w:ascii="宋体" w:hAnsi="宋体" w:eastAsia="宋体" w:cs="宋体"/>
                <w:b/>
                <w:bCs/>
                <w:color w:val="auto"/>
                <w:spacing w:val="11"/>
                <w:szCs w:val="21"/>
                <w:highlight w:val="none"/>
                <w:lang w:eastAsia="zh-CN"/>
              </w:rPr>
              <w:t>代表人签字</w:t>
            </w:r>
            <w:r>
              <w:rPr>
                <w:rFonts w:hint="eastAsia" w:ascii="宋体" w:hAnsi="宋体" w:eastAsia="宋体" w:cs="宋体"/>
                <w:b/>
                <w:bCs/>
                <w:color w:val="auto"/>
                <w:spacing w:val="11"/>
                <w:szCs w:val="21"/>
                <w:highlight w:val="none"/>
              </w:rPr>
              <w:t>也可以进行电子签章；以介质存储的数据电文形式的备份磋商响应文件（U盘或光盘）、纸质备份磋商响应文件应按磋商文件要求进行签字盖章。</w:t>
            </w:r>
          </w:p>
        </w:tc>
      </w:tr>
      <w:tr w14:paraId="4374FE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899" w:type="dxa"/>
            <w:tcBorders>
              <w:top w:val="single" w:color="auto" w:sz="4" w:space="0"/>
              <w:left w:val="single" w:color="auto" w:sz="4" w:space="0"/>
              <w:bottom w:val="single" w:color="auto" w:sz="4" w:space="0"/>
              <w:right w:val="single" w:color="auto" w:sz="4" w:space="0"/>
            </w:tcBorders>
            <w:vAlign w:val="center"/>
          </w:tcPr>
          <w:p w14:paraId="17C1C367">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11</w:t>
            </w:r>
          </w:p>
        </w:tc>
        <w:tc>
          <w:tcPr>
            <w:tcW w:w="9063" w:type="dxa"/>
            <w:tcBorders>
              <w:top w:val="single" w:color="auto" w:sz="4" w:space="0"/>
              <w:left w:val="single" w:color="auto" w:sz="4" w:space="0"/>
              <w:bottom w:val="single" w:color="auto" w:sz="4" w:space="0"/>
              <w:right w:val="single" w:color="auto" w:sz="4" w:space="0"/>
            </w:tcBorders>
            <w:vAlign w:val="center"/>
          </w:tcPr>
          <w:p w14:paraId="115980D4">
            <w:pPr>
              <w:snapToGrid w:val="0"/>
              <w:spacing w:line="300" w:lineRule="exact"/>
              <w:rPr>
                <w:rFonts w:hint="eastAsia" w:ascii="宋体" w:hAnsi="宋体" w:eastAsia="宋体" w:cs="宋体"/>
                <w:color w:val="auto"/>
                <w:szCs w:val="21"/>
                <w:highlight w:val="none"/>
              </w:rPr>
            </w:pPr>
            <w:r>
              <w:rPr>
                <w:rFonts w:hint="eastAsia" w:ascii="宋体" w:hAnsi="宋体" w:eastAsia="宋体" w:cs="宋体"/>
                <w:b/>
                <w:bCs/>
                <w:color w:val="auto"/>
                <w:spacing w:val="11"/>
                <w:szCs w:val="21"/>
                <w:highlight w:val="none"/>
              </w:rPr>
              <w:t>磋商响应文件的递交要求：</w:t>
            </w:r>
          </w:p>
          <w:p w14:paraId="544E0B90">
            <w:pPr>
              <w:snapToGrid w:val="0"/>
              <w:spacing w:line="300" w:lineRule="exact"/>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1.电子磋商响应文件，按政采云平台项目采购</w:t>
            </w:r>
            <w:r>
              <w:rPr>
                <w:rFonts w:hint="eastAsia" w:ascii="宋体" w:hAnsi="宋体" w:eastAsia="宋体" w:cs="宋体"/>
                <w:b/>
                <w:bCs/>
                <w:color w:val="auto"/>
                <w:spacing w:val="11"/>
                <w:szCs w:val="21"/>
                <w:highlight w:val="none"/>
                <w:lang w:eastAsia="zh-CN"/>
              </w:rPr>
              <w:t>－</w:t>
            </w:r>
            <w:r>
              <w:rPr>
                <w:rFonts w:hint="eastAsia" w:ascii="宋体" w:hAnsi="宋体" w:eastAsia="宋体" w:cs="宋体"/>
                <w:b/>
                <w:bCs/>
                <w:color w:val="auto"/>
                <w:spacing w:val="11"/>
                <w:szCs w:val="21"/>
                <w:highlight w:val="none"/>
              </w:rPr>
              <w:t>电子招投标操作指南及本磋商文件要求上传。</w:t>
            </w:r>
          </w:p>
          <w:p w14:paraId="3DE567A6">
            <w:pPr>
              <w:snapToGrid w:val="0"/>
              <w:spacing w:line="300" w:lineRule="exact"/>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2.以介质存储的数据电文形式的备份磋商响应文件，按政采云平台项目采购</w:t>
            </w:r>
            <w:r>
              <w:rPr>
                <w:rFonts w:hint="eastAsia" w:ascii="宋体" w:hAnsi="宋体" w:eastAsia="宋体" w:cs="宋体"/>
                <w:b/>
                <w:bCs/>
                <w:color w:val="auto"/>
                <w:spacing w:val="11"/>
                <w:szCs w:val="21"/>
                <w:highlight w:val="none"/>
                <w:lang w:eastAsia="zh-CN"/>
              </w:rPr>
              <w:t>－</w:t>
            </w:r>
            <w:r>
              <w:rPr>
                <w:rFonts w:hint="eastAsia" w:ascii="宋体" w:hAnsi="宋体" w:eastAsia="宋体" w:cs="宋体"/>
                <w:b/>
                <w:bCs/>
                <w:color w:val="auto"/>
                <w:spacing w:val="11"/>
                <w:szCs w:val="21"/>
                <w:highlight w:val="none"/>
              </w:rPr>
              <w:t>电子招投标操作指南中上传的电子磋商响应文件的组成和格式，以密封的U盘或光盘形式提供。</w:t>
            </w:r>
          </w:p>
          <w:p w14:paraId="3AE110BB">
            <w:pPr>
              <w:snapToGrid w:val="0"/>
              <w:spacing w:line="300" w:lineRule="exact"/>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3.纸质备份磋商响应文件将以密封的纸质文件的形式递交。</w:t>
            </w:r>
          </w:p>
        </w:tc>
      </w:tr>
      <w:tr w14:paraId="70BBC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899" w:type="dxa"/>
            <w:tcBorders>
              <w:top w:val="single" w:color="auto" w:sz="4" w:space="0"/>
              <w:left w:val="single" w:color="auto" w:sz="4" w:space="0"/>
              <w:bottom w:val="single" w:color="auto" w:sz="4" w:space="0"/>
              <w:right w:val="single" w:color="auto" w:sz="4" w:space="0"/>
            </w:tcBorders>
            <w:vAlign w:val="center"/>
          </w:tcPr>
          <w:p w14:paraId="0BB49E9C">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12</w:t>
            </w:r>
          </w:p>
        </w:tc>
        <w:tc>
          <w:tcPr>
            <w:tcW w:w="9063" w:type="dxa"/>
            <w:tcBorders>
              <w:top w:val="single" w:color="auto" w:sz="4" w:space="0"/>
              <w:left w:val="single" w:color="auto" w:sz="4" w:space="0"/>
              <w:bottom w:val="single" w:color="auto" w:sz="4" w:space="0"/>
              <w:right w:val="single" w:color="auto" w:sz="4" w:space="0"/>
            </w:tcBorders>
            <w:vAlign w:val="center"/>
          </w:tcPr>
          <w:p w14:paraId="6D78E637">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磋商</w:t>
            </w:r>
            <w:r>
              <w:rPr>
                <w:rFonts w:hint="eastAsia" w:ascii="宋体" w:hAnsi="宋体" w:eastAsia="宋体" w:cs="宋体"/>
                <w:color w:val="auto"/>
                <w:szCs w:val="21"/>
                <w:highlight w:val="none"/>
                <w:lang w:val="zh-CN"/>
              </w:rPr>
              <w:t>响应</w:t>
            </w:r>
            <w:r>
              <w:rPr>
                <w:rFonts w:hint="eastAsia" w:ascii="宋体" w:hAnsi="宋体" w:eastAsia="宋体" w:cs="宋体"/>
                <w:color w:val="auto"/>
                <w:spacing w:val="11"/>
                <w:szCs w:val="21"/>
                <w:highlight w:val="none"/>
              </w:rPr>
              <w:t>截止时间：</w:t>
            </w:r>
            <w:r>
              <w:rPr>
                <w:rFonts w:hint="eastAsia" w:ascii="宋体" w:hAnsi="宋体" w:eastAsia="宋体" w:cs="宋体"/>
                <w:b/>
                <w:color w:val="auto"/>
                <w:spacing w:val="11"/>
                <w:kern w:val="0"/>
                <w:szCs w:val="21"/>
                <w:highlight w:val="none"/>
                <w:lang w:eastAsia="zh-CN"/>
              </w:rPr>
              <w:t>2025年7月7日09:00</w:t>
            </w:r>
            <w:r>
              <w:rPr>
                <w:rFonts w:hint="eastAsia" w:ascii="宋体" w:hAnsi="宋体" w:eastAsia="宋体" w:cs="宋体"/>
                <w:b/>
                <w:color w:val="auto"/>
                <w:spacing w:val="11"/>
                <w:kern w:val="0"/>
                <w:szCs w:val="21"/>
                <w:highlight w:val="none"/>
              </w:rPr>
              <w:t>时</w:t>
            </w:r>
          </w:p>
        </w:tc>
      </w:tr>
      <w:tr w14:paraId="66D22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99" w:type="dxa"/>
            <w:tcBorders>
              <w:top w:val="single" w:color="auto" w:sz="4" w:space="0"/>
              <w:left w:val="single" w:color="auto" w:sz="4" w:space="0"/>
              <w:bottom w:val="single" w:color="auto" w:sz="4" w:space="0"/>
              <w:right w:val="single" w:color="auto" w:sz="4" w:space="0"/>
            </w:tcBorders>
            <w:vAlign w:val="center"/>
          </w:tcPr>
          <w:p w14:paraId="0D0A03DB">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13</w:t>
            </w:r>
          </w:p>
        </w:tc>
        <w:tc>
          <w:tcPr>
            <w:tcW w:w="9063" w:type="dxa"/>
            <w:tcBorders>
              <w:top w:val="single" w:color="auto" w:sz="4" w:space="0"/>
              <w:left w:val="single" w:color="auto" w:sz="4" w:space="0"/>
              <w:bottom w:val="single" w:color="auto" w:sz="4" w:space="0"/>
              <w:right w:val="single" w:color="auto" w:sz="4" w:space="0"/>
            </w:tcBorders>
            <w:vAlign w:val="center"/>
          </w:tcPr>
          <w:p w14:paraId="658245A3">
            <w:pPr>
              <w:snapToGrid w:val="0"/>
              <w:spacing w:line="300" w:lineRule="exact"/>
              <w:rPr>
                <w:rFonts w:hint="eastAsia" w:ascii="宋体" w:hAnsi="宋体" w:eastAsia="宋体" w:cs="宋体"/>
                <w:b/>
                <w:color w:val="auto"/>
                <w:spacing w:val="11"/>
                <w:szCs w:val="21"/>
                <w:highlight w:val="none"/>
              </w:rPr>
            </w:pPr>
            <w:r>
              <w:rPr>
                <w:rFonts w:hint="eastAsia" w:ascii="宋体" w:hAnsi="宋体" w:eastAsia="宋体" w:cs="宋体"/>
                <w:color w:val="auto"/>
                <w:spacing w:val="11"/>
                <w:szCs w:val="21"/>
                <w:highlight w:val="none"/>
              </w:rPr>
              <w:t>磋商时间：</w:t>
            </w:r>
            <w:r>
              <w:rPr>
                <w:rFonts w:hint="eastAsia" w:ascii="宋体" w:hAnsi="宋体" w:eastAsia="宋体" w:cs="宋体"/>
                <w:b/>
                <w:color w:val="auto"/>
                <w:spacing w:val="11"/>
                <w:kern w:val="0"/>
                <w:szCs w:val="21"/>
                <w:highlight w:val="none"/>
                <w:lang w:eastAsia="zh-CN"/>
              </w:rPr>
              <w:t>2025年7月7日09:00</w:t>
            </w:r>
            <w:r>
              <w:rPr>
                <w:rFonts w:hint="eastAsia" w:ascii="宋体" w:hAnsi="宋体" w:eastAsia="宋体" w:cs="宋体"/>
                <w:b/>
                <w:color w:val="auto"/>
                <w:spacing w:val="11"/>
                <w:kern w:val="0"/>
                <w:szCs w:val="21"/>
                <w:highlight w:val="none"/>
              </w:rPr>
              <w:t>时。</w:t>
            </w:r>
          </w:p>
          <w:p w14:paraId="343E5981">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磋商地点：长兴县公共资源交易中心（龙山街道锦绣路8号市民服务中心4楼）本项目开标室</w:t>
            </w:r>
          </w:p>
        </w:tc>
      </w:tr>
      <w:tr w14:paraId="20F75B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99" w:type="dxa"/>
            <w:tcBorders>
              <w:top w:val="single" w:color="auto" w:sz="4" w:space="0"/>
              <w:left w:val="single" w:color="auto" w:sz="4" w:space="0"/>
              <w:bottom w:val="single" w:color="auto" w:sz="4" w:space="0"/>
              <w:right w:val="single" w:color="auto" w:sz="4" w:space="0"/>
            </w:tcBorders>
            <w:vAlign w:val="center"/>
          </w:tcPr>
          <w:p w14:paraId="0EC8AB19">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14</w:t>
            </w:r>
          </w:p>
        </w:tc>
        <w:tc>
          <w:tcPr>
            <w:tcW w:w="9063" w:type="dxa"/>
            <w:tcBorders>
              <w:top w:val="single" w:color="auto" w:sz="4" w:space="0"/>
              <w:left w:val="single" w:color="auto" w:sz="4" w:space="0"/>
              <w:bottom w:val="single" w:color="auto" w:sz="4" w:space="0"/>
              <w:right w:val="single" w:color="auto" w:sz="4" w:space="0"/>
            </w:tcBorders>
            <w:vAlign w:val="center"/>
          </w:tcPr>
          <w:p w14:paraId="4BA44FC2">
            <w:pPr>
              <w:snapToGrid w:val="0"/>
              <w:spacing w:line="300" w:lineRule="exact"/>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磋商响应文件出现下列情形之一的，采购人不予受理或</w:t>
            </w:r>
            <w:r>
              <w:rPr>
                <w:rFonts w:hint="eastAsia" w:ascii="宋体" w:hAnsi="宋体" w:eastAsia="宋体" w:cs="宋体"/>
                <w:b/>
                <w:bCs/>
                <w:color w:val="auto"/>
                <w:spacing w:val="11"/>
                <w:kern w:val="0"/>
                <w:szCs w:val="21"/>
                <w:highlight w:val="none"/>
              </w:rPr>
              <w:t>被政采云平台拒收：</w:t>
            </w:r>
          </w:p>
          <w:p w14:paraId="7CC1D4E2">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 xml:space="preserve">（1）备份磋商响应文件未按照磋商文件的要求予以密封的； </w:t>
            </w:r>
          </w:p>
          <w:p w14:paraId="5DEB22DE">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 xml:space="preserve">（2）电子磋商响应文件未按磋商文件要求上传或备份磋商响应文件逾期送达或未送达指定地点的； </w:t>
            </w:r>
          </w:p>
          <w:p w14:paraId="63866170">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 xml:space="preserve">（3）供应商未按照须知前附表规定的时间解密电子磋商响应文件的； </w:t>
            </w:r>
          </w:p>
          <w:p w14:paraId="7B792F93">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（4）仅提供备份磋商响应文件的磋商无效。仅提供其中一种形式的备份磋商响应文件，造成项目磋商活动无法进行下去的，磋商无效，相关风险由供应商自行承担。</w:t>
            </w:r>
          </w:p>
        </w:tc>
      </w:tr>
      <w:tr w14:paraId="2F4AD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99" w:type="dxa"/>
            <w:tcBorders>
              <w:top w:val="single" w:color="auto" w:sz="4" w:space="0"/>
              <w:left w:val="single" w:color="auto" w:sz="4" w:space="0"/>
              <w:bottom w:val="single" w:color="auto" w:sz="4" w:space="0"/>
              <w:right w:val="single" w:color="auto" w:sz="4" w:space="0"/>
            </w:tcBorders>
            <w:vAlign w:val="center"/>
          </w:tcPr>
          <w:p w14:paraId="72A113CA">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15</w:t>
            </w:r>
          </w:p>
        </w:tc>
        <w:tc>
          <w:tcPr>
            <w:tcW w:w="9063" w:type="dxa"/>
            <w:tcBorders>
              <w:top w:val="single" w:color="auto" w:sz="4" w:space="0"/>
              <w:left w:val="single" w:color="auto" w:sz="4" w:space="0"/>
              <w:bottom w:val="single" w:color="auto" w:sz="4" w:space="0"/>
              <w:right w:val="single" w:color="auto" w:sz="4" w:space="0"/>
            </w:tcBorders>
            <w:vAlign w:val="center"/>
          </w:tcPr>
          <w:p w14:paraId="52EBEEF4">
            <w:pPr>
              <w:snapToGrid w:val="0"/>
              <w:spacing w:line="300" w:lineRule="exact"/>
              <w:rPr>
                <w:rFonts w:hint="eastAsia" w:ascii="宋体" w:hAnsi="宋体" w:eastAsia="宋体" w:cs="宋体"/>
                <w:b/>
                <w:bCs/>
                <w:color w:val="auto"/>
                <w:spacing w:val="11"/>
                <w:szCs w:val="21"/>
                <w:highlight w:val="none"/>
              </w:rPr>
            </w:pPr>
            <w:r>
              <w:rPr>
                <w:rFonts w:hint="eastAsia" w:ascii="宋体" w:hAnsi="宋体" w:eastAsia="宋体" w:cs="宋体"/>
                <w:color w:val="auto"/>
                <w:spacing w:val="11"/>
                <w:szCs w:val="21"/>
                <w:highlight w:val="none"/>
              </w:rPr>
              <w:t>本项目采取“不见面”形式进行开评标活动，法定代表人或其授权委托人无须到场，通过政采云平台在线响应，并保持电话畅通。</w:t>
            </w:r>
          </w:p>
        </w:tc>
      </w:tr>
      <w:tr w14:paraId="196CB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99" w:type="dxa"/>
            <w:tcBorders>
              <w:top w:val="single" w:color="auto" w:sz="4" w:space="0"/>
              <w:left w:val="single" w:color="auto" w:sz="4" w:space="0"/>
              <w:bottom w:val="single" w:color="auto" w:sz="4" w:space="0"/>
              <w:right w:val="single" w:color="auto" w:sz="4" w:space="0"/>
            </w:tcBorders>
            <w:vAlign w:val="center"/>
          </w:tcPr>
          <w:p w14:paraId="23C3FB2D">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16</w:t>
            </w:r>
          </w:p>
        </w:tc>
        <w:tc>
          <w:tcPr>
            <w:tcW w:w="9063" w:type="dxa"/>
            <w:tcBorders>
              <w:top w:val="single" w:color="auto" w:sz="4" w:space="0"/>
              <w:left w:val="single" w:color="auto" w:sz="4" w:space="0"/>
              <w:bottom w:val="single" w:color="auto" w:sz="4" w:space="0"/>
              <w:right w:val="single" w:color="auto" w:sz="4" w:space="0"/>
            </w:tcBorders>
            <w:vAlign w:val="center"/>
          </w:tcPr>
          <w:p w14:paraId="033568D8">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b/>
                <w:bCs/>
                <w:color w:val="auto"/>
                <w:spacing w:val="11"/>
                <w:szCs w:val="21"/>
                <w:highlight w:val="none"/>
              </w:rPr>
              <w:t>本项目采用全流程电子开评标，请各潜在供应商自备可联网电脑及CA锁，在磋商响应截止时间后，供应商使用CA锁各自登录政采云平台，用“项目采购</w:t>
            </w:r>
            <w:r>
              <w:rPr>
                <w:rFonts w:hint="eastAsia" w:ascii="宋体" w:hAnsi="宋体" w:eastAsia="宋体" w:cs="宋体"/>
                <w:b/>
                <w:bCs/>
                <w:color w:val="auto"/>
                <w:spacing w:val="11"/>
                <w:szCs w:val="21"/>
                <w:highlight w:val="none"/>
                <w:lang w:eastAsia="zh-CN"/>
              </w:rPr>
              <w:t>－</w:t>
            </w:r>
            <w:r>
              <w:rPr>
                <w:rFonts w:hint="eastAsia" w:ascii="宋体" w:hAnsi="宋体" w:eastAsia="宋体" w:cs="宋体"/>
                <w:b/>
                <w:bCs/>
                <w:color w:val="auto"/>
                <w:spacing w:val="11"/>
                <w:szCs w:val="21"/>
                <w:highlight w:val="none"/>
              </w:rPr>
              <w:t>开标评标”功能对电子磋商响应文件进行在线解密。在线解密电子磋商响应文件时间为磋商时间开始起半小时内。</w:t>
            </w:r>
          </w:p>
          <w:p w14:paraId="0BF3A7E7">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 xml:space="preserve">电子开标、评标如出现下列原因，导致系统无法正常运行或无法正常评标时，应采取应急措施： </w:t>
            </w:r>
          </w:p>
          <w:p w14:paraId="7478E1DD">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 xml:space="preserve">（1）系统服务器发生故障，无法访问或无法使用系统； </w:t>
            </w:r>
          </w:p>
          <w:p w14:paraId="5A61A4FD">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（2）系统的软件或数据库出现错误，不能进行正常操作；</w:t>
            </w:r>
          </w:p>
          <w:p w14:paraId="2C9BA4B9">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 xml:space="preserve">（3）系统发现有安全漏洞，有潜在的泄密危险； </w:t>
            </w:r>
          </w:p>
          <w:p w14:paraId="1215A556">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（4）病毒发作或受到外来病毒的攻击。</w:t>
            </w:r>
          </w:p>
          <w:p w14:paraId="70FB39BF">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出现上述情况时，应对未开标的暂停磋商程序，已在系统内开标、评标的，立即停止，经财政监管部门确认后，可改用备份光盘或U盘上传后进行评审，电子光盘或U盘也无法进行的，可改用纸质评审。采取应急措施时，必须对原有资料及信息</w:t>
            </w:r>
            <w:r>
              <w:rPr>
                <w:rFonts w:hint="eastAsia" w:ascii="宋体" w:hAnsi="宋体" w:eastAsia="宋体" w:cs="宋体"/>
                <w:color w:val="auto"/>
                <w:spacing w:val="11"/>
                <w:szCs w:val="21"/>
                <w:highlight w:val="none"/>
                <w:lang w:eastAsia="zh-CN"/>
              </w:rPr>
              <w:t>做出</w:t>
            </w:r>
            <w:r>
              <w:rPr>
                <w:rFonts w:hint="eastAsia" w:ascii="宋体" w:hAnsi="宋体" w:eastAsia="宋体" w:cs="宋体"/>
                <w:color w:val="auto"/>
                <w:spacing w:val="11"/>
                <w:szCs w:val="21"/>
                <w:highlight w:val="none"/>
              </w:rPr>
              <w:t>妥善保密处理。</w:t>
            </w:r>
          </w:p>
        </w:tc>
      </w:tr>
      <w:tr w14:paraId="5F8F55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899" w:type="dxa"/>
            <w:tcBorders>
              <w:top w:val="single" w:color="auto" w:sz="4" w:space="0"/>
              <w:left w:val="single" w:color="auto" w:sz="4" w:space="0"/>
              <w:bottom w:val="single" w:color="auto" w:sz="4" w:space="0"/>
              <w:right w:val="single" w:color="auto" w:sz="4" w:space="0"/>
            </w:tcBorders>
            <w:vAlign w:val="center"/>
          </w:tcPr>
          <w:p w14:paraId="279FD51A">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17</w:t>
            </w:r>
          </w:p>
        </w:tc>
        <w:tc>
          <w:tcPr>
            <w:tcW w:w="9063" w:type="dxa"/>
            <w:tcBorders>
              <w:top w:val="single" w:color="auto" w:sz="4" w:space="0"/>
              <w:left w:val="single" w:color="auto" w:sz="4" w:space="0"/>
              <w:bottom w:val="single" w:color="auto" w:sz="4" w:space="0"/>
              <w:right w:val="single" w:color="auto" w:sz="4" w:space="0"/>
            </w:tcBorders>
            <w:vAlign w:val="center"/>
          </w:tcPr>
          <w:p w14:paraId="5D030970">
            <w:pPr>
              <w:snapToGrid/>
              <w:spacing w:line="380" w:lineRule="exact"/>
              <w:jc w:val="left"/>
              <w:rPr>
                <w:rFonts w:hint="eastAsia" w:ascii="宋体" w:hAnsi="宋体" w:eastAsia="宋体" w:cs="宋体"/>
                <w:b w:val="0"/>
                <w:bCs w:val="0"/>
                <w:color w:val="auto"/>
                <w:spacing w:val="11"/>
                <w:szCs w:val="21"/>
                <w:highlight w:val="none"/>
              </w:rPr>
            </w:pPr>
            <w:r>
              <w:rPr>
                <w:rFonts w:hint="eastAsia" w:ascii="宋体" w:hAnsi="宋体" w:eastAsia="宋体" w:cs="宋体"/>
                <w:color w:val="auto"/>
                <w:spacing w:val="11"/>
                <w:szCs w:val="21"/>
                <w:highlight w:val="none"/>
              </w:rPr>
              <w:t>本项目中小企业声明函（货物）</w:t>
            </w:r>
            <w:r>
              <w:rPr>
                <w:rFonts w:hint="eastAsia" w:ascii="宋体" w:hAnsi="宋体" w:eastAsia="宋体" w:cs="宋体"/>
                <w:b/>
                <w:bCs/>
                <w:color w:val="auto"/>
                <w:spacing w:val="11"/>
                <w:szCs w:val="21"/>
                <w:highlight w:val="none"/>
              </w:rPr>
              <w:t>中所属行业为</w:t>
            </w:r>
            <w:r>
              <w:rPr>
                <w:rFonts w:hint="eastAsia" w:ascii="宋体" w:hAnsi="宋体" w:eastAsia="宋体" w:cs="宋体"/>
                <w:b/>
                <w:bCs/>
                <w:color w:val="auto"/>
                <w:spacing w:val="11"/>
                <w:szCs w:val="21"/>
                <w:highlight w:val="none"/>
                <w:lang w:val="en-US" w:eastAsia="zh-CN"/>
              </w:rPr>
              <w:t>工</w:t>
            </w:r>
            <w:r>
              <w:rPr>
                <w:rFonts w:hint="eastAsia" w:ascii="宋体" w:hAnsi="宋体" w:eastAsia="宋体" w:cs="宋体"/>
                <w:b/>
                <w:bCs/>
                <w:color w:val="auto"/>
                <w:spacing w:val="11"/>
                <w:szCs w:val="21"/>
                <w:highlight w:val="none"/>
              </w:rPr>
              <w:t>业</w:t>
            </w:r>
            <w:r>
              <w:rPr>
                <w:rFonts w:hint="eastAsia" w:ascii="宋体" w:hAnsi="宋体" w:eastAsia="宋体" w:cs="宋体"/>
                <w:color w:val="auto"/>
                <w:spacing w:val="11"/>
                <w:szCs w:val="21"/>
                <w:highlight w:val="none"/>
              </w:rPr>
              <w:t>。</w:t>
            </w:r>
            <w:r>
              <w:rPr>
                <w:rFonts w:hint="eastAsia" w:ascii="宋体" w:hAnsi="宋体" w:eastAsia="宋体" w:cs="宋体"/>
                <w:b w:val="0"/>
                <w:bCs w:val="0"/>
                <w:color w:val="auto"/>
                <w:spacing w:val="11"/>
                <w:szCs w:val="21"/>
                <w:highlight w:val="none"/>
              </w:rPr>
              <w:t>（根据《关于印发中小企业划型标准规定的通知》（工信部联企业〔2011〕300号）规定：</w:t>
            </w:r>
            <w:r>
              <w:rPr>
                <w:rFonts w:hint="eastAsia" w:ascii="宋体" w:hAnsi="宋体" w:eastAsia="宋体" w:cs="宋体"/>
                <w:color w:val="auto"/>
                <w:spacing w:val="11"/>
                <w:szCs w:val="21"/>
                <w:highlight w:val="none"/>
                <w:u w:val="single"/>
                <w:lang w:val="en-US" w:eastAsia="zh-CN"/>
              </w:rPr>
              <w:t xml:space="preserve">工业从业人员 </w:t>
            </w:r>
            <w:r>
              <w:rPr>
                <w:rFonts w:hint="default" w:ascii="宋体" w:hAnsi="宋体" w:eastAsia="宋体" w:cs="宋体"/>
                <w:color w:val="auto"/>
                <w:spacing w:val="11"/>
                <w:szCs w:val="21"/>
                <w:highlight w:val="none"/>
                <w:u w:val="single"/>
                <w:lang w:val="en-US" w:eastAsia="zh-CN"/>
              </w:rPr>
              <w:t xml:space="preserve">1000 </w:t>
            </w:r>
            <w:r>
              <w:rPr>
                <w:rFonts w:hint="eastAsia" w:ascii="宋体" w:hAnsi="宋体" w:eastAsia="宋体" w:cs="宋体"/>
                <w:color w:val="auto"/>
                <w:spacing w:val="11"/>
                <w:szCs w:val="21"/>
                <w:highlight w:val="none"/>
                <w:u w:val="single"/>
                <w:lang w:val="en-US" w:eastAsia="zh-CN"/>
              </w:rPr>
              <w:t xml:space="preserve">人以下或营业收入 </w:t>
            </w:r>
            <w:r>
              <w:rPr>
                <w:rFonts w:hint="default" w:ascii="宋体" w:hAnsi="宋体" w:eastAsia="宋体" w:cs="宋体"/>
                <w:color w:val="auto"/>
                <w:spacing w:val="11"/>
                <w:szCs w:val="21"/>
                <w:highlight w:val="none"/>
                <w:u w:val="single"/>
                <w:lang w:val="en-US" w:eastAsia="zh-CN"/>
              </w:rPr>
              <w:t xml:space="preserve">40000 </w:t>
            </w:r>
            <w:r>
              <w:rPr>
                <w:rFonts w:hint="eastAsia" w:ascii="宋体" w:hAnsi="宋体" w:eastAsia="宋体" w:cs="宋体"/>
                <w:color w:val="auto"/>
                <w:spacing w:val="11"/>
                <w:szCs w:val="21"/>
                <w:highlight w:val="none"/>
                <w:u w:val="single"/>
                <w:lang w:val="en-US" w:eastAsia="zh-CN"/>
              </w:rPr>
              <w:t xml:space="preserve">万元以下的为中小微型企业。其中，从业人员 </w:t>
            </w:r>
            <w:r>
              <w:rPr>
                <w:rFonts w:hint="default" w:ascii="宋体" w:hAnsi="宋体" w:eastAsia="宋体" w:cs="宋体"/>
                <w:color w:val="auto"/>
                <w:spacing w:val="11"/>
                <w:szCs w:val="21"/>
                <w:highlight w:val="none"/>
                <w:u w:val="single"/>
                <w:lang w:val="en-US" w:eastAsia="zh-CN"/>
              </w:rPr>
              <w:t xml:space="preserve">300 </w:t>
            </w:r>
            <w:r>
              <w:rPr>
                <w:rFonts w:hint="eastAsia" w:ascii="宋体" w:hAnsi="宋体" w:eastAsia="宋体" w:cs="宋体"/>
                <w:color w:val="auto"/>
                <w:spacing w:val="11"/>
                <w:szCs w:val="21"/>
                <w:highlight w:val="none"/>
                <w:u w:val="single"/>
                <w:lang w:val="en-US" w:eastAsia="zh-CN"/>
              </w:rPr>
              <w:t xml:space="preserve">人及以上，且营业收入 </w:t>
            </w:r>
            <w:r>
              <w:rPr>
                <w:rFonts w:hint="default" w:ascii="宋体" w:hAnsi="宋体" w:eastAsia="宋体" w:cs="宋体"/>
                <w:color w:val="auto"/>
                <w:spacing w:val="11"/>
                <w:szCs w:val="21"/>
                <w:highlight w:val="none"/>
                <w:u w:val="single"/>
                <w:lang w:val="en-US" w:eastAsia="zh-CN"/>
              </w:rPr>
              <w:t xml:space="preserve">2000 </w:t>
            </w:r>
            <w:r>
              <w:rPr>
                <w:rFonts w:hint="eastAsia" w:ascii="宋体" w:hAnsi="宋体" w:eastAsia="宋体" w:cs="宋体"/>
                <w:color w:val="auto"/>
                <w:spacing w:val="11"/>
                <w:szCs w:val="21"/>
                <w:highlight w:val="none"/>
                <w:u w:val="single"/>
                <w:lang w:val="en-US" w:eastAsia="zh-CN"/>
              </w:rPr>
              <w:t xml:space="preserve">万元及以上的为中型企业；从业人员 </w:t>
            </w:r>
            <w:r>
              <w:rPr>
                <w:rFonts w:hint="default" w:ascii="宋体" w:hAnsi="宋体" w:eastAsia="宋体" w:cs="宋体"/>
                <w:color w:val="auto"/>
                <w:spacing w:val="11"/>
                <w:szCs w:val="21"/>
                <w:highlight w:val="none"/>
                <w:u w:val="single"/>
                <w:lang w:val="en-US" w:eastAsia="zh-CN"/>
              </w:rPr>
              <w:t xml:space="preserve">20 </w:t>
            </w:r>
            <w:r>
              <w:rPr>
                <w:rFonts w:hint="eastAsia" w:ascii="宋体" w:hAnsi="宋体" w:eastAsia="宋体" w:cs="宋体"/>
                <w:color w:val="auto"/>
                <w:spacing w:val="11"/>
                <w:szCs w:val="21"/>
                <w:highlight w:val="none"/>
                <w:u w:val="single"/>
                <w:lang w:val="en-US" w:eastAsia="zh-CN"/>
              </w:rPr>
              <w:t xml:space="preserve">人及以上，且营业收入 </w:t>
            </w:r>
            <w:r>
              <w:rPr>
                <w:rFonts w:hint="default" w:ascii="宋体" w:hAnsi="宋体" w:eastAsia="宋体" w:cs="宋体"/>
                <w:color w:val="auto"/>
                <w:spacing w:val="11"/>
                <w:szCs w:val="21"/>
                <w:highlight w:val="none"/>
                <w:u w:val="single"/>
                <w:lang w:val="en-US" w:eastAsia="zh-CN"/>
              </w:rPr>
              <w:t xml:space="preserve">300 </w:t>
            </w:r>
            <w:r>
              <w:rPr>
                <w:rFonts w:hint="eastAsia" w:ascii="宋体" w:hAnsi="宋体" w:eastAsia="宋体" w:cs="宋体"/>
                <w:color w:val="auto"/>
                <w:spacing w:val="11"/>
                <w:szCs w:val="21"/>
                <w:highlight w:val="none"/>
                <w:u w:val="single"/>
                <w:lang w:val="en-US" w:eastAsia="zh-CN"/>
              </w:rPr>
              <w:t xml:space="preserve">万元及以上的为小型企业；从业人员 </w:t>
            </w:r>
            <w:r>
              <w:rPr>
                <w:rFonts w:hint="default" w:ascii="宋体" w:hAnsi="宋体" w:eastAsia="宋体" w:cs="宋体"/>
                <w:color w:val="auto"/>
                <w:spacing w:val="11"/>
                <w:szCs w:val="21"/>
                <w:highlight w:val="none"/>
                <w:u w:val="single"/>
                <w:lang w:val="en-US" w:eastAsia="zh-CN"/>
              </w:rPr>
              <w:t xml:space="preserve">20 </w:t>
            </w:r>
            <w:r>
              <w:rPr>
                <w:rFonts w:hint="eastAsia" w:ascii="宋体" w:hAnsi="宋体" w:eastAsia="宋体" w:cs="宋体"/>
                <w:color w:val="auto"/>
                <w:spacing w:val="11"/>
                <w:szCs w:val="21"/>
                <w:highlight w:val="none"/>
                <w:u w:val="single"/>
                <w:lang w:val="en-US" w:eastAsia="zh-CN"/>
              </w:rPr>
              <w:t xml:space="preserve">人以下或营业收入 </w:t>
            </w:r>
            <w:r>
              <w:rPr>
                <w:rFonts w:hint="default" w:ascii="宋体" w:hAnsi="宋体" w:eastAsia="宋体" w:cs="宋体"/>
                <w:color w:val="auto"/>
                <w:spacing w:val="11"/>
                <w:szCs w:val="21"/>
                <w:highlight w:val="none"/>
                <w:u w:val="single"/>
                <w:lang w:val="en-US" w:eastAsia="zh-CN"/>
              </w:rPr>
              <w:t xml:space="preserve">300 </w:t>
            </w:r>
            <w:r>
              <w:rPr>
                <w:rFonts w:hint="eastAsia" w:ascii="宋体" w:hAnsi="宋体" w:eastAsia="宋体" w:cs="宋体"/>
                <w:color w:val="auto"/>
                <w:spacing w:val="11"/>
                <w:szCs w:val="21"/>
                <w:highlight w:val="none"/>
                <w:u w:val="single"/>
                <w:lang w:val="en-US" w:eastAsia="zh-CN"/>
              </w:rPr>
              <w:t>万元以下的为微型企业。）</w:t>
            </w:r>
          </w:p>
          <w:p w14:paraId="624FC3A2">
            <w:pPr>
              <w:snapToGrid w:val="0"/>
              <w:spacing w:line="300" w:lineRule="exact"/>
              <w:rPr>
                <w:rFonts w:hint="eastAsia" w:ascii="宋体" w:hAnsi="宋体" w:eastAsia="宋体" w:cs="宋体"/>
                <w:b w:val="0"/>
                <w:bCs w:val="0"/>
                <w:color w:val="auto"/>
                <w:spacing w:val="11"/>
                <w:szCs w:val="21"/>
                <w:highlight w:val="none"/>
              </w:rPr>
            </w:pPr>
            <w:r>
              <w:rPr>
                <w:rFonts w:hint="eastAsia" w:ascii="宋体" w:hAnsi="宋体" w:eastAsia="宋体" w:cs="宋体"/>
                <w:b w:val="0"/>
                <w:bCs w:val="0"/>
                <w:color w:val="auto"/>
                <w:spacing w:val="11"/>
                <w:szCs w:val="21"/>
                <w:highlight w:val="none"/>
              </w:rPr>
              <w:t>监狱企业、残疾人福利性单位视同小型、微型企业；符合中小企业划分标准的个体工商户，在政府采购活动中视同中小企业。</w:t>
            </w:r>
          </w:p>
          <w:p w14:paraId="0CA44406">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b w:val="0"/>
                <w:bCs w:val="0"/>
                <w:color w:val="auto"/>
                <w:spacing w:val="11"/>
                <w:szCs w:val="21"/>
                <w:highlight w:val="none"/>
              </w:rPr>
              <w:t>注：中小企业以投标供应商填写的《中小企业声明函》为准，残疾人福利性单位以投标供应商填写的《残疾人福利性单位声明函》（同时提供《关于促进残疾人就业政府采购政策的通知》中规定的残疾人福利性单位需要具备的条件的证明材料）为判定标准，监狱企业须投标供应商提供由省级以上监狱管理局、戒毒管理局（含新疆生产建设兵团）出具的属于监狱企业的证明文件，否则不予认定。</w:t>
            </w:r>
          </w:p>
        </w:tc>
      </w:tr>
      <w:tr w14:paraId="4DBFE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899" w:type="dxa"/>
            <w:tcBorders>
              <w:top w:val="single" w:color="auto" w:sz="4" w:space="0"/>
              <w:left w:val="single" w:color="auto" w:sz="4" w:space="0"/>
              <w:bottom w:val="single" w:color="auto" w:sz="4" w:space="0"/>
              <w:right w:val="single" w:color="auto" w:sz="4" w:space="0"/>
            </w:tcBorders>
            <w:vAlign w:val="center"/>
          </w:tcPr>
          <w:p w14:paraId="6C82C1DF">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18</w:t>
            </w:r>
          </w:p>
        </w:tc>
        <w:tc>
          <w:tcPr>
            <w:tcW w:w="9063" w:type="dxa"/>
            <w:tcBorders>
              <w:top w:val="single" w:color="auto" w:sz="4" w:space="0"/>
              <w:left w:val="single" w:color="auto" w:sz="4" w:space="0"/>
              <w:bottom w:val="single" w:color="auto" w:sz="4" w:space="0"/>
              <w:right w:val="single" w:color="auto" w:sz="4" w:space="0"/>
            </w:tcBorders>
            <w:vAlign w:val="center"/>
          </w:tcPr>
          <w:p w14:paraId="2EA33E8D">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成交办法：本次竞争性磋商采用符合要求和服务，综合得分最高的确定成交供应商。</w:t>
            </w:r>
          </w:p>
        </w:tc>
      </w:tr>
      <w:tr w14:paraId="3688F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899" w:type="dxa"/>
            <w:tcBorders>
              <w:top w:val="single" w:color="auto" w:sz="4" w:space="0"/>
              <w:left w:val="single" w:color="auto" w:sz="4" w:space="0"/>
              <w:bottom w:val="single" w:color="auto" w:sz="4" w:space="0"/>
              <w:right w:val="single" w:color="auto" w:sz="4" w:space="0"/>
            </w:tcBorders>
            <w:vAlign w:val="center"/>
          </w:tcPr>
          <w:p w14:paraId="4612428E">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19</w:t>
            </w:r>
          </w:p>
        </w:tc>
        <w:tc>
          <w:tcPr>
            <w:tcW w:w="9063" w:type="dxa"/>
            <w:tcBorders>
              <w:top w:val="single" w:color="auto" w:sz="4" w:space="0"/>
              <w:left w:val="single" w:color="auto" w:sz="4" w:space="0"/>
              <w:bottom w:val="single" w:color="auto" w:sz="4" w:space="0"/>
              <w:right w:val="single" w:color="auto" w:sz="4" w:space="0"/>
            </w:tcBorders>
            <w:vAlign w:val="center"/>
          </w:tcPr>
          <w:p w14:paraId="0F0CB07E">
            <w:pPr>
              <w:snapToGrid w:val="0"/>
              <w:spacing w:line="300" w:lineRule="exact"/>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成交结果公告：成交供应商确定后2个工作日内，成交结果公告发布于“浙江省政府采购网”（http://www.zjzfcg.gov.cn/）、“长兴县公共资源交易中心网 ”（</w:t>
            </w:r>
            <w:r>
              <w:rPr>
                <w:rFonts w:hint="eastAsia" w:ascii="宋体" w:hAnsi="宋体" w:eastAsia="宋体" w:cs="宋体"/>
                <w:color w:val="auto"/>
                <w:spacing w:val="11"/>
                <w:szCs w:val="21"/>
                <w:highlight w:val="none"/>
                <w:lang w:eastAsia="zh-CN"/>
              </w:rPr>
              <w:t>http://www.zjcx.gov.cn/col/col1229713478/index.html</w:t>
            </w:r>
            <w:r>
              <w:rPr>
                <w:rFonts w:hint="eastAsia" w:ascii="宋体" w:hAnsi="宋体" w:eastAsia="宋体" w:cs="宋体"/>
                <w:color w:val="auto"/>
                <w:spacing w:val="11"/>
                <w:szCs w:val="21"/>
                <w:highlight w:val="none"/>
              </w:rPr>
              <w:t>）。</w:t>
            </w:r>
          </w:p>
        </w:tc>
      </w:tr>
      <w:tr w14:paraId="080231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899" w:type="dxa"/>
            <w:tcBorders>
              <w:top w:val="single" w:color="auto" w:sz="4" w:space="0"/>
              <w:left w:val="single" w:color="auto" w:sz="4" w:space="0"/>
              <w:bottom w:val="single" w:color="auto" w:sz="4" w:space="0"/>
              <w:right w:val="single" w:color="auto" w:sz="4" w:space="0"/>
            </w:tcBorders>
            <w:vAlign w:val="center"/>
          </w:tcPr>
          <w:p w14:paraId="5D9C0334">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20</w:t>
            </w:r>
          </w:p>
        </w:tc>
        <w:tc>
          <w:tcPr>
            <w:tcW w:w="9063" w:type="dxa"/>
            <w:tcBorders>
              <w:top w:val="single" w:color="auto" w:sz="4" w:space="0"/>
              <w:left w:val="single" w:color="auto" w:sz="4" w:space="0"/>
              <w:bottom w:val="single" w:color="auto" w:sz="4" w:space="0"/>
              <w:right w:val="single" w:color="auto" w:sz="4" w:space="0"/>
            </w:tcBorders>
            <w:vAlign w:val="center"/>
          </w:tcPr>
          <w:p w14:paraId="3578F438">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签订合同时间：成交通知书发出后30日内。</w:t>
            </w:r>
          </w:p>
        </w:tc>
      </w:tr>
      <w:tr w14:paraId="252F6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899" w:type="dxa"/>
            <w:tcBorders>
              <w:top w:val="single" w:color="auto" w:sz="4" w:space="0"/>
              <w:left w:val="single" w:color="auto" w:sz="4" w:space="0"/>
              <w:bottom w:val="single" w:color="auto" w:sz="4" w:space="0"/>
              <w:right w:val="single" w:color="auto" w:sz="4" w:space="0"/>
            </w:tcBorders>
            <w:vAlign w:val="center"/>
          </w:tcPr>
          <w:p w14:paraId="2F980C5F">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21</w:t>
            </w:r>
          </w:p>
        </w:tc>
        <w:tc>
          <w:tcPr>
            <w:tcW w:w="9063" w:type="dxa"/>
            <w:tcBorders>
              <w:top w:val="single" w:color="auto" w:sz="4" w:space="0"/>
              <w:left w:val="single" w:color="auto" w:sz="4" w:space="0"/>
              <w:bottom w:val="single" w:color="auto" w:sz="4" w:space="0"/>
              <w:right w:val="single" w:color="auto" w:sz="4" w:space="0"/>
            </w:tcBorders>
            <w:vAlign w:val="center"/>
          </w:tcPr>
          <w:p w14:paraId="09E576FD">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付款方式：详见合同条款。</w:t>
            </w:r>
          </w:p>
        </w:tc>
      </w:tr>
      <w:tr w14:paraId="4E45D0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899" w:type="dxa"/>
            <w:tcBorders>
              <w:top w:val="single" w:color="auto" w:sz="4" w:space="0"/>
              <w:left w:val="single" w:color="auto" w:sz="4" w:space="0"/>
              <w:bottom w:val="single" w:color="auto" w:sz="4" w:space="0"/>
              <w:right w:val="single" w:color="auto" w:sz="4" w:space="0"/>
            </w:tcBorders>
            <w:vAlign w:val="center"/>
          </w:tcPr>
          <w:p w14:paraId="3BA6C11B">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22</w:t>
            </w:r>
          </w:p>
        </w:tc>
        <w:tc>
          <w:tcPr>
            <w:tcW w:w="9063" w:type="dxa"/>
            <w:tcBorders>
              <w:top w:val="single" w:color="auto" w:sz="4" w:space="0"/>
              <w:left w:val="single" w:color="auto" w:sz="4" w:space="0"/>
              <w:bottom w:val="single" w:color="auto" w:sz="4" w:space="0"/>
              <w:right w:val="single" w:color="auto" w:sz="4" w:space="0"/>
            </w:tcBorders>
            <w:vAlign w:val="center"/>
          </w:tcPr>
          <w:p w14:paraId="7A2B55CC">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磋商响应文件有效期：</w:t>
            </w:r>
            <w:r>
              <w:rPr>
                <w:rFonts w:hint="eastAsia" w:ascii="宋体" w:hAnsi="宋体" w:eastAsia="宋体" w:cs="宋体"/>
                <w:color w:val="auto"/>
                <w:spacing w:val="11"/>
                <w:szCs w:val="21"/>
                <w:highlight w:val="none"/>
                <w:u w:val="single"/>
              </w:rPr>
              <w:t>60</w:t>
            </w:r>
            <w:r>
              <w:rPr>
                <w:rFonts w:hint="eastAsia" w:ascii="宋体" w:hAnsi="宋体" w:eastAsia="宋体" w:cs="宋体"/>
                <w:color w:val="auto"/>
                <w:spacing w:val="11"/>
                <w:szCs w:val="21"/>
                <w:highlight w:val="none"/>
              </w:rPr>
              <w:t>天。</w:t>
            </w:r>
          </w:p>
        </w:tc>
      </w:tr>
      <w:tr w14:paraId="06F829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899" w:type="dxa"/>
            <w:tcBorders>
              <w:top w:val="single" w:color="auto" w:sz="4" w:space="0"/>
              <w:left w:val="single" w:color="auto" w:sz="4" w:space="0"/>
              <w:bottom w:val="single" w:color="auto" w:sz="4" w:space="0"/>
              <w:right w:val="single" w:color="auto" w:sz="4" w:space="0"/>
            </w:tcBorders>
            <w:vAlign w:val="center"/>
          </w:tcPr>
          <w:p w14:paraId="782A7A8C">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23</w:t>
            </w:r>
          </w:p>
        </w:tc>
        <w:tc>
          <w:tcPr>
            <w:tcW w:w="9063" w:type="dxa"/>
            <w:tcBorders>
              <w:top w:val="single" w:color="auto" w:sz="4" w:space="0"/>
              <w:left w:val="single" w:color="auto" w:sz="4" w:space="0"/>
              <w:bottom w:val="single" w:color="auto" w:sz="4" w:space="0"/>
              <w:right w:val="single" w:color="auto" w:sz="4" w:space="0"/>
            </w:tcBorders>
            <w:vAlign w:val="center"/>
          </w:tcPr>
          <w:p w14:paraId="6468BFD9">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根据《关于在政府采购活动中查询及使用信用记录有关问题的通知》财库[2016]125号的规定：</w:t>
            </w:r>
          </w:p>
          <w:p w14:paraId="34D8D987">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1.采购代理机构将对本项目磋商供应商的信用信息进行查询和甄别。</w:t>
            </w:r>
          </w:p>
          <w:p w14:paraId="3C5B3736">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2.查询渠道为信用中国网站（www.creditchina.gov.cn）、中国政府采购网（www.ccgp.gov.cn）。</w:t>
            </w:r>
          </w:p>
          <w:p w14:paraId="2B6AB4BC">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3.信用信息查询记录和证据以网页截图方式留存加盖单位公章。</w:t>
            </w:r>
          </w:p>
          <w:p w14:paraId="085CDB38">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4.不良信用记录指：1.被列入信用中国网站“失信被执行人”、“ 重大税收违法失信主体” 名单； 2.被列入中国政府采购网“政府采购严重违法失信行为记录”名单。</w:t>
            </w:r>
          </w:p>
          <w:p w14:paraId="15E6DA4A">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5.信用信息的使用规则：供应商存在不良信用记录的，其磋商响应文件将被拒绝。</w:t>
            </w:r>
          </w:p>
          <w:p w14:paraId="005BEFEC">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6.如允许联合体磋商的，联合体成员存在不良信用记录视同联合体存在不良信用记录。</w:t>
            </w:r>
          </w:p>
        </w:tc>
      </w:tr>
      <w:tr w14:paraId="1FE88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899" w:type="dxa"/>
            <w:tcBorders>
              <w:top w:val="single" w:color="auto" w:sz="4" w:space="0"/>
              <w:left w:val="single" w:color="auto" w:sz="4" w:space="0"/>
              <w:bottom w:val="single" w:color="auto" w:sz="4" w:space="0"/>
              <w:right w:val="single" w:color="auto" w:sz="4" w:space="0"/>
            </w:tcBorders>
            <w:vAlign w:val="center"/>
          </w:tcPr>
          <w:p w14:paraId="53C770A0">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24</w:t>
            </w:r>
          </w:p>
        </w:tc>
        <w:tc>
          <w:tcPr>
            <w:tcW w:w="9063" w:type="dxa"/>
            <w:tcBorders>
              <w:top w:val="single" w:color="auto" w:sz="4" w:space="0"/>
              <w:left w:val="single" w:color="auto" w:sz="4" w:space="0"/>
              <w:bottom w:val="single" w:color="auto" w:sz="4" w:space="0"/>
              <w:right w:val="single" w:color="auto" w:sz="4" w:space="0"/>
            </w:tcBorders>
            <w:vAlign w:val="center"/>
          </w:tcPr>
          <w:p w14:paraId="3805C054">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 xml:space="preserve">解释：本竞争性磋商文件的解释权属于采购人。 </w:t>
            </w:r>
          </w:p>
        </w:tc>
      </w:tr>
    </w:tbl>
    <w:p w14:paraId="67549A73">
      <w:pPr>
        <w:spacing w:line="340" w:lineRule="exact"/>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一、总  则</w:t>
      </w:r>
    </w:p>
    <w:p w14:paraId="504FCB97">
      <w:pPr>
        <w:spacing w:line="340" w:lineRule="exact"/>
        <w:ind w:firstLine="466" w:firstLineChars="200"/>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（一）适用范围</w:t>
      </w:r>
    </w:p>
    <w:p w14:paraId="03AC0DE6">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本竞争性磋商文件适用于</w:t>
      </w:r>
      <w:r>
        <w:rPr>
          <w:rFonts w:hint="eastAsia" w:hAnsi="宋体" w:cs="宋体"/>
          <w:color w:val="auto"/>
          <w:spacing w:val="11"/>
          <w:sz w:val="21"/>
          <w:szCs w:val="21"/>
          <w:highlight w:val="none"/>
          <w:lang w:eastAsia="zh-CN"/>
        </w:rPr>
        <w:t xml:space="preserve">长兴县太湖图影小学篮球场悬浮地板采购项目 </w:t>
      </w:r>
      <w:r>
        <w:rPr>
          <w:rFonts w:hint="eastAsia" w:ascii="宋体" w:hAnsi="宋体" w:eastAsia="宋体" w:cs="宋体"/>
          <w:color w:val="auto"/>
          <w:spacing w:val="11"/>
          <w:sz w:val="21"/>
          <w:szCs w:val="21"/>
          <w:highlight w:val="none"/>
        </w:rPr>
        <w:t xml:space="preserve"> 。</w:t>
      </w:r>
    </w:p>
    <w:p w14:paraId="1A2A7C3F">
      <w:pPr>
        <w:snapToGrid w:val="0"/>
        <w:spacing w:line="340" w:lineRule="exact"/>
        <w:ind w:firstLine="466" w:firstLineChars="200"/>
        <w:jc w:val="left"/>
        <w:outlineLvl w:val="1"/>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（二）定义</w:t>
      </w:r>
    </w:p>
    <w:p w14:paraId="06B68CB2">
      <w:pPr>
        <w:pStyle w:val="29"/>
        <w:snapToGrid w:val="0"/>
        <w:spacing w:before="120" w:after="120" w:line="340" w:lineRule="exact"/>
        <w:ind w:firstLine="464" w:firstLineChars="200"/>
        <w:outlineLvl w:val="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1.“采购单位（采购人）”系指</w:t>
      </w:r>
      <w:r>
        <w:rPr>
          <w:rFonts w:hint="eastAsia" w:hAnsi="宋体" w:cs="宋体"/>
          <w:color w:val="auto"/>
          <w:spacing w:val="11"/>
          <w:sz w:val="21"/>
          <w:szCs w:val="21"/>
          <w:highlight w:val="none"/>
          <w:lang w:eastAsia="zh-CN"/>
        </w:rPr>
        <w:t xml:space="preserve">长兴县太湖图影小学 </w:t>
      </w:r>
      <w:r>
        <w:rPr>
          <w:rFonts w:hint="eastAsia" w:ascii="宋体" w:hAnsi="宋体" w:eastAsia="宋体" w:cs="宋体"/>
          <w:color w:val="auto"/>
          <w:spacing w:val="11"/>
          <w:sz w:val="21"/>
          <w:szCs w:val="21"/>
          <w:highlight w:val="none"/>
        </w:rPr>
        <w:t>。</w:t>
      </w:r>
    </w:p>
    <w:p w14:paraId="00A9D8CF">
      <w:pPr>
        <w:pStyle w:val="29"/>
        <w:snapToGrid w:val="0"/>
        <w:spacing w:before="120" w:after="120" w:line="340" w:lineRule="exact"/>
        <w:ind w:firstLine="464" w:firstLineChars="200"/>
        <w:outlineLvl w:val="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2.“采购代理机构”系指受采购单位委托组织磋商的</w:t>
      </w:r>
      <w:r>
        <w:rPr>
          <w:rFonts w:hint="eastAsia" w:ascii="宋体" w:hAnsi="宋体" w:eastAsia="宋体" w:cs="宋体"/>
          <w:color w:val="auto"/>
          <w:spacing w:val="11"/>
          <w:sz w:val="21"/>
          <w:szCs w:val="21"/>
          <w:highlight w:val="none"/>
          <w:lang w:eastAsia="zh-CN"/>
        </w:rPr>
        <w:t>湖州同力招标代理有限公司</w:t>
      </w:r>
      <w:r>
        <w:rPr>
          <w:rFonts w:hint="eastAsia" w:ascii="宋体" w:hAnsi="宋体" w:eastAsia="宋体" w:cs="宋体"/>
          <w:color w:val="auto"/>
          <w:spacing w:val="11"/>
          <w:sz w:val="21"/>
          <w:szCs w:val="21"/>
          <w:highlight w:val="none"/>
        </w:rPr>
        <w:t xml:space="preserve"> 。</w:t>
      </w:r>
    </w:p>
    <w:p w14:paraId="17E6BCBF">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3.“供应商”系指向采购单位提交磋商响应文件的磋商单位。</w:t>
      </w:r>
    </w:p>
    <w:p w14:paraId="451EC492">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4.“产品”系指供应商按竞争性磋商文件规定，须向采购单位提供的一切设备、保险、税金、备品备件、工具、手册及其它有关技术资料和材料。</w:t>
      </w:r>
    </w:p>
    <w:p w14:paraId="1ADD959D">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5.“服务”系指竞争性磋商文件规定供应商须承担的相关的安装、调试、技术协助、校准、培训、技术指导以及其他类似的义务。</w:t>
      </w:r>
    </w:p>
    <w:p w14:paraId="6D0D6238">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6.“项目”系指供应商按竞争性磋商文件规定向采购单位提供的产品和服务。</w:t>
      </w:r>
    </w:p>
    <w:p w14:paraId="10FC2DA4">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7.“书面形式”包括信函、传真、电报等。</w:t>
      </w:r>
    </w:p>
    <w:p w14:paraId="4C82D553">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8.“▲”系指实质性要求条款，供应商必须做出实质性响应，否则将作无效标处理。</w:t>
      </w:r>
    </w:p>
    <w:p w14:paraId="7AC8C9B3">
      <w:pPr>
        <w:snapToGrid w:val="0"/>
        <w:spacing w:line="340" w:lineRule="exact"/>
        <w:ind w:firstLine="466" w:firstLineChars="200"/>
        <w:jc w:val="left"/>
        <w:outlineLvl w:val="1"/>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（三）现场踏勘</w:t>
      </w:r>
    </w:p>
    <w:p w14:paraId="1BCE7A72">
      <w:pPr>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不集中组织现场踏勘。潜在供应商可自行进行现场踏勘，如因未踏勘现场造成报价失误，是供应商的责任且成交后不予调整。</w:t>
      </w:r>
    </w:p>
    <w:p w14:paraId="5CE41477">
      <w:pPr>
        <w:snapToGrid w:val="0"/>
        <w:spacing w:line="340" w:lineRule="exact"/>
        <w:ind w:firstLine="466" w:firstLineChars="200"/>
        <w:jc w:val="left"/>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（四）转包与分包</w:t>
      </w:r>
    </w:p>
    <w:p w14:paraId="5BC6E4B3">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本项目不允许转包，也不可以分包，否则采购单位有权解除合同。</w:t>
      </w:r>
    </w:p>
    <w:p w14:paraId="4E159C77">
      <w:pPr>
        <w:snapToGrid w:val="0"/>
        <w:spacing w:line="340" w:lineRule="exact"/>
        <w:ind w:firstLine="466" w:firstLineChars="200"/>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▲（五）特别说明</w:t>
      </w:r>
    </w:p>
    <w:p w14:paraId="77D505A1">
      <w:pPr>
        <w:pStyle w:val="29"/>
        <w:numPr>
          <w:ilvl w:val="0"/>
          <w:numId w:val="7"/>
        </w:numPr>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本次磋商工作是按照《中华人民共和国政府采购法》等相关规定组织和实施。</w:t>
      </w:r>
    </w:p>
    <w:p w14:paraId="7190CD62">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2.供应商磋商所使用的资格、信誉、荣誉、业绩与企业认证必须为本法人所拥有。供应商磋商所使用的实施人员必须为本法人员工。</w:t>
      </w:r>
    </w:p>
    <w:p w14:paraId="4121C587">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3.供应商在磋商活动中提供任何虚假材料或从事其他违法活动的</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rPr>
        <w:t>其磋商无效，并报监管部门查处；成交后发现的</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rPr>
        <w:t>成交供应商须依照《中华人民共和国消费者权益保护法》第49条之规定双倍赔偿采购人，且民事赔偿并不免除违法供应商的行政与刑事责任。</w:t>
      </w:r>
    </w:p>
    <w:p w14:paraId="0E30BFEF">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4.供应商应仔细阅读竞争性磋商文件的所有内容，按照竞争性磋商文件的要求提交磋商响应文件。磋商响应文件应对竞争性磋商文件的要求作出实质性响应，并对所提供的全部资料的真实性、完整性承担法律责任。</w:t>
      </w:r>
    </w:p>
    <w:p w14:paraId="0687A77F">
      <w:pPr>
        <w:pStyle w:val="29"/>
        <w:spacing w:before="120" w:after="120" w:line="340" w:lineRule="exact"/>
        <w:ind w:firstLine="466" w:firstLineChars="200"/>
        <w:outlineLvl w:val="1"/>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（六）质疑和投诉</w:t>
      </w:r>
    </w:p>
    <w:p w14:paraId="70D69352">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供应商认为竞争性磋商文件、磋商过程或成交结果使自己的合法权益受到损害的，应当在知道或者应知其权益受到损害之日起七个工作日内，以书面形式向采购单位、采购代理机构提出质疑。供应商对采购单位、采购代理机构的质疑答复不满意或者采购单位、采购代理机构未在规定时间内作出答复的，可以在答复期满后十五个工作日内向同级采购监管部门投诉。</w:t>
      </w:r>
    </w:p>
    <w:p w14:paraId="69D1621E">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质疑、投诉应当采用书面形式，质疑书、投诉书均应明确阐述竞争性磋商文件、磋商过程或成交结果中使自己合法权益受到损害的实质性内容，提供相关事实、依据和证据及其来源或线索，便于有关单位调查、答复和处理。</w:t>
      </w:r>
    </w:p>
    <w:p w14:paraId="423486F9">
      <w:pPr>
        <w:spacing w:line="340" w:lineRule="exact"/>
        <w:ind w:firstLine="466" w:firstLineChars="200"/>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二、竞争性磋商文件</w:t>
      </w:r>
    </w:p>
    <w:p w14:paraId="76160C55">
      <w:pPr>
        <w:spacing w:line="340" w:lineRule="exact"/>
        <w:ind w:firstLine="466" w:firstLineChars="200"/>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（一）竞争性磋商文件的组成</w:t>
      </w:r>
    </w:p>
    <w:p w14:paraId="0EA7BA1D">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1.竞争性磋商公告</w:t>
      </w:r>
    </w:p>
    <w:p w14:paraId="08FB2BC1">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2.磋商需求</w:t>
      </w:r>
    </w:p>
    <w:p w14:paraId="57D4CA99">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3.磋商须知</w:t>
      </w:r>
    </w:p>
    <w:p w14:paraId="7BC94DE6">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4.磋商办法及评分标准</w:t>
      </w:r>
    </w:p>
    <w:p w14:paraId="0E198DCA">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5.合同主要条款</w:t>
      </w:r>
    </w:p>
    <w:p w14:paraId="3116BBD6">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6.磋商响应文件格式</w:t>
      </w:r>
    </w:p>
    <w:p w14:paraId="4B61CC29">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7.本项目竞争性磋商文件的澄清、答复、修改、补充的内容</w:t>
      </w:r>
    </w:p>
    <w:p w14:paraId="2A95312A">
      <w:pPr>
        <w:snapToGrid w:val="0"/>
        <w:spacing w:line="340" w:lineRule="exact"/>
        <w:ind w:firstLine="466" w:firstLineChars="200"/>
        <w:jc w:val="left"/>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（二）供应商的风险</w:t>
      </w:r>
    </w:p>
    <w:p w14:paraId="387D55CD">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供应商没有按照竞争性磋商文件要求提供全部资料，或者供应商没有对竞争性磋商文件在各方面作出实质性响应是供应商的风险，并可能导致其磋商被拒绝。</w:t>
      </w:r>
    </w:p>
    <w:p w14:paraId="53455397">
      <w:pPr>
        <w:pStyle w:val="15"/>
        <w:widowControl w:val="0"/>
        <w:numPr>
          <w:ilvl w:val="0"/>
          <w:numId w:val="0"/>
        </w:numPr>
        <w:tabs>
          <w:tab w:val="left" w:pos="420"/>
          <w:tab w:val="left" w:pos="900"/>
          <w:tab w:val="clear" w:pos="454"/>
          <w:tab w:val="clear" w:pos="1440"/>
        </w:tabs>
        <w:snapToGrid w:val="0"/>
        <w:spacing w:afterLines="0" w:line="340" w:lineRule="exact"/>
        <w:ind w:left="420" w:leftChars="200"/>
        <w:rPr>
          <w:rFonts w:hint="eastAsia" w:ascii="宋体" w:hAnsi="宋体" w:eastAsia="宋体" w:cs="宋体"/>
          <w:b/>
          <w:bCs/>
          <w:color w:val="auto"/>
          <w:spacing w:val="11"/>
          <w:kern w:val="2"/>
          <w:sz w:val="21"/>
          <w:szCs w:val="21"/>
          <w:highlight w:val="none"/>
        </w:rPr>
      </w:pPr>
      <w:r>
        <w:rPr>
          <w:rFonts w:hint="eastAsia" w:ascii="宋体" w:hAnsi="宋体" w:eastAsia="宋体" w:cs="宋体"/>
          <w:b/>
          <w:bCs/>
          <w:color w:val="auto"/>
          <w:spacing w:val="11"/>
          <w:kern w:val="2"/>
          <w:sz w:val="21"/>
          <w:szCs w:val="21"/>
          <w:highlight w:val="none"/>
        </w:rPr>
        <w:t>（三）竞争性磋商文件的澄清、修改与补充</w:t>
      </w:r>
    </w:p>
    <w:p w14:paraId="718A8486">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供应商应认真阅读本竞争性磋商文件，如发现竞争性磋商文件中内容存在含糊不清、相互矛盾、多种含义以及歧视性不公正条款或违法、违规等有疑点要求澄清的，供应商须在前附表规定的时间内以书面形式要求采购人澄清。采购人将在前附表规定的时间内统一进行澄清和修改，并书面（含传真）通知所有认购竞争性磋商文件的供应商。供应商未按规定要求提出的，则视同认可竞争性磋商文件，但法律法规及规范性文件有明确规定的除外。</w:t>
      </w:r>
    </w:p>
    <w:p w14:paraId="698F770A">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在磋商截止时间前，采购单位对已发出的竞争性磋商文件进行必要澄清或者修改时，将依法在财政部门指定的政府采购信息发布媒体上发布更正公告，并以书面形式通知所有竞争性磋商文件收受人。该澄清或者修改的内容为竞争性磋商文件的组成部分，对所有供应商有约束力。供应商在收到竞争性磋商文件的澄清修改函后，应以书面形式予以确认。</w:t>
      </w:r>
    </w:p>
    <w:p w14:paraId="3ABC41D7">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3.为使供应商有足够的时间按修改文件要求修正磋商响应文件，采购单位可以视采购具体情况推迟磋商响应文件提交截止时间和磋商时间，并将此变更通知各供应商。</w:t>
      </w:r>
    </w:p>
    <w:p w14:paraId="2F4535F0">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4.竞争性磋商文件的澄清、修改、补充等内容均以书面明确的内容为准。当竞争性磋商文件与竞争性磋商文件的澄清、修改、补充等在同一内容的表述上不一致时，以最后发出的书面文件为准。</w:t>
      </w:r>
    </w:p>
    <w:p w14:paraId="0F0028AC">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5.</w:t>
      </w:r>
      <w:r>
        <w:rPr>
          <w:rFonts w:hint="eastAsia" w:ascii="宋体" w:hAnsi="宋体" w:eastAsia="宋体" w:cs="宋体"/>
          <w:b/>
          <w:bCs/>
          <w:color w:val="auto"/>
          <w:spacing w:val="11"/>
          <w:sz w:val="21"/>
          <w:szCs w:val="21"/>
          <w:highlight w:val="none"/>
        </w:rPr>
        <w:t>因供应商提供联系资料错误或遗漏等原因导致采购代理机构未能将有关澄清、答复、修改或补充通知送达供应商的，责任由供应商自负。</w:t>
      </w:r>
    </w:p>
    <w:p w14:paraId="217474FD">
      <w:pPr>
        <w:spacing w:line="340" w:lineRule="exact"/>
        <w:ind w:firstLine="466" w:firstLineChars="200"/>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三、磋商响应文件的编制要求</w:t>
      </w:r>
    </w:p>
    <w:p w14:paraId="69C44510">
      <w:pPr>
        <w:snapToGrid w:val="0"/>
        <w:spacing w:line="340" w:lineRule="exact"/>
        <w:ind w:firstLine="466" w:firstLineChars="200"/>
        <w:jc w:val="left"/>
        <w:outlineLvl w:val="0"/>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（一）磋商响应文件的组成</w:t>
      </w:r>
    </w:p>
    <w:p w14:paraId="5769BCBD">
      <w:pPr>
        <w:snapToGrid w:val="0"/>
        <w:spacing w:line="340" w:lineRule="exact"/>
        <w:ind w:firstLine="466" w:firstLineChars="200"/>
        <w:jc w:val="left"/>
        <w:outlineLvl w:val="0"/>
        <w:rPr>
          <w:rFonts w:hint="eastAsia" w:ascii="宋体" w:hAnsi="宋体" w:eastAsia="宋体" w:cs="宋体"/>
          <w:b/>
          <w:color w:val="auto"/>
          <w:spacing w:val="11"/>
          <w:szCs w:val="21"/>
          <w:highlight w:val="none"/>
          <w:u w:val="single"/>
        </w:rPr>
      </w:pPr>
      <w:r>
        <w:rPr>
          <w:rFonts w:hint="eastAsia" w:ascii="宋体" w:hAnsi="宋体" w:eastAsia="宋体" w:cs="宋体"/>
          <w:b/>
          <w:bCs/>
          <w:color w:val="auto"/>
          <w:spacing w:val="11"/>
          <w:szCs w:val="21"/>
          <w:highlight w:val="none"/>
          <w:u w:val="single"/>
        </w:rPr>
        <w:t>磋商响应文件由“商务及资信技术文件</w:t>
      </w:r>
      <w:r>
        <w:rPr>
          <w:rFonts w:hint="eastAsia" w:ascii="宋体" w:hAnsi="宋体" w:eastAsia="宋体" w:cs="宋体"/>
          <w:b/>
          <w:bCs/>
          <w:color w:val="auto"/>
          <w:spacing w:val="11"/>
          <w:szCs w:val="21"/>
          <w:highlight w:val="none"/>
          <w:u w:val="single"/>
          <w:lang w:eastAsia="zh-CN"/>
        </w:rPr>
        <w:t>”“</w:t>
      </w:r>
      <w:r>
        <w:rPr>
          <w:rFonts w:hint="eastAsia" w:ascii="宋体" w:hAnsi="宋体" w:eastAsia="宋体" w:cs="宋体"/>
          <w:b/>
          <w:bCs/>
          <w:color w:val="auto"/>
          <w:spacing w:val="11"/>
          <w:szCs w:val="21"/>
          <w:highlight w:val="none"/>
          <w:u w:val="single"/>
        </w:rPr>
        <w:t>报价文件”组成。</w:t>
      </w:r>
    </w:p>
    <w:p w14:paraId="3836790D">
      <w:pPr>
        <w:snapToGrid w:val="0"/>
        <w:spacing w:line="340" w:lineRule="exact"/>
        <w:ind w:firstLine="466" w:firstLineChars="200"/>
        <w:jc w:val="left"/>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1.商务及资信</w:t>
      </w:r>
      <w:r>
        <w:rPr>
          <w:rFonts w:hint="eastAsia" w:ascii="宋体" w:hAnsi="宋体" w:eastAsia="宋体" w:cs="宋体"/>
          <w:b/>
          <w:color w:val="auto"/>
          <w:spacing w:val="11"/>
          <w:szCs w:val="21"/>
          <w:highlight w:val="none"/>
          <w:lang w:val="en-US" w:eastAsia="zh-CN"/>
        </w:rPr>
        <w:t>技术</w:t>
      </w:r>
      <w:r>
        <w:rPr>
          <w:rFonts w:hint="eastAsia" w:ascii="宋体" w:hAnsi="宋体" w:eastAsia="宋体" w:cs="宋体"/>
          <w:b/>
          <w:color w:val="auto"/>
          <w:spacing w:val="11"/>
          <w:szCs w:val="21"/>
          <w:highlight w:val="none"/>
        </w:rPr>
        <w:t>文件：</w:t>
      </w:r>
    </w:p>
    <w:p w14:paraId="7208CCEB">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1）磋商声明书（见格式）；</w:t>
      </w:r>
    </w:p>
    <w:p w14:paraId="7CE37742">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2）法定代表人身份证明书或授权委托书（见格式）；</w:t>
      </w:r>
    </w:p>
    <w:p w14:paraId="575CC6C6">
      <w:pPr>
        <w:snapToGrid w:val="0"/>
        <w:spacing w:line="340" w:lineRule="exact"/>
        <w:ind w:firstLine="464" w:firstLineChars="200"/>
        <w:jc w:val="left"/>
        <w:rPr>
          <w:rFonts w:hint="eastAsia" w:ascii="宋体" w:hAnsi="宋体" w:eastAsia="宋体" w:cs="宋体"/>
          <w:b w:val="0"/>
          <w:bCs w:val="0"/>
          <w:color w:val="auto"/>
          <w:spacing w:val="11"/>
          <w:szCs w:val="21"/>
          <w:highlight w:val="none"/>
          <w:u w:val="none"/>
        </w:rPr>
      </w:pPr>
      <w:r>
        <w:rPr>
          <w:rFonts w:hint="eastAsia" w:ascii="宋体" w:hAnsi="宋体" w:eastAsia="宋体" w:cs="宋体"/>
          <w:color w:val="auto"/>
          <w:spacing w:val="11"/>
          <w:szCs w:val="21"/>
          <w:highlight w:val="none"/>
          <w:lang w:val="en-US" w:eastAsia="zh-CN"/>
        </w:rPr>
        <w:t>3</w:t>
      </w:r>
      <w:r>
        <w:rPr>
          <w:rFonts w:hint="eastAsia" w:ascii="宋体" w:hAnsi="宋体" w:eastAsia="宋体" w:cs="宋体"/>
          <w:color w:val="auto"/>
          <w:spacing w:val="11"/>
          <w:szCs w:val="21"/>
          <w:highlight w:val="none"/>
        </w:rPr>
        <w:t>）</w:t>
      </w:r>
      <w:r>
        <w:rPr>
          <w:rFonts w:hint="eastAsia" w:ascii="宋体" w:hAnsi="宋体" w:eastAsia="宋体" w:cs="宋体"/>
          <w:b w:val="0"/>
          <w:bCs w:val="0"/>
          <w:color w:val="auto"/>
          <w:spacing w:val="11"/>
          <w:szCs w:val="21"/>
          <w:highlight w:val="none"/>
        </w:rPr>
        <w:t>资格审查资料（缺项或未提供的视为资格审查不通过，按无效标处理）；</w:t>
      </w:r>
    </w:p>
    <w:p w14:paraId="5C7B8546">
      <w:pPr>
        <w:snapToGrid w:val="0"/>
        <w:spacing w:line="340" w:lineRule="exact"/>
        <w:ind w:firstLine="464" w:firstLineChars="200"/>
        <w:jc w:val="left"/>
        <w:rPr>
          <w:rFonts w:hint="eastAsia" w:ascii="宋体" w:hAnsi="宋体" w:eastAsia="宋体" w:cs="宋体"/>
          <w:color w:val="auto"/>
          <w:spacing w:val="11"/>
          <w:szCs w:val="21"/>
          <w:highlight w:val="none"/>
          <w:lang w:val="en-US" w:eastAsia="zh-CN"/>
        </w:rPr>
      </w:pPr>
      <w:r>
        <w:rPr>
          <w:rFonts w:hint="eastAsia" w:ascii="宋体" w:hAnsi="宋体" w:eastAsia="宋体" w:cs="宋体"/>
          <w:color w:val="auto"/>
          <w:spacing w:val="11"/>
          <w:szCs w:val="21"/>
          <w:highlight w:val="none"/>
          <w:lang w:val="en-US" w:eastAsia="zh-CN"/>
        </w:rPr>
        <w:t>a.符合参加政府采购活动应当具备条件的承诺函（见格式）；</w:t>
      </w:r>
    </w:p>
    <w:p w14:paraId="64277A27">
      <w:pPr>
        <w:snapToGrid w:val="0"/>
        <w:spacing w:line="340" w:lineRule="exact"/>
        <w:ind w:firstLine="464" w:firstLineChars="200"/>
        <w:jc w:val="left"/>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lang w:val="en-US" w:eastAsia="zh-CN"/>
        </w:rPr>
        <w:t>b.</w:t>
      </w:r>
      <w:r>
        <w:rPr>
          <w:rFonts w:hint="eastAsia" w:ascii="宋体" w:hAnsi="宋体" w:eastAsia="宋体" w:cs="宋体"/>
          <w:color w:val="auto"/>
          <w:spacing w:val="11"/>
          <w:sz w:val="21"/>
          <w:szCs w:val="21"/>
          <w:highlight w:val="none"/>
        </w:rPr>
        <w:t>享受政府采购支持政策相关证明：</w:t>
      </w:r>
    </w:p>
    <w:p w14:paraId="4C66D925">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lang w:val="en-US" w:eastAsia="zh-CN"/>
        </w:rPr>
        <w:t>①</w:t>
      </w:r>
      <w:r>
        <w:rPr>
          <w:rFonts w:hint="eastAsia" w:ascii="宋体" w:hAnsi="宋体" w:eastAsia="宋体" w:cs="宋体"/>
          <w:color w:val="auto"/>
          <w:spacing w:val="11"/>
          <w:szCs w:val="21"/>
          <w:highlight w:val="none"/>
        </w:rPr>
        <w:t>《中小企业声明函》；（见格式）</w:t>
      </w:r>
    </w:p>
    <w:p w14:paraId="5B332AE3">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②《残疾人福利性单位声明函》；（见格式，若不符合可不提供）</w:t>
      </w:r>
    </w:p>
    <w:p w14:paraId="6CD95CBC">
      <w:pPr>
        <w:snapToGrid w:val="0"/>
        <w:spacing w:line="340" w:lineRule="exact"/>
        <w:ind w:firstLine="464" w:firstLineChars="200"/>
        <w:jc w:val="left"/>
        <w:rPr>
          <w:rFonts w:hint="eastAsia" w:ascii="宋体" w:hAnsi="宋体" w:eastAsia="宋体" w:cs="宋体"/>
          <w:b/>
          <w:bCs/>
          <w:color w:val="auto"/>
          <w:spacing w:val="11"/>
          <w:szCs w:val="21"/>
          <w:highlight w:val="none"/>
        </w:rPr>
      </w:pPr>
      <w:r>
        <w:rPr>
          <w:rFonts w:hint="eastAsia" w:ascii="宋体" w:hAnsi="宋体" w:eastAsia="宋体" w:cs="宋体"/>
          <w:color w:val="auto"/>
          <w:spacing w:val="11"/>
          <w:szCs w:val="21"/>
          <w:highlight w:val="none"/>
        </w:rPr>
        <w:t>③属于监狱企业的证明文件；（格式自拟，若不符合可不提供）</w:t>
      </w:r>
    </w:p>
    <w:p w14:paraId="265686AA">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lang w:val="en-US" w:eastAsia="zh-CN"/>
        </w:rPr>
        <w:t>4</w:t>
      </w:r>
      <w:r>
        <w:rPr>
          <w:rFonts w:hint="eastAsia" w:ascii="宋体" w:hAnsi="宋体" w:eastAsia="宋体" w:cs="宋体"/>
          <w:color w:val="auto"/>
          <w:spacing w:val="11"/>
          <w:szCs w:val="21"/>
          <w:highlight w:val="none"/>
        </w:rPr>
        <w:t>）供应商基本情况表（见格式）；</w:t>
      </w:r>
    </w:p>
    <w:p w14:paraId="717E8933">
      <w:pPr>
        <w:snapToGrid w:val="0"/>
        <w:spacing w:line="340" w:lineRule="exact"/>
        <w:ind w:firstLine="464" w:firstLineChars="200"/>
        <w:jc w:val="left"/>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lang w:val="en-US" w:eastAsia="zh-CN"/>
        </w:rPr>
        <w:t>5</w:t>
      </w:r>
      <w:r>
        <w:rPr>
          <w:rFonts w:hint="eastAsia" w:ascii="宋体" w:hAnsi="宋体" w:eastAsia="宋体" w:cs="宋体"/>
          <w:bCs/>
          <w:color w:val="auto"/>
          <w:spacing w:val="11"/>
          <w:szCs w:val="21"/>
          <w:highlight w:val="none"/>
        </w:rPr>
        <w:t>）供应商廉洁守信承诺书（见格式）；</w:t>
      </w:r>
    </w:p>
    <w:p w14:paraId="3B0B6A1A">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lang w:val="en-US" w:eastAsia="zh-CN"/>
        </w:rPr>
        <w:t>6</w:t>
      </w:r>
      <w:r>
        <w:rPr>
          <w:rFonts w:hint="eastAsia" w:ascii="宋体" w:hAnsi="宋体" w:eastAsia="宋体" w:cs="宋体"/>
          <w:color w:val="auto"/>
          <w:spacing w:val="11"/>
          <w:szCs w:val="21"/>
          <w:highlight w:val="none"/>
        </w:rPr>
        <w:t>）商务响应表（见格式）；</w:t>
      </w:r>
    </w:p>
    <w:p w14:paraId="1E871F7A">
      <w:pPr>
        <w:snapToGrid w:val="0"/>
        <w:spacing w:line="340" w:lineRule="exact"/>
        <w:ind w:firstLine="464" w:firstLineChars="200"/>
        <w:jc w:val="left"/>
        <w:rPr>
          <w:rFonts w:hint="eastAsia" w:ascii="宋体" w:hAnsi="宋体" w:eastAsia="宋体" w:cs="宋体"/>
          <w:color w:val="auto"/>
          <w:spacing w:val="11"/>
          <w:szCs w:val="21"/>
          <w:highlight w:val="none"/>
          <w:lang w:val="en-US" w:eastAsia="zh-CN"/>
        </w:rPr>
      </w:pPr>
      <w:r>
        <w:rPr>
          <w:rFonts w:hint="eastAsia" w:ascii="宋体" w:hAnsi="宋体" w:eastAsia="宋体" w:cs="宋体"/>
          <w:color w:val="auto"/>
          <w:spacing w:val="11"/>
          <w:szCs w:val="21"/>
          <w:highlight w:val="none"/>
          <w:lang w:val="en-US" w:eastAsia="zh-CN"/>
        </w:rPr>
        <w:t>7)评分办法中需要提供的材料。</w:t>
      </w:r>
    </w:p>
    <w:p w14:paraId="6E12724E">
      <w:pPr>
        <w:snapToGrid w:val="0"/>
        <w:spacing w:line="340" w:lineRule="exact"/>
        <w:ind w:firstLine="466" w:firstLineChars="200"/>
        <w:jc w:val="left"/>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3.报价文件：</w:t>
      </w:r>
    </w:p>
    <w:p w14:paraId="19FDF731">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1）磋商函（见格式）；</w:t>
      </w:r>
    </w:p>
    <w:p w14:paraId="161310AE">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2）磋商报价一览表（见格式）；</w:t>
      </w:r>
    </w:p>
    <w:p w14:paraId="5D70F51F">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w:t>
      </w:r>
      <w:r>
        <w:rPr>
          <w:rFonts w:hint="eastAsia" w:ascii="宋体" w:hAnsi="宋体" w:eastAsia="宋体" w:cs="宋体"/>
          <w:color w:val="auto"/>
          <w:spacing w:val="11"/>
          <w:kern w:val="0"/>
          <w:szCs w:val="21"/>
          <w:highlight w:val="none"/>
        </w:rPr>
        <w:t>磋商报价明细表</w:t>
      </w:r>
      <w:r>
        <w:rPr>
          <w:rFonts w:hint="eastAsia" w:ascii="宋体" w:hAnsi="宋体" w:eastAsia="宋体" w:cs="宋体"/>
          <w:color w:val="auto"/>
          <w:spacing w:val="11"/>
          <w:szCs w:val="21"/>
          <w:highlight w:val="none"/>
        </w:rPr>
        <w:t>（见格式）；</w:t>
      </w:r>
    </w:p>
    <w:p w14:paraId="27B17006">
      <w:pPr>
        <w:snapToGrid w:val="0"/>
        <w:spacing w:line="340" w:lineRule="exact"/>
        <w:ind w:firstLine="464" w:firstLineChars="200"/>
        <w:jc w:val="left"/>
        <w:rPr>
          <w:rFonts w:hint="eastAsia" w:ascii="宋体" w:hAnsi="宋体" w:eastAsia="宋体" w:cs="宋体"/>
          <w:color w:val="auto"/>
          <w:spacing w:val="11"/>
          <w:szCs w:val="21"/>
          <w:highlight w:val="none"/>
          <w:lang w:eastAsia="zh-CN"/>
        </w:rPr>
      </w:pPr>
      <w:r>
        <w:rPr>
          <w:rFonts w:hint="eastAsia" w:ascii="宋体" w:hAnsi="宋体" w:eastAsia="宋体" w:cs="宋体"/>
          <w:color w:val="auto"/>
          <w:spacing w:val="11"/>
          <w:szCs w:val="21"/>
          <w:highlight w:val="none"/>
        </w:rPr>
        <w:t>4）供应商针对报价需要说明的其他文件和说明</w:t>
      </w:r>
      <w:r>
        <w:rPr>
          <w:rFonts w:hint="eastAsia" w:ascii="宋体" w:hAnsi="宋体" w:eastAsia="宋体" w:cs="宋体"/>
          <w:color w:val="auto"/>
          <w:spacing w:val="11"/>
          <w:szCs w:val="21"/>
          <w:highlight w:val="none"/>
          <w:lang w:eastAsia="zh-CN"/>
        </w:rPr>
        <w:t>：如</w:t>
      </w:r>
      <w:r>
        <w:rPr>
          <w:rFonts w:hint="eastAsia" w:ascii="宋体" w:hAnsi="宋体" w:eastAsia="宋体" w:cs="宋体"/>
          <w:color w:val="auto"/>
          <w:spacing w:val="11"/>
          <w:szCs w:val="21"/>
          <w:highlight w:val="none"/>
          <w:lang w:val="en-US" w:eastAsia="zh-CN"/>
        </w:rPr>
        <w:t>供应商磋商响应</w:t>
      </w:r>
      <w:r>
        <w:rPr>
          <w:rFonts w:hint="eastAsia" w:ascii="宋体" w:hAnsi="宋体" w:eastAsia="宋体" w:cs="宋体"/>
          <w:color w:val="auto"/>
          <w:spacing w:val="11"/>
          <w:szCs w:val="21"/>
          <w:highlight w:val="none"/>
          <w:lang w:eastAsia="zh-CN"/>
        </w:rPr>
        <w:t>报价低于项目预算金额 50%的，应当提交报价情况说明，详细阐述不影响产品质量或者诚信履约的具体原因。</w:t>
      </w:r>
    </w:p>
    <w:p w14:paraId="68CFC0CF">
      <w:pPr>
        <w:spacing w:line="340" w:lineRule="exact"/>
        <w:ind w:firstLine="466" w:firstLineChars="200"/>
        <w:rPr>
          <w:rFonts w:hint="eastAsia" w:ascii="宋体" w:hAnsi="宋体" w:eastAsia="宋体" w:cs="宋体"/>
          <w:b/>
          <w:color w:val="auto"/>
          <w:spacing w:val="11"/>
          <w:szCs w:val="21"/>
          <w:highlight w:val="none"/>
        </w:rPr>
      </w:pPr>
      <w:r>
        <w:rPr>
          <w:rFonts w:hint="eastAsia" w:ascii="宋体" w:hAnsi="宋体" w:eastAsia="宋体" w:cs="宋体"/>
          <w:b/>
          <w:bCs/>
          <w:color w:val="auto"/>
          <w:spacing w:val="11"/>
          <w:szCs w:val="21"/>
          <w:highlight w:val="none"/>
        </w:rPr>
        <w:t>注：供应商应根据竞争性磋商文件中所提供的格式编制磋商响应文件，对于未提供格式的可自行确定，复印件均须加盖供应商公章。</w:t>
      </w:r>
    </w:p>
    <w:p w14:paraId="77D7FB0A">
      <w:pPr>
        <w:snapToGrid w:val="0"/>
        <w:spacing w:line="340" w:lineRule="exact"/>
        <w:ind w:firstLine="466" w:firstLineChars="200"/>
        <w:jc w:val="left"/>
        <w:outlineLvl w:val="0"/>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（二）磋商响应文件的语言及计量</w:t>
      </w:r>
    </w:p>
    <w:p w14:paraId="1127A981">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1.磋商响应文件以及供应商与采购人就有关磋商事宜的所有来往函电，均应以中文汉语书写。除签名、盖章、专用名称等特殊情形外，以中文汉语以外的文字表述的磋商响应文件视同未提供。</w:t>
      </w:r>
    </w:p>
    <w:p w14:paraId="3E05D899">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2.磋商响应文件使用的度量衡单位，均采用中华人民共和国法定计量单位（除规范另有规定外）。</w:t>
      </w:r>
    </w:p>
    <w:p w14:paraId="6C06754C">
      <w:pPr>
        <w:snapToGrid w:val="0"/>
        <w:spacing w:line="340" w:lineRule="exact"/>
        <w:ind w:firstLine="466" w:firstLineChars="200"/>
        <w:jc w:val="left"/>
        <w:outlineLvl w:val="0"/>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（三）磋商报价</w:t>
      </w:r>
    </w:p>
    <w:p w14:paraId="53BE3966">
      <w:pPr>
        <w:snapToGrid w:val="0"/>
        <w:spacing w:line="340" w:lineRule="exact"/>
        <w:ind w:firstLine="464" w:firstLineChars="200"/>
        <w:jc w:val="left"/>
        <w:outlineLvl w:val="0"/>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1.磋商报价应按竞争性磋商文件中相关附表格式填写。</w:t>
      </w:r>
    </w:p>
    <w:p w14:paraId="0308B9E1">
      <w:pPr>
        <w:snapToGrid w:val="0"/>
        <w:spacing w:line="340" w:lineRule="exact"/>
        <w:ind w:firstLine="464" w:firstLineChars="200"/>
        <w:jc w:val="left"/>
        <w:outlineLvl w:val="0"/>
        <w:rPr>
          <w:rFonts w:hint="eastAsia" w:ascii="宋体" w:hAnsi="宋体" w:eastAsia="宋体" w:cs="宋体"/>
          <w:bCs/>
          <w:color w:val="auto"/>
          <w:spacing w:val="11"/>
          <w:szCs w:val="21"/>
          <w:highlight w:val="none"/>
        </w:rPr>
      </w:pPr>
      <w:r>
        <w:rPr>
          <w:rFonts w:hint="eastAsia" w:ascii="宋体" w:hAnsi="宋体" w:eastAsia="宋体" w:cs="宋体"/>
          <w:color w:val="auto"/>
          <w:spacing w:val="11"/>
          <w:szCs w:val="21"/>
          <w:highlight w:val="none"/>
        </w:rPr>
        <w:t>▲</w:t>
      </w:r>
      <w:r>
        <w:rPr>
          <w:rFonts w:hint="eastAsia" w:ascii="宋体" w:hAnsi="宋体" w:eastAsia="宋体" w:cs="宋体"/>
          <w:bCs/>
          <w:color w:val="auto"/>
          <w:spacing w:val="11"/>
          <w:szCs w:val="21"/>
          <w:highlight w:val="none"/>
        </w:rPr>
        <w:t>2.磋商响应文件只允许有一个报价，有选择的或有条件的报价将不予接受。</w:t>
      </w:r>
    </w:p>
    <w:p w14:paraId="7797D201">
      <w:pPr>
        <w:snapToGrid w:val="0"/>
        <w:spacing w:line="340" w:lineRule="exact"/>
        <w:ind w:firstLine="466" w:firstLineChars="200"/>
        <w:jc w:val="left"/>
        <w:outlineLvl w:val="0"/>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3.磋商分二轮进行，首次报价在响应文件中体现；最终报价由各磋商供应商在规定的时间内在政采云平台在线完成；政采云平台在线报价操作失败的，供应商应及时联系采购代理机构，通过指定的电子邮箱或电话传真提供（最终报价函格式见附件，指定传真号：</w:t>
      </w:r>
      <w:r>
        <w:rPr>
          <w:rFonts w:hint="eastAsia" w:ascii="宋体" w:hAnsi="宋体" w:eastAsia="宋体" w:cs="宋体"/>
          <w:b/>
          <w:color w:val="auto"/>
          <w:spacing w:val="11"/>
          <w:szCs w:val="21"/>
          <w:highlight w:val="none"/>
          <w:lang w:eastAsia="zh-CN"/>
        </w:rPr>
        <w:t>18768213747</w:t>
      </w:r>
      <w:r>
        <w:rPr>
          <w:rFonts w:hint="eastAsia" w:ascii="宋体" w:hAnsi="宋体" w:eastAsia="宋体" w:cs="宋体"/>
          <w:b/>
          <w:color w:val="auto"/>
          <w:spacing w:val="11"/>
          <w:szCs w:val="21"/>
          <w:highlight w:val="none"/>
        </w:rPr>
        <w:t>，指定邮箱号：</w:t>
      </w:r>
      <w:r>
        <w:rPr>
          <w:rFonts w:hint="eastAsia" w:ascii="宋体" w:hAnsi="宋体" w:eastAsia="宋体" w:cs="宋体"/>
          <w:b/>
          <w:color w:val="auto"/>
          <w:spacing w:val="11"/>
          <w:szCs w:val="21"/>
          <w:highlight w:val="none"/>
          <w:lang w:eastAsia="zh-CN"/>
        </w:rPr>
        <w:t>664554257</w:t>
      </w:r>
      <w:r>
        <w:rPr>
          <w:rFonts w:hint="eastAsia" w:ascii="宋体" w:hAnsi="宋体" w:eastAsia="宋体" w:cs="宋体"/>
          <w:b/>
          <w:color w:val="auto"/>
          <w:spacing w:val="11"/>
          <w:szCs w:val="21"/>
          <w:highlight w:val="none"/>
        </w:rPr>
        <w:t>@qq.com）。因本项目采用竞争性磋商方式，成交价是在初次磋商报价的基础上整体下浮，单价按最终报价与初次报价同比例下浮。</w:t>
      </w:r>
    </w:p>
    <w:p w14:paraId="29929820">
      <w:pPr>
        <w:snapToGrid w:val="0"/>
        <w:spacing w:line="340" w:lineRule="exact"/>
        <w:ind w:firstLine="464" w:firstLineChars="200"/>
        <w:jc w:val="left"/>
        <w:outlineLvl w:val="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4.供应商的最终报价由供应商自担全部风险责任。</w:t>
      </w:r>
    </w:p>
    <w:p w14:paraId="49F00C94">
      <w:pPr>
        <w:snapToGrid w:val="0"/>
        <w:spacing w:line="340" w:lineRule="exact"/>
        <w:ind w:firstLine="464" w:firstLineChars="200"/>
        <w:jc w:val="left"/>
        <w:outlineLvl w:val="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5.供应商对竞争性磋商文件里有关磋商报价的全部内容应仔细确认，若有个别异议，应在磋商前提出修改意见，否则视同全部确认。</w:t>
      </w:r>
    </w:p>
    <w:p w14:paraId="38B60C99">
      <w:pPr>
        <w:snapToGrid w:val="0"/>
        <w:spacing w:line="340" w:lineRule="exact"/>
        <w:ind w:firstLine="464" w:firstLineChars="200"/>
        <w:jc w:val="left"/>
        <w:outlineLvl w:val="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6.其他报价相关要求见第二章内容。</w:t>
      </w:r>
    </w:p>
    <w:p w14:paraId="70CF982A">
      <w:pPr>
        <w:snapToGrid w:val="0"/>
        <w:spacing w:line="340" w:lineRule="exact"/>
        <w:ind w:firstLine="464" w:firstLineChars="200"/>
        <w:jc w:val="left"/>
        <w:outlineLvl w:val="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7.根据《浙江省财政厅关于明确政府采购保证金管理工作的通知》（浙财采监〔2019〕5号）规定第一中标（成交）候选供应商在政府采购活动中违反政府采购相关规定放弃中标（成交）资格的，本项目采购代理机构有权要求其承担本项项目代理费用。</w:t>
      </w:r>
    </w:p>
    <w:p w14:paraId="49A81E18">
      <w:pPr>
        <w:snapToGrid w:val="0"/>
        <w:spacing w:line="340" w:lineRule="exact"/>
        <w:ind w:firstLine="464" w:firstLineChars="200"/>
        <w:jc w:val="left"/>
        <w:outlineLvl w:val="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lang w:val="en-US" w:eastAsia="zh-CN"/>
        </w:rPr>
        <w:t>8.</w:t>
      </w:r>
      <w:r>
        <w:rPr>
          <w:rFonts w:hint="eastAsia" w:ascii="宋体" w:hAnsi="宋体" w:eastAsia="宋体" w:cs="宋体"/>
          <w:color w:val="auto"/>
          <w:spacing w:val="11"/>
          <w:szCs w:val="21"/>
          <w:highlight w:val="none"/>
        </w:rPr>
        <w:t>本项目的采购代理费</w:t>
      </w:r>
      <w:r>
        <w:rPr>
          <w:rFonts w:hint="eastAsia" w:ascii="宋体" w:hAnsi="宋体" w:eastAsia="宋体" w:cs="宋体"/>
          <w:b/>
          <w:bCs/>
          <w:color w:val="auto"/>
          <w:spacing w:val="11"/>
          <w:szCs w:val="21"/>
          <w:highlight w:val="none"/>
          <w:lang w:val="en-US" w:eastAsia="zh-CN"/>
        </w:rPr>
        <w:t>4500</w:t>
      </w:r>
      <w:r>
        <w:rPr>
          <w:rFonts w:hint="eastAsia" w:ascii="宋体" w:hAnsi="宋体" w:eastAsia="宋体" w:cs="宋体"/>
          <w:color w:val="auto"/>
          <w:spacing w:val="11"/>
          <w:szCs w:val="21"/>
          <w:highlight w:val="none"/>
          <w:lang w:val="en-US" w:eastAsia="zh-CN"/>
        </w:rPr>
        <w:t>元整</w:t>
      </w:r>
      <w:r>
        <w:rPr>
          <w:rFonts w:hint="eastAsia" w:ascii="宋体" w:hAnsi="宋体" w:eastAsia="宋体" w:cs="宋体"/>
          <w:color w:val="auto"/>
          <w:spacing w:val="11"/>
          <w:szCs w:val="21"/>
          <w:highlight w:val="none"/>
        </w:rPr>
        <w:t>，由成交供应商领取成交通知书时向采购代理机构一次性付清，请在总价中考虑该费用.</w:t>
      </w:r>
    </w:p>
    <w:p w14:paraId="510D4FF5">
      <w:pPr>
        <w:pStyle w:val="15"/>
        <w:widowControl w:val="0"/>
        <w:numPr>
          <w:ilvl w:val="0"/>
          <w:numId w:val="0"/>
        </w:numPr>
        <w:tabs>
          <w:tab w:val="clear" w:pos="454"/>
          <w:tab w:val="clear" w:pos="1440"/>
        </w:tabs>
        <w:snapToGrid w:val="0"/>
        <w:spacing w:afterLines="0" w:line="340" w:lineRule="exact"/>
        <w:ind w:left="420" w:leftChars="200"/>
        <w:rPr>
          <w:rFonts w:hint="eastAsia" w:ascii="宋体" w:hAnsi="宋体" w:eastAsia="宋体" w:cs="宋体"/>
          <w:b/>
          <w:color w:val="auto"/>
          <w:spacing w:val="11"/>
          <w:sz w:val="21"/>
          <w:szCs w:val="21"/>
          <w:highlight w:val="none"/>
        </w:rPr>
      </w:pPr>
      <w:r>
        <w:rPr>
          <w:rFonts w:hint="eastAsia" w:ascii="宋体" w:hAnsi="宋体" w:eastAsia="宋体" w:cs="宋体"/>
          <w:b/>
          <w:color w:val="auto"/>
          <w:spacing w:val="11"/>
          <w:sz w:val="21"/>
          <w:szCs w:val="21"/>
          <w:highlight w:val="none"/>
        </w:rPr>
        <w:t>（四）磋商响应文件的有效期</w:t>
      </w:r>
    </w:p>
    <w:p w14:paraId="631D9BF7">
      <w:pPr>
        <w:pStyle w:val="15"/>
        <w:widowControl w:val="0"/>
        <w:numPr>
          <w:ilvl w:val="0"/>
          <w:numId w:val="0"/>
        </w:numPr>
        <w:tabs>
          <w:tab w:val="clear" w:pos="454"/>
          <w:tab w:val="clear" w:pos="1440"/>
        </w:tabs>
        <w:snapToGrid w:val="0"/>
        <w:spacing w:afterLines="0" w:line="340" w:lineRule="exact"/>
        <w:ind w:left="420" w:left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▲1.磋商响应文件的有效期为磋商截止之日后的60日历天。有效期不足的磋商响应文件将被拒绝。</w:t>
      </w:r>
    </w:p>
    <w:p w14:paraId="2D7E507F">
      <w:pPr>
        <w:snapToGrid w:val="0"/>
        <w:spacing w:line="340" w:lineRule="exact"/>
        <w:ind w:firstLine="464" w:firstLineChars="200"/>
        <w:jc w:val="left"/>
        <w:outlineLvl w:val="0"/>
        <w:rPr>
          <w:rFonts w:hint="eastAsia" w:ascii="宋体" w:hAnsi="宋体" w:eastAsia="宋体" w:cs="宋体"/>
          <w:b/>
          <w:color w:val="auto"/>
          <w:spacing w:val="11"/>
          <w:szCs w:val="21"/>
          <w:highlight w:val="none"/>
        </w:rPr>
      </w:pPr>
      <w:r>
        <w:rPr>
          <w:rFonts w:hint="eastAsia" w:ascii="宋体" w:hAnsi="宋体" w:eastAsia="宋体" w:cs="宋体"/>
          <w:color w:val="auto"/>
          <w:spacing w:val="11"/>
          <w:szCs w:val="21"/>
          <w:highlight w:val="none"/>
        </w:rPr>
        <w:t>2.特殊情况下，在磋商有效期满之前，采购单位可以书面形式要求供应商同意延长磋商有效期。供应商可以以书面形式拒绝或接受上述要求。对于接受该要求的供应商，采购单位既不要求也不允许其修改磋商响应文件，但将要求其相应延长磋商有效期。</w:t>
      </w:r>
    </w:p>
    <w:p w14:paraId="027527C1">
      <w:pPr>
        <w:snapToGrid w:val="0"/>
        <w:spacing w:line="340" w:lineRule="exact"/>
        <w:ind w:firstLine="464" w:firstLineChars="200"/>
        <w:jc w:val="left"/>
        <w:outlineLvl w:val="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3.成交供应商的磋商响应文件自磋商之日起至合同履行完毕止均应保持有效。</w:t>
      </w:r>
    </w:p>
    <w:p w14:paraId="3EA1CE01">
      <w:pPr>
        <w:snapToGrid w:val="0"/>
        <w:spacing w:line="340" w:lineRule="exact"/>
        <w:ind w:firstLine="466" w:firstLineChars="200"/>
        <w:jc w:val="left"/>
        <w:outlineLvl w:val="0"/>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（五）磋商保证金</w:t>
      </w:r>
    </w:p>
    <w:p w14:paraId="3468EA30">
      <w:pPr>
        <w:snapToGrid w:val="0"/>
        <w:spacing w:line="340" w:lineRule="exact"/>
        <w:ind w:firstLine="464" w:firstLineChars="200"/>
        <w:jc w:val="left"/>
        <w:outlineLvl w:val="0"/>
        <w:rPr>
          <w:rFonts w:hint="eastAsia" w:ascii="宋体" w:hAnsi="宋体" w:eastAsia="宋体" w:cs="宋体"/>
          <w:b/>
          <w:color w:val="auto"/>
          <w:spacing w:val="11"/>
          <w:szCs w:val="21"/>
          <w:highlight w:val="none"/>
        </w:rPr>
      </w:pPr>
      <w:r>
        <w:rPr>
          <w:rFonts w:hint="eastAsia" w:ascii="宋体" w:hAnsi="宋体" w:eastAsia="宋体" w:cs="宋体"/>
          <w:color w:val="auto"/>
          <w:spacing w:val="11"/>
          <w:szCs w:val="21"/>
          <w:highlight w:val="none"/>
        </w:rPr>
        <w:t>无</w:t>
      </w:r>
    </w:p>
    <w:p w14:paraId="394DF1DC">
      <w:pPr>
        <w:snapToGrid w:val="0"/>
        <w:spacing w:line="340" w:lineRule="exact"/>
        <w:ind w:firstLine="466" w:firstLineChars="200"/>
        <w:jc w:val="left"/>
        <w:outlineLvl w:val="0"/>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（六）磋商响应文件的构成和份数</w:t>
      </w:r>
    </w:p>
    <w:p w14:paraId="7E0BB279">
      <w:pPr>
        <w:snapToGrid w:val="0"/>
        <w:spacing w:line="340" w:lineRule="exact"/>
        <w:ind w:firstLine="464" w:firstLineChars="200"/>
        <w:jc w:val="left"/>
        <w:rPr>
          <w:rFonts w:hint="eastAsia" w:ascii="宋体" w:hAnsi="宋体" w:eastAsia="宋体" w:cs="宋体"/>
          <w:color w:val="auto"/>
          <w:spacing w:val="11"/>
          <w:szCs w:val="21"/>
          <w:highlight w:val="none"/>
          <w:lang w:eastAsia="zh-CN"/>
        </w:rPr>
      </w:pPr>
      <w:r>
        <w:rPr>
          <w:rFonts w:hint="eastAsia" w:ascii="宋体" w:hAnsi="宋体" w:eastAsia="宋体" w:cs="宋体"/>
          <w:color w:val="auto"/>
          <w:spacing w:val="11"/>
          <w:szCs w:val="21"/>
          <w:highlight w:val="none"/>
        </w:rPr>
        <w:t>1. 磋商响应文件的构成和份数见磋商须知前附表</w:t>
      </w:r>
      <w:r>
        <w:rPr>
          <w:rFonts w:hint="eastAsia" w:ascii="宋体" w:hAnsi="宋体" w:eastAsia="宋体" w:cs="宋体"/>
          <w:color w:val="auto"/>
          <w:spacing w:val="11"/>
          <w:szCs w:val="21"/>
          <w:highlight w:val="none"/>
          <w:lang w:eastAsia="zh-CN"/>
        </w:rPr>
        <w:t>。</w:t>
      </w:r>
    </w:p>
    <w:p w14:paraId="707A991E">
      <w:pPr>
        <w:snapToGrid w:val="0"/>
        <w:spacing w:line="340" w:lineRule="exact"/>
        <w:ind w:firstLine="464" w:firstLineChars="200"/>
        <w:jc w:val="left"/>
        <w:rPr>
          <w:rFonts w:hint="eastAsia" w:ascii="宋体" w:hAnsi="宋体" w:eastAsia="宋体" w:cs="宋体"/>
          <w:color w:val="auto"/>
          <w:spacing w:val="11"/>
          <w:szCs w:val="21"/>
          <w:highlight w:val="none"/>
          <w:lang w:eastAsia="zh-CN"/>
        </w:rPr>
      </w:pPr>
      <w:r>
        <w:rPr>
          <w:rFonts w:hint="eastAsia" w:ascii="宋体" w:hAnsi="宋体" w:eastAsia="宋体" w:cs="宋体"/>
          <w:color w:val="auto"/>
          <w:spacing w:val="11"/>
          <w:szCs w:val="21"/>
          <w:highlight w:val="none"/>
        </w:rPr>
        <w:t>2.</w:t>
      </w:r>
      <w:r>
        <w:rPr>
          <w:rFonts w:hint="eastAsia" w:ascii="宋体" w:hAnsi="宋体" w:eastAsia="宋体" w:cs="宋体"/>
          <w:color w:val="auto"/>
          <w:szCs w:val="21"/>
          <w:highlight w:val="none"/>
        </w:rPr>
        <w:t>纸质备份</w:t>
      </w:r>
      <w:r>
        <w:rPr>
          <w:rFonts w:hint="eastAsia" w:ascii="宋体" w:hAnsi="宋体" w:eastAsia="宋体" w:cs="宋体"/>
          <w:color w:val="auto"/>
          <w:spacing w:val="11"/>
          <w:szCs w:val="21"/>
          <w:highlight w:val="none"/>
        </w:rPr>
        <w:t>磋商响应文件签署、标记和盖章</w:t>
      </w:r>
      <w:r>
        <w:rPr>
          <w:rFonts w:hint="eastAsia" w:ascii="宋体" w:hAnsi="宋体" w:eastAsia="宋体" w:cs="宋体"/>
          <w:color w:val="auto"/>
          <w:spacing w:val="11"/>
          <w:szCs w:val="21"/>
          <w:highlight w:val="none"/>
          <w:lang w:eastAsia="zh-CN"/>
        </w:rPr>
        <w:t>。</w:t>
      </w:r>
    </w:p>
    <w:p w14:paraId="5AB1BBB8">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2.1</w:t>
      </w:r>
      <w:r>
        <w:rPr>
          <w:rFonts w:hint="eastAsia" w:ascii="宋体" w:hAnsi="宋体" w:eastAsia="宋体" w:cs="宋体"/>
          <w:color w:val="auto"/>
          <w:szCs w:val="21"/>
          <w:highlight w:val="none"/>
        </w:rPr>
        <w:t>纸质备份</w:t>
      </w:r>
      <w:r>
        <w:rPr>
          <w:rFonts w:hint="eastAsia" w:ascii="宋体" w:hAnsi="宋体" w:eastAsia="宋体" w:cs="宋体"/>
          <w:color w:val="auto"/>
          <w:spacing w:val="11"/>
          <w:szCs w:val="21"/>
          <w:highlight w:val="none"/>
        </w:rPr>
        <w:t>磋商响应文件需打印或用不褪色墨水书写，字迹应清晰易于辨认。凡写明需由供应商法定代表人或其授权代理人签字或盖章、并加盖供应商公章的地方，须按要求由供应商法定代表人或其授权代理人签字或盖章、并加盖供应商公章。由委托代理签字或盖章的，磋商响应文件应附法定代表人签署的授权委托书。</w:t>
      </w:r>
    </w:p>
    <w:p w14:paraId="4AB6A9DC">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2.2供应商应按本磋商文件规定的格式和顺序编制、装订磋商响应文件并标注页码，磋商响应文件内容不完整、编排混乱导致磋商响应文件被误读、漏读或者查找不到相关内容的，是供应商的责任。</w:t>
      </w:r>
    </w:p>
    <w:p w14:paraId="3AADCEF8">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2.3磋商响应文件不得涂改，若有修改错漏处，须加盖单位公章或者法定代表人或授权委托人签字确认。磋商响应文件因字迹潦草或表达不清所引起的后果由供应商负责。</w:t>
      </w:r>
    </w:p>
    <w:p w14:paraId="686DFE87">
      <w:pPr>
        <w:snapToGrid w:val="0"/>
        <w:spacing w:line="340" w:lineRule="exact"/>
        <w:ind w:firstLine="466" w:firstLineChars="200"/>
        <w:jc w:val="left"/>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（七）纸质备份磋商响应文件的外包装和密封要求、</w:t>
      </w:r>
      <w:r>
        <w:rPr>
          <w:rFonts w:hint="eastAsia" w:ascii="宋体" w:hAnsi="宋体" w:eastAsia="宋体" w:cs="宋体"/>
          <w:b/>
          <w:color w:val="auto"/>
          <w:szCs w:val="21"/>
          <w:highlight w:val="none"/>
        </w:rPr>
        <w:t>修改和撤回</w:t>
      </w:r>
    </w:p>
    <w:p w14:paraId="05187F07">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w:t>
      </w:r>
      <w:r>
        <w:rPr>
          <w:rFonts w:hint="eastAsia" w:ascii="宋体" w:hAnsi="宋体" w:eastAsia="宋体" w:cs="宋体"/>
          <w:color w:val="auto"/>
          <w:spacing w:val="11"/>
          <w:szCs w:val="21"/>
          <w:highlight w:val="none"/>
          <w:u w:val="single"/>
        </w:rPr>
        <w:t>“商务及资信技术文件</w:t>
      </w:r>
      <w:r>
        <w:rPr>
          <w:rFonts w:hint="eastAsia" w:ascii="宋体" w:hAnsi="宋体" w:eastAsia="宋体" w:cs="宋体"/>
          <w:color w:val="auto"/>
          <w:spacing w:val="11"/>
          <w:szCs w:val="21"/>
          <w:highlight w:val="none"/>
          <w:u w:val="single"/>
          <w:lang w:eastAsia="zh-CN"/>
        </w:rPr>
        <w:t>”“</w:t>
      </w:r>
      <w:r>
        <w:rPr>
          <w:rFonts w:hint="eastAsia" w:ascii="宋体" w:hAnsi="宋体" w:eastAsia="宋体" w:cs="宋体"/>
          <w:color w:val="auto"/>
          <w:spacing w:val="11"/>
          <w:szCs w:val="21"/>
          <w:highlight w:val="none"/>
          <w:u w:val="single"/>
        </w:rPr>
        <w:t>报价文件”分别包装密封，装订成册。</w:t>
      </w:r>
      <w:r>
        <w:rPr>
          <w:rFonts w:hint="eastAsia" w:ascii="宋体" w:hAnsi="宋体" w:eastAsia="宋体" w:cs="宋体"/>
          <w:color w:val="auto"/>
          <w:spacing w:val="11"/>
          <w:szCs w:val="21"/>
          <w:highlight w:val="none"/>
        </w:rPr>
        <w:t>磋商响应文件的包装封面上应注明供应商名称、供应商地址、磋商响应文件名称（“商务及资信技术文件”或“报价文件”）、项目名称、项目编号及“在  年  月  日  时  分之前不得启封”字样，并加盖供应商公章。</w:t>
      </w:r>
    </w:p>
    <w:p w14:paraId="4D26559A">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2.未按规定密封或标记的磋商响应文件将被拒绝，由此造成磋商响应文件被误投或提前拆封的风险由供应商承担。</w:t>
      </w:r>
    </w:p>
    <w:p w14:paraId="71C9F6D9">
      <w:pPr>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供应商在磋商截止时间之前，可以对已提交的磋商响应文件进行修改或撤回，并书面通知采购人；磋商截止时间后，供应商不得撤回、修改磋商响应文件。修改后重新递交的磋商响应文件应当按本竞争性磋商文件的要求签署、盖章和密封。</w:t>
      </w:r>
    </w:p>
    <w:p w14:paraId="61E116EF">
      <w:pPr>
        <w:spacing w:line="340" w:lineRule="exact"/>
        <w:ind w:firstLine="464" w:firstLineChars="200"/>
        <w:rPr>
          <w:rFonts w:hint="eastAsia" w:ascii="宋体" w:hAnsi="宋体" w:eastAsia="宋体" w:cs="宋体"/>
          <w:b/>
          <w:color w:val="auto"/>
          <w:spacing w:val="11"/>
          <w:szCs w:val="21"/>
          <w:highlight w:val="none"/>
        </w:rPr>
      </w:pPr>
      <w:r>
        <w:rPr>
          <w:rFonts w:hint="eastAsia" w:ascii="宋体" w:hAnsi="宋体" w:eastAsia="宋体" w:cs="宋体"/>
          <w:color w:val="auto"/>
          <w:spacing w:val="11"/>
          <w:szCs w:val="21"/>
          <w:highlight w:val="none"/>
        </w:rPr>
        <w:t>4.采购代理机构对磋商响应文件送达过程中的遗失或损坏不负责任。</w:t>
      </w:r>
    </w:p>
    <w:p w14:paraId="1F3BFF78">
      <w:pPr>
        <w:snapToGrid w:val="0"/>
        <w:spacing w:line="340" w:lineRule="exact"/>
        <w:ind w:firstLine="466" w:firstLineChars="200"/>
        <w:outlineLvl w:val="2"/>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（八）迟交的磋商响应文件</w:t>
      </w:r>
    </w:p>
    <w:p w14:paraId="08BA6694">
      <w:pPr>
        <w:snapToGrid w:val="0"/>
        <w:spacing w:line="340" w:lineRule="exact"/>
        <w:ind w:firstLine="466" w:firstLineChars="200"/>
        <w:outlineLvl w:val="2"/>
        <w:rPr>
          <w:rFonts w:hint="eastAsia" w:ascii="宋体" w:hAnsi="宋体" w:eastAsia="宋体" w:cs="宋体"/>
          <w:b/>
          <w:bCs/>
          <w:color w:val="auto"/>
          <w:spacing w:val="11"/>
          <w:szCs w:val="21"/>
          <w:highlight w:val="none"/>
        </w:rPr>
      </w:pPr>
      <w:r>
        <w:rPr>
          <w:rFonts w:hint="eastAsia" w:ascii="宋体" w:hAnsi="宋体" w:eastAsia="宋体" w:cs="宋体"/>
          <w:b/>
          <w:color w:val="auto"/>
          <w:spacing w:val="11"/>
          <w:szCs w:val="21"/>
          <w:highlight w:val="none"/>
        </w:rPr>
        <w:t>采购代理机构将拒绝接收在磋商响应截止日期后送达的磋商响应文件。</w:t>
      </w:r>
    </w:p>
    <w:p w14:paraId="4D48A664">
      <w:pPr>
        <w:pStyle w:val="29"/>
        <w:spacing w:before="120" w:after="120" w:line="340" w:lineRule="exact"/>
        <w:ind w:firstLine="466" w:firstLineChars="200"/>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四、磋商规则、程序</w:t>
      </w:r>
    </w:p>
    <w:p w14:paraId="3D35D3F8">
      <w:pPr>
        <w:pStyle w:val="29"/>
        <w:spacing w:before="120" w:after="120" w:line="340" w:lineRule="exact"/>
        <w:ind w:firstLine="466" w:firstLineChars="200"/>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（一）磋商规则</w:t>
      </w:r>
    </w:p>
    <w:p w14:paraId="50551C4C">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1.采购代理机构将于本须知前附表规定的时间和地点召开磋商会。</w:t>
      </w:r>
    </w:p>
    <w:p w14:paraId="1A65C281">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2.磋商会由采购代理机构主持。</w:t>
      </w:r>
    </w:p>
    <w:p w14:paraId="38BA43A3">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3.对供应商的磋商响应文件出现下列情况之一的，作无效处理：</w:t>
      </w:r>
    </w:p>
    <w:p w14:paraId="69CF60DC">
      <w:pPr>
        <w:pStyle w:val="29"/>
        <w:spacing w:before="120" w:after="120" w:line="340" w:lineRule="exact"/>
        <w:ind w:firstLine="466" w:firstLineChars="200"/>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1、在磋商开始前，</w:t>
      </w:r>
      <w:r>
        <w:rPr>
          <w:rFonts w:hint="eastAsia" w:ascii="宋体" w:hAnsi="宋体" w:eastAsia="宋体" w:cs="宋体"/>
          <w:b/>
          <w:bCs/>
          <w:color w:val="auto"/>
          <w:spacing w:val="11"/>
          <w:sz w:val="21"/>
          <w:szCs w:val="21"/>
          <w:highlight w:val="none"/>
          <w:lang w:val="en-US" w:eastAsia="zh-CN"/>
        </w:rPr>
        <w:t>磋商小组</w:t>
      </w:r>
      <w:r>
        <w:rPr>
          <w:rFonts w:hint="eastAsia" w:ascii="宋体" w:hAnsi="宋体" w:eastAsia="宋体" w:cs="宋体"/>
          <w:b/>
          <w:bCs/>
          <w:color w:val="auto"/>
          <w:spacing w:val="11"/>
          <w:sz w:val="21"/>
          <w:szCs w:val="21"/>
          <w:highlight w:val="none"/>
        </w:rPr>
        <w:t>对供应商的资格进行审查，如发现下列情形之一的，磋商响应文件将被视为无效，不再进行下一步评审：</w:t>
      </w:r>
    </w:p>
    <w:p w14:paraId="54526C5C">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（1）资格证明文件不全的，或者不符合磋商文件标明的资格要求的（见资格审查资料要求）；</w:t>
      </w:r>
    </w:p>
    <w:p w14:paraId="440D4424">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（2）自公告发布之日起至磋商截止日内在“信用中国网” (www.creditchina.gov.cn</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rPr>
        <w:t>被列入失信被执行人、重大税收违法失信主体的供应商，资格审查时不予以通过；</w:t>
      </w:r>
    </w:p>
    <w:p w14:paraId="3D268029">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（3）自公告发布之日起至磋商截止日内在“中国政府采购网”</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rPr>
        <w:t>www.ccgp.gov.cn</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rPr>
        <w:t>被列入政府采购严重违法失信行为记录名单的，资格审查时不予以通过。</w:t>
      </w:r>
    </w:p>
    <w:p w14:paraId="3284DF45">
      <w:pPr>
        <w:pStyle w:val="29"/>
        <w:spacing w:before="120" w:after="120" w:line="340" w:lineRule="exact"/>
        <w:ind w:firstLine="466" w:firstLineChars="200"/>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2.在商务资信评审时，如发现下列情形之一的，磋商响应文件将被视为无效：</w:t>
      </w:r>
    </w:p>
    <w:p w14:paraId="4235C73B">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（1）磋商响应文件的密封、签署、盖章不符合磋商文件要求的；</w:t>
      </w:r>
    </w:p>
    <w:p w14:paraId="1BEB8A0E">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（2）不响应磋商文件实质性条款的；</w:t>
      </w:r>
    </w:p>
    <w:p w14:paraId="51A8F65A">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（3）磋商响应文件载明的磋商有效期、付款方式、供货期等商务条款不能满足磋商文件要求的；</w:t>
      </w:r>
    </w:p>
    <w:p w14:paraId="2DE77471">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（4）磋商响应文件关键字迹模糊辨认不清的（磋商小组一致认为难以确认）；</w:t>
      </w:r>
    </w:p>
    <w:p w14:paraId="317A3DEF">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（5）磋商响应文件附有采购人不能接受的条件的；</w:t>
      </w:r>
    </w:p>
    <w:p w14:paraId="2A4DED00">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（6）提供虚假资料的；</w:t>
      </w:r>
    </w:p>
    <w:p w14:paraId="3E2BDB63">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（7）电子磋商响应文件解密失败的，且未在规定时间内提交备份磋商响应文件的；</w:t>
      </w:r>
    </w:p>
    <w:p w14:paraId="12DDE617">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（8）磋商文件规定的其他实质性要求（磋商小组一致认定）的；</w:t>
      </w:r>
    </w:p>
    <w:p w14:paraId="66D0514A">
      <w:pPr>
        <w:pStyle w:val="29"/>
        <w:spacing w:before="120" w:after="120" w:line="340" w:lineRule="exact"/>
        <w:ind w:firstLine="464" w:firstLineChars="200"/>
        <w:rPr>
          <w:rFonts w:hint="eastAsia"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rPr>
        <w:t>（9）不同供应商的响应文件 IP 地址、MAC 地址、硬件号(硬盘号)一致的</w:t>
      </w:r>
      <w:r>
        <w:rPr>
          <w:rFonts w:hint="eastAsia" w:ascii="宋体" w:hAnsi="宋体" w:eastAsia="宋体" w:cs="宋体"/>
          <w:color w:val="auto"/>
          <w:spacing w:val="11"/>
          <w:sz w:val="21"/>
          <w:szCs w:val="21"/>
          <w:highlight w:val="none"/>
          <w:lang w:eastAsia="zh-CN"/>
        </w:rPr>
        <w:t>；</w:t>
      </w:r>
    </w:p>
    <w:p w14:paraId="613510EC">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val="en-US" w:eastAsia="zh-CN"/>
        </w:rPr>
        <w:t>10</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rPr>
        <w:t xml:space="preserve">法律、法规、规章及省级以上规范性文件等规定的其他情形。 </w:t>
      </w:r>
    </w:p>
    <w:p w14:paraId="44E7AA9E">
      <w:pPr>
        <w:pStyle w:val="29"/>
        <w:spacing w:before="120" w:after="120" w:line="340" w:lineRule="exact"/>
        <w:ind w:firstLine="524"/>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3.在技术评审时，如发现下列情形之一的，磋商响应文件将被视为无效：</w:t>
      </w:r>
    </w:p>
    <w:p w14:paraId="0F2D5CF1">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w:t>
      </w:r>
      <w:r>
        <w:rPr>
          <w:rFonts w:hint="eastAsia" w:ascii="宋体" w:hAnsi="宋体" w:eastAsia="宋体" w:cs="宋体"/>
          <w:color w:val="auto"/>
          <w:spacing w:val="11"/>
          <w:sz w:val="21"/>
          <w:szCs w:val="21"/>
          <w:highlight w:val="none"/>
          <w:lang w:val="en-US" w:eastAsia="zh-CN"/>
        </w:rPr>
        <w:t>磋商响应</w:t>
      </w:r>
      <w:r>
        <w:rPr>
          <w:rFonts w:hint="eastAsia" w:ascii="宋体" w:hAnsi="宋体" w:eastAsia="宋体" w:cs="宋体"/>
          <w:color w:val="auto"/>
          <w:spacing w:val="11"/>
          <w:sz w:val="21"/>
          <w:szCs w:val="21"/>
          <w:highlight w:val="none"/>
        </w:rPr>
        <w:t>文件标明的响应或偏离与事实不符或虚假</w:t>
      </w:r>
      <w:r>
        <w:rPr>
          <w:rFonts w:hint="eastAsia" w:ascii="宋体" w:hAnsi="宋体" w:eastAsia="宋体" w:cs="宋体"/>
          <w:color w:val="auto"/>
          <w:spacing w:val="11"/>
          <w:sz w:val="21"/>
          <w:szCs w:val="21"/>
          <w:highlight w:val="none"/>
          <w:lang w:val="en-US" w:eastAsia="zh-CN"/>
        </w:rPr>
        <w:t>磋商响应</w:t>
      </w:r>
      <w:r>
        <w:rPr>
          <w:rFonts w:hint="eastAsia" w:ascii="宋体" w:hAnsi="宋体" w:eastAsia="宋体" w:cs="宋体"/>
          <w:color w:val="auto"/>
          <w:spacing w:val="11"/>
          <w:sz w:val="21"/>
          <w:szCs w:val="21"/>
          <w:highlight w:val="none"/>
        </w:rPr>
        <w:t>的；</w:t>
      </w:r>
    </w:p>
    <w:p w14:paraId="2E11A627">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（2）明显不符合招标文件要求的技术标准、质量标准或者与磋商文件中标有“▲”的技术指标、主要功能项目发生实质性偏离的；</w:t>
      </w:r>
    </w:p>
    <w:p w14:paraId="2AF44C32">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w:t>
      </w:r>
      <w:r>
        <w:rPr>
          <w:rFonts w:hint="eastAsia" w:ascii="宋体" w:hAnsi="宋体" w:eastAsia="宋体" w:cs="宋体"/>
          <w:color w:val="auto"/>
          <w:spacing w:val="11"/>
          <w:sz w:val="21"/>
          <w:szCs w:val="21"/>
          <w:highlight w:val="none"/>
          <w:lang w:val="en-US" w:eastAsia="zh-CN"/>
        </w:rPr>
        <w:t>磋商响应</w:t>
      </w:r>
      <w:r>
        <w:rPr>
          <w:rFonts w:hint="eastAsia" w:ascii="宋体" w:hAnsi="宋体" w:eastAsia="宋体" w:cs="宋体"/>
          <w:color w:val="auto"/>
          <w:spacing w:val="11"/>
          <w:sz w:val="21"/>
          <w:szCs w:val="21"/>
          <w:highlight w:val="none"/>
        </w:rPr>
        <w:t>技术方案不明确，存在一个或一个以上备选（替代）</w:t>
      </w:r>
      <w:r>
        <w:rPr>
          <w:rFonts w:hint="eastAsia" w:ascii="宋体" w:hAnsi="宋体" w:eastAsia="宋体" w:cs="宋体"/>
          <w:color w:val="auto"/>
          <w:spacing w:val="11"/>
          <w:sz w:val="21"/>
          <w:szCs w:val="21"/>
          <w:highlight w:val="none"/>
          <w:lang w:val="en-US" w:eastAsia="zh-CN"/>
        </w:rPr>
        <w:t>磋商响应</w:t>
      </w:r>
      <w:r>
        <w:rPr>
          <w:rFonts w:hint="eastAsia" w:ascii="宋体" w:hAnsi="宋体" w:eastAsia="宋体" w:cs="宋体"/>
          <w:color w:val="auto"/>
          <w:spacing w:val="11"/>
          <w:sz w:val="21"/>
          <w:szCs w:val="21"/>
          <w:highlight w:val="none"/>
        </w:rPr>
        <w:t>方案的；</w:t>
      </w:r>
    </w:p>
    <w:p w14:paraId="0687FBC5">
      <w:pPr>
        <w:snapToGrid w:val="0"/>
        <w:spacing w:line="340" w:lineRule="exact"/>
        <w:ind w:firstLine="464" w:firstLineChars="200"/>
        <w:rPr>
          <w:rFonts w:hint="eastAsia" w:ascii="宋体" w:hAnsi="宋体" w:eastAsia="宋体" w:cs="宋体"/>
          <w:b/>
          <w:bCs/>
          <w:color w:val="auto"/>
          <w:spacing w:val="11"/>
          <w:szCs w:val="21"/>
          <w:highlight w:val="none"/>
        </w:rPr>
      </w:pPr>
      <w:r>
        <w:rPr>
          <w:rFonts w:hint="eastAsia" w:ascii="宋体" w:hAnsi="宋体" w:eastAsia="宋体" w:cs="宋体"/>
          <w:color w:val="auto"/>
          <w:spacing w:val="11"/>
          <w:szCs w:val="21"/>
          <w:highlight w:val="none"/>
        </w:rPr>
        <w:t>（4）与其他参加本次</w:t>
      </w:r>
      <w:r>
        <w:rPr>
          <w:rFonts w:hint="eastAsia" w:ascii="宋体" w:hAnsi="宋体" w:eastAsia="宋体" w:cs="宋体"/>
          <w:color w:val="auto"/>
          <w:spacing w:val="11"/>
          <w:sz w:val="21"/>
          <w:szCs w:val="21"/>
          <w:highlight w:val="none"/>
          <w:lang w:val="en-US" w:eastAsia="zh-CN"/>
        </w:rPr>
        <w:t>磋商</w:t>
      </w:r>
      <w:r>
        <w:rPr>
          <w:rFonts w:hint="eastAsia" w:ascii="宋体" w:hAnsi="宋体" w:eastAsia="宋体" w:cs="宋体"/>
          <w:color w:val="auto"/>
          <w:spacing w:val="11"/>
          <w:szCs w:val="21"/>
          <w:highlight w:val="none"/>
        </w:rPr>
        <w:t>的</w:t>
      </w:r>
      <w:r>
        <w:rPr>
          <w:rFonts w:hint="eastAsia" w:ascii="宋体" w:hAnsi="宋体" w:eastAsia="宋体" w:cs="宋体"/>
          <w:color w:val="auto"/>
          <w:spacing w:val="11"/>
          <w:sz w:val="21"/>
          <w:szCs w:val="21"/>
          <w:highlight w:val="none"/>
          <w:lang w:val="en-US" w:eastAsia="zh-CN"/>
        </w:rPr>
        <w:t>磋商响应</w:t>
      </w:r>
      <w:r>
        <w:rPr>
          <w:rFonts w:hint="eastAsia" w:ascii="宋体" w:hAnsi="宋体" w:eastAsia="宋体" w:cs="宋体"/>
          <w:color w:val="auto"/>
          <w:spacing w:val="11"/>
          <w:szCs w:val="21"/>
          <w:highlight w:val="none"/>
        </w:rPr>
        <w:t>人的</w:t>
      </w:r>
      <w:r>
        <w:rPr>
          <w:rFonts w:hint="eastAsia" w:ascii="宋体" w:hAnsi="宋体" w:eastAsia="宋体" w:cs="宋体"/>
          <w:color w:val="auto"/>
          <w:spacing w:val="11"/>
          <w:sz w:val="21"/>
          <w:szCs w:val="21"/>
          <w:highlight w:val="none"/>
          <w:lang w:val="en-US" w:eastAsia="zh-CN"/>
        </w:rPr>
        <w:t>磋商响应</w:t>
      </w:r>
      <w:r>
        <w:rPr>
          <w:rFonts w:hint="eastAsia" w:ascii="宋体" w:hAnsi="宋体" w:eastAsia="宋体" w:cs="宋体"/>
          <w:color w:val="auto"/>
          <w:spacing w:val="11"/>
          <w:szCs w:val="21"/>
          <w:highlight w:val="none"/>
        </w:rPr>
        <w:t>文件（技术文件）的文字表述内容相同连续20行以上或者差错相同2处以上的；</w:t>
      </w:r>
    </w:p>
    <w:p w14:paraId="4862D34A">
      <w:pPr>
        <w:snapToGrid w:val="0"/>
        <w:spacing w:line="340" w:lineRule="exact"/>
        <w:ind w:firstLine="466" w:firstLineChars="200"/>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4.在报价评审时，如发现下列情形之一的，磋商响应文件将被视为无效：</w:t>
      </w:r>
    </w:p>
    <w:p w14:paraId="3D7F58BB">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（1）未按磋商文件标明的要求报价的；</w:t>
      </w:r>
    </w:p>
    <w:p w14:paraId="38083492">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（2）报价超出本项目最高限价的；</w:t>
      </w:r>
    </w:p>
    <w:p w14:paraId="2B2EE723">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（3）供应商提交两份或两份以上内容不同的报价文件，或在一份报价文件中对同一采购项目有两个或两个以上报价的；</w:t>
      </w:r>
    </w:p>
    <w:p w14:paraId="3B16D7BB">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（4）擅自改变采购人提供的清单，或未提供竞争性磋商文件要求的采购清单，影响磋商正常进行的；</w:t>
      </w:r>
    </w:p>
    <w:p w14:paraId="5554157E">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（5）供应商拒绝修正不平衡报价，或拒绝提供报价分析说明和证明资料的；</w:t>
      </w:r>
    </w:p>
    <w:p w14:paraId="042F2396">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6）供应商的报价低于本项目预算价50%的，应当在报价文件中详细阐述不影响产品质量或者诚信约的具体原因，若未提供或提供的原因不能证明其合理性，磋商小组应当要求其在现场合理的时间内提供书面说明。供应商不能证明其合理性，</w:t>
      </w:r>
      <w:r>
        <w:rPr>
          <w:rFonts w:hint="eastAsia" w:ascii="宋体" w:hAnsi="宋体" w:eastAsia="宋体" w:cs="宋体"/>
          <w:color w:val="auto"/>
          <w:spacing w:val="11"/>
          <w:sz w:val="21"/>
          <w:szCs w:val="21"/>
          <w:highlight w:val="none"/>
          <w:lang w:val="en-US" w:eastAsia="zh-CN"/>
        </w:rPr>
        <w:t>磋商小组</w:t>
      </w:r>
      <w:r>
        <w:rPr>
          <w:rFonts w:hint="eastAsia" w:ascii="宋体" w:hAnsi="宋体" w:eastAsia="宋体" w:cs="宋体"/>
          <w:color w:val="auto"/>
          <w:spacing w:val="11"/>
          <w:sz w:val="21"/>
          <w:szCs w:val="21"/>
          <w:highlight w:val="none"/>
        </w:rPr>
        <w:t>按照少数服从多数的原则判定其为无效标的。</w:t>
      </w:r>
    </w:p>
    <w:p w14:paraId="0BAB22A4">
      <w:pPr>
        <w:pStyle w:val="29"/>
        <w:spacing w:before="120" w:after="120" w:line="340" w:lineRule="exact"/>
        <w:ind w:firstLine="466" w:firstLineChars="200"/>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（二）磋商小组与磋商原则</w:t>
      </w:r>
    </w:p>
    <w:p w14:paraId="1B360174">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1.磋商小组由采购人代表和评审专家共3人及以上单数组成，其中评审专家人数不得少于磋商小组成员总数的2/3。</w:t>
      </w:r>
    </w:p>
    <w:p w14:paraId="63884702">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2.磋商小组负责磋商活动，遵循公开、公平、公正、科学合理，竞争择优的原则。</w:t>
      </w:r>
    </w:p>
    <w:p w14:paraId="2D17DC6C">
      <w:pPr>
        <w:pStyle w:val="29"/>
        <w:spacing w:before="120" w:after="120" w:line="340" w:lineRule="exact"/>
        <w:ind w:firstLine="466" w:firstLineChars="200"/>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（三）磋商过程的保密</w:t>
      </w:r>
    </w:p>
    <w:p w14:paraId="7D2AD146">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凡属于对磋商响应文件的审查、澄清、评判和比较的有关资料、成交候选供应商的推荐情况及与磋商有关的其他任何情况信息，磋商小组成员、采购人和采购代理机构工作人员、相关监督人员等与磋商有关的人员均应当予以保密。</w:t>
      </w:r>
    </w:p>
    <w:p w14:paraId="6614FCBC">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2.在磋商响应文件的评判和比较、成交候选供应商推荐以及授予合同的过程中，供应商向采购人、采购代理机构和磋商小组施加影响的任何行为，都将会导致其磋商被拒绝。</w:t>
      </w:r>
    </w:p>
    <w:p w14:paraId="3FBAAA84">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3.磋商小组分别与各供应商进行商务、技术及价格磋商，在磋商过程中，磋商小组成员不得透露其他供应商的磋商信息，严守商业秘密。</w:t>
      </w:r>
    </w:p>
    <w:p w14:paraId="4F7DCC96">
      <w:pPr>
        <w:pStyle w:val="29"/>
        <w:spacing w:before="120" w:after="120" w:line="340" w:lineRule="exact"/>
        <w:ind w:firstLine="466" w:firstLineChars="200"/>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（四）磋商响应文件的澄清</w:t>
      </w:r>
    </w:p>
    <w:p w14:paraId="2DB292E2">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磋商小组在对响应文件的有效性、完整性和响应程度进行审查时，可以要求供应商对响应文件中含义不明确、同类问题表述不一致或者有明显文字和计算错误的内容等以书面形式作出必要的澄清、说明或者更正。供应商的澄清、说明或者更正不得超出响应文件的范围或者改变响应文件的实质性内容。</w:t>
      </w:r>
    </w:p>
    <w:p w14:paraId="69CCEA42">
      <w:pPr>
        <w:pStyle w:val="29"/>
        <w:spacing w:before="120" w:after="120" w:line="340" w:lineRule="exact"/>
        <w:ind w:firstLine="466" w:firstLineChars="200"/>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（五）磋商程序与方法</w:t>
      </w:r>
    </w:p>
    <w:p w14:paraId="4BD1CE39">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1.资格审查</w:t>
      </w:r>
    </w:p>
    <w:p w14:paraId="6C67E183">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（1）磋商小组依据法律、法规和磋商文件规定，对磋商响应文件中的资格证明等进行审查，以确定供应商是否具备磋商资格。资格审查未通过的供应商，不进入后续评审。</w:t>
      </w:r>
    </w:p>
    <w:p w14:paraId="7B0B4B0D">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（2）磋商小组在进行资格审查时，不得改变磋商文件中已载明的资格条件、标准和办法。</w:t>
      </w:r>
    </w:p>
    <w:p w14:paraId="29EE4734">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2.符合性审查（包括商务资信、技术及报价审查）</w:t>
      </w:r>
    </w:p>
    <w:p w14:paraId="46A21EE7">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磋商小组对通过资格审查的供应商进行符合性审查。依据磋商文件的规定，从磋商响应文件的有效性、完整性和对磋商文件的响应程度进行符合性审查，以确定是否对磋商文件的实质性要求作出响应。符合性审查未通过的供应商，不进入后续评审。</w:t>
      </w:r>
    </w:p>
    <w:p w14:paraId="29FE55E2">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评审过程中磋商供应商有义务对磋商小组提出就磋商响应文件中含义不明确、同类问题表述不一致或者有明显的文字和计算错误的内容进行澄清、说明、或者纠正。并在磋商结束前，对澄清、说明或者纠正的相关内容以书面形式进行最终确认承诺，并由磋商供应商代表签字，但不得改变磋商响应文件的实质性内容。供应商的澄清、说明或者纠正应当由法定代表人或其授权代表签字或者加盖公章，并作为磋商响应文件的补充。由授权代表签字的，应当附法定代表人授权书。</w:t>
      </w:r>
    </w:p>
    <w:p w14:paraId="400D902A">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▲4.经澄清后，若偏差仍存在，且不可接受，磋商供应商则被认为是“没有实质性响应竞争性磋商文件要求”，其磋商不进入下一步评审。</w:t>
      </w:r>
    </w:p>
    <w:p w14:paraId="4EEB313D">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5.磋商响应文件计算错误的修正</w:t>
      </w:r>
    </w:p>
    <w:p w14:paraId="3D062E8B">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（1）磋商报价一览表总价金额与磋商报价明细表总价金额不一致的，以磋商报价一览表为准；</w:t>
      </w:r>
    </w:p>
    <w:p w14:paraId="0056096D">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（2）磋商响应文件的大写金额和小写金额不一致的，以大写金额为准；</w:t>
      </w:r>
    </w:p>
    <w:p w14:paraId="3E29C8E7">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（3）总价金额与按单价汇总金额不一致的，以单价金额计算结果为准；</w:t>
      </w:r>
    </w:p>
    <w:p w14:paraId="16ECCA73">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（4）单价金额小数点有明显错位的，应以总价为准，并修改单价；</w:t>
      </w:r>
    </w:p>
    <w:p w14:paraId="593EA09F">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（5）对不同文字文本磋商响应文件的解释发生异议的，以中文文本为准。</w:t>
      </w:r>
    </w:p>
    <w:p w14:paraId="2AA891ED">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6.商务资信、技术评审结束后，进行报价磋商。磋商小组将要求所有实质性响应的供应商在规定时间内提交最终报价。在磋商内容不变的情况下，最终报价不能高于前轮报价和最高限价（磋商响应文件中的报价视为第一轮报价），高出的报价将作无效标处理。</w:t>
      </w:r>
    </w:p>
    <w:p w14:paraId="075A98E3">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7.完成最终报价后采购代理机构对评审分数、各供应商最终报价进行公布，如有异议应当场提出，否则视为默许同意。</w:t>
      </w:r>
    </w:p>
    <w:p w14:paraId="4B931B00">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8.在磋商过程中，磋商供应商不得向磋商小组成员询问磋商情况，不得进行旨在影响磋商结果的活动，否则将取消其磋商资格。</w:t>
      </w:r>
    </w:p>
    <w:p w14:paraId="3F1F787D">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9.在磋商过程中，磋商小组成员不得与磋商供应商私下交换意见，不得透露与磋商有关的其他供应商的技术资料、价格和其他信息。在磋商结束后，凡与磋商情况有接触的人不得将磋商情况扩散出磋商小组成员外。</w:t>
      </w:r>
    </w:p>
    <w:p w14:paraId="1458F3D5">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10.在磋商中，出现下列情形之一的，磋商小组可以宣布磋商失败：</w:t>
      </w:r>
    </w:p>
    <w:p w14:paraId="73323A79">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（1）符合专业条件的供应商或者对磋商文件作实质响应的供应商不足三家的（特殊情况经审批同意的除外）；</w:t>
      </w:r>
    </w:p>
    <w:p w14:paraId="756D1401">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（2）出现影响采购公正的违法、违规行为的；</w:t>
      </w:r>
    </w:p>
    <w:p w14:paraId="7867E402">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（3）因重大变故，采购任务取消的；</w:t>
      </w:r>
    </w:p>
    <w:p w14:paraId="263DEAD9">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（4）供应商的报价均超过最高限价的，采购人不能支付的；</w:t>
      </w:r>
    </w:p>
    <w:p w14:paraId="7EA259FB">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（5）法律、法规、规章等规定的其他情形。</w:t>
      </w:r>
    </w:p>
    <w:p w14:paraId="11296808">
      <w:pPr>
        <w:pStyle w:val="29"/>
        <w:spacing w:before="120" w:after="120" w:line="340" w:lineRule="exact"/>
        <w:ind w:firstLine="464" w:firstLineChars="200"/>
        <w:outlineLvl w:val="1"/>
        <w:rPr>
          <w:rFonts w:hint="eastAsia" w:ascii="宋体" w:hAnsi="宋体" w:eastAsia="宋体" w:cs="宋体"/>
          <w:b/>
          <w:color w:val="auto"/>
          <w:spacing w:val="11"/>
          <w:sz w:val="21"/>
          <w:szCs w:val="21"/>
          <w:highlight w:val="none"/>
        </w:rPr>
      </w:pPr>
      <w:r>
        <w:rPr>
          <w:rFonts w:hint="eastAsia" w:ascii="宋体" w:hAnsi="宋体" w:eastAsia="宋体" w:cs="宋体"/>
          <w:color w:val="auto"/>
          <w:spacing w:val="11"/>
          <w:sz w:val="21"/>
          <w:szCs w:val="21"/>
          <w:highlight w:val="none"/>
        </w:rPr>
        <w:t>废标后，采购人将废标理由通知所有供应商。</w:t>
      </w:r>
    </w:p>
    <w:p w14:paraId="6BD63A09">
      <w:pPr>
        <w:pStyle w:val="29"/>
        <w:spacing w:before="120" w:after="120" w:line="340" w:lineRule="exact"/>
        <w:ind w:firstLine="466" w:firstLineChars="200"/>
        <w:outlineLvl w:val="1"/>
        <w:rPr>
          <w:rFonts w:hint="eastAsia" w:ascii="宋体" w:hAnsi="宋体" w:eastAsia="宋体" w:cs="宋体"/>
          <w:b/>
          <w:color w:val="auto"/>
          <w:spacing w:val="11"/>
          <w:sz w:val="21"/>
          <w:szCs w:val="21"/>
          <w:highlight w:val="none"/>
        </w:rPr>
      </w:pPr>
      <w:r>
        <w:rPr>
          <w:rFonts w:hint="eastAsia" w:ascii="宋体" w:hAnsi="宋体" w:eastAsia="宋体" w:cs="宋体"/>
          <w:b/>
          <w:color w:val="auto"/>
          <w:spacing w:val="11"/>
          <w:sz w:val="21"/>
          <w:szCs w:val="21"/>
          <w:highlight w:val="none"/>
        </w:rPr>
        <w:t>五、定标</w:t>
      </w:r>
    </w:p>
    <w:p w14:paraId="7460F8C4">
      <w:pPr>
        <w:pStyle w:val="29"/>
        <w:spacing w:before="120" w:after="120" w:line="340" w:lineRule="exact"/>
        <w:ind w:firstLine="466" w:firstLineChars="200"/>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（一）确定成交供应商</w:t>
      </w:r>
    </w:p>
    <w:p w14:paraId="47A3AF8C">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1.在全部满足竞争性磋商文件实质性要求的前提下，按综合得分高低确定成交供应商。</w:t>
      </w:r>
    </w:p>
    <w:p w14:paraId="075FB86F">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2.采购代理机构在磋商结束后2个工作日内将磋商评审报告交采购人确认。</w:t>
      </w:r>
    </w:p>
    <w:p w14:paraId="240939D8">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3.采购人应当在收到磋商评审报告之日起5个工作日内，按照磋商评审报告中推荐的排列顺序依法确定成交供应商。</w:t>
      </w:r>
    </w:p>
    <w:p w14:paraId="1B54EDBC">
      <w:pPr>
        <w:pStyle w:val="29"/>
        <w:spacing w:before="120" w:after="120" w:line="340" w:lineRule="exact"/>
        <w:ind w:firstLine="464" w:firstLineChars="200"/>
        <w:rPr>
          <w:rFonts w:hint="eastAsia" w:ascii="宋体" w:hAnsi="宋体" w:eastAsia="宋体" w:cs="宋体"/>
          <w:b/>
          <w:bCs/>
          <w:color w:val="auto"/>
          <w:spacing w:val="11"/>
          <w:sz w:val="21"/>
          <w:szCs w:val="21"/>
          <w:highlight w:val="none"/>
        </w:rPr>
      </w:pPr>
      <w:r>
        <w:rPr>
          <w:rFonts w:hint="eastAsia" w:ascii="宋体" w:hAnsi="宋体" w:eastAsia="宋体" w:cs="宋体"/>
          <w:color w:val="auto"/>
          <w:spacing w:val="11"/>
          <w:sz w:val="21"/>
          <w:szCs w:val="21"/>
          <w:highlight w:val="none"/>
        </w:rPr>
        <w:t>4.替补候选人的设定与使用：第一成交候选供应商放弃成交或者因不可抗力提出不能履行合同；或未能在规定时间内与采购人签订合同的；或者经质疑，采购人审查后，确认因成交候选供应商在本次采购活动中存在违法违规行为或其他原因使质疑成立的，采购人可以按照磋商评审报告推荐的成交候选供应商名单排列，确定下一候选人为成交供应商，也可以重新开展政府采购活动。</w:t>
      </w:r>
    </w:p>
    <w:p w14:paraId="1CFCAC96">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5.采购代理机构应当在收到采购人书面确定的成交供应商通知后将成交结果在原发布磋商公告的媒体上予以公告。公告期按有关规定执行。</w:t>
      </w:r>
    </w:p>
    <w:p w14:paraId="214CAB7C">
      <w:pPr>
        <w:pStyle w:val="29"/>
        <w:spacing w:before="120" w:after="120" w:line="340" w:lineRule="exact"/>
        <w:ind w:firstLine="466" w:firstLineChars="200"/>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（二）成交通知书</w:t>
      </w:r>
    </w:p>
    <w:p w14:paraId="575FC86F">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1.采购单位将以书面形式发出成交通知书并同时通知落标人。</w:t>
      </w:r>
    </w:p>
    <w:p w14:paraId="09BE1D90">
      <w:pPr>
        <w:snapToGrid w:val="0"/>
        <w:spacing w:line="340" w:lineRule="exact"/>
        <w:ind w:firstLine="466" w:firstLineChars="200"/>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2.根据浙江省财政厅《关于印发浙江省政府采购供应商注册及诚信管理暂行办法的通知》[浙财采监字〔2009〕28号]精神，成交供应商在领取成交通知书前，必须在“浙江政府采购网”上完成供应商的注册工作，成为浙江政府采购正式注册供应商后方可领取成交通知书。</w:t>
      </w:r>
    </w:p>
    <w:p w14:paraId="573FF4DC">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3.成交通知书为双方签订合同的依据。</w:t>
      </w:r>
    </w:p>
    <w:p w14:paraId="4851762C">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4.成交供应商根据成交通知书中规定的时间内，由法定代表人或其授权代理人与采购单位签订书面合同。</w:t>
      </w:r>
    </w:p>
    <w:p w14:paraId="585059D3">
      <w:pPr>
        <w:pStyle w:val="29"/>
        <w:spacing w:before="120" w:after="120" w:line="340" w:lineRule="exact"/>
        <w:ind w:firstLine="466" w:firstLineChars="200"/>
        <w:jc w:val="left"/>
        <w:outlineLvl w:val="1"/>
        <w:rPr>
          <w:rFonts w:hint="eastAsia" w:ascii="宋体" w:hAnsi="宋体" w:eastAsia="宋体" w:cs="宋体"/>
          <w:b/>
          <w:color w:val="auto"/>
          <w:spacing w:val="11"/>
          <w:sz w:val="21"/>
          <w:szCs w:val="21"/>
          <w:highlight w:val="none"/>
        </w:rPr>
      </w:pPr>
      <w:r>
        <w:rPr>
          <w:rFonts w:hint="eastAsia" w:ascii="宋体" w:hAnsi="宋体" w:eastAsia="宋体" w:cs="宋体"/>
          <w:b/>
          <w:color w:val="auto"/>
          <w:spacing w:val="11"/>
          <w:sz w:val="21"/>
          <w:szCs w:val="21"/>
          <w:highlight w:val="none"/>
        </w:rPr>
        <w:t>六、合同授予</w:t>
      </w:r>
    </w:p>
    <w:p w14:paraId="5CD60CF2">
      <w:pPr>
        <w:snapToGrid w:val="0"/>
        <w:spacing w:line="340" w:lineRule="exact"/>
        <w:ind w:firstLine="466" w:firstLineChars="200"/>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（一）授予合同的依据</w:t>
      </w:r>
    </w:p>
    <w:p w14:paraId="5147F5B5">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1.采购单位签发的成交通知书。</w:t>
      </w:r>
    </w:p>
    <w:p w14:paraId="7D8E3ACF">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2.磋商文件、磋商文件的修改及补充通知（函）。</w:t>
      </w:r>
    </w:p>
    <w:p w14:paraId="08646A77">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3.磋商响应文件和磋商时供应商作出的书面澄清、说明、纠正、承诺等。</w:t>
      </w:r>
    </w:p>
    <w:p w14:paraId="4A96CD98">
      <w:pPr>
        <w:snapToGrid w:val="0"/>
        <w:spacing w:line="340" w:lineRule="exact"/>
        <w:ind w:firstLine="466" w:firstLineChars="200"/>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（二）签订合同</w:t>
      </w:r>
    </w:p>
    <w:p w14:paraId="66890A9E">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1.采购单位与成交供应商应当在成交通知书发出之日起</w:t>
      </w:r>
      <w:r>
        <w:rPr>
          <w:rFonts w:hint="eastAsia" w:ascii="宋体" w:hAnsi="宋体" w:eastAsia="宋体" w:cs="宋体"/>
          <w:color w:val="auto"/>
          <w:spacing w:val="11"/>
          <w:szCs w:val="21"/>
          <w:highlight w:val="none"/>
          <w:u w:val="single"/>
        </w:rPr>
        <w:t>30</w:t>
      </w:r>
      <w:r>
        <w:rPr>
          <w:rFonts w:hint="eastAsia" w:ascii="宋体" w:hAnsi="宋体" w:eastAsia="宋体" w:cs="宋体"/>
          <w:color w:val="auto"/>
          <w:spacing w:val="11"/>
          <w:szCs w:val="21"/>
          <w:highlight w:val="none"/>
        </w:rPr>
        <w:t>日内签订合同。同时，采购代理机构对合同内容进行审查，如发现成交结果和磋商承诺内容不一致的，应予以纠正。</w:t>
      </w:r>
    </w:p>
    <w:p w14:paraId="4D41A3E9">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2.成交供应商有拖延、拒签合同的或有弄虚作假情况的，将被取消成交资格，给采购单位造成的损失应予以赔偿，同时采购单位可以与排位在成交供应商之后下一成交候选供应商签订合同，以此类推。</w:t>
      </w:r>
    </w:p>
    <w:p w14:paraId="44670DDE">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3.采购单位如不与成交供应商订立合同，或者采购单位、成交供应商订立背离合同实质性内容的协议，由政府有关部门责令改正，同时依法承担相应法律责任。</w:t>
      </w:r>
    </w:p>
    <w:p w14:paraId="3A862691">
      <w:pPr>
        <w:snapToGrid w:val="0"/>
        <w:spacing w:line="340" w:lineRule="exact"/>
        <w:ind w:firstLine="464" w:firstLineChars="200"/>
        <w:rPr>
          <w:rFonts w:hint="eastAsia" w:ascii="宋体" w:hAnsi="宋体" w:eastAsia="宋体" w:cs="宋体"/>
          <w:color w:val="auto"/>
          <w:highlight w:val="none"/>
        </w:rPr>
      </w:pPr>
      <w:r>
        <w:rPr>
          <w:rFonts w:hint="eastAsia" w:ascii="宋体" w:hAnsi="宋体" w:eastAsia="宋体" w:cs="宋体"/>
          <w:color w:val="auto"/>
          <w:spacing w:val="11"/>
          <w:szCs w:val="21"/>
          <w:highlight w:val="none"/>
        </w:rPr>
        <w:t>4.签订合同后7个工作日内，采购人或采购代理机构应及时在政采云平台进行合同备案。</w:t>
      </w:r>
      <w:bookmarkStart w:id="45" w:name="_Toc31147"/>
    </w:p>
    <w:p w14:paraId="47311D82">
      <w:pPr>
        <w:rPr>
          <w:rFonts w:hint="eastAsia" w:ascii="宋体" w:hAnsi="宋体" w:eastAsia="宋体" w:cs="宋体"/>
          <w:color w:val="auto"/>
          <w:highlight w:val="none"/>
        </w:rPr>
      </w:pPr>
    </w:p>
    <w:p w14:paraId="6BC3C8BA">
      <w:pPr>
        <w:rPr>
          <w:rFonts w:hint="eastAsia" w:ascii="宋体" w:hAnsi="宋体" w:eastAsia="宋体" w:cs="宋体"/>
          <w:color w:val="auto"/>
          <w:highlight w:val="none"/>
        </w:rPr>
      </w:pPr>
    </w:p>
    <w:p w14:paraId="364E3079">
      <w:pPr>
        <w:spacing w:line="360" w:lineRule="auto"/>
        <w:jc w:val="center"/>
        <w:outlineLvl w:val="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第四章  磋商办法及评分标准</w:t>
      </w:r>
      <w:bookmarkEnd w:id="45"/>
    </w:p>
    <w:p w14:paraId="7317F3F1">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为公正、公平、科学地选择成交供应商，根据《中华人民共和国政府采购法》、《政府采购货物和服务招投标管理办法》等有关法律法规的规定，并结合本项目的实际，制定本办法。</w:t>
      </w:r>
    </w:p>
    <w:p w14:paraId="40E7EE85">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一、总则</w:t>
      </w:r>
    </w:p>
    <w:p w14:paraId="4EA74879">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1.本项目原则上采用政采云电子招投标开标及评审程序，但有下情形之一的，按以下情况处理：</w:t>
      </w:r>
    </w:p>
    <w:p w14:paraId="12D8B609">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①若供应商在规定时间内无法解密或解密失败，采购代理机构将开启所有供应商递交的以介质存储的数据电文形式的备份磋商响应文件，上传至政采云平台项目采购模块，以完成开标，电子磋商响应文件自动失效。</w:t>
      </w:r>
    </w:p>
    <w:p w14:paraId="6D070F4D">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②若因政采云平台原因无法读取或电子开评标无法正常进行，采购代理机构将开启所有供应商递交的纸质备份磋商响应文件，以完成开标，电子磋商响应文件及以介质存储的数据电文形式的备份磋商响应文件自动失效。</w:t>
      </w:r>
    </w:p>
    <w:p w14:paraId="54EEAE66">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2.在磋商过程中，磋商小组可以根据磋商文件和磋商情况实质性变动采购需求中的技术、服务要求以及合同草案条款，但不得变动磋商文件中的其他内容。实质性变动的内容，须经采购人代表确认。</w:t>
      </w:r>
    </w:p>
    <w:p w14:paraId="6817797D">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3.电子招投标评审过程：</w:t>
      </w:r>
    </w:p>
    <w:p w14:paraId="17BE6F0C">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①磋商小组对商务资信、技术进行评审；</w:t>
      </w:r>
    </w:p>
    <w:p w14:paraId="4AABD8F0">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②在系统上公开资格和商务资信、技术评审结果；</w:t>
      </w:r>
    </w:p>
    <w:p w14:paraId="5D109C27">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③在系统上公开报价情况；</w:t>
      </w:r>
    </w:p>
    <w:p w14:paraId="21D15E94">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④磋商小组对报价情况进行评审；</w:t>
      </w:r>
    </w:p>
    <w:p w14:paraId="00D95C90">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⑤在系统上公布评审结果。</w:t>
      </w:r>
    </w:p>
    <w:p w14:paraId="1C2C1ED9">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特别说明：政采云公司如对电子化开标及评审程序有调整的，按调整后的程序操作。</w:t>
      </w:r>
    </w:p>
    <w:p w14:paraId="39CD45A7">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二、评标办法</w:t>
      </w:r>
    </w:p>
    <w:p w14:paraId="2CDB50F9">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1.本次评标采用综合评估法</w:t>
      </w:r>
      <w:r>
        <w:rPr>
          <w:rFonts w:hint="eastAsia" w:ascii="宋体" w:hAnsi="宋体" w:eastAsia="宋体" w:cs="宋体"/>
          <w:b/>
          <w:color w:val="auto"/>
          <w:spacing w:val="11"/>
          <w:szCs w:val="21"/>
          <w:highlight w:val="none"/>
        </w:rPr>
        <w:t>，总分为100分，其中价格分30分，资信技术70分。</w:t>
      </w:r>
      <w:r>
        <w:rPr>
          <w:rFonts w:hint="eastAsia" w:ascii="宋体" w:hAnsi="宋体" w:eastAsia="宋体" w:cs="宋体"/>
          <w:bCs/>
          <w:color w:val="auto"/>
          <w:spacing w:val="11"/>
          <w:szCs w:val="21"/>
          <w:highlight w:val="none"/>
        </w:rPr>
        <w:t>合格供应商的评审得分为各项目汇总得分。磋商小组根据综合评分对进入评分范围的磋商响应文件由高到低顺序推荐</w:t>
      </w:r>
      <w:r>
        <w:rPr>
          <w:rFonts w:hint="eastAsia" w:ascii="宋体" w:hAnsi="宋体" w:eastAsia="宋体" w:cs="宋体"/>
          <w:b/>
          <w:color w:val="auto"/>
          <w:spacing w:val="11"/>
          <w:szCs w:val="21"/>
          <w:highlight w:val="none"/>
        </w:rPr>
        <w:t>3名</w:t>
      </w:r>
      <w:r>
        <w:rPr>
          <w:rFonts w:hint="eastAsia" w:ascii="宋体" w:hAnsi="宋体" w:eastAsia="宋体" w:cs="宋体"/>
          <w:bCs/>
          <w:color w:val="auto"/>
          <w:spacing w:val="11"/>
          <w:szCs w:val="21"/>
          <w:highlight w:val="none"/>
        </w:rPr>
        <w:t>成交候选供应商，综合评分相同的，按报价由低到高顺序排列；得分且报价相同的，按技术得分由高到低顺序排列。评分过程中采用四舍五入法，并保留小数2位。</w:t>
      </w:r>
    </w:p>
    <w:p w14:paraId="5C026FD2">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各供应商综合评分=价格分得分+</w:t>
      </w:r>
      <w:r>
        <w:rPr>
          <w:rFonts w:hint="eastAsia" w:ascii="宋体" w:hAnsi="宋体" w:eastAsia="宋体" w:cs="宋体"/>
          <w:bCs/>
          <w:color w:val="auto"/>
          <w:szCs w:val="21"/>
          <w:highlight w:val="none"/>
        </w:rPr>
        <w:t>资信技术</w:t>
      </w:r>
      <w:r>
        <w:rPr>
          <w:rFonts w:hint="eastAsia" w:ascii="宋体" w:hAnsi="宋体" w:eastAsia="宋体" w:cs="宋体"/>
          <w:bCs/>
          <w:color w:val="auto"/>
          <w:spacing w:val="11"/>
          <w:szCs w:val="21"/>
          <w:highlight w:val="none"/>
        </w:rPr>
        <w:t>分得分。</w:t>
      </w:r>
    </w:p>
    <w:p w14:paraId="17CF3F50">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三、评分细则及标准</w:t>
      </w:r>
    </w:p>
    <w:p w14:paraId="76B94B92">
      <w:pPr>
        <w:keepNext w:val="0"/>
        <w:keepLines w:val="0"/>
        <w:pageBreakBefore w:val="0"/>
        <w:widowControl w:val="0"/>
        <w:kinsoku/>
        <w:wordWrap/>
        <w:overflowPunct/>
        <w:topLinePunct w:val="0"/>
        <w:autoSpaceDE/>
        <w:autoSpaceDN/>
        <w:bidi w:val="0"/>
        <w:adjustRightInd/>
        <w:snapToGrid/>
        <w:spacing w:line="400" w:lineRule="exact"/>
        <w:ind w:firstLine="466" w:firstLineChars="200"/>
        <w:textAlignment w:val="auto"/>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1.价格分（30分）</w:t>
      </w:r>
    </w:p>
    <w:p w14:paraId="4E4D9F45">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价格分采用低价优先法计算，取所有有效供应商中满足磋商响应文件要求且最终报价最低的供应商的价格为评标基准价，其他供应商的价格分按照下列公式计算：</w:t>
      </w:r>
    </w:p>
    <w:p w14:paraId="7A86FDEC">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价格分得分=（评标基准价/最终报价）×30 %×100</w:t>
      </w:r>
    </w:p>
    <w:p w14:paraId="5036A6ED">
      <w:pPr>
        <w:keepNext w:val="0"/>
        <w:keepLines w:val="0"/>
        <w:pageBreakBefore w:val="0"/>
        <w:widowControl w:val="0"/>
        <w:kinsoku/>
        <w:wordWrap/>
        <w:overflowPunct/>
        <w:topLinePunct w:val="0"/>
        <w:autoSpaceDE/>
        <w:autoSpaceDN/>
        <w:bidi w:val="0"/>
        <w:adjustRightInd/>
        <w:snapToGrid/>
        <w:spacing w:line="400" w:lineRule="exact"/>
        <w:ind w:firstLine="466" w:firstLineChars="200"/>
        <w:textAlignment w:val="auto"/>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2.资信技术分（70分）</w:t>
      </w:r>
    </w:p>
    <w:p w14:paraId="621D4698">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 xml:space="preserve">磋商小组成员按下列评分项目进行独立评审，每人一张评分表，并记名。按照磋商委员会成员的独立评分结果汇总数的算术平均分计算，计算公式为：         </w:t>
      </w:r>
    </w:p>
    <w:p w14:paraId="16D9DBBB">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技术商务资信部分=磋商委员会所有成员评分合计数/磋商委员会组成人员数</w:t>
      </w:r>
    </w:p>
    <w:tbl>
      <w:tblPr>
        <w:tblStyle w:val="60"/>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209"/>
        <w:gridCol w:w="6730"/>
        <w:gridCol w:w="706"/>
      </w:tblGrid>
      <w:tr w14:paraId="293D9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14:paraId="031577E2">
            <w:pPr>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rPr>
              <w:t>序号</w:t>
            </w:r>
          </w:p>
        </w:tc>
        <w:tc>
          <w:tcPr>
            <w:tcW w:w="1209" w:type="dxa"/>
            <w:noWrap w:val="0"/>
            <w:vAlign w:val="center"/>
          </w:tcPr>
          <w:p w14:paraId="0B9486F0">
            <w:pPr>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rPr>
              <w:t>评审内容</w:t>
            </w:r>
          </w:p>
        </w:tc>
        <w:tc>
          <w:tcPr>
            <w:tcW w:w="6730" w:type="dxa"/>
            <w:noWrap w:val="0"/>
            <w:vAlign w:val="center"/>
          </w:tcPr>
          <w:p w14:paraId="31AFD18A">
            <w:pPr>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rPr>
              <w:t>评分标准</w:t>
            </w:r>
          </w:p>
        </w:tc>
        <w:tc>
          <w:tcPr>
            <w:tcW w:w="706" w:type="dxa"/>
            <w:noWrap w:val="0"/>
            <w:vAlign w:val="center"/>
          </w:tcPr>
          <w:p w14:paraId="6299F6D1">
            <w:pPr>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rPr>
              <w:t>分值</w:t>
            </w:r>
          </w:p>
        </w:tc>
      </w:tr>
      <w:tr w14:paraId="468F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14:paraId="0B002A00">
            <w:pPr>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rPr>
              <w:t>一</w:t>
            </w:r>
          </w:p>
        </w:tc>
        <w:tc>
          <w:tcPr>
            <w:tcW w:w="1209" w:type="dxa"/>
            <w:noWrap w:val="0"/>
            <w:vAlign w:val="center"/>
          </w:tcPr>
          <w:p w14:paraId="48CF7560">
            <w:pPr>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技术分</w:t>
            </w:r>
          </w:p>
        </w:tc>
        <w:tc>
          <w:tcPr>
            <w:tcW w:w="6730" w:type="dxa"/>
            <w:noWrap w:val="0"/>
            <w:vAlign w:val="center"/>
          </w:tcPr>
          <w:p w14:paraId="554F78B1">
            <w:pPr>
              <w:spacing w:line="300" w:lineRule="exact"/>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u w:val="single"/>
              </w:rPr>
              <w:t>以下单项没有提供的，则该项不得分。</w:t>
            </w:r>
          </w:p>
        </w:tc>
        <w:tc>
          <w:tcPr>
            <w:tcW w:w="706" w:type="dxa"/>
            <w:noWrap w:val="0"/>
            <w:vAlign w:val="center"/>
          </w:tcPr>
          <w:p w14:paraId="0FA943AE">
            <w:pPr>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6</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p>
        </w:tc>
      </w:tr>
      <w:tr w14:paraId="12DFF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14:paraId="0CEF7BE2">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w:t>
            </w:r>
          </w:p>
        </w:tc>
        <w:tc>
          <w:tcPr>
            <w:tcW w:w="1209" w:type="dxa"/>
            <w:noWrap w:val="0"/>
            <w:vAlign w:val="center"/>
          </w:tcPr>
          <w:p w14:paraId="6125EE69">
            <w:pPr>
              <w:pStyle w:val="29"/>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技术参数</w:t>
            </w:r>
          </w:p>
        </w:tc>
        <w:tc>
          <w:tcPr>
            <w:tcW w:w="6730" w:type="dxa"/>
            <w:noWrap w:val="0"/>
            <w:vAlign w:val="center"/>
          </w:tcPr>
          <w:p w14:paraId="55BCCB4B">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投标人或生产厂商应如实填写《技术响应表》投标设备的技术参数对招标文件技术要求的响应程度：</w:t>
            </w:r>
          </w:p>
          <w:p w14:paraId="6A63D6EA">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（1）全部满足技术参数的，得</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p w14:paraId="638AB914">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（2）非加“★”项负偏离或无实质响应的，每1项扣1分；加“★”的项为重要条款，如出现无实质性响应或不能按照采购文件要求提供相关证明（包括截图证明、检测报告等证明材料），每1项扣2分，扣完为止。</w:t>
            </w:r>
          </w:p>
          <w:p w14:paraId="262EC4FD">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（3）加“▲”项参数为实质性响应内容，如出现无实质性响应或不能按照采购文件要求将进行废标处理。</w:t>
            </w:r>
          </w:p>
        </w:tc>
        <w:tc>
          <w:tcPr>
            <w:tcW w:w="706" w:type="dxa"/>
            <w:noWrap w:val="0"/>
            <w:vAlign w:val="center"/>
          </w:tcPr>
          <w:p w14:paraId="2DED30D8">
            <w:pPr>
              <w:tabs>
                <w:tab w:val="left" w:pos="3850"/>
              </w:tabs>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30</w:t>
            </w:r>
          </w:p>
        </w:tc>
      </w:tr>
      <w:tr w14:paraId="36DB9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14:paraId="775BFFDF">
            <w:pPr>
              <w:widowControl/>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2</w:t>
            </w:r>
          </w:p>
        </w:tc>
        <w:tc>
          <w:tcPr>
            <w:tcW w:w="1209" w:type="dxa"/>
            <w:noWrap w:val="0"/>
            <w:vAlign w:val="center"/>
          </w:tcPr>
          <w:p w14:paraId="703CD86F">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整体</w:t>
            </w:r>
            <w:r>
              <w:rPr>
                <w:rFonts w:hint="eastAsia" w:ascii="宋体" w:hAnsi="宋体" w:eastAsia="宋体" w:cs="宋体"/>
                <w:color w:val="auto"/>
                <w:sz w:val="21"/>
                <w:szCs w:val="21"/>
                <w:highlight w:val="none"/>
              </w:rPr>
              <w:t>服务方案</w:t>
            </w:r>
          </w:p>
        </w:tc>
        <w:tc>
          <w:tcPr>
            <w:tcW w:w="6730" w:type="dxa"/>
            <w:noWrap w:val="0"/>
            <w:vAlign w:val="center"/>
          </w:tcPr>
          <w:p w14:paraId="55CE7C7A">
            <w:pPr>
              <w:pStyle w:val="29"/>
              <w:overflowPunct/>
              <w:adjustRightInd/>
              <w:spacing w:line="360" w:lineRule="exac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rPr>
              <w:t>根据完成全部</w:t>
            </w:r>
            <w:r>
              <w:rPr>
                <w:rFonts w:hint="eastAsia" w:hAnsi="宋体" w:cs="宋体"/>
                <w:color w:val="auto"/>
                <w:sz w:val="21"/>
                <w:szCs w:val="21"/>
                <w:highlight w:val="none"/>
                <w:lang w:val="en-US" w:eastAsia="zh-CN"/>
              </w:rPr>
              <w:t>采购</w:t>
            </w:r>
            <w:r>
              <w:rPr>
                <w:rFonts w:hint="eastAsia" w:hAnsi="宋体" w:cs="宋体"/>
                <w:color w:val="auto"/>
                <w:sz w:val="21"/>
                <w:szCs w:val="21"/>
                <w:highlight w:val="none"/>
              </w:rPr>
              <w:t>内容，</w:t>
            </w:r>
            <w:r>
              <w:rPr>
                <w:rFonts w:hint="eastAsia" w:hAnsi="宋体" w:cs="宋体"/>
                <w:color w:val="auto"/>
                <w:sz w:val="21"/>
                <w:szCs w:val="21"/>
                <w:highlight w:val="none"/>
                <w:lang w:val="en-US" w:eastAsia="zh-CN"/>
              </w:rPr>
              <w:t>提供详细的服务方案</w:t>
            </w:r>
            <w:r>
              <w:rPr>
                <w:rFonts w:hint="eastAsia" w:hAnsi="宋体" w:cs="宋体"/>
                <w:color w:val="auto"/>
                <w:sz w:val="21"/>
                <w:szCs w:val="21"/>
                <w:highlight w:val="none"/>
              </w:rPr>
              <w:t>，满足</w:t>
            </w:r>
            <w:r>
              <w:rPr>
                <w:rFonts w:hint="eastAsia" w:hAnsi="宋体" w:cs="宋体"/>
                <w:color w:val="auto"/>
                <w:sz w:val="21"/>
                <w:szCs w:val="21"/>
                <w:highlight w:val="none"/>
                <w:lang w:val="en-US" w:eastAsia="zh-CN"/>
              </w:rPr>
              <w:t>供货、</w:t>
            </w:r>
            <w:r>
              <w:rPr>
                <w:rFonts w:hint="eastAsia" w:hAnsi="宋体" w:cs="宋体"/>
                <w:color w:val="auto"/>
                <w:sz w:val="21"/>
                <w:szCs w:val="21"/>
                <w:highlight w:val="none"/>
              </w:rPr>
              <w:t>安装空间技术要求进行图纸深化设计，</w:t>
            </w:r>
            <w:r>
              <w:rPr>
                <w:rFonts w:hint="eastAsia" w:hAnsi="宋体" w:cs="宋体"/>
                <w:color w:val="auto"/>
                <w:sz w:val="21"/>
                <w:szCs w:val="21"/>
                <w:highlight w:val="none"/>
                <w:lang w:val="en-US" w:eastAsia="zh-CN"/>
              </w:rPr>
              <w:t>可提前勘测，</w:t>
            </w:r>
            <w:r>
              <w:rPr>
                <w:rFonts w:hint="eastAsia" w:hAnsi="宋体" w:cs="宋体"/>
                <w:color w:val="auto"/>
                <w:sz w:val="21"/>
                <w:szCs w:val="21"/>
                <w:highlight w:val="none"/>
              </w:rPr>
              <w:t>根据设计深度、设计功能性进行综合</w:t>
            </w:r>
            <w:r>
              <w:rPr>
                <w:rFonts w:hint="eastAsia" w:hAnsi="宋体" w:cs="宋体"/>
                <w:color w:val="auto"/>
                <w:sz w:val="21"/>
                <w:szCs w:val="21"/>
                <w:highlight w:val="none"/>
                <w:lang w:val="en-US" w:eastAsia="zh-CN"/>
              </w:rPr>
              <w:t>打分，</w:t>
            </w:r>
            <w:r>
              <w:rPr>
                <w:rFonts w:hint="eastAsia" w:ascii="宋体" w:hAnsi="宋体" w:eastAsia="宋体" w:cs="宋体"/>
                <w:color w:val="auto"/>
                <w:sz w:val="21"/>
                <w:szCs w:val="21"/>
                <w:highlight w:val="none"/>
                <w:lang w:val="en-US" w:eastAsia="zh-CN"/>
              </w:rPr>
              <w:t>好的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较好的得4分，一般的得3分，较差的得1分，不提供不得分。</w:t>
            </w:r>
          </w:p>
        </w:tc>
        <w:tc>
          <w:tcPr>
            <w:tcW w:w="706" w:type="dxa"/>
            <w:noWrap w:val="0"/>
            <w:vAlign w:val="center"/>
          </w:tcPr>
          <w:p w14:paraId="3984DF09">
            <w:pPr>
              <w:widowControl/>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p>
        </w:tc>
      </w:tr>
      <w:tr w14:paraId="1841D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14:paraId="4A8CC78D">
            <w:pPr>
              <w:widowControl/>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3</w:t>
            </w:r>
          </w:p>
        </w:tc>
        <w:tc>
          <w:tcPr>
            <w:tcW w:w="1209" w:type="dxa"/>
            <w:noWrap w:val="0"/>
            <w:vAlign w:val="center"/>
          </w:tcPr>
          <w:p w14:paraId="3347D59C">
            <w:pPr>
              <w:widowControl/>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质量保证措施</w:t>
            </w:r>
          </w:p>
        </w:tc>
        <w:tc>
          <w:tcPr>
            <w:tcW w:w="6730" w:type="dxa"/>
            <w:noWrap/>
            <w:vAlign w:val="center"/>
          </w:tcPr>
          <w:p w14:paraId="6003B87B">
            <w:pPr>
              <w:tabs>
                <w:tab w:val="left" w:pos="1080"/>
              </w:tabs>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根据供应商提供的项目质量保证措施编制合理、清晰、科学、有效、符合实际及项目需求情况进行综合评审好的得5分，较好的得4分，一般的得3分，较差的得1分，不提供不得分。</w:t>
            </w:r>
          </w:p>
        </w:tc>
        <w:tc>
          <w:tcPr>
            <w:tcW w:w="706" w:type="dxa"/>
            <w:noWrap w:val="0"/>
            <w:vAlign w:val="center"/>
          </w:tcPr>
          <w:p w14:paraId="65B211D3">
            <w:pPr>
              <w:widowControl/>
              <w:spacing w:line="30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p>
        </w:tc>
      </w:tr>
      <w:tr w14:paraId="59AD2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707" w:type="dxa"/>
            <w:noWrap w:val="0"/>
            <w:vAlign w:val="center"/>
          </w:tcPr>
          <w:p w14:paraId="4B462D03">
            <w:pPr>
              <w:widowControl/>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4</w:t>
            </w:r>
          </w:p>
        </w:tc>
        <w:tc>
          <w:tcPr>
            <w:tcW w:w="1209" w:type="dxa"/>
            <w:noWrap w:val="0"/>
            <w:vAlign w:val="center"/>
          </w:tcPr>
          <w:p w14:paraId="2FE82EEC">
            <w:pPr>
              <w:widowControl/>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pacing w:val="-6"/>
                <w:sz w:val="21"/>
                <w:szCs w:val="21"/>
                <w:highlight w:val="none"/>
                <w:lang w:val="en-US" w:eastAsia="zh-CN"/>
              </w:rPr>
              <w:t>供货、运输方案</w:t>
            </w:r>
          </w:p>
        </w:tc>
        <w:tc>
          <w:tcPr>
            <w:tcW w:w="6730" w:type="dxa"/>
            <w:noWrap/>
            <w:vAlign w:val="center"/>
          </w:tcPr>
          <w:p w14:paraId="354C785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根据供应商提供的供货、运输方案科学、合理、规范、整体配合度、可操作性情况进行综合评审好的得5分，较好的得4分，一般的得3分，较差的得1分，不提供不得分。</w:t>
            </w:r>
          </w:p>
        </w:tc>
        <w:tc>
          <w:tcPr>
            <w:tcW w:w="706" w:type="dxa"/>
            <w:noWrap w:val="0"/>
            <w:vAlign w:val="center"/>
          </w:tcPr>
          <w:p w14:paraId="6684734A">
            <w:pPr>
              <w:widowControl/>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p>
        </w:tc>
      </w:tr>
      <w:tr w14:paraId="50513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707" w:type="dxa"/>
            <w:noWrap w:val="0"/>
            <w:vAlign w:val="center"/>
          </w:tcPr>
          <w:p w14:paraId="414C793D">
            <w:pPr>
              <w:widowControl/>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5</w:t>
            </w:r>
          </w:p>
        </w:tc>
        <w:tc>
          <w:tcPr>
            <w:tcW w:w="1209" w:type="dxa"/>
            <w:noWrap w:val="0"/>
            <w:vAlign w:val="center"/>
          </w:tcPr>
          <w:p w14:paraId="14BDE051">
            <w:pPr>
              <w:widowControl/>
              <w:spacing w:line="300" w:lineRule="exact"/>
              <w:jc w:val="center"/>
              <w:rPr>
                <w:rFonts w:hint="default"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安装、调试方案</w:t>
            </w:r>
          </w:p>
        </w:tc>
        <w:tc>
          <w:tcPr>
            <w:tcW w:w="6730" w:type="dxa"/>
            <w:noWrap/>
            <w:vAlign w:val="center"/>
          </w:tcPr>
          <w:p w14:paraId="3EF7F2F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根据供应商提供的安装、调试方案科学、合理、规范、整体配合度、可操作性情况进行综合评审好的得5分，较好的得4分，一般的得3分，较差的得1分，不提供不得分。</w:t>
            </w:r>
          </w:p>
        </w:tc>
        <w:tc>
          <w:tcPr>
            <w:tcW w:w="706" w:type="dxa"/>
            <w:noWrap w:val="0"/>
            <w:vAlign w:val="center"/>
          </w:tcPr>
          <w:p w14:paraId="19C5AE6D">
            <w:pPr>
              <w:widowControl/>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p>
        </w:tc>
      </w:tr>
      <w:tr w14:paraId="7C7C7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707" w:type="dxa"/>
            <w:noWrap w:val="0"/>
            <w:vAlign w:val="center"/>
          </w:tcPr>
          <w:p w14:paraId="2E151CC4">
            <w:pPr>
              <w:widowControl/>
              <w:spacing w:line="300" w:lineRule="exact"/>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6</w:t>
            </w:r>
          </w:p>
        </w:tc>
        <w:tc>
          <w:tcPr>
            <w:tcW w:w="1209" w:type="dxa"/>
            <w:noWrap w:val="0"/>
            <w:vAlign w:val="center"/>
          </w:tcPr>
          <w:p w14:paraId="21A2B3BB">
            <w:pPr>
              <w:widowControl/>
              <w:spacing w:line="300" w:lineRule="exact"/>
              <w:jc w:val="center"/>
              <w:rPr>
                <w:rFonts w:hint="default"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安全措施</w:t>
            </w:r>
          </w:p>
        </w:tc>
        <w:tc>
          <w:tcPr>
            <w:tcW w:w="6730" w:type="dxa"/>
            <w:noWrap/>
            <w:vAlign w:val="center"/>
          </w:tcPr>
          <w:p w14:paraId="4C382950">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根据供应商提供的针对本项目的供货、运输、安装、调试中的安全措施方案进行评审。好的得5分，较好的得4分，一般的得3分，较差的得1分，不提供不得分。</w:t>
            </w:r>
          </w:p>
        </w:tc>
        <w:tc>
          <w:tcPr>
            <w:tcW w:w="706" w:type="dxa"/>
            <w:noWrap w:val="0"/>
            <w:vAlign w:val="center"/>
          </w:tcPr>
          <w:p w14:paraId="1F43452F">
            <w:pPr>
              <w:widowControl/>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w:t>
            </w:r>
          </w:p>
        </w:tc>
      </w:tr>
      <w:tr w14:paraId="72204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707" w:type="dxa"/>
            <w:noWrap w:val="0"/>
            <w:vAlign w:val="center"/>
          </w:tcPr>
          <w:p w14:paraId="6505E851">
            <w:pPr>
              <w:widowControl/>
              <w:spacing w:line="300" w:lineRule="exact"/>
              <w:jc w:val="center"/>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7</w:t>
            </w:r>
          </w:p>
        </w:tc>
        <w:tc>
          <w:tcPr>
            <w:tcW w:w="1209" w:type="dxa"/>
            <w:noWrap w:val="0"/>
            <w:vAlign w:val="center"/>
          </w:tcPr>
          <w:p w14:paraId="4DD954D1">
            <w:pPr>
              <w:widowControl/>
              <w:spacing w:line="300" w:lineRule="exact"/>
              <w:jc w:val="center"/>
              <w:rPr>
                <w:rFonts w:hint="default"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样品分</w:t>
            </w:r>
          </w:p>
        </w:tc>
        <w:tc>
          <w:tcPr>
            <w:tcW w:w="6730" w:type="dxa"/>
            <w:noWrap/>
            <w:vAlign w:val="center"/>
          </w:tcPr>
          <w:p w14:paraId="211650E5">
            <w:pPr>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磋商小组专家根据供应商提供的磋商样品（橡胶悬浮拼装地板1块和篮球架立柱1根）进行综合评审。未提供样品、样品提供不全的或者经三分之二磋商小组专家认定所提供的样品存在重大偏离的，样品分均作零分处理。</w:t>
            </w:r>
          </w:p>
          <w:p w14:paraId="3C02D747">
            <w:pPr>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一、悬浮拼装地板一块长53cm*宽53cm*厚度1.5cm（改性聚丙烯（PP）+橡胶弹性垫）</w:t>
            </w:r>
          </w:p>
          <w:p w14:paraId="68D2FE82">
            <w:pPr>
              <w:spacing w:line="360" w:lineRule="auto"/>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二、悬浮式拼装地板定位条 一块长53cm*宽13cm*厚度1.5cm（改性聚丙烯（PP）+橡胶弹性垫</w:t>
            </w:r>
          </w:p>
          <w:p w14:paraId="18134F66">
            <w:pPr>
              <w:spacing w:line="360" w:lineRule="auto"/>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三、悬浮式拼装地板扣边条一块长53cm*宽7.5cm*厚度1.5cm（改性聚丙烯（PP）+橡胶弹性垫</w:t>
            </w:r>
          </w:p>
          <w:p w14:paraId="6F9C4334">
            <w:pPr>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1.样品的外观、规格、尺寸、色调搭配合理性及协调性进行评议(0-3分)</w:t>
            </w:r>
          </w:p>
          <w:p w14:paraId="44852368">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样品的外观、规格、尺寸、色调搭配合理性及协调性高的3分；</w:t>
            </w:r>
          </w:p>
          <w:p w14:paraId="41A06B7D">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样品的外观、规格、尺寸、色调搭配合理性及协调性差的1分；</w:t>
            </w:r>
          </w:p>
          <w:p w14:paraId="1F747CE6">
            <w:pPr>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2.材料触感、质量、表面光泽度及有无刺激性气味（0-3分）</w:t>
            </w:r>
          </w:p>
          <w:p w14:paraId="19AA2B8C">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样品的材料触感光滑有质感、质量厚实，表面光亮光泽度高，无刺激性气味得3分；</w:t>
            </w:r>
          </w:p>
          <w:p w14:paraId="69E128CC">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样品的材料触感较光滑质感较好、质量较厚实，表面较暗淡光泽度一般，有刺激性气味得1分；</w:t>
            </w:r>
          </w:p>
          <w:p w14:paraId="7B9CAA94">
            <w:pPr>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3.表面的纹理、图案、颜色及色调搭配（0-2分）</w:t>
            </w:r>
          </w:p>
          <w:p w14:paraId="6E6FECFE">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表面的纹理、图案、颜色相称，色调搭配合理的得2分；</w:t>
            </w:r>
          </w:p>
          <w:p w14:paraId="70886640">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表面的纹理、图案、颜色不相称，色调搭配合理性差的得1分；</w:t>
            </w:r>
          </w:p>
          <w:p w14:paraId="54D89024">
            <w:pPr>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4.牢固度、稳定性、平整度（0-2分）</w:t>
            </w:r>
          </w:p>
          <w:p w14:paraId="5ED6EBD7">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样品牢固紧密、稳定性高、表面平整度高，无明显凸起或凹陷的得2分；</w:t>
            </w:r>
          </w:p>
          <w:p w14:paraId="537561EC">
            <w:pPr>
              <w:bidi w:val="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样品较牢固紧密、稳定性一般、表面平整度一般，有明显凹凸感的得1分。</w:t>
            </w:r>
          </w:p>
          <w:p w14:paraId="3304E2BA">
            <w:pPr>
              <w:bidi w:val="0"/>
              <w:jc w:val="left"/>
              <w:rPr>
                <w:rFonts w:hint="eastAsia" w:ascii="宋体" w:hAnsi="宋体" w:eastAsia="宋体" w:cs="宋体"/>
                <w:b/>
                <w:bCs/>
                <w:color w:val="auto"/>
                <w:szCs w:val="21"/>
                <w:highlight w:val="none"/>
                <w:u w:val="single"/>
                <w:lang w:val="en-US" w:eastAsia="zh-CN"/>
              </w:rPr>
            </w:pPr>
            <w:r>
              <w:rPr>
                <w:rFonts w:hint="eastAsia" w:ascii="宋体" w:hAnsi="宋体" w:eastAsia="宋体" w:cs="宋体"/>
                <w:b/>
                <w:bCs/>
                <w:color w:val="auto"/>
                <w:szCs w:val="21"/>
                <w:highlight w:val="none"/>
                <w:u w:val="single"/>
              </w:rPr>
              <w:t>样品递交时间</w:t>
            </w:r>
            <w:r>
              <w:rPr>
                <w:rFonts w:hint="eastAsia" w:ascii="宋体" w:hAnsi="宋体" w:eastAsia="宋体" w:cs="宋体"/>
                <w:b/>
                <w:bCs/>
                <w:color w:val="auto"/>
                <w:szCs w:val="21"/>
                <w:highlight w:val="none"/>
                <w:u w:val="single"/>
                <w:lang w:eastAsia="zh-CN"/>
              </w:rPr>
              <w:t>：</w:t>
            </w:r>
            <w:r>
              <w:rPr>
                <w:rFonts w:hint="eastAsia" w:ascii="宋体" w:hAnsi="宋体" w:eastAsia="宋体" w:cs="宋体"/>
                <w:b w:val="0"/>
                <w:bCs w:val="0"/>
                <w:color w:val="auto"/>
                <w:szCs w:val="21"/>
                <w:highlight w:val="none"/>
                <w:u w:val="single"/>
                <w:lang w:val="en-US" w:eastAsia="zh-CN"/>
              </w:rPr>
              <w:t>磋商截止前一日16时前（以签收时间为准）</w:t>
            </w:r>
          </w:p>
          <w:p w14:paraId="52A6126C">
            <w:pPr>
              <w:bidi w:val="0"/>
              <w:jc w:val="left"/>
              <w:rPr>
                <w:rFonts w:hint="default" w:ascii="宋体" w:hAnsi="宋体" w:eastAsia="宋体" w:cs="宋体"/>
                <w:b/>
                <w:bCs/>
                <w:color w:val="auto"/>
                <w:szCs w:val="21"/>
                <w:highlight w:val="none"/>
                <w:u w:val="single"/>
                <w:lang w:val="en-US" w:eastAsia="zh-CN"/>
              </w:rPr>
            </w:pPr>
            <w:r>
              <w:rPr>
                <w:rFonts w:hint="eastAsia" w:ascii="宋体" w:hAnsi="宋体" w:eastAsia="宋体" w:cs="宋体"/>
                <w:b/>
                <w:bCs/>
                <w:color w:val="auto"/>
                <w:szCs w:val="21"/>
                <w:highlight w:val="none"/>
                <w:u w:val="single"/>
                <w:lang w:val="en-US" w:eastAsia="zh-CN"/>
              </w:rPr>
              <w:t>寄件</w:t>
            </w:r>
            <w:r>
              <w:rPr>
                <w:rFonts w:hint="eastAsia" w:ascii="宋体" w:hAnsi="宋体" w:eastAsia="宋体" w:cs="宋体"/>
                <w:b/>
                <w:bCs/>
                <w:color w:val="auto"/>
                <w:szCs w:val="21"/>
                <w:highlight w:val="none"/>
                <w:u w:val="single"/>
              </w:rPr>
              <w:t>方式：</w:t>
            </w:r>
            <w:r>
              <w:rPr>
                <w:rFonts w:hint="eastAsia" w:ascii="宋体" w:hAnsi="宋体" w:eastAsia="宋体" w:cs="宋体"/>
                <w:b w:val="0"/>
                <w:bCs w:val="0"/>
                <w:color w:val="auto"/>
                <w:szCs w:val="21"/>
                <w:highlight w:val="none"/>
                <w:u w:val="single"/>
              </w:rPr>
              <w:t>样品通过邮寄快递方式送达（建议顺丰，到付件拒收</w:t>
            </w:r>
            <w:r>
              <w:rPr>
                <w:rFonts w:hint="eastAsia" w:ascii="宋体" w:hAnsi="宋体" w:eastAsia="宋体" w:cs="宋体"/>
                <w:b w:val="0"/>
                <w:bCs w:val="0"/>
                <w:color w:val="auto"/>
                <w:szCs w:val="21"/>
                <w:highlight w:val="none"/>
                <w:u w:val="single"/>
                <w:lang w:eastAsia="zh-CN"/>
              </w:rPr>
              <w:t>，</w:t>
            </w:r>
            <w:r>
              <w:rPr>
                <w:rFonts w:hint="eastAsia" w:ascii="宋体" w:hAnsi="宋体" w:eastAsia="宋体" w:cs="宋体"/>
                <w:b w:val="0"/>
                <w:bCs w:val="0"/>
                <w:color w:val="auto"/>
                <w:szCs w:val="21"/>
                <w:highlight w:val="none"/>
                <w:u w:val="single"/>
                <w:lang w:val="en-US" w:eastAsia="zh-CN"/>
              </w:rPr>
              <w:t>快递标注明确单位名称、项目名称、项目编号。（若信息不明确将拒收）</w:t>
            </w:r>
          </w:p>
          <w:p w14:paraId="75DE0F37">
            <w:pPr>
              <w:bidi w:val="0"/>
              <w:rPr>
                <w:rFonts w:hint="default" w:ascii="宋体" w:hAnsi="宋体" w:cs="宋体"/>
                <w:color w:val="auto"/>
                <w:kern w:val="0"/>
                <w:szCs w:val="21"/>
                <w:highlight w:val="none"/>
                <w:lang w:val="en-US" w:eastAsia="zh-CN" w:bidi="ar"/>
              </w:rPr>
            </w:pPr>
            <w:r>
              <w:rPr>
                <w:rFonts w:hint="eastAsia" w:ascii="Times New Roman" w:hAnsi="Times New Roman" w:eastAsia="宋体" w:cs="Times New Roman"/>
                <w:b/>
                <w:bCs/>
                <w:color w:val="auto"/>
                <w:kern w:val="2"/>
                <w:sz w:val="21"/>
                <w:szCs w:val="24"/>
                <w:highlight w:val="none"/>
                <w:u w:val="single"/>
                <w:lang w:val="en-US" w:eastAsia="zh-CN" w:bidi="ar-SA"/>
              </w:rPr>
              <w:t>寄件地址：</w:t>
            </w:r>
            <w:r>
              <w:rPr>
                <w:rFonts w:hint="eastAsia" w:ascii="宋体" w:hAnsi="宋体" w:eastAsia="宋体" w:cs="宋体"/>
                <w:b w:val="0"/>
                <w:bCs w:val="0"/>
                <w:color w:val="auto"/>
                <w:szCs w:val="21"/>
                <w:highlight w:val="none"/>
                <w:u w:val="single"/>
                <w:lang w:val="zh-CN"/>
              </w:rPr>
              <w:t>长兴县雉城街道阳光天地小区北区27幢</w:t>
            </w:r>
            <w:r>
              <w:rPr>
                <w:rFonts w:hint="eastAsia" w:ascii="宋体" w:hAnsi="宋体" w:eastAsia="宋体" w:cs="宋体"/>
                <w:b w:val="0"/>
                <w:bCs w:val="0"/>
                <w:color w:val="auto"/>
                <w:szCs w:val="21"/>
                <w:highlight w:val="none"/>
                <w:u w:val="single"/>
                <w:lang w:val="en-US" w:eastAsia="zh-CN"/>
              </w:rPr>
              <w:t>湖州同力招标代理有限公司，收件人：王工，联系电话：18768213747。</w:t>
            </w:r>
          </w:p>
        </w:tc>
        <w:tc>
          <w:tcPr>
            <w:tcW w:w="706" w:type="dxa"/>
            <w:noWrap w:val="0"/>
            <w:vAlign w:val="center"/>
          </w:tcPr>
          <w:p w14:paraId="25FD92E4">
            <w:pPr>
              <w:widowControl/>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0-10</w:t>
            </w:r>
          </w:p>
        </w:tc>
      </w:tr>
      <w:tr w14:paraId="7D59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07" w:type="dxa"/>
            <w:noWrap w:val="0"/>
            <w:vAlign w:val="center"/>
          </w:tcPr>
          <w:p w14:paraId="16930512">
            <w:pPr>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rPr>
              <w:t>二</w:t>
            </w:r>
          </w:p>
        </w:tc>
        <w:tc>
          <w:tcPr>
            <w:tcW w:w="1209" w:type="dxa"/>
            <w:noWrap w:val="0"/>
            <w:vAlign w:val="center"/>
          </w:tcPr>
          <w:p w14:paraId="41153E86">
            <w:pPr>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资信及商务分</w:t>
            </w:r>
          </w:p>
        </w:tc>
        <w:tc>
          <w:tcPr>
            <w:tcW w:w="6730" w:type="dxa"/>
            <w:noWrap/>
            <w:vAlign w:val="center"/>
          </w:tcPr>
          <w:p w14:paraId="7246303F">
            <w:pPr>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u w:val="single"/>
              </w:rPr>
              <w:t>以下单项没有提供的，则该项不得分。</w:t>
            </w:r>
          </w:p>
        </w:tc>
        <w:tc>
          <w:tcPr>
            <w:tcW w:w="706" w:type="dxa"/>
            <w:noWrap w:val="0"/>
            <w:vAlign w:val="center"/>
          </w:tcPr>
          <w:p w14:paraId="04B2AE51">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p>
        </w:tc>
      </w:tr>
      <w:tr w14:paraId="04A01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14:paraId="7F01308A">
            <w:pPr>
              <w:widowControl/>
              <w:spacing w:line="300" w:lineRule="exact"/>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8</w:t>
            </w:r>
          </w:p>
        </w:tc>
        <w:tc>
          <w:tcPr>
            <w:tcW w:w="1209" w:type="dxa"/>
            <w:noWrap w:val="0"/>
            <w:vAlign w:val="center"/>
          </w:tcPr>
          <w:p w14:paraId="10F6DD22">
            <w:pPr>
              <w:pStyle w:val="212"/>
              <w:spacing w:line="30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售后服务承诺</w:t>
            </w:r>
          </w:p>
        </w:tc>
        <w:tc>
          <w:tcPr>
            <w:tcW w:w="6730" w:type="dxa"/>
            <w:noWrap w:val="0"/>
            <w:vAlign w:val="center"/>
          </w:tcPr>
          <w:p w14:paraId="6C6BAA35">
            <w:pPr>
              <w:pStyle w:val="212"/>
              <w:spacing w:line="36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保修期要求</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年，每增加一年，加</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706" w:type="dxa"/>
            <w:noWrap w:val="0"/>
            <w:vAlign w:val="center"/>
          </w:tcPr>
          <w:p w14:paraId="0892E10A">
            <w:pPr>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2</w:t>
            </w:r>
          </w:p>
        </w:tc>
      </w:tr>
      <w:tr w14:paraId="4B84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14:paraId="06E3F1AA">
            <w:pPr>
              <w:widowControl/>
              <w:spacing w:line="300" w:lineRule="exact"/>
              <w:jc w:val="center"/>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9</w:t>
            </w:r>
          </w:p>
        </w:tc>
        <w:tc>
          <w:tcPr>
            <w:tcW w:w="1209" w:type="dxa"/>
            <w:noWrap w:val="0"/>
            <w:vAlign w:val="center"/>
          </w:tcPr>
          <w:p w14:paraId="70709C79">
            <w:pPr>
              <w:pStyle w:val="212"/>
              <w:spacing w:line="30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w:t>
            </w:r>
          </w:p>
        </w:tc>
        <w:tc>
          <w:tcPr>
            <w:tcW w:w="6730" w:type="dxa"/>
            <w:noWrap w:val="0"/>
            <w:vAlign w:val="center"/>
          </w:tcPr>
          <w:p w14:paraId="60CD2B47">
            <w:pPr>
              <w:tabs>
                <w:tab w:val="left" w:pos="1080"/>
              </w:tabs>
              <w:spacing w:line="520" w:lineRule="exac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磋商小组</w:t>
            </w:r>
            <w:r>
              <w:rPr>
                <w:rFonts w:hint="eastAsia" w:ascii="宋体" w:hAnsi="宋体" w:eastAsia="宋体" w:cs="宋体"/>
                <w:color w:val="auto"/>
                <w:sz w:val="21"/>
                <w:szCs w:val="21"/>
                <w:highlight w:val="none"/>
              </w:rPr>
              <w:t>根据供应商提供的202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年1月1日（以合同签订时间为准）至今的</w:t>
            </w:r>
            <w:r>
              <w:rPr>
                <w:rFonts w:hint="eastAsia" w:ascii="宋体" w:hAnsi="宋体" w:eastAsia="宋体" w:cs="宋体"/>
                <w:color w:val="auto"/>
                <w:sz w:val="21"/>
                <w:szCs w:val="21"/>
                <w:highlight w:val="none"/>
                <w:lang w:val="en-US" w:eastAsia="zh-CN"/>
              </w:rPr>
              <w:t>同类</w:t>
            </w:r>
            <w:r>
              <w:rPr>
                <w:rFonts w:hint="eastAsia" w:ascii="宋体" w:hAnsi="宋体" w:eastAsia="宋体" w:cs="宋体"/>
                <w:color w:val="auto"/>
                <w:sz w:val="21"/>
                <w:szCs w:val="21"/>
                <w:highlight w:val="none"/>
              </w:rPr>
              <w:t>项目业绩：每个业绩得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分，最高可得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72B5E593">
            <w:pPr>
              <w:pStyle w:val="212"/>
              <w:spacing w:line="36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single"/>
              </w:rPr>
              <w:t>注：</w:t>
            </w:r>
            <w:r>
              <w:rPr>
                <w:rFonts w:hint="eastAsia" w:ascii="宋体" w:hAnsi="宋体" w:eastAsia="宋体" w:cs="宋体"/>
                <w:b/>
                <w:color w:val="auto"/>
                <w:sz w:val="21"/>
                <w:szCs w:val="21"/>
                <w:highlight w:val="none"/>
                <w:u w:val="single"/>
              </w:rPr>
              <w:t>提供合同复印件（或扫描件）并加盖供应商公章</w:t>
            </w:r>
            <w:r>
              <w:rPr>
                <w:rFonts w:hint="eastAsia" w:ascii="宋体" w:hAnsi="宋体" w:eastAsia="宋体" w:cs="宋体"/>
                <w:b/>
                <w:color w:val="auto"/>
                <w:sz w:val="21"/>
                <w:szCs w:val="21"/>
                <w:highlight w:val="none"/>
                <w:u w:val="single"/>
                <w:lang w:val="en-US" w:eastAsia="zh-CN"/>
              </w:rPr>
              <w:t>并且提供项目验收单或完工证明</w:t>
            </w:r>
            <w:r>
              <w:rPr>
                <w:rFonts w:hint="eastAsia" w:ascii="宋体" w:hAnsi="宋体" w:eastAsia="宋体" w:cs="宋体"/>
                <w:b/>
                <w:color w:val="auto"/>
                <w:sz w:val="21"/>
                <w:szCs w:val="21"/>
                <w:highlight w:val="none"/>
                <w:u w:val="single"/>
              </w:rPr>
              <w:t>，</w:t>
            </w:r>
            <w:r>
              <w:rPr>
                <w:rFonts w:hint="eastAsia" w:ascii="宋体" w:hAnsi="宋体" w:eastAsia="宋体" w:cs="宋体"/>
                <w:b/>
                <w:bCs/>
                <w:color w:val="auto"/>
                <w:sz w:val="21"/>
                <w:szCs w:val="21"/>
                <w:highlight w:val="none"/>
                <w:u w:val="single"/>
              </w:rPr>
              <w:t xml:space="preserve"> 否则不得分</w:t>
            </w:r>
            <w:r>
              <w:rPr>
                <w:rFonts w:hint="eastAsia" w:ascii="宋体" w:hAnsi="宋体" w:eastAsia="宋体" w:cs="宋体"/>
                <w:b/>
                <w:color w:val="auto"/>
                <w:sz w:val="21"/>
                <w:szCs w:val="21"/>
                <w:highlight w:val="none"/>
                <w:u w:val="single"/>
              </w:rPr>
              <w:t>。</w:t>
            </w:r>
          </w:p>
        </w:tc>
        <w:tc>
          <w:tcPr>
            <w:tcW w:w="706" w:type="dxa"/>
            <w:noWrap w:val="0"/>
            <w:vAlign w:val="center"/>
          </w:tcPr>
          <w:p w14:paraId="334D5731">
            <w:pPr>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w:t>
            </w:r>
          </w:p>
        </w:tc>
      </w:tr>
    </w:tbl>
    <w:p w14:paraId="5B83BABF">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color w:val="auto"/>
          <w:spacing w:val="11"/>
          <w:szCs w:val="21"/>
          <w:highlight w:val="none"/>
        </w:rPr>
      </w:pPr>
    </w:p>
    <w:p w14:paraId="3227E77E">
      <w:pPr>
        <w:keepNext w:val="0"/>
        <w:keepLines w:val="0"/>
        <w:pageBreakBefore w:val="0"/>
        <w:widowControl w:val="0"/>
        <w:kinsoku/>
        <w:wordWrap/>
        <w:overflowPunct/>
        <w:topLinePunct w:val="0"/>
        <w:bidi w:val="0"/>
        <w:adjustRightInd w:val="0"/>
        <w:snapToGrid w:val="0"/>
        <w:spacing w:line="40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备注：以上评分项要求的证明材料原则上以</w:t>
      </w:r>
      <w:r>
        <w:rPr>
          <w:rFonts w:hint="eastAsia" w:ascii="宋体" w:hAnsi="宋体" w:eastAsia="宋体" w:cs="宋体"/>
          <w:b/>
          <w:bCs/>
          <w:color w:val="auto"/>
          <w:szCs w:val="21"/>
          <w:highlight w:val="none"/>
          <w:lang w:val="en-US" w:eastAsia="zh-CN"/>
        </w:rPr>
        <w:t>磋商</w:t>
      </w:r>
      <w:r>
        <w:rPr>
          <w:rFonts w:hint="eastAsia" w:ascii="宋体" w:hAnsi="宋体" w:eastAsia="宋体" w:cs="宋体"/>
          <w:b/>
          <w:bCs/>
          <w:color w:val="auto"/>
          <w:szCs w:val="21"/>
          <w:highlight w:val="none"/>
        </w:rPr>
        <w:t>响应文件中的复印件为准，若复印件不明确，评审小组以备查的原件为准（自通知起30分钟内未提供原件的相应评分内容按不得分处理）。</w:t>
      </w:r>
      <w:bookmarkStart w:id="46" w:name="_Toc18629"/>
    </w:p>
    <w:p w14:paraId="509CA98D">
      <w:pPr>
        <w:pStyle w:val="23"/>
        <w:keepNext w:val="0"/>
        <w:keepLines w:val="0"/>
        <w:pageBreakBefore w:val="0"/>
        <w:widowControl w:val="0"/>
        <w:kinsoku/>
        <w:wordWrap/>
        <w:overflowPunct/>
        <w:topLinePunct w:val="0"/>
        <w:bidi w:val="0"/>
        <w:spacing w:line="400" w:lineRule="exact"/>
        <w:rPr>
          <w:rFonts w:hint="eastAsia" w:ascii="宋体" w:hAnsi="宋体" w:eastAsia="宋体" w:cs="宋体"/>
          <w:color w:val="auto"/>
          <w:highlight w:val="none"/>
        </w:rPr>
      </w:pPr>
    </w:p>
    <w:p w14:paraId="5BE56849">
      <w:pPr>
        <w:rPr>
          <w:rFonts w:hint="eastAsia" w:ascii="宋体" w:hAnsi="宋体" w:eastAsia="宋体" w:cs="宋体"/>
          <w:color w:val="auto"/>
          <w:highlight w:val="none"/>
        </w:rPr>
      </w:pPr>
    </w:p>
    <w:p w14:paraId="713AC911">
      <w:pPr>
        <w:spacing w:line="360" w:lineRule="auto"/>
        <w:jc w:val="both"/>
        <w:outlineLvl w:val="0"/>
        <w:rPr>
          <w:rFonts w:hint="eastAsia" w:ascii="宋体" w:hAnsi="宋体" w:eastAsia="宋体" w:cs="宋体"/>
          <w:b/>
          <w:color w:val="auto"/>
          <w:sz w:val="30"/>
          <w:szCs w:val="30"/>
          <w:highlight w:val="none"/>
        </w:rPr>
      </w:pPr>
    </w:p>
    <w:p w14:paraId="071E2910">
      <w:pPr>
        <w:pStyle w:val="54"/>
        <w:rPr>
          <w:rFonts w:hint="eastAsia" w:ascii="宋体" w:hAnsi="宋体" w:eastAsia="宋体" w:cs="宋体"/>
          <w:color w:val="auto"/>
          <w:highlight w:val="none"/>
        </w:rPr>
      </w:pPr>
    </w:p>
    <w:p w14:paraId="62C58756">
      <w:pPr>
        <w:spacing w:line="360" w:lineRule="auto"/>
        <w:jc w:val="center"/>
        <w:outlineLvl w:val="0"/>
        <w:rPr>
          <w:rFonts w:hint="eastAsia" w:ascii="宋体" w:hAnsi="宋体" w:eastAsia="宋体" w:cs="宋体"/>
          <w:b/>
          <w:color w:val="auto"/>
          <w:sz w:val="30"/>
          <w:szCs w:val="30"/>
          <w:highlight w:val="none"/>
        </w:rPr>
      </w:pPr>
    </w:p>
    <w:p w14:paraId="44C04219">
      <w:pPr>
        <w:spacing w:line="360" w:lineRule="auto"/>
        <w:jc w:val="center"/>
        <w:outlineLvl w:val="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第五章  合同协议书</w:t>
      </w:r>
      <w:bookmarkEnd w:id="46"/>
    </w:p>
    <w:p w14:paraId="753CB18C">
      <w:pPr>
        <w:pStyle w:val="2"/>
        <w:spacing w:before="0" w:after="0" w:line="320" w:lineRule="exact"/>
        <w:jc w:val="center"/>
        <w:rPr>
          <w:rFonts w:hint="eastAsia" w:ascii="宋体" w:hAnsi="宋体" w:eastAsia="宋体" w:cs="宋体"/>
          <w:color w:val="auto"/>
          <w:sz w:val="21"/>
          <w:szCs w:val="21"/>
          <w:highlight w:val="none"/>
        </w:rPr>
      </w:pPr>
      <w:bookmarkStart w:id="47" w:name="_Toc18373"/>
      <w:r>
        <w:rPr>
          <w:rFonts w:hint="eastAsia" w:ascii="宋体" w:hAnsi="宋体" w:eastAsia="宋体" w:cs="宋体"/>
          <w:bCs w:val="0"/>
          <w:color w:val="auto"/>
          <w:sz w:val="21"/>
          <w:szCs w:val="21"/>
          <w:highlight w:val="none"/>
        </w:rPr>
        <w:t>（</w:t>
      </w:r>
      <w:r>
        <w:rPr>
          <w:rFonts w:hint="eastAsia" w:ascii="宋体" w:hAnsi="宋体" w:eastAsia="宋体" w:cs="宋体"/>
          <w:color w:val="auto"/>
          <w:sz w:val="21"/>
          <w:szCs w:val="21"/>
          <w:highlight w:val="none"/>
        </w:rPr>
        <w:t>供参考）</w:t>
      </w:r>
      <w:bookmarkEnd w:id="47"/>
    </w:p>
    <w:p w14:paraId="598DBC6A">
      <w:pPr>
        <w:pStyle w:val="29"/>
        <w:spacing w:beforeLines="0" w:afterLines="0" w:line="360" w:lineRule="exact"/>
        <w:ind w:firstLine="420" w:firstLineChars="200"/>
        <w:jc w:val="left"/>
        <w:rPr>
          <w:rFonts w:hint="eastAsia" w:ascii="宋体" w:hAnsi="宋体" w:eastAsia="宋体" w:cs="宋体"/>
          <w:color w:val="auto"/>
          <w:sz w:val="21"/>
          <w:szCs w:val="21"/>
          <w:highlight w:val="none"/>
          <w:lang w:val="zh-CN"/>
        </w:rPr>
      </w:pPr>
    </w:p>
    <w:p w14:paraId="6DED9AF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p>
    <w:p w14:paraId="47677BF3">
      <w:pPr>
        <w:spacing w:line="360" w:lineRule="auto"/>
        <w:rPr>
          <w:rFonts w:hint="eastAsia" w:ascii="宋体" w:hAnsi="宋体" w:eastAsia="宋体" w:cs="宋体"/>
          <w:color w:val="auto"/>
          <w:szCs w:val="21"/>
          <w:highlight w:val="none"/>
        </w:rPr>
      </w:pPr>
    </w:p>
    <w:p w14:paraId="191CF1E7">
      <w:pPr>
        <w:spacing w:line="360" w:lineRule="auto"/>
        <w:rPr>
          <w:rFonts w:hint="eastAsia" w:ascii="宋体" w:hAnsi="宋体" w:eastAsia="宋体" w:cs="宋体"/>
          <w:color w:val="auto"/>
          <w:szCs w:val="21"/>
          <w:highlight w:val="none"/>
        </w:rPr>
      </w:pPr>
    </w:p>
    <w:p w14:paraId="09146615">
      <w:pPr>
        <w:spacing w:line="360" w:lineRule="auto"/>
        <w:rPr>
          <w:rFonts w:hint="eastAsia" w:ascii="宋体" w:hAnsi="宋体" w:eastAsia="宋体" w:cs="宋体"/>
          <w:color w:val="auto"/>
          <w:szCs w:val="21"/>
          <w:highlight w:val="none"/>
        </w:rPr>
      </w:pPr>
    </w:p>
    <w:p w14:paraId="4A3FEAC9">
      <w:pPr>
        <w:spacing w:line="360" w:lineRule="auto"/>
        <w:rPr>
          <w:rFonts w:hint="eastAsia" w:ascii="宋体" w:hAnsi="宋体" w:eastAsia="宋体" w:cs="宋体"/>
          <w:color w:val="auto"/>
          <w:szCs w:val="21"/>
          <w:highlight w:val="none"/>
        </w:rPr>
      </w:pPr>
    </w:p>
    <w:p w14:paraId="16E5DA46">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  同  书</w:t>
      </w:r>
    </w:p>
    <w:p w14:paraId="48BD8C8B">
      <w:pPr>
        <w:spacing w:line="360" w:lineRule="auto"/>
        <w:rPr>
          <w:rFonts w:hint="eastAsia" w:ascii="宋体" w:hAnsi="宋体" w:eastAsia="宋体" w:cs="宋体"/>
          <w:color w:val="auto"/>
          <w:szCs w:val="21"/>
          <w:highlight w:val="none"/>
        </w:rPr>
      </w:pPr>
    </w:p>
    <w:p w14:paraId="5D1472AF">
      <w:pPr>
        <w:spacing w:line="360" w:lineRule="auto"/>
        <w:rPr>
          <w:rFonts w:hint="eastAsia" w:ascii="宋体" w:hAnsi="宋体" w:eastAsia="宋体" w:cs="宋体"/>
          <w:color w:val="auto"/>
          <w:szCs w:val="21"/>
          <w:highlight w:val="none"/>
        </w:rPr>
      </w:pPr>
    </w:p>
    <w:p w14:paraId="62A12444">
      <w:pPr>
        <w:spacing w:line="360" w:lineRule="auto"/>
        <w:rPr>
          <w:rFonts w:hint="eastAsia" w:ascii="宋体" w:hAnsi="宋体" w:eastAsia="宋体" w:cs="宋体"/>
          <w:color w:val="auto"/>
          <w:szCs w:val="21"/>
          <w:highlight w:val="none"/>
        </w:rPr>
      </w:pPr>
    </w:p>
    <w:p w14:paraId="2DCCD9BC">
      <w:pPr>
        <w:spacing w:line="360" w:lineRule="auto"/>
        <w:rPr>
          <w:rFonts w:hint="eastAsia" w:ascii="宋体" w:hAnsi="宋体" w:eastAsia="宋体" w:cs="宋体"/>
          <w:color w:val="auto"/>
          <w:szCs w:val="21"/>
          <w:highlight w:val="none"/>
        </w:rPr>
      </w:pPr>
    </w:p>
    <w:p w14:paraId="26B4D520">
      <w:pPr>
        <w:spacing w:line="360" w:lineRule="auto"/>
        <w:rPr>
          <w:rFonts w:hint="eastAsia" w:ascii="宋体" w:hAnsi="宋体" w:eastAsia="宋体" w:cs="宋体"/>
          <w:color w:val="auto"/>
          <w:szCs w:val="21"/>
          <w:highlight w:val="none"/>
        </w:rPr>
      </w:pPr>
    </w:p>
    <w:p w14:paraId="39D06F3A">
      <w:pPr>
        <w:spacing w:line="360" w:lineRule="auto"/>
        <w:rPr>
          <w:rFonts w:hint="eastAsia" w:ascii="宋体" w:hAnsi="宋体" w:eastAsia="宋体" w:cs="宋体"/>
          <w:color w:val="auto"/>
          <w:szCs w:val="21"/>
          <w:highlight w:val="none"/>
        </w:rPr>
      </w:pPr>
    </w:p>
    <w:p w14:paraId="4697A2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p>
    <w:p w14:paraId="5607BC94">
      <w:pPr>
        <w:spacing w:line="360" w:lineRule="auto"/>
        <w:rPr>
          <w:rFonts w:hint="eastAsia" w:ascii="宋体" w:hAnsi="宋体" w:eastAsia="宋体" w:cs="宋体"/>
          <w:color w:val="auto"/>
          <w:szCs w:val="21"/>
          <w:highlight w:val="none"/>
        </w:rPr>
      </w:pPr>
    </w:p>
    <w:p w14:paraId="0AE694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    方：</w:t>
      </w:r>
      <w:r>
        <w:rPr>
          <w:rFonts w:hint="eastAsia" w:ascii="宋体" w:hAnsi="宋体" w:eastAsia="宋体" w:cs="宋体"/>
          <w:color w:val="auto"/>
          <w:szCs w:val="21"/>
          <w:highlight w:val="none"/>
          <w:u w:val="single"/>
        </w:rPr>
        <w:t xml:space="preserve">                                                 </w:t>
      </w:r>
    </w:p>
    <w:p w14:paraId="116DFD1A">
      <w:pPr>
        <w:spacing w:line="360" w:lineRule="auto"/>
        <w:rPr>
          <w:rFonts w:hint="eastAsia" w:ascii="宋体" w:hAnsi="宋体" w:eastAsia="宋体" w:cs="宋体"/>
          <w:color w:val="auto"/>
          <w:szCs w:val="21"/>
          <w:highlight w:val="none"/>
        </w:rPr>
      </w:pPr>
    </w:p>
    <w:p w14:paraId="56942B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    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15DB04B5">
      <w:pPr>
        <w:spacing w:line="360" w:lineRule="auto"/>
        <w:rPr>
          <w:rFonts w:hint="eastAsia" w:ascii="宋体" w:hAnsi="宋体" w:eastAsia="宋体" w:cs="宋体"/>
          <w:color w:val="auto"/>
          <w:szCs w:val="21"/>
          <w:highlight w:val="none"/>
        </w:rPr>
      </w:pPr>
    </w:p>
    <w:p w14:paraId="1780918C">
      <w:pPr>
        <w:spacing w:line="360" w:lineRule="auto"/>
        <w:rPr>
          <w:rFonts w:hint="eastAsia" w:ascii="宋体" w:hAnsi="宋体" w:eastAsia="宋体" w:cs="宋体"/>
          <w:color w:val="auto"/>
          <w:szCs w:val="21"/>
          <w:highlight w:val="none"/>
        </w:rPr>
      </w:pPr>
    </w:p>
    <w:p w14:paraId="6697BA35">
      <w:pPr>
        <w:spacing w:line="360" w:lineRule="auto"/>
        <w:rPr>
          <w:rFonts w:hint="eastAsia" w:ascii="宋体" w:hAnsi="宋体" w:eastAsia="宋体" w:cs="宋体"/>
          <w:color w:val="auto"/>
          <w:szCs w:val="21"/>
          <w:highlight w:val="none"/>
        </w:rPr>
      </w:pPr>
    </w:p>
    <w:p w14:paraId="46F80594">
      <w:pPr>
        <w:spacing w:line="360" w:lineRule="auto"/>
        <w:ind w:firstLine="1890" w:firstLineChars="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签订地点：浙江省湖州市长兴县</w:t>
      </w:r>
    </w:p>
    <w:p w14:paraId="4F74E330">
      <w:pPr>
        <w:spacing w:line="360" w:lineRule="auto"/>
        <w:ind w:firstLine="1890" w:firstLineChars="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签订日期：    年    月   日</w:t>
      </w:r>
    </w:p>
    <w:p w14:paraId="1775EF12">
      <w:pPr>
        <w:spacing w:line="360" w:lineRule="auto"/>
        <w:rPr>
          <w:rFonts w:hint="eastAsia" w:ascii="宋体" w:hAnsi="宋体" w:eastAsia="宋体" w:cs="宋体"/>
          <w:color w:val="auto"/>
          <w:szCs w:val="21"/>
          <w:highlight w:val="none"/>
        </w:rPr>
      </w:pPr>
    </w:p>
    <w:p w14:paraId="22777666">
      <w:pPr>
        <w:spacing w:line="360" w:lineRule="auto"/>
        <w:rPr>
          <w:rFonts w:hint="eastAsia" w:ascii="宋体" w:hAnsi="宋体" w:eastAsia="宋体" w:cs="宋体"/>
          <w:color w:val="auto"/>
          <w:szCs w:val="21"/>
          <w:highlight w:val="none"/>
        </w:rPr>
      </w:pPr>
    </w:p>
    <w:p w14:paraId="7DDE059C">
      <w:pPr>
        <w:spacing w:line="360" w:lineRule="auto"/>
        <w:rPr>
          <w:rFonts w:hint="eastAsia" w:ascii="宋体" w:hAnsi="宋体" w:eastAsia="宋体" w:cs="宋体"/>
          <w:color w:val="auto"/>
          <w:szCs w:val="21"/>
          <w:highlight w:val="none"/>
        </w:rPr>
      </w:pPr>
    </w:p>
    <w:p w14:paraId="07E0E8C9">
      <w:pPr>
        <w:pStyle w:val="54"/>
        <w:ind w:firstLine="210"/>
        <w:rPr>
          <w:rFonts w:hint="eastAsia" w:ascii="宋体" w:hAnsi="宋体" w:eastAsia="宋体" w:cs="宋体"/>
          <w:color w:val="auto"/>
          <w:szCs w:val="21"/>
          <w:highlight w:val="none"/>
        </w:rPr>
      </w:pPr>
    </w:p>
    <w:p w14:paraId="1489956D">
      <w:pPr>
        <w:rPr>
          <w:rFonts w:hint="eastAsia" w:ascii="宋体" w:hAnsi="宋体" w:eastAsia="宋体" w:cs="宋体"/>
          <w:color w:val="auto"/>
          <w:szCs w:val="21"/>
          <w:highlight w:val="none"/>
        </w:rPr>
      </w:pPr>
    </w:p>
    <w:p w14:paraId="513705ED">
      <w:pPr>
        <w:rPr>
          <w:rFonts w:hint="eastAsia" w:ascii="宋体" w:hAnsi="宋体" w:eastAsia="宋体" w:cs="宋体"/>
          <w:color w:val="auto"/>
          <w:szCs w:val="21"/>
          <w:highlight w:val="none"/>
        </w:rPr>
      </w:pPr>
    </w:p>
    <w:p w14:paraId="7BA95F4B">
      <w:pPr>
        <w:rPr>
          <w:rFonts w:hint="eastAsia" w:ascii="宋体" w:hAnsi="宋体" w:eastAsia="宋体" w:cs="宋体"/>
          <w:color w:val="auto"/>
          <w:szCs w:val="21"/>
          <w:highlight w:val="none"/>
        </w:rPr>
      </w:pPr>
    </w:p>
    <w:p w14:paraId="1DB4B2DF">
      <w:pPr>
        <w:rPr>
          <w:rFonts w:hint="eastAsia" w:ascii="宋体" w:hAnsi="宋体" w:eastAsia="宋体" w:cs="宋体"/>
          <w:color w:val="auto"/>
          <w:szCs w:val="21"/>
          <w:highlight w:val="none"/>
        </w:rPr>
      </w:pPr>
    </w:p>
    <w:p w14:paraId="6627AA57">
      <w:pPr>
        <w:rPr>
          <w:rFonts w:hint="eastAsia" w:ascii="宋体" w:hAnsi="宋体" w:eastAsia="宋体" w:cs="宋体"/>
          <w:color w:val="auto"/>
          <w:szCs w:val="21"/>
          <w:highlight w:val="none"/>
        </w:rPr>
      </w:pPr>
    </w:p>
    <w:p w14:paraId="4C35B468">
      <w:pPr>
        <w:rPr>
          <w:rFonts w:hint="eastAsia" w:ascii="宋体" w:hAnsi="宋体" w:eastAsia="宋体" w:cs="宋体"/>
          <w:color w:val="auto"/>
          <w:szCs w:val="21"/>
          <w:highlight w:val="none"/>
        </w:rPr>
      </w:pPr>
    </w:p>
    <w:p w14:paraId="4ED111EF">
      <w:pPr>
        <w:pStyle w:val="55"/>
        <w:rPr>
          <w:rFonts w:hint="eastAsia" w:ascii="宋体" w:hAnsi="宋体" w:eastAsia="宋体" w:cs="宋体"/>
          <w:color w:val="auto"/>
          <w:szCs w:val="21"/>
          <w:highlight w:val="none"/>
        </w:rPr>
      </w:pPr>
    </w:p>
    <w:p w14:paraId="7D63F88F">
      <w:pPr>
        <w:pStyle w:val="23"/>
        <w:rPr>
          <w:rFonts w:hint="eastAsia" w:ascii="宋体" w:hAnsi="宋体" w:eastAsia="宋体" w:cs="宋体"/>
          <w:color w:val="auto"/>
          <w:highlight w:val="none"/>
        </w:rPr>
      </w:pPr>
    </w:p>
    <w:p w14:paraId="4E1532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项目</w:t>
      </w:r>
      <w:r>
        <w:rPr>
          <w:rFonts w:hint="eastAsia" w:ascii="宋体" w:hAnsi="宋体" w:eastAsia="宋体" w:cs="宋体"/>
          <w:color w:val="auto"/>
          <w:kern w:val="0"/>
          <w:sz w:val="21"/>
          <w:szCs w:val="21"/>
          <w:highlight w:val="none"/>
        </w:rPr>
        <w:t>编号：</w:t>
      </w:r>
    </w:p>
    <w:p w14:paraId="44368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采购人（以下称甲方）：</w:t>
      </w:r>
    </w:p>
    <w:p w14:paraId="188833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供应商（以下称乙方）：</w:t>
      </w:r>
    </w:p>
    <w:p w14:paraId="70F3B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采购方式：</w:t>
      </w:r>
    </w:p>
    <w:p w14:paraId="0A237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30" w:firstLineChars="3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根据《中华人民共和国政府采购法》、《中华人民共和国民法典》等法律法规的规定，甲乙双方按照 </w:t>
      </w:r>
      <w:r>
        <w:rPr>
          <w:rFonts w:hint="eastAsia" w:ascii="宋体" w:hAnsi="宋体" w:eastAsia="宋体" w:cs="宋体"/>
          <w:color w:val="auto"/>
          <w:kern w:val="0"/>
          <w:sz w:val="21"/>
          <w:szCs w:val="21"/>
          <w:highlight w:val="none"/>
          <w:u w:val="single"/>
        </w:rPr>
        <w:t xml:space="preserve">                          采</w:t>
      </w:r>
      <w:r>
        <w:rPr>
          <w:rFonts w:hint="eastAsia" w:ascii="宋体" w:hAnsi="宋体" w:eastAsia="宋体" w:cs="宋体"/>
          <w:color w:val="auto"/>
          <w:kern w:val="0"/>
          <w:sz w:val="21"/>
          <w:szCs w:val="21"/>
          <w:highlight w:val="none"/>
        </w:rPr>
        <w:t>购结果签订本合同。</w:t>
      </w:r>
    </w:p>
    <w:p w14:paraId="0CBCD7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第一条 合同组成</w:t>
      </w:r>
    </w:p>
    <w:p w14:paraId="363787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本次政府采购活动的相关文件为本合同的组成部分，这些文件包括但不限于：</w:t>
      </w:r>
    </w:p>
    <w:p w14:paraId="4D73DA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（1）本合同文本；</w:t>
      </w:r>
    </w:p>
    <w:p w14:paraId="7E3DEB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rPr>
        <w:t>文件与</w:t>
      </w:r>
      <w:r>
        <w:rPr>
          <w:rFonts w:hint="eastAsia" w:ascii="宋体" w:hAnsi="宋体" w:eastAsia="宋体" w:cs="宋体"/>
          <w:color w:val="auto"/>
          <w:kern w:val="0"/>
          <w:sz w:val="21"/>
          <w:szCs w:val="21"/>
          <w:highlight w:val="none"/>
          <w:lang w:val="en-US" w:eastAsia="zh-CN"/>
        </w:rPr>
        <w:t>磋商响应</w:t>
      </w:r>
      <w:r>
        <w:rPr>
          <w:rFonts w:hint="eastAsia" w:ascii="宋体" w:hAnsi="宋体" w:eastAsia="宋体" w:cs="宋体"/>
          <w:color w:val="auto"/>
          <w:kern w:val="0"/>
          <w:sz w:val="21"/>
          <w:szCs w:val="21"/>
          <w:highlight w:val="none"/>
        </w:rPr>
        <w:t>文件；</w:t>
      </w:r>
    </w:p>
    <w:p w14:paraId="79B917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（3）中标或成交通知书；</w:t>
      </w:r>
    </w:p>
    <w:p w14:paraId="0C45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组成本合同的所有文件必须为书面形式。</w:t>
      </w:r>
    </w:p>
    <w:p w14:paraId="39E03E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第二条 合同标的</w:t>
      </w:r>
    </w:p>
    <w:p w14:paraId="4493AD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本次采购的是</w:t>
      </w:r>
      <w:r>
        <w:rPr>
          <w:rFonts w:hint="eastAsia" w:ascii="宋体" w:hAnsi="宋体" w:eastAsia="宋体" w:cs="宋体"/>
          <w:color w:val="auto"/>
          <w:kern w:val="0"/>
          <w:sz w:val="21"/>
          <w:szCs w:val="21"/>
          <w:highlight w:val="none"/>
          <w:u w:val="single"/>
        </w:rPr>
        <w:t xml:space="preserve">                                         </w:t>
      </w:r>
    </w:p>
    <w:tbl>
      <w:tblPr>
        <w:tblStyle w:val="60"/>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
        <w:gridCol w:w="1229"/>
        <w:gridCol w:w="2010"/>
        <w:gridCol w:w="1260"/>
        <w:gridCol w:w="1155"/>
        <w:gridCol w:w="1425"/>
        <w:gridCol w:w="1530"/>
      </w:tblGrid>
      <w:tr w14:paraId="47F51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08" w:type="dxa"/>
            <w:gridSpan w:val="2"/>
            <w:tcBorders>
              <w:top w:val="single" w:color="auto" w:sz="4" w:space="0"/>
              <w:left w:val="single" w:color="auto" w:sz="4" w:space="0"/>
              <w:bottom w:val="single" w:color="auto" w:sz="4" w:space="0"/>
              <w:right w:val="single" w:color="auto" w:sz="4" w:space="0"/>
            </w:tcBorders>
            <w:vAlign w:val="center"/>
          </w:tcPr>
          <w:p w14:paraId="13124794">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29" w:type="dxa"/>
            <w:tcBorders>
              <w:top w:val="single" w:color="auto" w:sz="4" w:space="0"/>
              <w:left w:val="single" w:color="auto" w:sz="4" w:space="0"/>
              <w:bottom w:val="single" w:color="auto" w:sz="4" w:space="0"/>
              <w:right w:val="single" w:color="auto" w:sz="4" w:space="0"/>
            </w:tcBorders>
            <w:vAlign w:val="center"/>
          </w:tcPr>
          <w:p w14:paraId="4413DFBB">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2010" w:type="dxa"/>
            <w:tcBorders>
              <w:top w:val="single" w:color="auto" w:sz="4" w:space="0"/>
              <w:left w:val="single" w:color="auto" w:sz="4" w:space="0"/>
              <w:bottom w:val="single" w:color="auto" w:sz="4" w:space="0"/>
              <w:right w:val="single" w:color="auto" w:sz="4" w:space="0"/>
            </w:tcBorders>
            <w:vAlign w:val="center"/>
          </w:tcPr>
          <w:p w14:paraId="07BED38F">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型号、规格</w:t>
            </w:r>
          </w:p>
        </w:tc>
        <w:tc>
          <w:tcPr>
            <w:tcW w:w="1260" w:type="dxa"/>
            <w:tcBorders>
              <w:top w:val="single" w:color="auto" w:sz="4" w:space="0"/>
              <w:left w:val="single" w:color="auto" w:sz="4" w:space="0"/>
              <w:bottom w:val="single" w:color="auto" w:sz="4" w:space="0"/>
              <w:right w:val="single" w:color="auto" w:sz="4" w:space="0"/>
            </w:tcBorders>
            <w:vAlign w:val="center"/>
          </w:tcPr>
          <w:p w14:paraId="0ADF377E">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155" w:type="dxa"/>
            <w:tcBorders>
              <w:top w:val="single" w:color="auto" w:sz="4" w:space="0"/>
              <w:left w:val="single" w:color="auto" w:sz="4" w:space="0"/>
              <w:bottom w:val="single" w:color="auto" w:sz="4" w:space="0"/>
              <w:right w:val="single" w:color="auto" w:sz="4" w:space="0"/>
            </w:tcBorders>
            <w:vAlign w:val="center"/>
          </w:tcPr>
          <w:p w14:paraId="19CCAA9F">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425" w:type="dxa"/>
            <w:tcBorders>
              <w:top w:val="single" w:color="auto" w:sz="4" w:space="0"/>
              <w:left w:val="single" w:color="auto" w:sz="4" w:space="0"/>
              <w:bottom w:val="single" w:color="auto" w:sz="4" w:space="0"/>
              <w:right w:val="single" w:color="auto" w:sz="4" w:space="0"/>
            </w:tcBorders>
            <w:vAlign w:val="center"/>
          </w:tcPr>
          <w:p w14:paraId="53CC6A30">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单价(元)</w:t>
            </w:r>
          </w:p>
        </w:tc>
        <w:tc>
          <w:tcPr>
            <w:tcW w:w="1530" w:type="dxa"/>
            <w:tcBorders>
              <w:top w:val="single" w:color="auto" w:sz="4" w:space="0"/>
              <w:left w:val="single" w:color="auto" w:sz="4" w:space="0"/>
              <w:bottom w:val="single" w:color="auto" w:sz="4" w:space="0"/>
              <w:right w:val="single" w:color="auto" w:sz="4" w:space="0"/>
            </w:tcBorders>
            <w:vAlign w:val="center"/>
          </w:tcPr>
          <w:p w14:paraId="101017B8">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合价（元）</w:t>
            </w:r>
          </w:p>
        </w:tc>
      </w:tr>
      <w:tr w14:paraId="16099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0" w:type="dxa"/>
            <w:tcBorders>
              <w:top w:val="single" w:color="auto" w:sz="4" w:space="0"/>
              <w:left w:val="single" w:color="auto" w:sz="4" w:space="0"/>
              <w:bottom w:val="single" w:color="auto" w:sz="4" w:space="0"/>
              <w:right w:val="single" w:color="auto" w:sz="4" w:space="0"/>
            </w:tcBorders>
          </w:tcPr>
          <w:p w14:paraId="26BD932E">
            <w:pPr>
              <w:spacing w:line="360" w:lineRule="auto"/>
              <w:rPr>
                <w:rFonts w:hint="eastAsia" w:ascii="宋体" w:hAnsi="宋体" w:eastAsia="宋体" w:cs="宋体"/>
                <w:color w:val="auto"/>
                <w:sz w:val="21"/>
                <w:szCs w:val="21"/>
                <w:highlight w:val="none"/>
              </w:rPr>
            </w:pPr>
          </w:p>
        </w:tc>
        <w:tc>
          <w:tcPr>
            <w:tcW w:w="1237" w:type="dxa"/>
            <w:gridSpan w:val="2"/>
            <w:tcBorders>
              <w:top w:val="single" w:color="auto" w:sz="4" w:space="0"/>
              <w:left w:val="single" w:color="auto" w:sz="4" w:space="0"/>
              <w:bottom w:val="single" w:color="auto" w:sz="4" w:space="0"/>
              <w:right w:val="single" w:color="auto" w:sz="4" w:space="0"/>
            </w:tcBorders>
          </w:tcPr>
          <w:p w14:paraId="25DC0E0C">
            <w:pPr>
              <w:spacing w:line="360" w:lineRule="auto"/>
              <w:rPr>
                <w:rFonts w:hint="eastAsia" w:ascii="宋体" w:hAnsi="宋体" w:eastAsia="宋体" w:cs="宋体"/>
                <w:color w:val="auto"/>
                <w:sz w:val="21"/>
                <w:szCs w:val="21"/>
                <w:highlight w:val="none"/>
              </w:rPr>
            </w:pPr>
          </w:p>
        </w:tc>
        <w:tc>
          <w:tcPr>
            <w:tcW w:w="2010" w:type="dxa"/>
            <w:tcBorders>
              <w:top w:val="single" w:color="auto" w:sz="4" w:space="0"/>
              <w:left w:val="single" w:color="auto" w:sz="4" w:space="0"/>
              <w:bottom w:val="single" w:color="auto" w:sz="4" w:space="0"/>
              <w:right w:val="single" w:color="auto" w:sz="4" w:space="0"/>
            </w:tcBorders>
          </w:tcPr>
          <w:p w14:paraId="79566290">
            <w:pPr>
              <w:spacing w:line="360" w:lineRule="auto"/>
              <w:rPr>
                <w:rFonts w:hint="eastAsia" w:ascii="宋体" w:hAnsi="宋体" w:eastAsia="宋体"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017756DC">
            <w:pPr>
              <w:spacing w:line="360" w:lineRule="auto"/>
              <w:rPr>
                <w:rFonts w:hint="eastAsia" w:ascii="宋体" w:hAnsi="宋体" w:eastAsia="宋体" w:cs="宋体"/>
                <w:color w:val="auto"/>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0A845B4F">
            <w:pPr>
              <w:spacing w:line="360" w:lineRule="auto"/>
              <w:rPr>
                <w:rFonts w:hint="eastAsia" w:ascii="宋体" w:hAnsi="宋体" w:eastAsia="宋体" w:cs="宋体"/>
                <w:color w:val="auto"/>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707409DD">
            <w:pPr>
              <w:spacing w:line="360" w:lineRule="auto"/>
              <w:rPr>
                <w:rFonts w:hint="eastAsia" w:ascii="宋体" w:hAnsi="宋体" w:eastAsia="宋体" w:cs="宋体"/>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tcPr>
          <w:p w14:paraId="3762F05D">
            <w:pPr>
              <w:spacing w:line="360" w:lineRule="auto"/>
              <w:rPr>
                <w:rFonts w:hint="eastAsia" w:ascii="宋体" w:hAnsi="宋体" w:eastAsia="宋体" w:cs="宋体"/>
                <w:color w:val="auto"/>
                <w:sz w:val="21"/>
                <w:szCs w:val="21"/>
                <w:highlight w:val="none"/>
              </w:rPr>
            </w:pPr>
          </w:p>
        </w:tc>
      </w:tr>
      <w:tr w14:paraId="2A5E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00" w:type="dxa"/>
            <w:tcBorders>
              <w:top w:val="single" w:color="auto" w:sz="4" w:space="0"/>
              <w:left w:val="single" w:color="auto" w:sz="4" w:space="0"/>
              <w:bottom w:val="single" w:color="auto" w:sz="4" w:space="0"/>
              <w:right w:val="single" w:color="auto" w:sz="4" w:space="0"/>
            </w:tcBorders>
          </w:tcPr>
          <w:p w14:paraId="316CBB28">
            <w:pPr>
              <w:spacing w:line="360" w:lineRule="auto"/>
              <w:jc w:val="center"/>
              <w:rPr>
                <w:rFonts w:hint="eastAsia" w:ascii="宋体" w:hAnsi="宋体" w:eastAsia="宋体" w:cs="宋体"/>
                <w:b/>
                <w:color w:val="auto"/>
                <w:sz w:val="21"/>
                <w:szCs w:val="21"/>
                <w:highlight w:val="none"/>
              </w:rPr>
            </w:pPr>
          </w:p>
        </w:tc>
        <w:tc>
          <w:tcPr>
            <w:tcW w:w="4507" w:type="dxa"/>
            <w:gridSpan w:val="4"/>
            <w:tcBorders>
              <w:top w:val="single" w:color="auto" w:sz="4" w:space="0"/>
              <w:left w:val="single" w:color="auto" w:sz="4" w:space="0"/>
              <w:bottom w:val="single" w:color="auto" w:sz="4" w:space="0"/>
              <w:right w:val="single" w:color="auto" w:sz="4" w:space="0"/>
            </w:tcBorders>
          </w:tcPr>
          <w:p w14:paraId="57BB74E7">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 计</w:t>
            </w:r>
          </w:p>
        </w:tc>
        <w:tc>
          <w:tcPr>
            <w:tcW w:w="1155" w:type="dxa"/>
            <w:tcBorders>
              <w:top w:val="single" w:color="auto" w:sz="4" w:space="0"/>
              <w:left w:val="single" w:color="auto" w:sz="4" w:space="0"/>
              <w:bottom w:val="single" w:color="auto" w:sz="4" w:space="0"/>
              <w:right w:val="single" w:color="auto" w:sz="4" w:space="0"/>
            </w:tcBorders>
          </w:tcPr>
          <w:p w14:paraId="520CD527">
            <w:pPr>
              <w:spacing w:line="360" w:lineRule="auto"/>
              <w:rPr>
                <w:rFonts w:hint="eastAsia" w:ascii="宋体" w:hAnsi="宋体" w:eastAsia="宋体" w:cs="宋体"/>
                <w:color w:val="auto"/>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589889E1">
            <w:pPr>
              <w:spacing w:line="360" w:lineRule="auto"/>
              <w:rPr>
                <w:rFonts w:hint="eastAsia" w:ascii="宋体" w:hAnsi="宋体" w:eastAsia="宋体" w:cs="宋体"/>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tcPr>
          <w:p w14:paraId="23F4021E">
            <w:pPr>
              <w:spacing w:line="360" w:lineRule="auto"/>
              <w:rPr>
                <w:rFonts w:hint="eastAsia" w:ascii="宋体" w:hAnsi="宋体" w:eastAsia="宋体" w:cs="宋体"/>
                <w:color w:val="auto"/>
                <w:sz w:val="21"/>
                <w:szCs w:val="21"/>
                <w:highlight w:val="none"/>
              </w:rPr>
            </w:pPr>
          </w:p>
        </w:tc>
      </w:tr>
    </w:tbl>
    <w:p w14:paraId="24ADF3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spacing w:val="0"/>
          <w:kern w:val="0"/>
          <w:sz w:val="21"/>
          <w:szCs w:val="21"/>
          <w:highlight w:val="none"/>
        </w:rPr>
      </w:pPr>
      <w:r>
        <w:rPr>
          <w:rFonts w:hint="eastAsia" w:ascii="宋体" w:hAnsi="宋体" w:eastAsia="宋体" w:cs="宋体"/>
          <w:b/>
          <w:color w:val="auto"/>
          <w:spacing w:val="0"/>
          <w:kern w:val="0"/>
          <w:sz w:val="21"/>
          <w:szCs w:val="21"/>
          <w:highlight w:val="none"/>
        </w:rPr>
        <w:t>第三条 合同价款及付款方式</w:t>
      </w:r>
    </w:p>
    <w:p w14:paraId="3DD6C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1、本合同项下总价款为（大写）人民币</w:t>
      </w:r>
      <w:r>
        <w:rPr>
          <w:rFonts w:hint="eastAsia" w:ascii="宋体" w:hAnsi="宋体" w:eastAsia="宋体" w:cs="宋体"/>
          <w:color w:val="auto"/>
          <w:spacing w:val="0"/>
          <w:kern w:val="0"/>
          <w:sz w:val="21"/>
          <w:szCs w:val="21"/>
          <w:highlight w:val="none"/>
          <w:u w:val="single"/>
        </w:rPr>
        <w:t xml:space="preserve">         </w:t>
      </w:r>
      <w:r>
        <w:rPr>
          <w:rFonts w:hint="eastAsia" w:ascii="宋体" w:hAnsi="宋体" w:eastAsia="宋体" w:cs="宋体"/>
          <w:color w:val="auto"/>
          <w:spacing w:val="0"/>
          <w:kern w:val="0"/>
          <w:sz w:val="21"/>
          <w:szCs w:val="21"/>
          <w:highlight w:val="none"/>
        </w:rPr>
        <w:t>，分项价款在“</w:t>
      </w:r>
      <w:r>
        <w:rPr>
          <w:rFonts w:hint="eastAsia" w:ascii="宋体" w:hAnsi="宋体" w:eastAsia="宋体" w:cs="宋体"/>
          <w:color w:val="auto"/>
          <w:spacing w:val="0"/>
          <w:kern w:val="0"/>
          <w:sz w:val="21"/>
          <w:szCs w:val="21"/>
          <w:highlight w:val="none"/>
          <w:lang w:val="en-US" w:eastAsia="zh-CN"/>
        </w:rPr>
        <w:t>报价明细表</w:t>
      </w:r>
      <w:r>
        <w:rPr>
          <w:rFonts w:hint="eastAsia" w:ascii="宋体" w:hAnsi="宋体" w:eastAsia="宋体" w:cs="宋体"/>
          <w:color w:val="auto"/>
          <w:spacing w:val="0"/>
          <w:kern w:val="0"/>
          <w:sz w:val="21"/>
          <w:szCs w:val="21"/>
          <w:highlight w:val="none"/>
        </w:rPr>
        <w:t>”中明确。</w:t>
      </w:r>
    </w:p>
    <w:p w14:paraId="184323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2、本合同总价款包括货物设计、材料、制造、包装、运输、安装、调试、检测、</w:t>
      </w:r>
      <w:r>
        <w:rPr>
          <w:rFonts w:hint="eastAsia" w:ascii="宋体" w:hAnsi="宋体" w:eastAsia="宋体" w:cs="宋体"/>
          <w:color w:val="auto"/>
          <w:spacing w:val="0"/>
          <w:kern w:val="0"/>
          <w:sz w:val="21"/>
          <w:szCs w:val="21"/>
          <w:highlight w:val="none"/>
          <w:lang w:val="en-US" w:eastAsia="zh-CN"/>
        </w:rPr>
        <w:t>培训、</w:t>
      </w:r>
      <w:r>
        <w:rPr>
          <w:rFonts w:hint="eastAsia" w:ascii="宋体" w:hAnsi="宋体" w:eastAsia="宋体" w:cs="宋体"/>
          <w:color w:val="auto"/>
          <w:spacing w:val="0"/>
          <w:kern w:val="0"/>
          <w:sz w:val="21"/>
          <w:szCs w:val="21"/>
          <w:highlight w:val="none"/>
        </w:rPr>
        <w:t>售后服务、税费等全部费用。</w:t>
      </w:r>
    </w:p>
    <w:p w14:paraId="7F7CFA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pacing w:val="0"/>
          <w:sz w:val="21"/>
          <w:szCs w:val="21"/>
          <w:highlight w:val="none"/>
        </w:rPr>
      </w:pPr>
      <w:r>
        <w:rPr>
          <w:rFonts w:hint="eastAsia" w:ascii="宋体" w:hAnsi="宋体" w:eastAsia="宋体" w:cs="宋体"/>
          <w:color w:val="auto"/>
          <w:spacing w:val="0"/>
          <w:kern w:val="0"/>
          <w:sz w:val="21"/>
          <w:szCs w:val="21"/>
          <w:highlight w:val="none"/>
        </w:rPr>
        <w:t>3、</w:t>
      </w:r>
      <w:r>
        <w:rPr>
          <w:rFonts w:hint="eastAsia" w:ascii="宋体" w:hAnsi="宋体" w:eastAsia="宋体" w:cs="宋体"/>
          <w:color w:val="auto"/>
          <w:spacing w:val="0"/>
          <w:sz w:val="21"/>
          <w:szCs w:val="21"/>
          <w:highlight w:val="none"/>
        </w:rPr>
        <w:t>合同签订生效后支付合同总价40%的预付款，系统平台安装调试完成且验收合格后15日内支付剩余价款。甲方应自收到供应商开具的发票后将上述相关款项支付到约定的乙方账户。</w:t>
      </w:r>
    </w:p>
    <w:p w14:paraId="11126752">
      <w:pPr>
        <w:adjustRightInd w:val="0"/>
        <w:snapToGrid w:val="0"/>
        <w:spacing w:line="288"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在签订合同时，</w:t>
      </w:r>
      <w:r>
        <w:rPr>
          <w:rFonts w:hint="eastAsia" w:ascii="宋体" w:hAnsi="宋体" w:eastAsia="宋体" w:cs="宋体"/>
          <w:color w:val="auto"/>
          <w:spacing w:val="0"/>
          <w:sz w:val="21"/>
          <w:szCs w:val="21"/>
          <w:highlight w:val="none"/>
          <w:lang w:val="en-US" w:eastAsia="zh-CN"/>
        </w:rPr>
        <w:t>乙方</w:t>
      </w:r>
      <w:r>
        <w:rPr>
          <w:rFonts w:hint="eastAsia" w:ascii="宋体" w:hAnsi="宋体" w:eastAsia="宋体" w:cs="宋体"/>
          <w:color w:val="auto"/>
          <w:spacing w:val="0"/>
          <w:sz w:val="21"/>
          <w:szCs w:val="21"/>
          <w:highlight w:val="none"/>
        </w:rPr>
        <w:t>明确表示无需预付款或者主动要求降低预付款比例的，采购合同可不适用上述预付款的规定。</w:t>
      </w:r>
    </w:p>
    <w:p w14:paraId="1063F78E">
      <w:pPr>
        <w:adjustRightInd w:val="0"/>
        <w:snapToGrid w:val="0"/>
        <w:spacing w:line="288"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甲方在向乙方支付预付款之前，有权要求乙方向甲方提供与预付款金额相对应的担保措施，担保措施可以是银行、保险公司等金融机构出具的预付款保函或其他担保措施。</w:t>
      </w:r>
    </w:p>
    <w:p w14:paraId="20BF55D1">
      <w:pPr>
        <w:adjustRightInd w:val="0"/>
        <w:snapToGrid w:val="0"/>
        <w:spacing w:line="288" w:lineRule="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第</w:t>
      </w:r>
      <w:r>
        <w:rPr>
          <w:rFonts w:hint="eastAsia" w:ascii="宋体" w:hAnsi="宋体" w:eastAsia="宋体" w:cs="宋体"/>
          <w:b/>
          <w:color w:val="auto"/>
          <w:spacing w:val="0"/>
          <w:sz w:val="21"/>
          <w:szCs w:val="21"/>
          <w:highlight w:val="none"/>
          <w:lang w:val="en-US" w:eastAsia="zh-CN"/>
        </w:rPr>
        <w:t>四</w:t>
      </w:r>
      <w:r>
        <w:rPr>
          <w:rFonts w:hint="eastAsia" w:ascii="宋体" w:hAnsi="宋体" w:eastAsia="宋体" w:cs="宋体"/>
          <w:b/>
          <w:color w:val="auto"/>
          <w:spacing w:val="0"/>
          <w:sz w:val="21"/>
          <w:szCs w:val="21"/>
          <w:highlight w:val="none"/>
        </w:rPr>
        <w:t>条</w:t>
      </w:r>
      <w:r>
        <w:rPr>
          <w:rFonts w:hint="eastAsia" w:ascii="宋体" w:hAnsi="宋体" w:eastAsia="宋体" w:cs="宋体"/>
          <w:b/>
          <w:color w:val="auto"/>
          <w:spacing w:val="0"/>
          <w:sz w:val="21"/>
          <w:szCs w:val="21"/>
          <w:highlight w:val="none"/>
          <w:lang w:val="en-US" w:eastAsia="zh-CN"/>
        </w:rPr>
        <w:t xml:space="preserve">   </w:t>
      </w:r>
      <w:r>
        <w:rPr>
          <w:rFonts w:hint="eastAsia" w:ascii="宋体" w:hAnsi="宋体" w:eastAsia="宋体" w:cs="宋体"/>
          <w:b/>
          <w:color w:val="auto"/>
          <w:spacing w:val="0"/>
          <w:sz w:val="21"/>
          <w:szCs w:val="21"/>
          <w:highlight w:val="none"/>
        </w:rPr>
        <w:t>交付时间、地点、货物质保期</w:t>
      </w:r>
    </w:p>
    <w:p w14:paraId="38D07893">
      <w:pPr>
        <w:adjustRightInd w:val="0"/>
        <w:snapToGrid w:val="0"/>
        <w:spacing w:line="288" w:lineRule="auto"/>
        <w:ind w:right="-514" w:rightChars="-245"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交付时间：</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rPr>
        <w:t>；</w:t>
      </w:r>
    </w:p>
    <w:p w14:paraId="1AAB7DEE">
      <w:pPr>
        <w:adjustRightInd w:val="0"/>
        <w:snapToGrid w:val="0"/>
        <w:spacing w:line="288" w:lineRule="auto"/>
        <w:ind w:right="-514" w:rightChars="-245"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交付地点：</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rPr>
        <w:t>；</w:t>
      </w:r>
    </w:p>
    <w:p w14:paraId="1F594DE6">
      <w:pPr>
        <w:adjustRightInd w:val="0"/>
        <w:snapToGrid w:val="0"/>
        <w:spacing w:line="288" w:lineRule="auto"/>
        <w:ind w:right="-514" w:rightChars="-245" w:firstLine="420" w:firstLineChars="200"/>
        <w:rPr>
          <w:rFonts w:hint="eastAsia" w:ascii="宋体" w:hAnsi="宋体" w:eastAsia="宋体" w:cs="宋体"/>
          <w:color w:val="auto"/>
          <w:spacing w:val="0"/>
          <w:sz w:val="21"/>
          <w:szCs w:val="21"/>
          <w:highlight w:val="none"/>
          <w:u w:val="single"/>
        </w:rPr>
      </w:pPr>
      <w:r>
        <w:rPr>
          <w:rFonts w:hint="eastAsia" w:ascii="宋体" w:hAnsi="宋体" w:eastAsia="宋体" w:cs="宋体"/>
          <w:color w:val="auto"/>
          <w:spacing w:val="0"/>
          <w:sz w:val="21"/>
          <w:szCs w:val="21"/>
          <w:highlight w:val="none"/>
        </w:rPr>
        <w:t>货物质保期：</w:t>
      </w:r>
      <w:r>
        <w:rPr>
          <w:rFonts w:hint="eastAsia" w:ascii="宋体" w:hAnsi="宋体" w:eastAsia="宋体" w:cs="宋体"/>
          <w:color w:val="auto"/>
          <w:spacing w:val="0"/>
          <w:sz w:val="21"/>
          <w:szCs w:val="21"/>
          <w:highlight w:val="none"/>
          <w:u w:val="single"/>
        </w:rPr>
        <w:t xml:space="preserve">      年</w:t>
      </w:r>
      <w:r>
        <w:rPr>
          <w:rFonts w:hint="eastAsia" w:ascii="宋体" w:hAnsi="宋体" w:eastAsia="宋体" w:cs="宋体"/>
          <w:color w:val="auto"/>
          <w:spacing w:val="0"/>
          <w:sz w:val="21"/>
          <w:szCs w:val="21"/>
          <w:highlight w:val="none"/>
        </w:rPr>
        <w:t>，项目验收合格后开始计算；</w:t>
      </w:r>
    </w:p>
    <w:p w14:paraId="4E7FCB00">
      <w:pPr>
        <w:adjustRightInd w:val="0"/>
        <w:snapToGrid w:val="0"/>
        <w:spacing w:line="288" w:lineRule="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第</w:t>
      </w:r>
      <w:r>
        <w:rPr>
          <w:rFonts w:hint="eastAsia" w:ascii="宋体" w:hAnsi="宋体" w:eastAsia="宋体" w:cs="宋体"/>
          <w:b/>
          <w:color w:val="auto"/>
          <w:spacing w:val="0"/>
          <w:sz w:val="21"/>
          <w:szCs w:val="21"/>
          <w:highlight w:val="none"/>
          <w:lang w:val="en-US" w:eastAsia="zh-CN"/>
        </w:rPr>
        <w:t>五</w:t>
      </w:r>
      <w:r>
        <w:rPr>
          <w:rFonts w:hint="eastAsia" w:ascii="宋体" w:hAnsi="宋体" w:eastAsia="宋体" w:cs="宋体"/>
          <w:b/>
          <w:color w:val="auto"/>
          <w:spacing w:val="0"/>
          <w:sz w:val="21"/>
          <w:szCs w:val="21"/>
          <w:highlight w:val="none"/>
        </w:rPr>
        <w:t>条</w:t>
      </w:r>
      <w:r>
        <w:rPr>
          <w:rFonts w:hint="eastAsia" w:ascii="宋体" w:hAnsi="宋体" w:eastAsia="宋体" w:cs="宋体"/>
          <w:b/>
          <w:color w:val="auto"/>
          <w:spacing w:val="0"/>
          <w:sz w:val="21"/>
          <w:szCs w:val="21"/>
          <w:highlight w:val="none"/>
          <w:lang w:val="en-US" w:eastAsia="zh-CN"/>
        </w:rPr>
        <w:t xml:space="preserve"> </w:t>
      </w:r>
      <w:r>
        <w:rPr>
          <w:rFonts w:hint="eastAsia" w:ascii="宋体" w:hAnsi="宋体" w:eastAsia="宋体" w:cs="宋体"/>
          <w:b/>
          <w:color w:val="auto"/>
          <w:spacing w:val="0"/>
          <w:sz w:val="21"/>
          <w:szCs w:val="21"/>
          <w:highlight w:val="none"/>
        </w:rPr>
        <w:t>服务标准、期限、效率</w:t>
      </w:r>
    </w:p>
    <w:p w14:paraId="411F7B70">
      <w:pPr>
        <w:adjustRightInd w:val="0"/>
        <w:snapToGrid w:val="0"/>
        <w:spacing w:line="288" w:lineRule="auto"/>
        <w:ind w:firstLine="420" w:firstLineChars="200"/>
        <w:rPr>
          <w:rFonts w:hint="eastAsia" w:ascii="宋体" w:hAnsi="宋体" w:eastAsia="宋体" w:cs="宋体"/>
          <w:color w:val="auto"/>
          <w:spacing w:val="0"/>
          <w:sz w:val="21"/>
          <w:szCs w:val="21"/>
          <w:highlight w:val="none"/>
          <w:u w:val="none"/>
        </w:rPr>
      </w:pPr>
      <w:r>
        <w:rPr>
          <w:rFonts w:hint="eastAsia" w:ascii="宋体" w:hAnsi="宋体" w:eastAsia="宋体" w:cs="宋体"/>
          <w:color w:val="auto"/>
          <w:spacing w:val="0"/>
          <w:sz w:val="21"/>
          <w:szCs w:val="21"/>
          <w:highlight w:val="none"/>
          <w:u w:val="none"/>
        </w:rPr>
        <w:t>1.在质保期内，</w:t>
      </w:r>
      <w:r>
        <w:rPr>
          <w:rFonts w:hint="eastAsia" w:ascii="宋体" w:hAnsi="宋体" w:eastAsia="宋体" w:cs="宋体"/>
          <w:color w:val="auto"/>
          <w:spacing w:val="0"/>
          <w:sz w:val="21"/>
          <w:szCs w:val="21"/>
          <w:highlight w:val="none"/>
          <w:u w:val="none"/>
          <w:lang w:eastAsia="zh-CN"/>
        </w:rPr>
        <w:t>乙方</w:t>
      </w:r>
      <w:r>
        <w:rPr>
          <w:rFonts w:hint="eastAsia" w:ascii="宋体" w:hAnsi="宋体" w:eastAsia="宋体" w:cs="宋体"/>
          <w:color w:val="auto"/>
          <w:spacing w:val="0"/>
          <w:sz w:val="21"/>
          <w:szCs w:val="21"/>
          <w:highlight w:val="none"/>
          <w:u w:val="none"/>
        </w:rPr>
        <w:t>应对货物出现的质量及安全问题负责处理解决并承担一切费用。</w:t>
      </w:r>
    </w:p>
    <w:p w14:paraId="7DAEBFFD">
      <w:pPr>
        <w:adjustRightInd w:val="0"/>
        <w:snapToGrid w:val="0"/>
        <w:spacing w:line="288" w:lineRule="auto"/>
        <w:ind w:firstLine="420" w:firstLineChars="200"/>
        <w:rPr>
          <w:rFonts w:hint="eastAsia" w:ascii="宋体" w:hAnsi="宋体" w:eastAsia="宋体" w:cs="宋体"/>
          <w:color w:val="auto"/>
          <w:spacing w:val="0"/>
          <w:sz w:val="21"/>
          <w:szCs w:val="21"/>
          <w:highlight w:val="none"/>
          <w:u w:val="none"/>
        </w:rPr>
      </w:pPr>
      <w:r>
        <w:rPr>
          <w:rFonts w:hint="eastAsia" w:ascii="宋体" w:hAnsi="宋体" w:eastAsia="宋体" w:cs="宋体"/>
          <w:color w:val="auto"/>
          <w:spacing w:val="0"/>
          <w:sz w:val="21"/>
          <w:szCs w:val="21"/>
          <w:highlight w:val="none"/>
          <w:u w:val="none"/>
          <w:lang w:val="en-US" w:eastAsia="zh-CN"/>
        </w:rPr>
        <w:t>2.在质保期内，接到用户报修电话通知后，应在6小时内响应，12小时内到达现场，48小时内解决问题。出现故障后，乙方如未按上述要求进行响应，甲方可以采取必要的补救措施，由此产生的风险和费用全部由乙方承担</w:t>
      </w:r>
      <w:r>
        <w:rPr>
          <w:rFonts w:hint="eastAsia" w:ascii="宋体" w:hAnsi="宋体" w:eastAsia="宋体" w:cs="宋体"/>
          <w:color w:val="auto"/>
          <w:spacing w:val="0"/>
          <w:sz w:val="21"/>
          <w:szCs w:val="21"/>
          <w:highlight w:val="none"/>
          <w:u w:val="none"/>
        </w:rPr>
        <w:t>。</w:t>
      </w:r>
    </w:p>
    <w:p w14:paraId="0577C8CD">
      <w:pPr>
        <w:adjustRightInd w:val="0"/>
        <w:snapToGrid w:val="0"/>
        <w:spacing w:line="288" w:lineRule="auto"/>
        <w:ind w:firstLine="420" w:firstLineChars="200"/>
        <w:rPr>
          <w:rFonts w:hint="eastAsia" w:ascii="宋体" w:hAnsi="宋体" w:eastAsia="宋体" w:cs="宋体"/>
          <w:color w:val="auto"/>
          <w:spacing w:val="0"/>
          <w:sz w:val="21"/>
          <w:szCs w:val="21"/>
          <w:highlight w:val="none"/>
          <w:u w:val="none"/>
        </w:rPr>
      </w:pPr>
      <w:r>
        <w:rPr>
          <w:rFonts w:hint="eastAsia" w:ascii="宋体" w:hAnsi="宋体" w:eastAsia="宋体" w:cs="宋体"/>
          <w:color w:val="auto"/>
          <w:spacing w:val="0"/>
          <w:sz w:val="21"/>
          <w:szCs w:val="21"/>
          <w:highlight w:val="none"/>
          <w:u w:val="none"/>
          <w:lang w:val="en-US" w:eastAsia="zh-CN"/>
        </w:rPr>
        <w:t>3.</w:t>
      </w:r>
      <w:r>
        <w:rPr>
          <w:rFonts w:hint="eastAsia" w:ascii="宋体" w:hAnsi="宋体" w:eastAsia="宋体" w:cs="宋体"/>
          <w:color w:val="auto"/>
          <w:spacing w:val="0"/>
          <w:sz w:val="21"/>
          <w:szCs w:val="21"/>
          <w:highlight w:val="none"/>
          <w:u w:val="none"/>
        </w:rPr>
        <w:t>超过保修期的软件</w:t>
      </w:r>
      <w:r>
        <w:rPr>
          <w:rFonts w:hint="eastAsia" w:ascii="宋体" w:hAnsi="宋体" w:eastAsia="宋体" w:cs="宋体"/>
          <w:color w:val="auto"/>
          <w:spacing w:val="0"/>
          <w:sz w:val="21"/>
          <w:szCs w:val="21"/>
          <w:highlight w:val="none"/>
          <w:u w:val="none"/>
          <w:lang w:eastAsia="zh-CN"/>
        </w:rPr>
        <w:t>、</w:t>
      </w:r>
      <w:r>
        <w:rPr>
          <w:rFonts w:hint="eastAsia" w:ascii="宋体" w:hAnsi="宋体" w:eastAsia="宋体" w:cs="宋体"/>
          <w:color w:val="auto"/>
          <w:spacing w:val="0"/>
          <w:sz w:val="21"/>
          <w:szCs w:val="21"/>
          <w:highlight w:val="none"/>
          <w:u w:val="none"/>
          <w:lang w:val="en-US" w:eastAsia="zh-CN"/>
        </w:rPr>
        <w:t>硬件设备</w:t>
      </w:r>
      <w:r>
        <w:rPr>
          <w:rFonts w:hint="eastAsia" w:ascii="宋体" w:hAnsi="宋体" w:eastAsia="宋体" w:cs="宋体"/>
          <w:color w:val="auto"/>
          <w:spacing w:val="0"/>
          <w:sz w:val="21"/>
          <w:szCs w:val="21"/>
          <w:highlight w:val="none"/>
          <w:u w:val="none"/>
        </w:rPr>
        <w:t>实行终身维护，维护只收成本费</w:t>
      </w:r>
      <w:r>
        <w:rPr>
          <w:rFonts w:hint="eastAsia" w:ascii="宋体" w:hAnsi="宋体" w:eastAsia="宋体" w:cs="宋体"/>
          <w:color w:val="auto"/>
          <w:spacing w:val="0"/>
          <w:sz w:val="21"/>
          <w:szCs w:val="21"/>
          <w:highlight w:val="none"/>
          <w:u w:val="none"/>
          <w:lang w:eastAsia="zh-CN"/>
        </w:rPr>
        <w:t>，</w:t>
      </w:r>
      <w:r>
        <w:rPr>
          <w:rFonts w:hint="eastAsia" w:ascii="宋体" w:hAnsi="宋体" w:eastAsia="宋体" w:cs="宋体"/>
          <w:color w:val="auto"/>
          <w:spacing w:val="0"/>
          <w:sz w:val="21"/>
          <w:szCs w:val="21"/>
          <w:highlight w:val="none"/>
          <w:u w:val="none"/>
        </w:rPr>
        <w:t>提供所有软件备份</w:t>
      </w:r>
      <w:r>
        <w:rPr>
          <w:rFonts w:hint="eastAsia" w:ascii="宋体" w:hAnsi="宋体" w:eastAsia="宋体" w:cs="宋体"/>
          <w:color w:val="auto"/>
          <w:spacing w:val="0"/>
          <w:sz w:val="21"/>
          <w:szCs w:val="21"/>
          <w:highlight w:val="none"/>
          <w:u w:val="none"/>
          <w:lang w:eastAsia="zh-CN"/>
        </w:rPr>
        <w:t>，</w:t>
      </w:r>
      <w:r>
        <w:rPr>
          <w:rFonts w:hint="eastAsia" w:ascii="宋体" w:hAnsi="宋体" w:eastAsia="宋体" w:cs="宋体"/>
          <w:color w:val="auto"/>
          <w:spacing w:val="0"/>
          <w:sz w:val="21"/>
          <w:szCs w:val="21"/>
          <w:highlight w:val="none"/>
          <w:u w:val="none"/>
        </w:rPr>
        <w:t>提供软件终身免费升级。</w:t>
      </w:r>
    </w:p>
    <w:p w14:paraId="551D2F29">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u w:val="none"/>
          <w:lang w:val="en-US" w:eastAsia="zh-CN"/>
        </w:rPr>
        <w:t>4</w:t>
      </w:r>
      <w:r>
        <w:rPr>
          <w:rFonts w:hint="eastAsia" w:ascii="宋体" w:hAnsi="宋体" w:eastAsia="宋体" w:cs="宋体"/>
          <w:color w:val="auto"/>
          <w:spacing w:val="0"/>
          <w:sz w:val="21"/>
          <w:szCs w:val="21"/>
          <w:highlight w:val="none"/>
        </w:rPr>
        <w:t>.培训：</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rPr>
        <w:t>；</w:t>
      </w:r>
    </w:p>
    <w:p w14:paraId="3BA3E95C">
      <w:pPr>
        <w:adjustRightInd w:val="0"/>
        <w:snapToGrid w:val="0"/>
        <w:spacing w:line="288" w:lineRule="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第</w:t>
      </w:r>
      <w:r>
        <w:rPr>
          <w:rFonts w:hint="eastAsia" w:ascii="宋体" w:hAnsi="宋体" w:eastAsia="宋体" w:cs="宋体"/>
          <w:b/>
          <w:color w:val="auto"/>
          <w:spacing w:val="0"/>
          <w:sz w:val="21"/>
          <w:szCs w:val="21"/>
          <w:highlight w:val="none"/>
          <w:lang w:val="en-US" w:eastAsia="zh-CN"/>
        </w:rPr>
        <w:t>六</w:t>
      </w:r>
      <w:r>
        <w:rPr>
          <w:rFonts w:hint="eastAsia" w:ascii="宋体" w:hAnsi="宋体" w:eastAsia="宋体" w:cs="宋体"/>
          <w:b/>
          <w:color w:val="auto"/>
          <w:spacing w:val="0"/>
          <w:sz w:val="21"/>
          <w:szCs w:val="21"/>
          <w:highlight w:val="none"/>
        </w:rPr>
        <w:t>条</w:t>
      </w:r>
      <w:r>
        <w:rPr>
          <w:rFonts w:hint="eastAsia" w:ascii="宋体" w:hAnsi="宋体" w:eastAsia="宋体" w:cs="宋体"/>
          <w:b/>
          <w:color w:val="auto"/>
          <w:spacing w:val="0"/>
          <w:sz w:val="21"/>
          <w:szCs w:val="21"/>
          <w:highlight w:val="none"/>
          <w:lang w:val="en-US" w:eastAsia="zh-CN"/>
        </w:rPr>
        <w:t xml:space="preserve">  </w:t>
      </w:r>
      <w:r>
        <w:rPr>
          <w:rFonts w:hint="eastAsia" w:ascii="宋体" w:hAnsi="宋体" w:eastAsia="宋体" w:cs="宋体"/>
          <w:b/>
          <w:color w:val="auto"/>
          <w:spacing w:val="0"/>
          <w:sz w:val="21"/>
          <w:szCs w:val="21"/>
          <w:highlight w:val="none"/>
        </w:rPr>
        <w:t>其他技术、服务要求</w:t>
      </w:r>
    </w:p>
    <w:p w14:paraId="15053F82">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1.乙方应按磋商文件规定的货物性能、技术要求、质量标准向甲方提供未经使用的全新产品，符合国家法律法规规定和技术规格、质量标准的出厂原装合格产品。</w:t>
      </w:r>
    </w:p>
    <w:p w14:paraId="7D2ACC02">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2.技术支持：</w:t>
      </w:r>
    </w:p>
    <w:p w14:paraId="7E050A81">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乙方应及时免费提供合同货物软件的升级</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硬件设备常用零部件的更换（质保期内更换所产生的所有费用包括但不限于零部件货物、人工费应免费提供）</w:t>
      </w:r>
      <w:r>
        <w:rPr>
          <w:rFonts w:hint="eastAsia" w:ascii="宋体" w:hAnsi="宋体" w:eastAsia="宋体" w:cs="宋体"/>
          <w:color w:val="auto"/>
          <w:spacing w:val="0"/>
          <w:sz w:val="21"/>
          <w:szCs w:val="21"/>
          <w:highlight w:val="none"/>
        </w:rPr>
        <w:t>，免费提供合同货物</w:t>
      </w:r>
      <w:r>
        <w:rPr>
          <w:rFonts w:hint="eastAsia" w:ascii="宋体" w:hAnsi="宋体" w:eastAsia="宋体" w:cs="宋体"/>
          <w:color w:val="auto"/>
          <w:spacing w:val="0"/>
          <w:sz w:val="21"/>
          <w:szCs w:val="21"/>
          <w:highlight w:val="none"/>
          <w:lang w:val="en-US" w:eastAsia="zh-CN"/>
        </w:rPr>
        <w:t>软件</w:t>
      </w:r>
      <w:r>
        <w:rPr>
          <w:rFonts w:hint="eastAsia" w:ascii="宋体" w:hAnsi="宋体" w:eastAsia="宋体" w:cs="宋体"/>
          <w:color w:val="auto"/>
          <w:spacing w:val="0"/>
          <w:sz w:val="21"/>
          <w:szCs w:val="21"/>
          <w:highlight w:val="none"/>
        </w:rPr>
        <w:t>新功能和应用的资料。</w:t>
      </w:r>
    </w:p>
    <w:p w14:paraId="75140FAF">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3.安装调试</w:t>
      </w:r>
    </w:p>
    <w:p w14:paraId="436A429E">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3.1安装地点：甲方指定地点；</w:t>
      </w:r>
    </w:p>
    <w:p w14:paraId="06607E5D">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3.2安装完成时间：接到甲方通知后在规定时间内完成安装和调试，如在规定的时间内由于乙方的原因不能完成安装和调试，乙方应承担由此给甲方造成的损失；</w:t>
      </w:r>
    </w:p>
    <w:p w14:paraId="23A36F60">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3.3如乙方委托国内代理（或其他机构）负责安装或配合安装应在签约时指明，但乙方仍要对合同货物及其安装质量负全部责任；</w:t>
      </w:r>
    </w:p>
    <w:p w14:paraId="10D8FC2B">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3.4安装标准：符合我国国家有关技术规范要求和技术标准，所有的软件和硬件必须保证同时安装到位；</w:t>
      </w:r>
    </w:p>
    <w:p w14:paraId="50CEA966">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3.5乙方免费提供合同货物的安装服务；</w:t>
      </w:r>
    </w:p>
    <w:p w14:paraId="212B1239">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3.6乙方在响应文件中应提供安装调试计划、对安装场地和环境的要求。</w:t>
      </w:r>
    </w:p>
    <w:p w14:paraId="597EAAF3">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4.乙方应提供质保期满后主要零部件报价单、质保期满后维护费、软件升级及其相关服务内容</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产生的费用均不得高于市场价</w:t>
      </w:r>
      <w:r>
        <w:rPr>
          <w:rFonts w:hint="eastAsia" w:ascii="宋体" w:hAnsi="宋体" w:eastAsia="宋体" w:cs="宋体"/>
          <w:color w:val="auto"/>
          <w:spacing w:val="0"/>
          <w:sz w:val="21"/>
          <w:szCs w:val="21"/>
          <w:highlight w:val="none"/>
        </w:rPr>
        <w:t>；</w:t>
      </w:r>
    </w:p>
    <w:p w14:paraId="1E49E291">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5.供货时提供有关的全套技术文件。</w:t>
      </w:r>
    </w:p>
    <w:p w14:paraId="29E4F557">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6.乙方应保证所提供的货物或其中任何一部分均不会侵犯第三方的知识产权。</w:t>
      </w:r>
    </w:p>
    <w:p w14:paraId="52578C1C">
      <w:pPr>
        <w:adjustRightInd w:val="0"/>
        <w:snapToGrid w:val="0"/>
        <w:spacing w:line="288" w:lineRule="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第</w:t>
      </w:r>
      <w:r>
        <w:rPr>
          <w:rFonts w:hint="eastAsia" w:ascii="宋体" w:hAnsi="宋体" w:eastAsia="宋体" w:cs="宋体"/>
          <w:b/>
          <w:color w:val="auto"/>
          <w:spacing w:val="0"/>
          <w:sz w:val="21"/>
          <w:szCs w:val="21"/>
          <w:highlight w:val="none"/>
          <w:lang w:val="en-US" w:eastAsia="zh-CN"/>
        </w:rPr>
        <w:t>七</w:t>
      </w:r>
      <w:r>
        <w:rPr>
          <w:rFonts w:hint="eastAsia" w:ascii="宋体" w:hAnsi="宋体" w:eastAsia="宋体" w:cs="宋体"/>
          <w:b/>
          <w:color w:val="auto"/>
          <w:spacing w:val="0"/>
          <w:sz w:val="21"/>
          <w:szCs w:val="21"/>
          <w:highlight w:val="none"/>
        </w:rPr>
        <w:t>条</w:t>
      </w:r>
      <w:r>
        <w:rPr>
          <w:rFonts w:hint="eastAsia" w:ascii="宋体" w:hAnsi="宋体" w:eastAsia="宋体" w:cs="宋体"/>
          <w:b/>
          <w:color w:val="auto"/>
          <w:spacing w:val="0"/>
          <w:sz w:val="21"/>
          <w:szCs w:val="21"/>
          <w:highlight w:val="none"/>
          <w:lang w:val="en-US" w:eastAsia="zh-CN"/>
        </w:rPr>
        <w:t xml:space="preserve">  </w:t>
      </w:r>
      <w:r>
        <w:rPr>
          <w:rFonts w:hint="eastAsia" w:ascii="宋体" w:hAnsi="宋体" w:eastAsia="宋体" w:cs="宋体"/>
          <w:b/>
          <w:color w:val="auto"/>
          <w:spacing w:val="0"/>
          <w:sz w:val="21"/>
          <w:szCs w:val="21"/>
          <w:highlight w:val="none"/>
        </w:rPr>
        <w:t>验收标准</w:t>
      </w:r>
    </w:p>
    <w:p w14:paraId="01D7F656">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1.验收由甲方负责实施；</w:t>
      </w:r>
    </w:p>
    <w:p w14:paraId="048355CD">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2.验收依据：</w:t>
      </w:r>
    </w:p>
    <w:p w14:paraId="7F4D09C2">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合同、磋商文件、响应文件或者乙方提供的技术规格、经甲方认可的合同货物的有效检验文件。</w:t>
      </w:r>
    </w:p>
    <w:p w14:paraId="546BC477">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14:paraId="63188265">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4.验收合格的条件：</w:t>
      </w:r>
    </w:p>
    <w:p w14:paraId="0EF8B7C0">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4.1所供货物符合产品标准和合同的要求；</w:t>
      </w:r>
    </w:p>
    <w:p w14:paraId="3B7EE978">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4.2在进行测试和验收过程中发现的问题已被解决并得到甲方的认可；</w:t>
      </w:r>
    </w:p>
    <w:p w14:paraId="1F0DFA9E">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4.3合同中规定的所有货物均已交付；</w:t>
      </w:r>
    </w:p>
    <w:p w14:paraId="02714009">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4.4所供货物已通过使用单位组织的验收；</w:t>
      </w:r>
    </w:p>
    <w:p w14:paraId="242A3E6C">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4.5所有相关的技术文件及资料均已提交并得到接受。</w:t>
      </w:r>
    </w:p>
    <w:p w14:paraId="700FFDBD">
      <w:pPr>
        <w:adjustRightInd w:val="0"/>
        <w:snapToGrid w:val="0"/>
        <w:spacing w:line="288" w:lineRule="auto"/>
        <w:ind w:right="-514" w:rightChars="-245"/>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第</w:t>
      </w:r>
      <w:r>
        <w:rPr>
          <w:rFonts w:hint="eastAsia" w:ascii="宋体" w:hAnsi="宋体" w:eastAsia="宋体" w:cs="宋体"/>
          <w:b/>
          <w:color w:val="auto"/>
          <w:spacing w:val="0"/>
          <w:sz w:val="21"/>
          <w:szCs w:val="21"/>
          <w:highlight w:val="none"/>
          <w:lang w:val="en-US" w:eastAsia="zh-CN"/>
        </w:rPr>
        <w:t>八</w:t>
      </w:r>
      <w:r>
        <w:rPr>
          <w:rFonts w:hint="eastAsia" w:ascii="宋体" w:hAnsi="宋体" w:eastAsia="宋体" w:cs="宋体"/>
          <w:b/>
          <w:color w:val="auto"/>
          <w:spacing w:val="0"/>
          <w:sz w:val="21"/>
          <w:szCs w:val="21"/>
          <w:highlight w:val="none"/>
        </w:rPr>
        <w:t>条</w:t>
      </w:r>
      <w:r>
        <w:rPr>
          <w:rFonts w:hint="eastAsia" w:ascii="宋体" w:hAnsi="宋体" w:eastAsia="宋体" w:cs="宋体"/>
          <w:b/>
          <w:color w:val="auto"/>
          <w:spacing w:val="0"/>
          <w:sz w:val="21"/>
          <w:szCs w:val="21"/>
          <w:highlight w:val="none"/>
          <w:lang w:val="en-US" w:eastAsia="zh-CN"/>
        </w:rPr>
        <w:t xml:space="preserve">  </w:t>
      </w:r>
      <w:r>
        <w:rPr>
          <w:rFonts w:hint="eastAsia" w:ascii="宋体" w:hAnsi="宋体" w:eastAsia="宋体" w:cs="宋体"/>
          <w:b/>
          <w:color w:val="auto"/>
          <w:spacing w:val="0"/>
          <w:sz w:val="21"/>
          <w:szCs w:val="21"/>
          <w:highlight w:val="none"/>
        </w:rPr>
        <w:t>违约责任</w:t>
      </w:r>
    </w:p>
    <w:p w14:paraId="7473AED6">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1.乙方逾期履行合同的，自逾期之日起，向甲方每日偿付合同总价0.5%的滞纳金。</w:t>
      </w:r>
    </w:p>
    <w:p w14:paraId="739A9DCA">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2.甲方逾期支付货款的，自逾期之日起，向乙方每日偿付未付价款0.5%的滞纳金。</w:t>
      </w:r>
    </w:p>
    <w:p w14:paraId="782B4069">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0E68D55D">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14:paraId="72C33B6C">
      <w:pPr>
        <w:adjustRightInd w:val="0"/>
        <w:snapToGrid w:val="0"/>
        <w:spacing w:line="288" w:lineRule="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第</w:t>
      </w:r>
      <w:r>
        <w:rPr>
          <w:rFonts w:hint="eastAsia" w:ascii="宋体" w:hAnsi="宋体" w:eastAsia="宋体" w:cs="宋体"/>
          <w:b/>
          <w:color w:val="auto"/>
          <w:spacing w:val="0"/>
          <w:sz w:val="21"/>
          <w:szCs w:val="21"/>
          <w:highlight w:val="none"/>
          <w:lang w:val="en-US" w:eastAsia="zh-CN"/>
        </w:rPr>
        <w:t>九</w:t>
      </w:r>
      <w:r>
        <w:rPr>
          <w:rFonts w:hint="eastAsia" w:ascii="宋体" w:hAnsi="宋体" w:eastAsia="宋体" w:cs="宋体"/>
          <w:b/>
          <w:color w:val="auto"/>
          <w:spacing w:val="0"/>
          <w:sz w:val="21"/>
          <w:szCs w:val="21"/>
          <w:highlight w:val="none"/>
        </w:rPr>
        <w:t>条</w:t>
      </w:r>
      <w:r>
        <w:rPr>
          <w:rFonts w:hint="eastAsia" w:ascii="宋体" w:hAnsi="宋体" w:eastAsia="宋体" w:cs="宋体"/>
          <w:b/>
          <w:color w:val="auto"/>
          <w:spacing w:val="0"/>
          <w:sz w:val="21"/>
          <w:szCs w:val="21"/>
          <w:highlight w:val="none"/>
          <w:lang w:val="en-US" w:eastAsia="zh-CN"/>
        </w:rPr>
        <w:t xml:space="preserve">   </w:t>
      </w:r>
      <w:r>
        <w:rPr>
          <w:rFonts w:hint="eastAsia" w:ascii="宋体" w:hAnsi="宋体" w:eastAsia="宋体" w:cs="宋体"/>
          <w:b/>
          <w:color w:val="auto"/>
          <w:spacing w:val="0"/>
          <w:sz w:val="21"/>
          <w:szCs w:val="21"/>
          <w:highlight w:val="none"/>
        </w:rPr>
        <w:t>不可抗力事件处理</w:t>
      </w:r>
    </w:p>
    <w:p w14:paraId="6CCADAA8">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1.在合同有效期内，任何一方因不可抗力事件导致不能履行合同，则合同履行期可延长，其延长期与不可抗力影响期相同。</w:t>
      </w:r>
    </w:p>
    <w:p w14:paraId="68F341C3">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2.不可抗力事件发生后，应立即通知对方，并寄送有关权威机构出具的证明。</w:t>
      </w:r>
    </w:p>
    <w:p w14:paraId="66262908">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3.不可抗力事件延续120天以上，双方应通过友好协商，确定是否继续履行合同。</w:t>
      </w:r>
    </w:p>
    <w:p w14:paraId="249B2E84">
      <w:pPr>
        <w:adjustRightInd w:val="0"/>
        <w:snapToGrid w:val="0"/>
        <w:spacing w:line="288" w:lineRule="auto"/>
        <w:ind w:right="-514" w:rightChars="-245"/>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第</w:t>
      </w:r>
      <w:r>
        <w:rPr>
          <w:rFonts w:hint="eastAsia" w:ascii="宋体" w:hAnsi="宋体" w:eastAsia="宋体" w:cs="宋体"/>
          <w:b/>
          <w:color w:val="auto"/>
          <w:spacing w:val="0"/>
          <w:sz w:val="21"/>
          <w:szCs w:val="21"/>
          <w:highlight w:val="none"/>
          <w:lang w:val="en-US" w:eastAsia="zh-CN"/>
        </w:rPr>
        <w:t>十</w:t>
      </w:r>
      <w:r>
        <w:rPr>
          <w:rFonts w:hint="eastAsia" w:ascii="宋体" w:hAnsi="宋体" w:eastAsia="宋体" w:cs="宋体"/>
          <w:b/>
          <w:color w:val="auto"/>
          <w:spacing w:val="0"/>
          <w:sz w:val="21"/>
          <w:szCs w:val="21"/>
          <w:highlight w:val="none"/>
        </w:rPr>
        <w:t>条</w:t>
      </w:r>
      <w:r>
        <w:rPr>
          <w:rFonts w:hint="eastAsia" w:ascii="宋体" w:hAnsi="宋体" w:eastAsia="宋体" w:cs="宋体"/>
          <w:b/>
          <w:color w:val="auto"/>
          <w:spacing w:val="0"/>
          <w:sz w:val="21"/>
          <w:szCs w:val="21"/>
          <w:highlight w:val="none"/>
          <w:lang w:val="en-US" w:eastAsia="zh-CN"/>
        </w:rPr>
        <w:t xml:space="preserve">  </w:t>
      </w:r>
      <w:r>
        <w:rPr>
          <w:rFonts w:hint="eastAsia" w:ascii="宋体" w:hAnsi="宋体" w:eastAsia="宋体" w:cs="宋体"/>
          <w:b/>
          <w:color w:val="auto"/>
          <w:spacing w:val="0"/>
          <w:sz w:val="21"/>
          <w:szCs w:val="21"/>
          <w:highlight w:val="none"/>
        </w:rPr>
        <w:t>争议解决</w:t>
      </w:r>
    </w:p>
    <w:p w14:paraId="61524051">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因本合同发生纠纷，甲乙双方应当及时协商，协商不成时，任何一方可向甲方所在地人民法院起诉。</w:t>
      </w:r>
    </w:p>
    <w:p w14:paraId="4584F60A">
      <w:pPr>
        <w:adjustRightInd w:val="0"/>
        <w:snapToGrid w:val="0"/>
        <w:spacing w:line="288" w:lineRule="auto"/>
        <w:ind w:right="-514" w:rightChars="-245"/>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第十</w:t>
      </w:r>
      <w:r>
        <w:rPr>
          <w:rFonts w:hint="eastAsia" w:ascii="宋体" w:hAnsi="宋体" w:eastAsia="宋体" w:cs="宋体"/>
          <w:b/>
          <w:color w:val="auto"/>
          <w:spacing w:val="0"/>
          <w:sz w:val="21"/>
          <w:szCs w:val="21"/>
          <w:highlight w:val="none"/>
          <w:lang w:val="en-US" w:eastAsia="zh-CN"/>
        </w:rPr>
        <w:t>一</w:t>
      </w:r>
      <w:r>
        <w:rPr>
          <w:rFonts w:hint="eastAsia" w:ascii="宋体" w:hAnsi="宋体" w:eastAsia="宋体" w:cs="宋体"/>
          <w:b/>
          <w:color w:val="auto"/>
          <w:spacing w:val="0"/>
          <w:sz w:val="21"/>
          <w:szCs w:val="21"/>
          <w:highlight w:val="none"/>
        </w:rPr>
        <w:t>条</w:t>
      </w:r>
      <w:r>
        <w:rPr>
          <w:rFonts w:hint="eastAsia" w:ascii="宋体" w:hAnsi="宋体" w:eastAsia="宋体" w:cs="宋体"/>
          <w:b/>
          <w:color w:val="auto"/>
          <w:spacing w:val="0"/>
          <w:sz w:val="21"/>
          <w:szCs w:val="21"/>
          <w:highlight w:val="none"/>
          <w:lang w:val="en-US" w:eastAsia="zh-CN"/>
        </w:rPr>
        <w:t xml:space="preserve">  </w:t>
      </w:r>
      <w:r>
        <w:rPr>
          <w:rFonts w:hint="eastAsia" w:ascii="宋体" w:hAnsi="宋体" w:eastAsia="宋体" w:cs="宋体"/>
          <w:b/>
          <w:color w:val="auto"/>
          <w:spacing w:val="0"/>
          <w:sz w:val="21"/>
          <w:szCs w:val="21"/>
          <w:highlight w:val="none"/>
        </w:rPr>
        <w:t>合同生效</w:t>
      </w:r>
    </w:p>
    <w:p w14:paraId="0BD0CB47">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1.合同经甲、乙双方法定代表人或授权代表签名并加盖单位公章或合同专用章后生效。</w:t>
      </w:r>
    </w:p>
    <w:p w14:paraId="50C182FE">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2.本合同附件、磋商文件、响应文件、询标澄清、成交通知书均为合同的组成部分，与本合同具有同等法律效力。</w:t>
      </w:r>
    </w:p>
    <w:p w14:paraId="71DDED48">
      <w:pPr>
        <w:pStyle w:val="45"/>
        <w:spacing w:line="360" w:lineRule="exact"/>
        <w:ind w:firstLineChars="200"/>
        <w:rPr>
          <w:rFonts w:hint="eastAsia" w:ascii="宋体" w:hAnsi="宋体" w:eastAsia="宋体" w:cs="宋体"/>
          <w:bCs/>
          <w:color w:val="auto"/>
          <w:spacing w:val="0"/>
          <w:sz w:val="21"/>
          <w:szCs w:val="21"/>
          <w:highlight w:val="none"/>
        </w:rPr>
      </w:pPr>
      <w:r>
        <w:rPr>
          <w:rFonts w:hint="eastAsia" w:ascii="宋体" w:hAnsi="宋体" w:eastAsia="宋体" w:cs="宋体"/>
          <w:color w:val="auto"/>
          <w:spacing w:val="0"/>
          <w:sz w:val="21"/>
          <w:szCs w:val="21"/>
          <w:highlight w:val="none"/>
          <w:lang w:val="en-US" w:eastAsia="zh-CN"/>
        </w:rPr>
        <w:t>3.</w:t>
      </w:r>
      <w:r>
        <w:rPr>
          <w:rFonts w:hint="eastAsia" w:ascii="宋体" w:hAnsi="宋体" w:eastAsia="宋体" w:cs="宋体"/>
          <w:bCs/>
          <w:color w:val="auto"/>
          <w:spacing w:val="0"/>
          <w:sz w:val="21"/>
          <w:szCs w:val="21"/>
          <w:highlight w:val="none"/>
        </w:rPr>
        <w:t>本合同</w:t>
      </w:r>
      <w:r>
        <w:rPr>
          <w:rFonts w:hint="eastAsia" w:ascii="宋体" w:hAnsi="宋体" w:eastAsia="宋体" w:cs="宋体"/>
          <w:bCs/>
          <w:color w:val="auto"/>
          <w:spacing w:val="0"/>
          <w:sz w:val="21"/>
          <w:szCs w:val="21"/>
          <w:highlight w:val="none"/>
          <w:lang w:eastAsia="zh-CN"/>
        </w:rPr>
        <w:t>一</w:t>
      </w:r>
      <w:r>
        <w:rPr>
          <w:rFonts w:hint="eastAsia" w:ascii="宋体" w:hAnsi="宋体" w:eastAsia="宋体" w:cs="宋体"/>
          <w:bCs/>
          <w:color w:val="auto"/>
          <w:spacing w:val="0"/>
          <w:sz w:val="21"/>
          <w:szCs w:val="21"/>
          <w:highlight w:val="none"/>
        </w:rPr>
        <w:t>式五份，甲乙双方各执贰份，</w:t>
      </w:r>
      <w:r>
        <w:rPr>
          <w:rFonts w:hint="eastAsia" w:ascii="宋体" w:hAnsi="宋体" w:eastAsia="宋体" w:cs="宋体"/>
          <w:bCs/>
          <w:color w:val="auto"/>
          <w:spacing w:val="0"/>
          <w:sz w:val="21"/>
          <w:szCs w:val="21"/>
          <w:highlight w:val="none"/>
          <w:lang w:eastAsia="zh-CN"/>
        </w:rPr>
        <w:t>财政</w:t>
      </w:r>
      <w:r>
        <w:rPr>
          <w:rFonts w:hint="eastAsia" w:ascii="宋体" w:hAnsi="宋体" w:eastAsia="宋体" w:cs="宋体"/>
          <w:bCs/>
          <w:color w:val="auto"/>
          <w:spacing w:val="0"/>
          <w:sz w:val="21"/>
          <w:szCs w:val="21"/>
          <w:highlight w:val="none"/>
        </w:rPr>
        <w:t>备案壹份，双方签字盖章后生效。未尽事宜，双方协商解决，可签订补充协议。</w:t>
      </w:r>
    </w:p>
    <w:p w14:paraId="4D63850C">
      <w:pPr>
        <w:pStyle w:val="50"/>
        <w:spacing w:line="500" w:lineRule="exact"/>
        <w:ind w:left="300" w:right="225" w:firstLine="48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甲方（盖章）:                     乙方（盖章）:             </w:t>
      </w:r>
    </w:p>
    <w:p w14:paraId="57076D18">
      <w:pPr>
        <w:pStyle w:val="50"/>
        <w:spacing w:line="500" w:lineRule="exact"/>
        <w:ind w:left="300" w:right="225" w:firstLine="48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法定代表                          法定代表  </w:t>
      </w:r>
    </w:p>
    <w:p w14:paraId="58897D8F">
      <w:pPr>
        <w:pStyle w:val="50"/>
        <w:spacing w:line="500" w:lineRule="exact"/>
        <w:ind w:left="300" w:right="225" w:firstLine="48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或委托代理人（签字）：            或委托代理人（签字）：</w:t>
      </w:r>
    </w:p>
    <w:p w14:paraId="4728B6C1">
      <w:pPr>
        <w:snapToGrid w:val="0"/>
        <w:spacing w:before="120" w:beforeLines="50" w:after="120" w:afterLines="50" w:line="400" w:lineRule="exact"/>
        <w:rPr>
          <w:rFonts w:hint="eastAsia" w:ascii="宋体" w:hAnsi="宋体" w:eastAsia="宋体" w:cs="宋体"/>
          <w:b/>
          <w:color w:val="auto"/>
          <w:sz w:val="30"/>
          <w:szCs w:val="30"/>
          <w:highlight w:val="none"/>
        </w:rPr>
      </w:pPr>
      <w:r>
        <w:rPr>
          <w:rFonts w:hint="eastAsia" w:ascii="宋体" w:hAnsi="宋体" w:eastAsia="宋体" w:cs="宋体"/>
          <w:b/>
          <w:bCs/>
          <w:color w:val="auto"/>
          <w:szCs w:val="21"/>
          <w:highlight w:val="none"/>
        </w:rPr>
        <w:t>注：本合同作为示范文本，具体以成交供应商与采购人所签定正式合同为准。</w:t>
      </w:r>
      <w:bookmarkStart w:id="48" w:name="_Toc14600"/>
    </w:p>
    <w:p w14:paraId="7F9C3904">
      <w:pPr>
        <w:rPr>
          <w:rFonts w:hint="eastAsia" w:ascii="宋体" w:hAnsi="宋体" w:eastAsia="宋体" w:cs="宋体"/>
          <w:b/>
          <w:color w:val="auto"/>
          <w:sz w:val="30"/>
          <w:szCs w:val="30"/>
          <w:highlight w:val="none"/>
        </w:rPr>
      </w:pPr>
    </w:p>
    <w:p w14:paraId="20D8D43F">
      <w:pPr>
        <w:pStyle w:val="54"/>
        <w:ind w:firstLine="210"/>
        <w:rPr>
          <w:rFonts w:hint="eastAsia" w:ascii="宋体" w:hAnsi="宋体" w:eastAsia="宋体" w:cs="宋体"/>
          <w:color w:val="auto"/>
          <w:highlight w:val="none"/>
        </w:rPr>
      </w:pPr>
    </w:p>
    <w:p w14:paraId="2914D41C">
      <w:pPr>
        <w:rPr>
          <w:rFonts w:hint="eastAsia" w:ascii="宋体" w:hAnsi="宋体" w:eastAsia="宋体" w:cs="宋体"/>
          <w:color w:val="auto"/>
          <w:highlight w:val="none"/>
        </w:rPr>
      </w:pPr>
    </w:p>
    <w:p w14:paraId="7700A867">
      <w:pPr>
        <w:pStyle w:val="54"/>
        <w:ind w:firstLine="210"/>
        <w:rPr>
          <w:rFonts w:hint="eastAsia" w:ascii="宋体" w:hAnsi="宋体" w:eastAsia="宋体" w:cs="宋体"/>
          <w:color w:val="auto"/>
          <w:highlight w:val="none"/>
        </w:rPr>
      </w:pPr>
    </w:p>
    <w:p w14:paraId="2C46EEE3">
      <w:pPr>
        <w:rPr>
          <w:rFonts w:hint="eastAsia" w:ascii="宋体" w:hAnsi="宋体" w:eastAsia="宋体" w:cs="宋体"/>
          <w:color w:val="auto"/>
          <w:highlight w:val="none"/>
        </w:rPr>
      </w:pPr>
    </w:p>
    <w:p w14:paraId="56B4CC3F">
      <w:pPr>
        <w:pStyle w:val="54"/>
        <w:ind w:firstLine="210"/>
        <w:rPr>
          <w:rFonts w:hint="eastAsia" w:ascii="宋体" w:hAnsi="宋体" w:eastAsia="宋体" w:cs="宋体"/>
          <w:color w:val="auto"/>
          <w:highlight w:val="none"/>
        </w:rPr>
      </w:pPr>
    </w:p>
    <w:p w14:paraId="1980DE40">
      <w:pPr>
        <w:pStyle w:val="54"/>
        <w:ind w:firstLine="210"/>
        <w:rPr>
          <w:rFonts w:hint="eastAsia" w:ascii="宋体" w:hAnsi="宋体" w:eastAsia="宋体" w:cs="宋体"/>
          <w:color w:val="auto"/>
          <w:highlight w:val="none"/>
        </w:rPr>
      </w:pPr>
    </w:p>
    <w:p w14:paraId="26E307D2">
      <w:pPr>
        <w:pStyle w:val="43"/>
        <w:ind w:left="560" w:hanging="560"/>
        <w:rPr>
          <w:rFonts w:hint="eastAsia" w:ascii="宋体" w:hAnsi="宋体" w:eastAsia="宋体" w:cs="宋体"/>
          <w:color w:val="auto"/>
          <w:highlight w:val="none"/>
        </w:rPr>
      </w:pPr>
    </w:p>
    <w:p w14:paraId="0C6A8220">
      <w:pPr>
        <w:rPr>
          <w:rFonts w:hint="eastAsia" w:ascii="宋体" w:hAnsi="宋体" w:eastAsia="宋体" w:cs="宋体"/>
          <w:color w:val="auto"/>
          <w:highlight w:val="none"/>
        </w:rPr>
      </w:pPr>
    </w:p>
    <w:p w14:paraId="75122EEB">
      <w:pPr>
        <w:pStyle w:val="54"/>
        <w:ind w:firstLine="210"/>
        <w:rPr>
          <w:rFonts w:hint="eastAsia" w:ascii="宋体" w:hAnsi="宋体" w:eastAsia="宋体" w:cs="宋体"/>
          <w:color w:val="auto"/>
          <w:highlight w:val="none"/>
        </w:rPr>
      </w:pPr>
    </w:p>
    <w:p w14:paraId="4C19BE18">
      <w:pPr>
        <w:pStyle w:val="43"/>
        <w:ind w:left="560" w:hanging="560"/>
        <w:rPr>
          <w:rFonts w:hint="eastAsia" w:ascii="宋体" w:hAnsi="宋体" w:eastAsia="宋体" w:cs="宋体"/>
          <w:color w:val="auto"/>
          <w:highlight w:val="none"/>
        </w:rPr>
      </w:pPr>
    </w:p>
    <w:p w14:paraId="596113AC">
      <w:pPr>
        <w:rPr>
          <w:rFonts w:hint="eastAsia" w:ascii="宋体" w:hAnsi="宋体" w:eastAsia="宋体" w:cs="宋体"/>
          <w:color w:val="auto"/>
          <w:highlight w:val="none"/>
        </w:rPr>
      </w:pPr>
    </w:p>
    <w:p w14:paraId="2153125F">
      <w:pPr>
        <w:pStyle w:val="23"/>
        <w:rPr>
          <w:rFonts w:hint="eastAsia" w:ascii="宋体" w:hAnsi="宋体" w:eastAsia="宋体" w:cs="宋体"/>
          <w:color w:val="auto"/>
          <w:highlight w:val="none"/>
        </w:rPr>
      </w:pPr>
    </w:p>
    <w:p w14:paraId="7E4BF11D">
      <w:pPr>
        <w:rPr>
          <w:rFonts w:hint="eastAsia" w:ascii="宋体" w:hAnsi="宋体" w:eastAsia="宋体" w:cs="宋体"/>
          <w:color w:val="auto"/>
          <w:highlight w:val="none"/>
        </w:rPr>
      </w:pPr>
    </w:p>
    <w:p w14:paraId="01B285CB">
      <w:pPr>
        <w:rPr>
          <w:rFonts w:hint="eastAsia" w:ascii="宋体" w:hAnsi="宋体" w:eastAsia="宋体" w:cs="宋体"/>
          <w:color w:val="auto"/>
          <w:highlight w:val="none"/>
        </w:rPr>
      </w:pPr>
    </w:p>
    <w:p w14:paraId="02E26FD0">
      <w:pPr>
        <w:pStyle w:val="54"/>
        <w:ind w:firstLine="210"/>
        <w:rPr>
          <w:rFonts w:hint="eastAsia" w:ascii="宋体" w:hAnsi="宋体" w:eastAsia="宋体" w:cs="宋体"/>
          <w:color w:val="auto"/>
          <w:highlight w:val="none"/>
        </w:rPr>
      </w:pPr>
    </w:p>
    <w:p w14:paraId="72940D6E">
      <w:pPr>
        <w:spacing w:line="360" w:lineRule="auto"/>
        <w:jc w:val="center"/>
        <w:outlineLvl w:val="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第六章 </w:t>
      </w:r>
      <w:bookmarkStart w:id="49" w:name="OLE_LINK7"/>
      <w:bookmarkStart w:id="50" w:name="_Toc1139"/>
      <w:bookmarkStart w:id="51" w:name="_Toc31099"/>
      <w:r>
        <w:rPr>
          <w:rFonts w:hint="eastAsia" w:ascii="宋体" w:hAnsi="宋体" w:eastAsia="宋体" w:cs="宋体"/>
          <w:b/>
          <w:color w:val="auto"/>
          <w:sz w:val="30"/>
          <w:szCs w:val="30"/>
          <w:highlight w:val="none"/>
          <w:lang w:val="zh-CN"/>
        </w:rPr>
        <w:t>磋商响应文件</w:t>
      </w:r>
      <w:bookmarkEnd w:id="49"/>
      <w:r>
        <w:rPr>
          <w:rFonts w:hint="eastAsia" w:ascii="宋体" w:hAnsi="宋体" w:eastAsia="宋体" w:cs="宋体"/>
          <w:b/>
          <w:color w:val="auto"/>
          <w:sz w:val="30"/>
          <w:szCs w:val="30"/>
          <w:highlight w:val="none"/>
        </w:rPr>
        <w:t>格式</w:t>
      </w:r>
      <w:bookmarkEnd w:id="48"/>
      <w:bookmarkEnd w:id="50"/>
      <w:bookmarkEnd w:id="51"/>
    </w:p>
    <w:p w14:paraId="5F476097">
      <w:pPr>
        <w:tabs>
          <w:tab w:val="left" w:pos="6674"/>
        </w:tabs>
        <w:jc w:val="center"/>
        <w:rPr>
          <w:rFonts w:hint="eastAsia" w:ascii="宋体" w:hAnsi="宋体" w:eastAsia="宋体" w:cs="宋体"/>
          <w:color w:val="auto"/>
          <w:spacing w:val="11"/>
          <w:sz w:val="22"/>
          <w:szCs w:val="22"/>
          <w:highlight w:val="none"/>
        </w:rPr>
      </w:pPr>
    </w:p>
    <w:p w14:paraId="70FA2686">
      <w:pPr>
        <w:tabs>
          <w:tab w:val="left" w:pos="6674"/>
        </w:tabs>
        <w:jc w:val="center"/>
        <w:rPr>
          <w:rFonts w:hint="eastAsia" w:ascii="宋体" w:hAnsi="宋体" w:eastAsia="宋体" w:cs="宋体"/>
          <w:b/>
          <w:color w:val="auto"/>
          <w:spacing w:val="11"/>
          <w:szCs w:val="21"/>
          <w:highlight w:val="none"/>
        </w:rPr>
      </w:pPr>
      <w:r>
        <w:rPr>
          <w:rFonts w:hint="eastAsia" w:ascii="宋体" w:hAnsi="宋体" w:eastAsia="宋体" w:cs="宋体"/>
          <w:color w:val="auto"/>
          <w:spacing w:val="11"/>
          <w:szCs w:val="21"/>
          <w:highlight w:val="none"/>
        </w:rPr>
        <w:t>供应商应根据竞争性磋商文件中所提供的格式编制磋商响应文件，对于未提供格式的可自行确定。</w:t>
      </w:r>
    </w:p>
    <w:p w14:paraId="78C05D75">
      <w:pPr>
        <w:pStyle w:val="4"/>
        <w:spacing w:line="160" w:lineRule="exact"/>
        <w:jc w:val="center"/>
        <w:rPr>
          <w:rFonts w:hint="eastAsia" w:ascii="宋体" w:hAnsi="宋体" w:eastAsia="宋体" w:cs="宋体"/>
          <w:color w:val="auto"/>
          <w:spacing w:val="11"/>
          <w:sz w:val="21"/>
          <w:szCs w:val="21"/>
          <w:highlight w:val="none"/>
        </w:rPr>
      </w:pPr>
    </w:p>
    <w:p w14:paraId="76F8DDDA">
      <w:pPr>
        <w:pStyle w:val="4"/>
        <w:jc w:val="center"/>
        <w:rPr>
          <w:rFonts w:hint="eastAsia" w:ascii="宋体" w:hAnsi="宋体" w:eastAsia="宋体" w:cs="宋体"/>
          <w:color w:val="auto"/>
          <w:spacing w:val="11"/>
          <w:sz w:val="21"/>
          <w:szCs w:val="21"/>
          <w:highlight w:val="none"/>
          <w:u w:val="none"/>
        </w:rPr>
      </w:pPr>
      <w:r>
        <w:rPr>
          <w:rFonts w:hint="eastAsia" w:ascii="宋体" w:hAnsi="宋体" w:eastAsia="宋体" w:cs="宋体"/>
          <w:color w:val="auto"/>
          <w:spacing w:val="11"/>
          <w:sz w:val="21"/>
          <w:szCs w:val="21"/>
          <w:highlight w:val="none"/>
          <w:u w:val="none"/>
        </w:rPr>
        <w:t>1.磋商声明书</w:t>
      </w:r>
    </w:p>
    <w:p w14:paraId="63CFAD26">
      <w:pPr>
        <w:spacing w:line="4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致：（采购单位名称）：</w:t>
      </w:r>
    </w:p>
    <w:p w14:paraId="5082A847">
      <w:pPr>
        <w:spacing w:line="380" w:lineRule="exact"/>
        <w:ind w:firstLine="696" w:firstLineChars="3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（供应商名称）系中华人民共和国合法企业，经营地址。</w:t>
      </w:r>
    </w:p>
    <w:p w14:paraId="63C0D42C">
      <w:pPr>
        <w:spacing w:line="380" w:lineRule="exact"/>
        <w:ind w:firstLine="645"/>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我（姓名）系（供应商名称）的法定代表人，我方愿意参加贵方组织的 项目的磋商，为便于贵方公正、择优地确定成交供应商及其服务，我方就本次磋商有关事项郑重声明如下：</w:t>
      </w:r>
    </w:p>
    <w:p w14:paraId="35AA496C">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1.我方向贵方提交的所有磋商响应文件、资料都是准确的和真实的。</w:t>
      </w:r>
    </w:p>
    <w:p w14:paraId="267CB7D4">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2.我方不是采购单位的附属机构；在获知本项目采购信息后，与采购单位聘请的为此项目提供咨询服务的公司及其附属机构没有任何联系。</w:t>
      </w:r>
    </w:p>
    <w:p w14:paraId="14752A92">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3.我方坚决杜绝以收取管理费等形式的一切挂靠、违法转包、分包行为。</w:t>
      </w:r>
    </w:p>
    <w:p w14:paraId="4B3492AB">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4.我方承诺不与其他供应商相互串通，不排挤其他供应商的公平竞争，不损害采购单位或其他供应商的合法权益。</w:t>
      </w:r>
    </w:p>
    <w:p w14:paraId="54B1F82D">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5.我方承诺不向采购单位或者磋商小组成员行贿以牟取成交。</w:t>
      </w:r>
    </w:p>
    <w:p w14:paraId="5B59748C">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6.我方承诺不以他人名义磋商或者以其他方式弄虚作假，骗取成交。</w:t>
      </w:r>
    </w:p>
    <w:p w14:paraId="0CBB606F">
      <w:pPr>
        <w:pStyle w:val="23"/>
        <w:spacing w:line="380" w:lineRule="exact"/>
        <w:ind w:firstLine="464"/>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7.我方及由本人担任法定代表人的其他机构最近四年内被通报或者被处罚的违法行为有：</w:t>
      </w:r>
    </w:p>
    <w:p w14:paraId="2A852368">
      <w:pPr>
        <w:spacing w:line="380" w:lineRule="exact"/>
        <w:ind w:firstLine="464" w:firstLineChars="200"/>
        <w:rPr>
          <w:rFonts w:hint="eastAsia" w:ascii="宋体" w:hAnsi="宋体" w:eastAsia="宋体" w:cs="宋体"/>
          <w:color w:val="auto"/>
          <w:spacing w:val="11"/>
          <w:szCs w:val="21"/>
          <w:highlight w:val="none"/>
          <w:u w:val="single"/>
        </w:rPr>
      </w:pPr>
      <w:r>
        <w:rPr>
          <w:rFonts w:hint="eastAsia" w:ascii="宋体" w:hAnsi="宋体" w:eastAsia="宋体" w:cs="宋体"/>
          <w:color w:val="auto"/>
          <w:spacing w:val="11"/>
          <w:szCs w:val="21"/>
          <w:highlight w:val="none"/>
          <w:u w:val="single"/>
        </w:rPr>
        <w:t>　　　　　　　　　　　　　　　　　　                           　　　　　　　　　</w:t>
      </w:r>
    </w:p>
    <w:p w14:paraId="5C5D3F27">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8.以上事项如有虚假或隐瞒，我方愿意承担一切后果，并不再寻求任何旨在减轻或免除法律责任的辩解。</w:t>
      </w:r>
    </w:p>
    <w:p w14:paraId="5E017980">
      <w:pPr>
        <w:pStyle w:val="175"/>
        <w:snapToGrid w:val="0"/>
        <w:spacing w:before="120" w:beforeLines="50"/>
        <w:rPr>
          <w:rFonts w:hint="eastAsia" w:ascii="宋体" w:hAnsi="宋体" w:eastAsia="宋体" w:cs="宋体"/>
          <w:color w:val="auto"/>
          <w:spacing w:val="11"/>
          <w:sz w:val="21"/>
          <w:szCs w:val="21"/>
          <w:highlight w:val="none"/>
        </w:rPr>
      </w:pPr>
    </w:p>
    <w:p w14:paraId="03F8AB40">
      <w:pPr>
        <w:snapToGrid w:val="0"/>
        <w:spacing w:before="120" w:beforeLines="50"/>
        <w:rPr>
          <w:rFonts w:hint="eastAsia" w:ascii="宋体" w:hAnsi="宋体" w:eastAsia="宋体" w:cs="宋体"/>
          <w:color w:val="auto"/>
          <w:spacing w:val="11"/>
          <w:szCs w:val="21"/>
          <w:highlight w:val="none"/>
          <w:u w:val="single"/>
        </w:rPr>
      </w:pPr>
      <w:r>
        <w:rPr>
          <w:rFonts w:hint="eastAsia" w:ascii="宋体" w:hAnsi="宋体" w:eastAsia="宋体" w:cs="宋体"/>
          <w:color w:val="auto"/>
          <w:spacing w:val="11"/>
          <w:szCs w:val="21"/>
          <w:highlight w:val="none"/>
        </w:rPr>
        <w:t>法定代表人（签字或盖章）：</w:t>
      </w:r>
    </w:p>
    <w:p w14:paraId="07E23D73">
      <w:pPr>
        <w:snapToGrid w:val="0"/>
        <w:spacing w:before="120" w:beforeLines="5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供应商公章：</w:t>
      </w:r>
    </w:p>
    <w:p w14:paraId="36A9A22E">
      <w:pPr>
        <w:snapToGrid w:val="0"/>
        <w:spacing w:before="120" w:beforeLines="50" w:after="50"/>
        <w:ind w:firstLine="6032" w:firstLineChars="2600"/>
        <w:rPr>
          <w:rFonts w:hint="eastAsia" w:ascii="宋体" w:hAnsi="宋体" w:eastAsia="宋体" w:cs="宋体"/>
          <w:color w:val="auto"/>
          <w:spacing w:val="11"/>
          <w:szCs w:val="21"/>
          <w:highlight w:val="none"/>
        </w:rPr>
      </w:pPr>
    </w:p>
    <w:p w14:paraId="71964D45">
      <w:pPr>
        <w:snapToGrid w:val="0"/>
        <w:spacing w:before="120" w:beforeLines="50" w:after="50"/>
        <w:ind w:firstLine="6032" w:firstLineChars="26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年    月    日</w:t>
      </w:r>
    </w:p>
    <w:p w14:paraId="4758901E">
      <w:pPr>
        <w:pStyle w:val="4"/>
        <w:ind w:firstLine="482"/>
        <w:jc w:val="center"/>
        <w:rPr>
          <w:rFonts w:hint="eastAsia" w:ascii="宋体" w:hAnsi="宋体" w:eastAsia="宋体" w:cs="宋体"/>
          <w:color w:val="auto"/>
          <w:spacing w:val="11"/>
          <w:sz w:val="21"/>
          <w:szCs w:val="21"/>
          <w:highlight w:val="none"/>
        </w:rPr>
      </w:pPr>
    </w:p>
    <w:p w14:paraId="56091085">
      <w:pPr>
        <w:rPr>
          <w:rFonts w:hint="eastAsia" w:ascii="宋体" w:hAnsi="宋体" w:eastAsia="宋体" w:cs="宋体"/>
          <w:color w:val="auto"/>
          <w:spacing w:val="11"/>
          <w:szCs w:val="21"/>
          <w:highlight w:val="none"/>
        </w:rPr>
      </w:pPr>
    </w:p>
    <w:p w14:paraId="3F4246A1">
      <w:pPr>
        <w:pStyle w:val="54"/>
        <w:ind w:firstLine="232"/>
        <w:rPr>
          <w:rFonts w:hint="eastAsia" w:ascii="宋体" w:hAnsi="宋体" w:eastAsia="宋体" w:cs="宋体"/>
          <w:color w:val="auto"/>
          <w:spacing w:val="11"/>
          <w:szCs w:val="21"/>
          <w:highlight w:val="none"/>
        </w:rPr>
      </w:pPr>
    </w:p>
    <w:p w14:paraId="4810CD0B">
      <w:pPr>
        <w:pStyle w:val="54"/>
        <w:ind w:firstLine="232"/>
        <w:rPr>
          <w:rFonts w:hint="eastAsia" w:ascii="宋体" w:hAnsi="宋体" w:eastAsia="宋体" w:cs="宋体"/>
          <w:color w:val="auto"/>
          <w:spacing w:val="11"/>
          <w:szCs w:val="21"/>
          <w:highlight w:val="none"/>
        </w:rPr>
      </w:pPr>
    </w:p>
    <w:p w14:paraId="542E3E4E">
      <w:pPr>
        <w:pStyle w:val="54"/>
        <w:ind w:firstLine="232"/>
        <w:rPr>
          <w:rFonts w:hint="eastAsia" w:ascii="宋体" w:hAnsi="宋体" w:eastAsia="宋体" w:cs="宋体"/>
          <w:color w:val="auto"/>
          <w:spacing w:val="11"/>
          <w:szCs w:val="21"/>
          <w:highlight w:val="none"/>
        </w:rPr>
      </w:pPr>
    </w:p>
    <w:p w14:paraId="21E9107F">
      <w:pPr>
        <w:rPr>
          <w:rFonts w:hint="eastAsia" w:ascii="宋体" w:hAnsi="宋体" w:eastAsia="宋体" w:cs="宋体"/>
          <w:color w:val="auto"/>
          <w:spacing w:val="11"/>
          <w:szCs w:val="21"/>
          <w:highlight w:val="none"/>
        </w:rPr>
      </w:pPr>
    </w:p>
    <w:p w14:paraId="57010E11">
      <w:pPr>
        <w:pStyle w:val="23"/>
        <w:rPr>
          <w:rFonts w:hint="eastAsia" w:ascii="宋体" w:hAnsi="宋体" w:eastAsia="宋体" w:cs="宋体"/>
          <w:color w:val="auto"/>
          <w:spacing w:val="11"/>
          <w:szCs w:val="21"/>
          <w:highlight w:val="none"/>
        </w:rPr>
      </w:pPr>
    </w:p>
    <w:p w14:paraId="55B6B896">
      <w:pPr>
        <w:rPr>
          <w:rFonts w:hint="eastAsia" w:ascii="宋体" w:hAnsi="宋体" w:eastAsia="宋体" w:cs="宋体"/>
          <w:color w:val="auto"/>
          <w:spacing w:val="11"/>
          <w:szCs w:val="21"/>
          <w:highlight w:val="none"/>
        </w:rPr>
      </w:pPr>
    </w:p>
    <w:p w14:paraId="75BB1FEC">
      <w:pPr>
        <w:rPr>
          <w:rFonts w:hint="eastAsia" w:ascii="宋体" w:hAnsi="宋体" w:eastAsia="宋体" w:cs="宋体"/>
          <w:color w:val="auto"/>
          <w:highlight w:val="none"/>
        </w:rPr>
      </w:pPr>
    </w:p>
    <w:p w14:paraId="763E7655">
      <w:pPr>
        <w:pStyle w:val="4"/>
        <w:jc w:val="center"/>
        <w:rPr>
          <w:rFonts w:hint="eastAsia" w:ascii="宋体" w:hAnsi="宋体" w:eastAsia="宋体" w:cs="宋体"/>
          <w:color w:val="auto"/>
          <w:spacing w:val="11"/>
          <w:sz w:val="21"/>
          <w:szCs w:val="21"/>
          <w:highlight w:val="none"/>
          <w:u w:val="none"/>
        </w:rPr>
      </w:pPr>
      <w:r>
        <w:rPr>
          <w:rFonts w:hint="eastAsia" w:ascii="宋体" w:hAnsi="宋体" w:eastAsia="宋体" w:cs="宋体"/>
          <w:color w:val="auto"/>
          <w:spacing w:val="11"/>
          <w:sz w:val="21"/>
          <w:szCs w:val="21"/>
          <w:highlight w:val="none"/>
          <w:u w:val="none"/>
        </w:rPr>
        <w:t>2.法定代表人身份证明</w:t>
      </w:r>
    </w:p>
    <w:p w14:paraId="6B3200E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 应 商：</w:t>
      </w:r>
    </w:p>
    <w:p w14:paraId="3AF11D9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p>
    <w:p w14:paraId="2638A6B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p>
    <w:p w14:paraId="2C6DEBA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成立时间：年月日</w:t>
      </w:r>
    </w:p>
    <w:p w14:paraId="0F78623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经营期限：</w:t>
      </w:r>
    </w:p>
    <w:p w14:paraId="7AACA60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名：性        别：</w:t>
      </w:r>
    </w:p>
    <w:p w14:paraId="07054AE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龄：职        务：</w:t>
      </w:r>
    </w:p>
    <w:p w14:paraId="6132D3A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系（供应商名称）的法定代表人。</w:t>
      </w:r>
    </w:p>
    <w:p w14:paraId="0269A07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14:paraId="28F10611">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供应商：（盖单位章）</w:t>
      </w:r>
    </w:p>
    <w:p w14:paraId="444ABEAD">
      <w:pPr>
        <w:spacing w:line="360" w:lineRule="auto"/>
        <w:jc w:val="right"/>
        <w:rPr>
          <w:rFonts w:hint="eastAsia" w:ascii="宋体" w:hAnsi="宋体" w:eastAsia="宋体" w:cs="宋体"/>
          <w:color w:val="auto"/>
          <w:spacing w:val="11"/>
          <w:szCs w:val="21"/>
          <w:highlight w:val="none"/>
        </w:rPr>
      </w:pPr>
      <w:r>
        <w:rPr>
          <w:rFonts w:hint="eastAsia" w:ascii="宋体" w:hAnsi="宋体" w:eastAsia="宋体" w:cs="宋体"/>
          <w:color w:val="auto"/>
          <w:szCs w:val="21"/>
          <w:highlight w:val="none"/>
        </w:rPr>
        <w:t>年月日</w:t>
      </w:r>
    </w:p>
    <w:p w14:paraId="0AC3EA57">
      <w:pPr>
        <w:ind w:left="2" w:leftChars="1" w:firstLine="420"/>
        <w:jc w:val="center"/>
        <w:rPr>
          <w:rFonts w:hint="eastAsia" w:ascii="宋体" w:hAnsi="宋体" w:eastAsia="宋体" w:cs="宋体"/>
          <w:bCs/>
          <w:color w:val="auto"/>
          <w:spacing w:val="11"/>
          <w:szCs w:val="21"/>
          <w:highlight w:val="none"/>
        </w:rPr>
      </w:pPr>
    </w:p>
    <w:p w14:paraId="2855FE22">
      <w:pPr>
        <w:ind w:left="2" w:leftChars="1" w:firstLine="420"/>
        <w:jc w:val="center"/>
        <w:rPr>
          <w:rFonts w:hint="eastAsia" w:ascii="宋体" w:hAnsi="宋体" w:eastAsia="宋体" w:cs="宋体"/>
          <w:color w:val="auto"/>
          <w:spacing w:val="11"/>
          <w:szCs w:val="21"/>
          <w:highlight w:val="none"/>
        </w:rPr>
      </w:pPr>
      <w:bookmarkStart w:id="52" w:name="_Toc29091_WPSOffice_Level1"/>
      <w:bookmarkStart w:id="53" w:name="_Toc342_WPSOffice_Level1"/>
      <w:bookmarkStart w:id="54" w:name="_Toc682_WPSOffice_Level1"/>
      <w:bookmarkStart w:id="55" w:name="_Toc25840_WPSOffice_Level1"/>
      <w:r>
        <w:rPr>
          <w:rFonts w:hint="eastAsia" w:ascii="宋体" w:hAnsi="宋体" w:eastAsia="宋体" w:cs="宋体"/>
          <w:color w:val="auto"/>
          <w:spacing w:val="11"/>
          <w:szCs w:val="21"/>
          <w:highlight w:val="none"/>
        </w:rPr>
        <w:t>法定代表人身份证复印件粘贴处</w:t>
      </w:r>
      <w:bookmarkEnd w:id="52"/>
      <w:bookmarkEnd w:id="53"/>
      <w:bookmarkEnd w:id="54"/>
      <w:bookmarkEnd w:id="55"/>
    </w:p>
    <w:p w14:paraId="4787370D">
      <w:pPr>
        <w:ind w:firstLine="42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mc:AlternateContent>
          <mc:Choice Requires="wps">
            <w:drawing>
              <wp:anchor distT="0" distB="0" distL="114300" distR="114300" simplePos="0" relativeHeight="251659264" behindDoc="0" locked="0" layoutInCell="1" allowOverlap="1">
                <wp:simplePos x="0" y="0"/>
                <wp:positionH relativeFrom="column">
                  <wp:posOffset>617220</wp:posOffset>
                </wp:positionH>
                <wp:positionV relativeFrom="paragraph">
                  <wp:posOffset>76200</wp:posOffset>
                </wp:positionV>
                <wp:extent cx="4686300" cy="1584960"/>
                <wp:effectExtent l="4445" t="5080" r="14605" b="10160"/>
                <wp:wrapNone/>
                <wp:docPr id="3" name="矩形 2"/>
                <wp:cNvGraphicFramePr/>
                <a:graphic xmlns:a="http://schemas.openxmlformats.org/drawingml/2006/main">
                  <a:graphicData uri="http://schemas.microsoft.com/office/word/2010/wordprocessingShape">
                    <wps:wsp>
                      <wps:cNvSpPr/>
                      <wps:spPr>
                        <a:xfrm>
                          <a:off x="0" y="0"/>
                          <a:ext cx="4686300"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CB44F91"/>
                        </w:txbxContent>
                      </wps:txbx>
                      <wps:bodyPr upright="1"/>
                    </wps:wsp>
                  </a:graphicData>
                </a:graphic>
              </wp:anchor>
            </w:drawing>
          </mc:Choice>
          <mc:Fallback>
            <w:pict>
              <v:rect id="矩形 2" o:spid="_x0000_s1026" o:spt="1" style="position:absolute;left:0pt;margin-left:48.6pt;margin-top:6pt;height:124.8pt;width:369pt;z-index:251659264;mso-width-relative:page;mso-height-relative:page;" fillcolor="#FFFFFF" filled="t" stroked="t" coordsize="21600,21600" o:gfxdata="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H92l1wAAAAkBAAAPAAAAAAAAAAEAIAAAACIA&#10;AABkcnMvZG93bnJldi54bWxQSwECFAAUAAAACACHTuJAggN5NgoCAAA4BAAADgAAAAAAAAABACAA&#10;AAAmAQAAZHJzL2Uyb0RvYy54bWxQSwUGAAAAAAYABgBZAQAAogUAAAAA&#10;">
                <v:fill on="t" focussize="0,0"/>
                <v:stroke color="#000000" joinstyle="miter"/>
                <v:imagedata o:title=""/>
                <o:lock v:ext="edit" aspectratio="f"/>
                <v:textbox>
                  <w:txbxContent>
                    <w:p w14:paraId="5CB44F91"/>
                  </w:txbxContent>
                </v:textbox>
              </v:rect>
            </w:pict>
          </mc:Fallback>
        </mc:AlternateContent>
      </w:r>
    </w:p>
    <w:p w14:paraId="35A7007C">
      <w:pPr>
        <w:ind w:firstLine="420"/>
        <w:rPr>
          <w:rFonts w:hint="eastAsia" w:ascii="宋体" w:hAnsi="宋体" w:eastAsia="宋体" w:cs="宋体"/>
          <w:color w:val="auto"/>
          <w:spacing w:val="11"/>
          <w:szCs w:val="21"/>
          <w:highlight w:val="none"/>
        </w:rPr>
      </w:pPr>
    </w:p>
    <w:p w14:paraId="05A47B61">
      <w:pPr>
        <w:ind w:firstLine="420"/>
        <w:rPr>
          <w:rFonts w:hint="eastAsia" w:ascii="宋体" w:hAnsi="宋体" w:eastAsia="宋体" w:cs="宋体"/>
          <w:color w:val="auto"/>
          <w:spacing w:val="11"/>
          <w:szCs w:val="21"/>
          <w:highlight w:val="none"/>
        </w:rPr>
      </w:pPr>
    </w:p>
    <w:p w14:paraId="35416340">
      <w:pPr>
        <w:ind w:firstLine="420"/>
        <w:rPr>
          <w:rFonts w:hint="eastAsia" w:ascii="宋体" w:hAnsi="宋体" w:eastAsia="宋体" w:cs="宋体"/>
          <w:color w:val="auto"/>
          <w:spacing w:val="11"/>
          <w:szCs w:val="21"/>
          <w:highlight w:val="none"/>
        </w:rPr>
      </w:pPr>
    </w:p>
    <w:p w14:paraId="51E154B1">
      <w:pPr>
        <w:ind w:firstLine="420"/>
        <w:rPr>
          <w:rFonts w:hint="eastAsia" w:ascii="宋体" w:hAnsi="宋体" w:eastAsia="宋体" w:cs="宋体"/>
          <w:color w:val="auto"/>
          <w:spacing w:val="11"/>
          <w:szCs w:val="21"/>
          <w:highlight w:val="none"/>
        </w:rPr>
      </w:pPr>
    </w:p>
    <w:p w14:paraId="01E8E2A7">
      <w:pPr>
        <w:ind w:firstLine="420"/>
        <w:rPr>
          <w:rFonts w:hint="eastAsia" w:ascii="宋体" w:hAnsi="宋体" w:eastAsia="宋体" w:cs="宋体"/>
          <w:color w:val="auto"/>
          <w:spacing w:val="11"/>
          <w:szCs w:val="21"/>
          <w:highlight w:val="none"/>
        </w:rPr>
      </w:pPr>
    </w:p>
    <w:p w14:paraId="22698A4E">
      <w:pPr>
        <w:ind w:firstLine="420"/>
        <w:rPr>
          <w:rFonts w:hint="eastAsia" w:ascii="宋体" w:hAnsi="宋体" w:eastAsia="宋体" w:cs="宋体"/>
          <w:color w:val="auto"/>
          <w:spacing w:val="11"/>
          <w:szCs w:val="21"/>
          <w:highlight w:val="none"/>
        </w:rPr>
      </w:pPr>
    </w:p>
    <w:p w14:paraId="50103E95">
      <w:pPr>
        <w:ind w:firstLine="420"/>
        <w:rPr>
          <w:rFonts w:hint="eastAsia" w:ascii="宋体" w:hAnsi="宋体" w:eastAsia="宋体" w:cs="宋体"/>
          <w:color w:val="auto"/>
          <w:spacing w:val="11"/>
          <w:szCs w:val="21"/>
          <w:highlight w:val="none"/>
        </w:rPr>
      </w:pPr>
    </w:p>
    <w:p w14:paraId="70D70F77">
      <w:pPr>
        <w:spacing w:line="360" w:lineRule="auto"/>
        <w:rPr>
          <w:rFonts w:hint="eastAsia" w:ascii="宋体" w:hAnsi="宋体" w:eastAsia="宋体" w:cs="宋体"/>
          <w:color w:val="auto"/>
          <w:spacing w:val="11"/>
          <w:szCs w:val="21"/>
          <w:highlight w:val="none"/>
        </w:rPr>
      </w:pPr>
    </w:p>
    <w:p w14:paraId="074446B1">
      <w:pPr>
        <w:spacing w:line="360" w:lineRule="auto"/>
        <w:rPr>
          <w:rFonts w:hint="eastAsia" w:ascii="宋体" w:hAnsi="宋体" w:eastAsia="宋体" w:cs="宋体"/>
          <w:color w:val="auto"/>
          <w:spacing w:val="11"/>
          <w:szCs w:val="21"/>
          <w:highlight w:val="none"/>
        </w:rPr>
      </w:pPr>
    </w:p>
    <w:p w14:paraId="551B14C2">
      <w:pPr>
        <w:spacing w:line="360" w:lineRule="auto"/>
        <w:rPr>
          <w:rFonts w:hint="eastAsia" w:ascii="宋体" w:hAnsi="宋体" w:eastAsia="宋体" w:cs="宋体"/>
          <w:color w:val="auto"/>
          <w:spacing w:val="11"/>
          <w:szCs w:val="21"/>
          <w:highlight w:val="none"/>
        </w:rPr>
      </w:pPr>
    </w:p>
    <w:p w14:paraId="30E8902D">
      <w:pPr>
        <w:spacing w:line="360" w:lineRule="auto"/>
        <w:rPr>
          <w:rFonts w:hint="eastAsia" w:ascii="宋体" w:hAnsi="宋体" w:eastAsia="宋体" w:cs="宋体"/>
          <w:color w:val="auto"/>
          <w:spacing w:val="11"/>
          <w:szCs w:val="21"/>
          <w:highlight w:val="none"/>
        </w:rPr>
      </w:pPr>
    </w:p>
    <w:p w14:paraId="29F7E7D9">
      <w:pPr>
        <w:spacing w:line="360" w:lineRule="auto"/>
        <w:rPr>
          <w:rFonts w:hint="eastAsia" w:ascii="宋体" w:hAnsi="宋体" w:eastAsia="宋体" w:cs="宋体"/>
          <w:color w:val="auto"/>
          <w:spacing w:val="11"/>
          <w:szCs w:val="21"/>
          <w:highlight w:val="none"/>
        </w:rPr>
      </w:pPr>
    </w:p>
    <w:p w14:paraId="7EF0255E">
      <w:pPr>
        <w:spacing w:line="360" w:lineRule="auto"/>
        <w:rPr>
          <w:rFonts w:hint="eastAsia" w:ascii="宋体" w:hAnsi="宋体" w:eastAsia="宋体" w:cs="宋体"/>
          <w:color w:val="auto"/>
          <w:spacing w:val="11"/>
          <w:szCs w:val="21"/>
          <w:highlight w:val="none"/>
        </w:rPr>
      </w:pPr>
    </w:p>
    <w:p w14:paraId="0B777C59">
      <w:pPr>
        <w:pStyle w:val="54"/>
        <w:ind w:firstLine="232"/>
        <w:rPr>
          <w:rFonts w:hint="eastAsia" w:ascii="宋体" w:hAnsi="宋体" w:eastAsia="宋体" w:cs="宋体"/>
          <w:color w:val="auto"/>
          <w:spacing w:val="11"/>
          <w:szCs w:val="21"/>
          <w:highlight w:val="none"/>
        </w:rPr>
      </w:pPr>
    </w:p>
    <w:p w14:paraId="55A8B359">
      <w:pPr>
        <w:pStyle w:val="54"/>
        <w:ind w:firstLine="232"/>
        <w:rPr>
          <w:rFonts w:hint="eastAsia" w:ascii="宋体" w:hAnsi="宋体" w:eastAsia="宋体" w:cs="宋体"/>
          <w:color w:val="auto"/>
          <w:spacing w:val="11"/>
          <w:szCs w:val="21"/>
          <w:highlight w:val="none"/>
        </w:rPr>
      </w:pPr>
    </w:p>
    <w:p w14:paraId="26C9A2EB">
      <w:pPr>
        <w:pStyle w:val="54"/>
        <w:ind w:firstLine="232"/>
        <w:rPr>
          <w:rFonts w:hint="eastAsia" w:ascii="宋体" w:hAnsi="宋体" w:eastAsia="宋体" w:cs="宋体"/>
          <w:color w:val="auto"/>
          <w:spacing w:val="11"/>
          <w:szCs w:val="21"/>
          <w:highlight w:val="none"/>
        </w:rPr>
      </w:pPr>
    </w:p>
    <w:p w14:paraId="68828105">
      <w:pPr>
        <w:pStyle w:val="54"/>
        <w:ind w:firstLine="232"/>
        <w:rPr>
          <w:rFonts w:hint="eastAsia" w:ascii="宋体" w:hAnsi="宋体" w:eastAsia="宋体" w:cs="宋体"/>
          <w:color w:val="auto"/>
          <w:spacing w:val="11"/>
          <w:szCs w:val="21"/>
          <w:highlight w:val="none"/>
        </w:rPr>
      </w:pPr>
    </w:p>
    <w:p w14:paraId="4BA18502">
      <w:pPr>
        <w:pStyle w:val="54"/>
        <w:ind w:firstLine="232"/>
        <w:rPr>
          <w:rFonts w:hint="eastAsia" w:ascii="宋体" w:hAnsi="宋体" w:eastAsia="宋体" w:cs="宋体"/>
          <w:color w:val="auto"/>
          <w:spacing w:val="11"/>
          <w:szCs w:val="21"/>
          <w:highlight w:val="none"/>
        </w:rPr>
      </w:pPr>
    </w:p>
    <w:p w14:paraId="248FE362">
      <w:pPr>
        <w:rPr>
          <w:rFonts w:hint="eastAsia" w:ascii="宋体" w:hAnsi="宋体" w:eastAsia="宋体" w:cs="宋体"/>
          <w:color w:val="auto"/>
          <w:spacing w:val="11"/>
          <w:szCs w:val="21"/>
          <w:highlight w:val="none"/>
        </w:rPr>
      </w:pPr>
    </w:p>
    <w:p w14:paraId="69DD6674">
      <w:pPr>
        <w:pStyle w:val="23"/>
        <w:rPr>
          <w:rFonts w:hint="eastAsia" w:ascii="宋体" w:hAnsi="宋体" w:eastAsia="宋体" w:cs="宋体"/>
          <w:color w:val="auto"/>
          <w:spacing w:val="11"/>
          <w:szCs w:val="21"/>
          <w:highlight w:val="none"/>
        </w:rPr>
      </w:pPr>
    </w:p>
    <w:p w14:paraId="6B8AB526">
      <w:pPr>
        <w:pStyle w:val="69"/>
        <w:rPr>
          <w:rFonts w:hint="eastAsia" w:ascii="宋体" w:hAnsi="宋体" w:eastAsia="宋体" w:cs="宋体"/>
          <w:color w:val="auto"/>
          <w:highlight w:val="none"/>
        </w:rPr>
      </w:pPr>
    </w:p>
    <w:p w14:paraId="1E94380C">
      <w:pPr>
        <w:pStyle w:val="54"/>
        <w:ind w:firstLine="232"/>
        <w:rPr>
          <w:rFonts w:hint="eastAsia" w:ascii="宋体" w:hAnsi="宋体" w:eastAsia="宋体" w:cs="宋体"/>
          <w:color w:val="auto"/>
          <w:highlight w:val="none"/>
        </w:rPr>
      </w:pPr>
      <w:r>
        <w:rPr>
          <w:rFonts w:hint="eastAsia" w:ascii="宋体" w:hAnsi="宋体" w:eastAsia="宋体" w:cs="宋体"/>
          <w:color w:val="auto"/>
          <w:spacing w:val="11"/>
          <w:szCs w:val="21"/>
          <w:highlight w:val="none"/>
        </w:rPr>
        <w:t xml:space="preserve">             </w:t>
      </w:r>
    </w:p>
    <w:p w14:paraId="6051BC4A">
      <w:pPr>
        <w:pStyle w:val="4"/>
        <w:jc w:val="center"/>
        <w:rPr>
          <w:rFonts w:hint="eastAsia" w:ascii="宋体" w:hAnsi="宋体" w:eastAsia="宋体" w:cs="宋体"/>
          <w:color w:val="auto"/>
          <w:spacing w:val="11"/>
          <w:sz w:val="21"/>
          <w:szCs w:val="21"/>
          <w:highlight w:val="none"/>
          <w:u w:val="none"/>
        </w:rPr>
      </w:pPr>
      <w:r>
        <w:rPr>
          <w:rFonts w:hint="eastAsia" w:ascii="宋体" w:hAnsi="宋体" w:eastAsia="宋体" w:cs="宋体"/>
          <w:color w:val="auto"/>
          <w:spacing w:val="11"/>
          <w:sz w:val="21"/>
          <w:szCs w:val="21"/>
          <w:highlight w:val="none"/>
          <w:u w:val="none"/>
        </w:rPr>
        <w:t>授权委托书</w:t>
      </w:r>
    </w:p>
    <w:p w14:paraId="20803863">
      <w:pPr>
        <w:spacing w:line="40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本人（姓名）系（供应商名称）的法定代表人，现委托</w:t>
      </w:r>
      <w:r>
        <w:rPr>
          <w:rFonts w:hint="eastAsia" w:ascii="宋体" w:hAnsi="宋体" w:eastAsia="宋体" w:cs="宋体"/>
          <w:color w:val="auto"/>
          <w:spacing w:val="11"/>
          <w:szCs w:val="21"/>
          <w:highlight w:val="none"/>
          <w:u w:val="single"/>
        </w:rPr>
        <w:t xml:space="preserve">      （姓名）</w:t>
      </w:r>
      <w:r>
        <w:rPr>
          <w:rFonts w:hint="eastAsia" w:ascii="宋体" w:hAnsi="宋体" w:eastAsia="宋体" w:cs="宋体"/>
          <w:color w:val="auto"/>
          <w:spacing w:val="11"/>
          <w:szCs w:val="21"/>
          <w:highlight w:val="none"/>
        </w:rPr>
        <w:t>为我方代理人。代理人根据授权，以我方名义签署、澄清、说明、补正、递交、撤回、修改（项目名称）磋商响应文件、签订合同和处理有关事宜，其法律后果由我方承担。</w:t>
      </w:r>
    </w:p>
    <w:p w14:paraId="2FC47BAB">
      <w:pPr>
        <w:spacing w:before="120" w:beforeLines="50" w:line="40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委托期限：。</w:t>
      </w:r>
    </w:p>
    <w:p w14:paraId="7B2E1CD1">
      <w:pPr>
        <w:spacing w:before="240" w:beforeLines="100" w:after="240" w:afterLines="100" w:line="40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代理人无转委托权。</w:t>
      </w:r>
    </w:p>
    <w:p w14:paraId="33252916">
      <w:pPr>
        <w:ind w:left="2" w:leftChars="1" w:firstLine="420"/>
        <w:jc w:val="center"/>
        <w:rPr>
          <w:rFonts w:hint="eastAsia" w:ascii="宋体" w:hAnsi="宋体" w:eastAsia="宋体" w:cs="宋体"/>
          <w:color w:val="auto"/>
          <w:spacing w:val="11"/>
          <w:szCs w:val="21"/>
          <w:highlight w:val="none"/>
        </w:rPr>
      </w:pPr>
      <w:bookmarkStart w:id="56" w:name="_Toc2526_WPSOffice_Level1"/>
      <w:bookmarkStart w:id="57" w:name="_Toc3409_WPSOffice_Level1"/>
      <w:bookmarkStart w:id="58" w:name="_Toc10368_WPSOffice_Level1"/>
      <w:bookmarkStart w:id="59" w:name="_Toc31353_WPSOffice_Level1"/>
      <w:r>
        <w:rPr>
          <w:rFonts w:hint="eastAsia" w:ascii="宋体" w:hAnsi="宋体" w:eastAsia="宋体" w:cs="宋体"/>
          <w:color w:val="auto"/>
          <w:spacing w:val="11"/>
          <w:szCs w:val="21"/>
          <w:highlight w:val="none"/>
        </w:rPr>
        <w:t>法定代表人身份证复印件粘贴处</w:t>
      </w:r>
      <w:bookmarkEnd w:id="56"/>
      <w:bookmarkEnd w:id="57"/>
      <w:bookmarkEnd w:id="58"/>
      <w:bookmarkEnd w:id="59"/>
    </w:p>
    <w:p w14:paraId="79A8ABC3">
      <w:pPr>
        <w:ind w:firstLine="42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mc:AlternateContent>
          <mc:Choice Requires="wps">
            <w:drawing>
              <wp:anchor distT="0" distB="0" distL="114300" distR="114300" simplePos="0" relativeHeight="251660288" behindDoc="0" locked="0" layoutInCell="1" allowOverlap="1">
                <wp:simplePos x="0" y="0"/>
                <wp:positionH relativeFrom="column">
                  <wp:posOffset>695325</wp:posOffset>
                </wp:positionH>
                <wp:positionV relativeFrom="paragraph">
                  <wp:posOffset>158115</wp:posOffset>
                </wp:positionV>
                <wp:extent cx="4800600" cy="1252220"/>
                <wp:effectExtent l="4445" t="4445" r="14605" b="19685"/>
                <wp:wrapNone/>
                <wp:docPr id="4" name="矩形 3"/>
                <wp:cNvGraphicFramePr/>
                <a:graphic xmlns:a="http://schemas.openxmlformats.org/drawingml/2006/main">
                  <a:graphicData uri="http://schemas.microsoft.com/office/word/2010/wordprocessingShape">
                    <wps:wsp>
                      <wps:cNvSpPr/>
                      <wps:spPr>
                        <a:xfrm>
                          <a:off x="0" y="0"/>
                          <a:ext cx="4800600" cy="12522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C8118B4"/>
                        </w:txbxContent>
                      </wps:txbx>
                      <wps:bodyPr upright="1"/>
                    </wps:wsp>
                  </a:graphicData>
                </a:graphic>
              </wp:anchor>
            </w:drawing>
          </mc:Choice>
          <mc:Fallback>
            <w:pict>
              <v:rect id="矩形 3" o:spid="_x0000_s1026" o:spt="1" style="position:absolute;left:0pt;margin-left:54.75pt;margin-top:12.45pt;height:98.6pt;width:378pt;z-index:251660288;mso-width-relative:page;mso-height-relative:page;" fillcolor="#FFFFFF" filled="t" stroked="t" coordsize="21600,21600" o:gfxdata="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AJCStcAAAAKAQAADwAAAAAAAAABACAAAAAiAAAA&#10;ZHJzL2Rvd25yZXYueG1sUEsBAhQAFAAAAAgAh07iQHTDS/wIAgAAOAQAAA4AAAAAAAAAAQAgAAAA&#10;JgEAAGRycy9lMm9Eb2MueG1sUEsFBgAAAAAGAAYAWQEAAKAFAAAAAA==&#10;">
                <v:fill on="t" focussize="0,0"/>
                <v:stroke color="#000000" joinstyle="miter"/>
                <v:imagedata o:title=""/>
                <o:lock v:ext="edit" aspectratio="f"/>
                <v:textbox>
                  <w:txbxContent>
                    <w:p w14:paraId="2C8118B4"/>
                  </w:txbxContent>
                </v:textbox>
              </v:rect>
            </w:pict>
          </mc:Fallback>
        </mc:AlternateContent>
      </w:r>
    </w:p>
    <w:p w14:paraId="0192716E">
      <w:pPr>
        <w:ind w:firstLine="420"/>
        <w:rPr>
          <w:rFonts w:hint="eastAsia" w:ascii="宋体" w:hAnsi="宋体" w:eastAsia="宋体" w:cs="宋体"/>
          <w:color w:val="auto"/>
          <w:spacing w:val="11"/>
          <w:szCs w:val="21"/>
          <w:highlight w:val="none"/>
        </w:rPr>
      </w:pPr>
    </w:p>
    <w:p w14:paraId="7A85549A">
      <w:pPr>
        <w:ind w:firstLine="420"/>
        <w:rPr>
          <w:rFonts w:hint="eastAsia" w:ascii="宋体" w:hAnsi="宋体" w:eastAsia="宋体" w:cs="宋体"/>
          <w:color w:val="auto"/>
          <w:spacing w:val="11"/>
          <w:szCs w:val="21"/>
          <w:highlight w:val="none"/>
        </w:rPr>
      </w:pPr>
    </w:p>
    <w:p w14:paraId="69FB1FAF">
      <w:pPr>
        <w:ind w:firstLine="420"/>
        <w:rPr>
          <w:rFonts w:hint="eastAsia" w:ascii="宋体" w:hAnsi="宋体" w:eastAsia="宋体" w:cs="宋体"/>
          <w:color w:val="auto"/>
          <w:spacing w:val="11"/>
          <w:szCs w:val="21"/>
          <w:highlight w:val="none"/>
        </w:rPr>
      </w:pPr>
    </w:p>
    <w:p w14:paraId="52DC4DB9">
      <w:pPr>
        <w:ind w:firstLine="420"/>
        <w:jc w:val="center"/>
        <w:rPr>
          <w:rFonts w:hint="eastAsia" w:ascii="宋体" w:hAnsi="宋体" w:eastAsia="宋体" w:cs="宋体"/>
          <w:color w:val="auto"/>
          <w:spacing w:val="11"/>
          <w:szCs w:val="21"/>
          <w:highlight w:val="none"/>
        </w:rPr>
      </w:pPr>
    </w:p>
    <w:p w14:paraId="55FD7733">
      <w:pPr>
        <w:ind w:firstLine="420"/>
        <w:jc w:val="center"/>
        <w:rPr>
          <w:rFonts w:hint="eastAsia" w:ascii="宋体" w:hAnsi="宋体" w:eastAsia="宋体" w:cs="宋体"/>
          <w:color w:val="auto"/>
          <w:spacing w:val="11"/>
          <w:szCs w:val="21"/>
          <w:highlight w:val="none"/>
        </w:rPr>
      </w:pPr>
      <w:bookmarkStart w:id="60" w:name="_Toc26573_WPSOffice_Level1"/>
      <w:bookmarkStart w:id="61" w:name="_Toc12505_WPSOffice_Level1"/>
      <w:bookmarkStart w:id="62" w:name="_Toc8305_WPSOffice_Level1"/>
      <w:bookmarkStart w:id="63" w:name="_Toc25041_WPSOffice_Level1"/>
      <w:r>
        <w:rPr>
          <w:rFonts w:hint="eastAsia" w:ascii="宋体" w:hAnsi="宋体" w:eastAsia="宋体" w:cs="宋体"/>
          <w:color w:val="auto"/>
          <w:spacing w:val="11"/>
          <w:szCs w:val="21"/>
          <w:highlight w:val="none"/>
        </w:rPr>
        <w:t>授权委托人身份证复印件粘贴处</w:t>
      </w:r>
      <w:bookmarkEnd w:id="60"/>
      <w:bookmarkEnd w:id="61"/>
      <w:bookmarkEnd w:id="62"/>
      <w:bookmarkEnd w:id="63"/>
    </w:p>
    <w:p w14:paraId="1B67C36F">
      <w:pPr>
        <w:ind w:firstLine="420"/>
        <w:rPr>
          <w:rFonts w:hint="eastAsia" w:ascii="宋体" w:hAnsi="宋体" w:eastAsia="宋体" w:cs="宋体"/>
          <w:color w:val="auto"/>
          <w:spacing w:val="11"/>
          <w:szCs w:val="21"/>
          <w:highlight w:val="none"/>
        </w:rPr>
      </w:pPr>
    </w:p>
    <w:p w14:paraId="423A7797">
      <w:pPr>
        <w:ind w:firstLine="420"/>
        <w:rPr>
          <w:rFonts w:hint="eastAsia" w:ascii="宋体" w:hAnsi="宋体" w:eastAsia="宋体" w:cs="宋体"/>
          <w:color w:val="auto"/>
          <w:spacing w:val="11"/>
          <w:szCs w:val="21"/>
          <w:highlight w:val="none"/>
        </w:rPr>
      </w:pPr>
    </w:p>
    <w:p w14:paraId="732715E4">
      <w:pPr>
        <w:ind w:left="2" w:leftChars="1" w:firstLine="420"/>
        <w:jc w:val="center"/>
        <w:rPr>
          <w:rFonts w:hint="eastAsia" w:ascii="宋体" w:hAnsi="宋体" w:eastAsia="宋体" w:cs="宋体"/>
          <w:color w:val="auto"/>
          <w:spacing w:val="11"/>
          <w:szCs w:val="21"/>
          <w:highlight w:val="none"/>
        </w:rPr>
      </w:pPr>
      <w:bookmarkStart w:id="64" w:name="_Toc11725_WPSOffice_Level1"/>
      <w:bookmarkStart w:id="65" w:name="_Toc13689_WPSOffice_Level1"/>
      <w:bookmarkStart w:id="66" w:name="_Toc13396_WPSOffice_Level1"/>
      <w:bookmarkStart w:id="67" w:name="_Toc24530_WPSOffice_Level1"/>
    </w:p>
    <w:p w14:paraId="7269EABA">
      <w:pPr>
        <w:ind w:left="2" w:leftChars="1" w:firstLine="420"/>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授权委托人身份证复印件粘贴处</w:t>
      </w:r>
      <w:bookmarkEnd w:id="64"/>
      <w:bookmarkEnd w:id="65"/>
      <w:bookmarkEnd w:id="66"/>
      <w:bookmarkEnd w:id="67"/>
    </w:p>
    <w:p w14:paraId="6D428BEA">
      <w:pPr>
        <w:spacing w:line="360" w:lineRule="auto"/>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mc:AlternateContent>
          <mc:Choice Requires="wps">
            <w:drawing>
              <wp:anchor distT="0" distB="0" distL="114300" distR="114300" simplePos="0" relativeHeight="251661312" behindDoc="0" locked="0" layoutInCell="1" allowOverlap="1">
                <wp:simplePos x="0" y="0"/>
                <wp:positionH relativeFrom="column">
                  <wp:posOffset>771525</wp:posOffset>
                </wp:positionH>
                <wp:positionV relativeFrom="paragraph">
                  <wp:posOffset>106680</wp:posOffset>
                </wp:positionV>
                <wp:extent cx="4686300" cy="1584960"/>
                <wp:effectExtent l="4445" t="5080" r="14605" b="10160"/>
                <wp:wrapNone/>
                <wp:docPr id="5" name="矩形 1"/>
                <wp:cNvGraphicFramePr/>
                <a:graphic xmlns:a="http://schemas.openxmlformats.org/drawingml/2006/main">
                  <a:graphicData uri="http://schemas.microsoft.com/office/word/2010/wordprocessingShape">
                    <wps:wsp>
                      <wps:cNvSpPr/>
                      <wps:spPr>
                        <a:xfrm>
                          <a:off x="0" y="0"/>
                          <a:ext cx="4686300"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F43673C"/>
                        </w:txbxContent>
                      </wps:txbx>
                      <wps:bodyPr upright="1"/>
                    </wps:wsp>
                  </a:graphicData>
                </a:graphic>
              </wp:anchor>
            </w:drawing>
          </mc:Choice>
          <mc:Fallback>
            <w:pict>
              <v:rect id="矩形 1" o:spid="_x0000_s1026" o:spt="1" style="position:absolute;left:0pt;margin-left:60.75pt;margin-top:8.4pt;height:124.8pt;width:369pt;z-index:251661312;mso-width-relative:page;mso-height-relative:page;" fillcolor="#FFFFFF" filled="t" stroked="t" coordsize="21600,21600" o:gfxdata="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rSmJzXAAAACgEAAA8AAAAAAAAAAQAgAAAAIgAA&#10;AGRycy9kb3ducmV2LnhtbFBLAQIUABQAAAAIAIdO4kA4b1frCQIAADgEAAAOAAAAAAAAAAEAIAAA&#10;ACYBAABkcnMvZTJvRG9jLnhtbFBLBQYAAAAABgAGAFkBAAChBQAAAAA=&#10;">
                <v:fill on="t" focussize="0,0"/>
                <v:stroke color="#000000" joinstyle="miter"/>
                <v:imagedata o:title=""/>
                <o:lock v:ext="edit" aspectratio="f"/>
                <v:textbox>
                  <w:txbxContent>
                    <w:p w14:paraId="5F43673C"/>
                  </w:txbxContent>
                </v:textbox>
              </v:rect>
            </w:pict>
          </mc:Fallback>
        </mc:AlternateContent>
      </w:r>
    </w:p>
    <w:p w14:paraId="415E0D52">
      <w:pPr>
        <w:spacing w:line="360" w:lineRule="auto"/>
        <w:ind w:firstLine="3944" w:firstLineChars="1700"/>
        <w:rPr>
          <w:rFonts w:hint="eastAsia" w:ascii="宋体" w:hAnsi="宋体" w:eastAsia="宋体" w:cs="宋体"/>
          <w:color w:val="auto"/>
          <w:spacing w:val="11"/>
          <w:szCs w:val="21"/>
          <w:highlight w:val="none"/>
        </w:rPr>
      </w:pPr>
    </w:p>
    <w:p w14:paraId="381ECFEB">
      <w:pPr>
        <w:spacing w:line="360" w:lineRule="auto"/>
        <w:ind w:firstLine="3944" w:firstLineChars="1700"/>
        <w:rPr>
          <w:rFonts w:hint="eastAsia" w:ascii="宋体" w:hAnsi="宋体" w:eastAsia="宋体" w:cs="宋体"/>
          <w:color w:val="auto"/>
          <w:spacing w:val="11"/>
          <w:szCs w:val="21"/>
          <w:highlight w:val="none"/>
        </w:rPr>
      </w:pPr>
    </w:p>
    <w:p w14:paraId="0E6B3436">
      <w:pPr>
        <w:spacing w:line="380" w:lineRule="exact"/>
        <w:ind w:firstLine="3944" w:firstLineChars="1700"/>
        <w:rPr>
          <w:rFonts w:hint="eastAsia" w:ascii="宋体" w:hAnsi="宋体" w:eastAsia="宋体" w:cs="宋体"/>
          <w:color w:val="auto"/>
          <w:spacing w:val="11"/>
          <w:szCs w:val="21"/>
          <w:highlight w:val="none"/>
        </w:rPr>
      </w:pPr>
    </w:p>
    <w:p w14:paraId="49D8F7BE">
      <w:pPr>
        <w:spacing w:line="380" w:lineRule="exact"/>
        <w:ind w:firstLine="3944" w:firstLineChars="1700"/>
        <w:rPr>
          <w:rFonts w:hint="eastAsia" w:ascii="宋体" w:hAnsi="宋体" w:eastAsia="宋体" w:cs="宋体"/>
          <w:color w:val="auto"/>
          <w:spacing w:val="11"/>
          <w:szCs w:val="21"/>
          <w:highlight w:val="none"/>
        </w:rPr>
      </w:pPr>
    </w:p>
    <w:p w14:paraId="7679F196">
      <w:pPr>
        <w:spacing w:line="380" w:lineRule="exact"/>
        <w:ind w:firstLine="3944" w:firstLineChars="1700"/>
        <w:rPr>
          <w:rFonts w:hint="eastAsia" w:ascii="宋体" w:hAnsi="宋体" w:eastAsia="宋体" w:cs="宋体"/>
          <w:color w:val="auto"/>
          <w:spacing w:val="11"/>
          <w:szCs w:val="21"/>
          <w:highlight w:val="none"/>
        </w:rPr>
      </w:pPr>
    </w:p>
    <w:p w14:paraId="4C0E8683">
      <w:pPr>
        <w:spacing w:line="380" w:lineRule="exact"/>
        <w:ind w:firstLine="3944" w:firstLineChars="1700"/>
        <w:rPr>
          <w:rFonts w:hint="eastAsia" w:ascii="宋体" w:hAnsi="宋体" w:eastAsia="宋体" w:cs="宋体"/>
          <w:color w:val="auto"/>
          <w:spacing w:val="11"/>
          <w:szCs w:val="21"/>
          <w:highlight w:val="none"/>
        </w:rPr>
      </w:pPr>
    </w:p>
    <w:p w14:paraId="59BBE13E">
      <w:pPr>
        <w:spacing w:line="380" w:lineRule="exact"/>
        <w:ind w:firstLine="3570" w:firstLineChars="1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 应  商 ：（盖单位章）</w:t>
      </w:r>
    </w:p>
    <w:p w14:paraId="71F8B355">
      <w:pPr>
        <w:spacing w:line="380" w:lineRule="exact"/>
        <w:ind w:firstLine="3570" w:firstLineChars="1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p>
    <w:p w14:paraId="5C9000A0">
      <w:pPr>
        <w:spacing w:line="380" w:lineRule="exact"/>
        <w:ind w:firstLine="3570" w:firstLineChars="17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p>
    <w:p w14:paraId="690F3975">
      <w:pPr>
        <w:spacing w:line="380" w:lineRule="exact"/>
        <w:ind w:firstLine="3570" w:firstLineChars="1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r>
        <w:rPr>
          <w:rFonts w:hint="eastAsia" w:ascii="宋体" w:hAnsi="宋体" w:eastAsia="宋体" w:cs="宋体"/>
          <w:color w:val="auto"/>
          <w:spacing w:val="11"/>
          <w:szCs w:val="21"/>
          <w:highlight w:val="none"/>
        </w:rPr>
        <w:t>签字或盖章</w:t>
      </w:r>
      <w:r>
        <w:rPr>
          <w:rFonts w:hint="eastAsia" w:ascii="宋体" w:hAnsi="宋体" w:eastAsia="宋体" w:cs="宋体"/>
          <w:color w:val="auto"/>
          <w:szCs w:val="21"/>
          <w:highlight w:val="none"/>
        </w:rPr>
        <w:t>）</w:t>
      </w:r>
    </w:p>
    <w:p w14:paraId="1ABC7C7A">
      <w:pPr>
        <w:spacing w:line="380" w:lineRule="exact"/>
        <w:ind w:firstLine="3570" w:firstLineChars="1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p>
    <w:p w14:paraId="4DB7D020">
      <w:pPr>
        <w:spacing w:line="380" w:lineRule="exact"/>
        <w:ind w:firstLine="4830" w:firstLineChars="2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年月日</w:t>
      </w:r>
    </w:p>
    <w:p w14:paraId="559135A8">
      <w:pPr>
        <w:pStyle w:val="4"/>
        <w:jc w:val="center"/>
        <w:rPr>
          <w:rFonts w:hint="eastAsia" w:ascii="宋体" w:hAnsi="宋体" w:eastAsia="宋体" w:cs="宋体"/>
          <w:color w:val="auto"/>
          <w:spacing w:val="11"/>
          <w:sz w:val="21"/>
          <w:szCs w:val="21"/>
          <w:highlight w:val="none"/>
        </w:rPr>
      </w:pPr>
      <w:bookmarkStart w:id="68" w:name="_Toc3694_WPSOffice_Level1"/>
      <w:bookmarkStart w:id="69" w:name="_Toc4220_WPSOffice_Level1"/>
      <w:bookmarkStart w:id="70" w:name="_Toc7761_WPSOffice_Level1"/>
    </w:p>
    <w:p w14:paraId="7203B3BE">
      <w:pPr>
        <w:rPr>
          <w:rFonts w:hint="eastAsia" w:ascii="宋体" w:hAnsi="宋体" w:eastAsia="宋体" w:cs="宋体"/>
          <w:color w:val="auto"/>
          <w:spacing w:val="11"/>
          <w:szCs w:val="21"/>
          <w:highlight w:val="none"/>
        </w:rPr>
      </w:pPr>
    </w:p>
    <w:p w14:paraId="4C1045D1">
      <w:pPr>
        <w:pStyle w:val="54"/>
        <w:ind w:firstLine="232"/>
        <w:rPr>
          <w:rFonts w:hint="eastAsia" w:ascii="宋体" w:hAnsi="宋体" w:eastAsia="宋体" w:cs="宋体"/>
          <w:color w:val="auto"/>
          <w:spacing w:val="11"/>
          <w:szCs w:val="21"/>
          <w:highlight w:val="none"/>
        </w:rPr>
      </w:pPr>
    </w:p>
    <w:p w14:paraId="43AA5E3A">
      <w:pPr>
        <w:pStyle w:val="54"/>
        <w:ind w:firstLine="232"/>
        <w:rPr>
          <w:rFonts w:hint="eastAsia" w:ascii="宋体" w:hAnsi="宋体" w:eastAsia="宋体" w:cs="宋体"/>
          <w:color w:val="auto"/>
          <w:spacing w:val="11"/>
          <w:szCs w:val="21"/>
          <w:highlight w:val="none"/>
        </w:rPr>
      </w:pPr>
    </w:p>
    <w:p w14:paraId="6E333822">
      <w:pPr>
        <w:snapToGrid w:val="0"/>
        <w:spacing w:line="360" w:lineRule="auto"/>
        <w:jc w:val="both"/>
        <w:rPr>
          <w:rFonts w:hint="eastAsia" w:ascii="宋体" w:hAnsi="宋体" w:eastAsia="宋体" w:cs="宋体"/>
          <w:color w:val="auto"/>
          <w:spacing w:val="11"/>
          <w:szCs w:val="21"/>
          <w:highlight w:val="none"/>
        </w:rPr>
      </w:pPr>
    </w:p>
    <w:p w14:paraId="5BF177D5">
      <w:pPr>
        <w:snapToGrid w:val="0"/>
        <w:spacing w:line="360" w:lineRule="auto"/>
        <w:jc w:val="center"/>
        <w:rPr>
          <w:rFonts w:hint="eastAsia" w:ascii="宋体" w:hAnsi="宋体" w:eastAsia="宋体" w:cs="宋体"/>
          <w:color w:val="auto"/>
          <w:spacing w:val="11"/>
          <w:szCs w:val="21"/>
          <w:highlight w:val="none"/>
        </w:rPr>
      </w:pPr>
    </w:p>
    <w:p w14:paraId="564AA04D">
      <w:pPr>
        <w:snapToGrid w:val="0"/>
        <w:spacing w:line="360" w:lineRule="auto"/>
        <w:jc w:val="center"/>
        <w:rPr>
          <w:rFonts w:hint="eastAsia" w:ascii="宋体" w:hAnsi="宋体" w:eastAsia="宋体" w:cs="宋体"/>
          <w:color w:val="auto"/>
          <w:spacing w:val="11"/>
          <w:szCs w:val="21"/>
          <w:highlight w:val="none"/>
        </w:rPr>
      </w:pPr>
    </w:p>
    <w:p w14:paraId="5EB93AC9">
      <w:pPr>
        <w:pStyle w:val="4"/>
        <w:rPr>
          <w:rFonts w:hint="eastAsia" w:ascii="宋体" w:hAnsi="宋体" w:eastAsia="宋体" w:cs="宋体"/>
          <w:b/>
          <w:bCs w:val="0"/>
          <w:color w:val="auto"/>
          <w:spacing w:val="11"/>
          <w:kern w:val="2"/>
          <w:sz w:val="21"/>
          <w:szCs w:val="21"/>
          <w:highlight w:val="none"/>
          <w:lang w:val="en-US" w:eastAsia="zh-CN" w:bidi="ar-SA"/>
        </w:rPr>
      </w:pPr>
      <w:r>
        <w:rPr>
          <w:rFonts w:hint="eastAsia" w:ascii="宋体" w:hAnsi="宋体" w:eastAsia="宋体" w:cs="宋体"/>
          <w:color w:val="auto"/>
          <w:spacing w:val="11"/>
          <w:sz w:val="21"/>
          <w:szCs w:val="21"/>
          <w:highlight w:val="none"/>
        </w:rPr>
        <w:t>3.</w:t>
      </w:r>
      <w:r>
        <w:rPr>
          <w:rFonts w:hint="eastAsia" w:ascii="宋体" w:hAnsi="宋体" w:eastAsia="宋体" w:cs="宋体"/>
          <w:b/>
          <w:bCs w:val="0"/>
          <w:color w:val="auto"/>
          <w:spacing w:val="11"/>
          <w:kern w:val="2"/>
          <w:sz w:val="21"/>
          <w:szCs w:val="21"/>
          <w:highlight w:val="none"/>
          <w:lang w:val="en-US" w:eastAsia="zh-CN" w:bidi="ar-SA"/>
        </w:rPr>
        <w:t>符合参加政府采购活动应当具备条件的承诺函</w:t>
      </w:r>
    </w:p>
    <w:p w14:paraId="7220D797">
      <w:pPr>
        <w:snapToGrid w:val="0"/>
        <w:spacing w:line="360" w:lineRule="auto"/>
        <w:jc w:val="center"/>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符合参加政府采购活动应当具备条件的承诺函</w:t>
      </w:r>
    </w:p>
    <w:p w14:paraId="5D77E3A1">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（采购单位、招标代理机构）：</w:t>
      </w:r>
    </w:p>
    <w:p w14:paraId="50F6BE85">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我方参与（项目名称）【项目编号：】政府采购活动，郑重承诺：</w:t>
      </w:r>
    </w:p>
    <w:p w14:paraId="57CD529A">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（一）具备《中华人民共和国政府采购法》第二十二条第一款规定的条件：</w:t>
      </w:r>
    </w:p>
    <w:p w14:paraId="24454916">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1、具有独立承担民事责任的能力；</w:t>
      </w:r>
    </w:p>
    <w:p w14:paraId="05E51437">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 xml:space="preserve">2、具有良好的商业信誉和健全的财务会计制度； </w:t>
      </w:r>
    </w:p>
    <w:p w14:paraId="17B73766">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3、具有履行合同所必需的设备和专业技术能力；</w:t>
      </w:r>
    </w:p>
    <w:p w14:paraId="7323CBB7">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4、有依法缴纳税收和社会保障资金的良好记录；</w:t>
      </w:r>
    </w:p>
    <w:p w14:paraId="3507A5E9">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5、参加政府采购活动前三年内，在经营活动中没有重大违法记录；</w:t>
      </w:r>
    </w:p>
    <w:p w14:paraId="4E186F1F">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6、具有法律、行政法规规定的其他条件。</w:t>
      </w:r>
    </w:p>
    <w:p w14:paraId="2F0FF06C">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（二）未被信用中国（www.creditchina.gov.cn)、中国政府采购网（www.ccgp.gov.cn）列入失信被执行人、重大税收违法失信主体、政府采购严重违法失信行为记录名单。</w:t>
      </w:r>
    </w:p>
    <w:p w14:paraId="347D387C">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（三）不存在以下情况：</w:t>
      </w:r>
    </w:p>
    <w:p w14:paraId="4D1E14EC">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1、单位负责人为同一人或者存在直接控股、管理关系的不同供应商参加同一合同项下的政府采购活动的；</w:t>
      </w:r>
    </w:p>
    <w:p w14:paraId="14316B63">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2、为采购项目提供整体设计、规范编制或者项目管理、监理、检测等服务后再参加该采购项目的其他采购活动的。</w:t>
      </w:r>
    </w:p>
    <w:p w14:paraId="7626ABC7">
      <w:pPr>
        <w:snapToGrid w:val="0"/>
        <w:spacing w:before="156" w:beforeLines="50"/>
        <w:rPr>
          <w:rFonts w:hint="eastAsia" w:ascii="宋体" w:hAnsi="宋体" w:eastAsia="宋体" w:cs="宋体"/>
          <w:color w:val="auto"/>
          <w:spacing w:val="11"/>
          <w:szCs w:val="21"/>
          <w:highlight w:val="none"/>
          <w:u w:val="single"/>
        </w:rPr>
      </w:pPr>
      <w:r>
        <w:rPr>
          <w:rFonts w:hint="eastAsia" w:ascii="宋体" w:hAnsi="宋体" w:eastAsia="宋体" w:cs="宋体"/>
          <w:color w:val="auto"/>
          <w:spacing w:val="11"/>
          <w:szCs w:val="21"/>
          <w:highlight w:val="none"/>
        </w:rPr>
        <w:t>法定代表人或授权代表（签字或盖章）：</w:t>
      </w:r>
      <w:r>
        <w:rPr>
          <w:rFonts w:hint="eastAsia" w:ascii="宋体" w:hAnsi="宋体" w:eastAsia="宋体" w:cs="宋体"/>
          <w:color w:val="auto"/>
          <w:spacing w:val="11"/>
          <w:szCs w:val="21"/>
          <w:highlight w:val="none"/>
          <w:u w:val="single"/>
        </w:rPr>
        <w:t xml:space="preserve">             </w:t>
      </w:r>
    </w:p>
    <w:p w14:paraId="6DA63898">
      <w:pPr>
        <w:snapToGrid w:val="0"/>
        <w:spacing w:before="156" w:beforeLines="5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供应商公章：</w:t>
      </w:r>
      <w:r>
        <w:rPr>
          <w:rFonts w:hint="eastAsia" w:ascii="宋体" w:hAnsi="宋体" w:eastAsia="宋体" w:cs="宋体"/>
          <w:color w:val="auto"/>
          <w:spacing w:val="11"/>
          <w:szCs w:val="21"/>
          <w:highlight w:val="none"/>
          <w:u w:val="single"/>
        </w:rPr>
        <w:t xml:space="preserve">               </w:t>
      </w:r>
      <w:r>
        <w:rPr>
          <w:rFonts w:hint="eastAsia" w:ascii="宋体" w:hAnsi="宋体" w:eastAsia="宋体" w:cs="宋体"/>
          <w:color w:val="auto"/>
          <w:spacing w:val="11"/>
          <w:szCs w:val="21"/>
          <w:highlight w:val="none"/>
        </w:rPr>
        <w:t xml:space="preserve">                      </w:t>
      </w:r>
    </w:p>
    <w:p w14:paraId="21287727">
      <w:pPr>
        <w:snapToGrid w:val="0"/>
        <w:spacing w:before="156" w:beforeLines="50" w:after="50"/>
        <w:ind w:firstLine="6032" w:firstLineChars="2600"/>
        <w:rPr>
          <w:rFonts w:hint="eastAsia" w:ascii="宋体" w:hAnsi="宋体" w:eastAsia="宋体" w:cs="宋体"/>
          <w:color w:val="auto"/>
          <w:spacing w:val="11"/>
          <w:szCs w:val="21"/>
          <w:highlight w:val="none"/>
        </w:rPr>
      </w:pPr>
    </w:p>
    <w:p w14:paraId="195353A2">
      <w:pPr>
        <w:snapToGrid w:val="0"/>
        <w:spacing w:before="156" w:beforeLines="50" w:after="50"/>
        <w:ind w:firstLine="6032" w:firstLineChars="26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年    月    日</w:t>
      </w:r>
    </w:p>
    <w:p w14:paraId="00066D47">
      <w:pPr>
        <w:snapToGrid w:val="0"/>
        <w:spacing w:line="360" w:lineRule="auto"/>
        <w:jc w:val="center"/>
        <w:rPr>
          <w:rFonts w:hint="eastAsia" w:ascii="宋体" w:hAnsi="宋体" w:eastAsia="宋体" w:cs="宋体"/>
          <w:b/>
          <w:bCs/>
          <w:color w:val="auto"/>
          <w:spacing w:val="11"/>
          <w:kern w:val="2"/>
          <w:sz w:val="32"/>
          <w:szCs w:val="32"/>
          <w:highlight w:val="none"/>
          <w:lang w:val="en-US" w:eastAsia="zh-CN" w:bidi="ar-SA"/>
        </w:rPr>
      </w:pPr>
    </w:p>
    <w:p w14:paraId="66BBF04A">
      <w:pPr>
        <w:snapToGrid w:val="0"/>
        <w:spacing w:before="50" w:after="120" w:afterLines="50"/>
        <w:jc w:val="center"/>
        <w:rPr>
          <w:rFonts w:hint="eastAsia" w:ascii="宋体" w:hAnsi="宋体" w:eastAsia="宋体" w:cs="宋体"/>
          <w:b/>
          <w:color w:val="auto"/>
          <w:spacing w:val="11"/>
          <w:szCs w:val="21"/>
          <w:highlight w:val="none"/>
        </w:rPr>
      </w:pPr>
    </w:p>
    <w:p w14:paraId="19327486">
      <w:pPr>
        <w:snapToGrid w:val="0"/>
        <w:spacing w:before="50" w:after="120" w:afterLines="50"/>
        <w:jc w:val="center"/>
        <w:rPr>
          <w:rFonts w:hint="eastAsia" w:ascii="宋体" w:hAnsi="宋体" w:eastAsia="宋体" w:cs="宋体"/>
          <w:b/>
          <w:color w:val="auto"/>
          <w:spacing w:val="11"/>
          <w:szCs w:val="21"/>
          <w:highlight w:val="none"/>
        </w:rPr>
      </w:pPr>
    </w:p>
    <w:p w14:paraId="4094E7CA">
      <w:pPr>
        <w:snapToGrid w:val="0"/>
        <w:spacing w:before="50" w:after="120" w:afterLines="50"/>
        <w:jc w:val="center"/>
        <w:rPr>
          <w:rFonts w:hint="eastAsia" w:ascii="宋体" w:hAnsi="宋体" w:eastAsia="宋体" w:cs="宋体"/>
          <w:b/>
          <w:color w:val="auto"/>
          <w:spacing w:val="11"/>
          <w:szCs w:val="21"/>
          <w:highlight w:val="none"/>
        </w:rPr>
      </w:pPr>
    </w:p>
    <w:p w14:paraId="57B897DD">
      <w:pPr>
        <w:snapToGrid w:val="0"/>
        <w:spacing w:before="50" w:after="120" w:afterLines="50"/>
        <w:jc w:val="center"/>
        <w:rPr>
          <w:rFonts w:hint="eastAsia" w:ascii="宋体" w:hAnsi="宋体" w:eastAsia="宋体" w:cs="宋体"/>
          <w:b/>
          <w:color w:val="auto"/>
          <w:spacing w:val="11"/>
          <w:szCs w:val="21"/>
          <w:highlight w:val="none"/>
        </w:rPr>
      </w:pPr>
    </w:p>
    <w:p w14:paraId="4215C860">
      <w:pPr>
        <w:snapToGrid w:val="0"/>
        <w:spacing w:before="50" w:after="120" w:afterLines="50"/>
        <w:jc w:val="both"/>
        <w:rPr>
          <w:rFonts w:hint="eastAsia" w:ascii="宋体" w:hAnsi="宋体" w:eastAsia="宋体" w:cs="宋体"/>
          <w:b/>
          <w:color w:val="auto"/>
          <w:spacing w:val="11"/>
          <w:szCs w:val="21"/>
          <w:highlight w:val="none"/>
        </w:rPr>
      </w:pPr>
    </w:p>
    <w:p w14:paraId="5CA23E5A">
      <w:pPr>
        <w:snapToGrid w:val="0"/>
        <w:spacing w:before="50" w:after="120" w:afterLines="50"/>
        <w:jc w:val="both"/>
        <w:rPr>
          <w:rFonts w:hint="eastAsia" w:ascii="宋体" w:hAnsi="宋体" w:eastAsia="宋体" w:cs="宋体"/>
          <w:b/>
          <w:color w:val="auto"/>
          <w:spacing w:val="11"/>
          <w:szCs w:val="21"/>
          <w:highlight w:val="none"/>
        </w:rPr>
      </w:pPr>
    </w:p>
    <w:p w14:paraId="2FC844CA">
      <w:pPr>
        <w:snapToGrid w:val="0"/>
        <w:spacing w:before="50" w:after="120" w:afterLines="50"/>
        <w:jc w:val="center"/>
        <w:rPr>
          <w:rFonts w:hint="eastAsia" w:ascii="宋体" w:hAnsi="宋体" w:eastAsia="宋体" w:cs="宋体"/>
          <w:b/>
          <w:color w:val="auto"/>
          <w:spacing w:val="11"/>
          <w:szCs w:val="21"/>
          <w:highlight w:val="none"/>
        </w:rPr>
      </w:pPr>
    </w:p>
    <w:p w14:paraId="4D6A88BC">
      <w:pPr>
        <w:snapToGrid w:val="0"/>
        <w:spacing w:before="50" w:after="120" w:afterLines="50"/>
        <w:jc w:val="center"/>
        <w:rPr>
          <w:rFonts w:hint="eastAsia" w:ascii="宋体" w:hAnsi="宋体" w:eastAsia="宋体" w:cs="宋体"/>
          <w:bCs/>
          <w:color w:val="auto"/>
          <w:spacing w:val="11"/>
          <w:sz w:val="21"/>
          <w:szCs w:val="21"/>
          <w:highlight w:val="none"/>
        </w:rPr>
      </w:pPr>
      <w:r>
        <w:rPr>
          <w:rFonts w:hint="eastAsia" w:ascii="宋体" w:hAnsi="宋体" w:eastAsia="宋体" w:cs="宋体"/>
          <w:b/>
          <w:color w:val="auto"/>
          <w:spacing w:val="11"/>
          <w:szCs w:val="21"/>
          <w:highlight w:val="none"/>
        </w:rPr>
        <w:t>4.中小企业声明函</w:t>
      </w:r>
      <w:r>
        <w:rPr>
          <w:rFonts w:hint="eastAsia" w:ascii="宋体" w:hAnsi="宋体" w:eastAsia="宋体" w:cs="宋体"/>
          <w:b/>
          <w:color w:val="auto"/>
          <w:spacing w:val="11"/>
          <w:sz w:val="21"/>
          <w:szCs w:val="21"/>
          <w:highlight w:val="none"/>
        </w:rPr>
        <w:t>（</w:t>
      </w:r>
      <w:r>
        <w:rPr>
          <w:rFonts w:hint="eastAsia" w:ascii="宋体" w:hAnsi="宋体" w:eastAsia="宋体" w:cs="宋体"/>
          <w:b/>
          <w:color w:val="auto"/>
          <w:spacing w:val="11"/>
          <w:sz w:val="21"/>
          <w:szCs w:val="21"/>
          <w:highlight w:val="none"/>
          <w:lang w:eastAsia="zh-CN"/>
        </w:rPr>
        <w:t>货物</w:t>
      </w:r>
      <w:r>
        <w:rPr>
          <w:rFonts w:hint="eastAsia" w:ascii="宋体" w:hAnsi="宋体" w:eastAsia="宋体" w:cs="宋体"/>
          <w:b/>
          <w:color w:val="auto"/>
          <w:spacing w:val="11"/>
          <w:sz w:val="21"/>
          <w:szCs w:val="21"/>
          <w:highlight w:val="none"/>
        </w:rPr>
        <w:t>）</w:t>
      </w:r>
    </w:p>
    <w:p w14:paraId="46E95312">
      <w:pPr>
        <w:spacing w:line="360" w:lineRule="exact"/>
        <w:ind w:firstLine="466" w:firstLineChars="200"/>
        <w:rPr>
          <w:rFonts w:hint="eastAsia" w:ascii="宋体" w:hAnsi="宋体" w:eastAsia="宋体" w:cs="宋体"/>
          <w:b/>
          <w:color w:val="auto"/>
          <w:spacing w:val="11"/>
          <w:sz w:val="21"/>
          <w:szCs w:val="21"/>
          <w:highlight w:val="none"/>
        </w:rPr>
      </w:pPr>
      <w:r>
        <w:rPr>
          <w:rFonts w:hint="eastAsia" w:ascii="宋体" w:hAnsi="宋体" w:eastAsia="宋体" w:cs="宋体"/>
          <w:b/>
          <w:color w:val="auto"/>
          <w:spacing w:val="11"/>
          <w:sz w:val="21"/>
          <w:szCs w:val="21"/>
          <w:highlight w:val="none"/>
        </w:rPr>
        <w:t>【</w:t>
      </w:r>
      <w:r>
        <w:rPr>
          <w:rFonts w:hint="eastAsia" w:ascii="宋体" w:hAnsi="宋体" w:eastAsia="宋体" w:cs="宋体"/>
          <w:b/>
          <w:color w:val="auto"/>
          <w:sz w:val="21"/>
          <w:szCs w:val="21"/>
          <w:highlight w:val="none"/>
          <w:lang w:val="zh-CN"/>
        </w:rPr>
        <w:t>供应商必须在声明函中如实填写货物制造商相关情况；若不符合可不提供。如</w:t>
      </w:r>
      <w:r>
        <w:rPr>
          <w:rFonts w:hint="eastAsia" w:ascii="宋体" w:hAnsi="宋体" w:eastAsia="宋体" w:cs="宋体"/>
          <w:color w:val="auto"/>
          <w:sz w:val="21"/>
          <w:szCs w:val="21"/>
          <w:highlight w:val="none"/>
          <w:lang w:val="zh-CN"/>
        </w:rPr>
        <w:t>本项目属于专门面向中小企业采购的预留份额项目，</w:t>
      </w:r>
      <w:r>
        <w:rPr>
          <w:rFonts w:hint="eastAsia" w:ascii="宋体" w:hAnsi="宋体" w:eastAsia="宋体" w:cs="宋体"/>
          <w:b/>
          <w:bCs/>
          <w:color w:val="auto"/>
          <w:szCs w:val="21"/>
          <w:highlight w:val="none"/>
        </w:rPr>
        <w:t>供应商必须提供的《</w:t>
      </w:r>
      <w:r>
        <w:rPr>
          <w:rFonts w:hint="eastAsia" w:ascii="宋体" w:hAnsi="宋体" w:eastAsia="宋体" w:cs="宋体"/>
          <w:b/>
          <w:bCs/>
          <w:color w:val="auto"/>
          <w:szCs w:val="21"/>
          <w:highlight w:val="none"/>
          <w:lang w:eastAsia="zh-CN"/>
        </w:rPr>
        <w:t>中小</w:t>
      </w:r>
      <w:r>
        <w:rPr>
          <w:rFonts w:hint="eastAsia" w:ascii="宋体" w:hAnsi="宋体" w:eastAsia="宋体" w:cs="宋体"/>
          <w:b/>
          <w:bCs/>
          <w:color w:val="auto"/>
          <w:szCs w:val="21"/>
          <w:highlight w:val="none"/>
        </w:rPr>
        <w:t>企业声明函》，中小企业对其声明内容的真实性负责，声明函内容不实的，属于提供虚假材料谋取中标、成交，依照《中华人民共和国政府采购法》等国家有关规定追究相应责任。</w:t>
      </w:r>
      <w:r>
        <w:rPr>
          <w:rFonts w:hint="eastAsia" w:ascii="宋体" w:hAnsi="宋体" w:eastAsia="宋体" w:cs="宋体"/>
          <w:b/>
          <w:color w:val="auto"/>
          <w:spacing w:val="11"/>
          <w:sz w:val="21"/>
          <w:szCs w:val="21"/>
          <w:highlight w:val="none"/>
        </w:rPr>
        <w:t>】</w:t>
      </w:r>
    </w:p>
    <w:p w14:paraId="0A054BB4">
      <w:p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 号）的规定，本公司（联合体）参加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（单位名称）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采购活动，</w:t>
      </w:r>
      <w:r>
        <w:rPr>
          <w:rFonts w:hint="eastAsia" w:ascii="宋体" w:hAnsi="宋体" w:eastAsia="宋体" w:cs="宋体"/>
          <w:color w:val="auto"/>
          <w:sz w:val="21"/>
          <w:szCs w:val="21"/>
          <w:highlight w:val="none"/>
          <w:lang w:eastAsia="zh-CN"/>
        </w:rPr>
        <w:t>提供的货物</w:t>
      </w:r>
      <w:r>
        <w:rPr>
          <w:rFonts w:hint="eastAsia" w:ascii="宋体" w:hAnsi="宋体" w:eastAsia="宋体" w:cs="宋体"/>
          <w:color w:val="auto"/>
          <w:sz w:val="21"/>
          <w:szCs w:val="21"/>
          <w:highlight w:val="none"/>
        </w:rPr>
        <w:t>全部由符合政策要求的中小企业</w:t>
      </w:r>
      <w:r>
        <w:rPr>
          <w:rFonts w:hint="eastAsia" w:ascii="宋体" w:hAnsi="宋体" w:eastAsia="宋体" w:cs="宋体"/>
          <w:color w:val="auto"/>
          <w:sz w:val="21"/>
          <w:szCs w:val="21"/>
          <w:highlight w:val="none"/>
          <w:lang w:eastAsia="zh-CN"/>
        </w:rPr>
        <w:t>制造</w:t>
      </w:r>
      <w:r>
        <w:rPr>
          <w:rFonts w:hint="eastAsia" w:ascii="宋体" w:hAnsi="宋体" w:eastAsia="宋体" w:cs="宋体"/>
          <w:color w:val="auto"/>
          <w:sz w:val="21"/>
          <w:szCs w:val="21"/>
          <w:highlight w:val="none"/>
        </w:rPr>
        <w:t>。相关企业（含联合体中的中小企业、签订分包意向协议的中小企业）的具体情况如下：</w:t>
      </w:r>
    </w:p>
    <w:p w14:paraId="704F2397">
      <w:pPr>
        <w:numPr>
          <w:ilvl w:val="0"/>
          <w:numId w:val="0"/>
        </w:num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 xml:space="preserve"> 行业；</w:t>
      </w:r>
      <w:r>
        <w:rPr>
          <w:rFonts w:hint="eastAsia" w:ascii="宋体" w:hAnsi="宋体" w:eastAsia="宋体" w:cs="宋体"/>
          <w:color w:val="auto"/>
          <w:sz w:val="21"/>
          <w:szCs w:val="21"/>
          <w:highlight w:val="none"/>
          <w:lang w:eastAsia="zh-CN"/>
        </w:rPr>
        <w:t>制造商</w:t>
      </w:r>
      <w:r>
        <w:rPr>
          <w:rFonts w:hint="eastAsia" w:ascii="宋体" w:hAnsi="宋体" w:eastAsia="宋体" w:cs="宋体"/>
          <w:color w:val="auto"/>
          <w:sz w:val="21"/>
          <w:szCs w:val="21"/>
          <w:highlight w:val="none"/>
        </w:rPr>
        <w:t>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7AEAA7F2">
      <w:pPr>
        <w:numPr>
          <w:ilvl w:val="0"/>
          <w:numId w:val="0"/>
        </w:num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 xml:space="preserve"> 行业；</w:t>
      </w:r>
      <w:r>
        <w:rPr>
          <w:rFonts w:hint="eastAsia" w:ascii="宋体" w:hAnsi="宋体" w:eastAsia="宋体" w:cs="宋体"/>
          <w:color w:val="auto"/>
          <w:sz w:val="21"/>
          <w:szCs w:val="21"/>
          <w:highlight w:val="none"/>
          <w:lang w:eastAsia="zh-CN"/>
        </w:rPr>
        <w:t>制造商</w:t>
      </w:r>
      <w:r>
        <w:rPr>
          <w:rFonts w:hint="eastAsia" w:ascii="宋体" w:hAnsi="宋体" w:eastAsia="宋体" w:cs="宋体"/>
          <w:color w:val="auto"/>
          <w:sz w:val="21"/>
          <w:szCs w:val="21"/>
          <w:highlight w:val="none"/>
        </w:rPr>
        <w:t>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715A9018">
      <w:p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 </w:t>
      </w:r>
    </w:p>
    <w:p w14:paraId="2DC0AFDE">
      <w:p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以上企业，不属于大企业的分支机构，不存在控股股东为大企业的情形，也不存在与大企业的负责人为同一人的情形。 </w:t>
      </w:r>
    </w:p>
    <w:p w14:paraId="0B7B93C6">
      <w:p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本企业对上述声明内容的真实性负责。如有虚假，将依 法承担相应责任。 </w:t>
      </w:r>
    </w:p>
    <w:p w14:paraId="788FE8A5">
      <w:pPr>
        <w:spacing w:line="320" w:lineRule="exact"/>
        <w:ind w:firstLine="3570" w:firstLineChars="1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企业名称（盖章）： </w:t>
      </w:r>
    </w:p>
    <w:p w14:paraId="0DA9B063">
      <w:pPr>
        <w:spacing w:line="320" w:lineRule="exact"/>
        <w:ind w:firstLine="3570" w:firstLineChars="1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14:paraId="423A3A59">
      <w:pPr>
        <w:pStyle w:val="154"/>
        <w:rPr>
          <w:rFonts w:hint="eastAsia" w:ascii="宋体" w:hAnsi="宋体" w:eastAsia="宋体" w:cs="宋体"/>
          <w:color w:val="auto"/>
          <w:sz w:val="21"/>
          <w:szCs w:val="21"/>
          <w:highlight w:val="none"/>
        </w:rPr>
      </w:pPr>
    </w:p>
    <w:p w14:paraId="6D9DAD8D">
      <w:pPr>
        <w:pBdr>
          <w:bottom w:val="single" w:color="auto" w:sz="6" w:space="1"/>
        </w:pBd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pacing w:val="6"/>
          <w:sz w:val="21"/>
          <w:szCs w:val="21"/>
          <w:highlight w:val="none"/>
        </w:rPr>
        <w:t>从业人员、营业收入、资产总额填报上一年度数据，无上一年度数据的新成立企业可不填</w:t>
      </w:r>
      <w:r>
        <w:rPr>
          <w:rFonts w:hint="eastAsia" w:ascii="宋体" w:hAnsi="宋体" w:eastAsia="宋体" w:cs="宋体"/>
          <w:color w:val="auto"/>
          <w:sz w:val="21"/>
          <w:szCs w:val="21"/>
          <w:highlight w:val="none"/>
        </w:rPr>
        <w:t>报。 </w:t>
      </w:r>
    </w:p>
    <w:p w14:paraId="705F8BE7">
      <w:pPr>
        <w:snapToGrid w:val="0"/>
        <w:spacing w:before="50" w:after="120" w:afterLines="50" w:line="260" w:lineRule="exact"/>
        <w:jc w:val="center"/>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残疾人福利企业声明函</w:t>
      </w:r>
    </w:p>
    <w:p w14:paraId="23C74FCE">
      <w:pPr>
        <w:widowControl/>
        <w:snapToGrid w:val="0"/>
        <w:spacing w:before="50" w:after="120" w:afterLines="50" w:line="260" w:lineRule="exact"/>
        <w:jc w:val="center"/>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【非残疾人福利性企业不用提供】</w:t>
      </w:r>
    </w:p>
    <w:p w14:paraId="56799B46">
      <w:pPr>
        <w:spacing w:line="260" w:lineRule="exact"/>
        <w:jc w:val="center"/>
        <w:rPr>
          <w:rFonts w:hint="eastAsia" w:ascii="宋体" w:hAnsi="宋体" w:eastAsia="宋体" w:cs="宋体"/>
          <w:color w:val="auto"/>
          <w:spacing w:val="11"/>
          <w:szCs w:val="21"/>
          <w:highlight w:val="none"/>
        </w:rPr>
      </w:pPr>
    </w:p>
    <w:p w14:paraId="7125346D">
      <w:pPr>
        <w:spacing w:line="26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F41D6B4">
      <w:pPr>
        <w:spacing w:line="26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本单位对上述声明的真实性负责。如有虚假，将依法承担相应责任。</w:t>
      </w:r>
    </w:p>
    <w:p w14:paraId="4DC0E4B2">
      <w:pPr>
        <w:spacing w:line="260" w:lineRule="exact"/>
        <w:rPr>
          <w:rFonts w:hint="eastAsia" w:ascii="宋体" w:hAnsi="宋体" w:eastAsia="宋体" w:cs="宋体"/>
          <w:color w:val="auto"/>
          <w:spacing w:val="11"/>
          <w:szCs w:val="21"/>
          <w:highlight w:val="none"/>
        </w:rPr>
      </w:pPr>
    </w:p>
    <w:p w14:paraId="021022CA">
      <w:pPr>
        <w:spacing w:line="26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单位名称(盖章)：</w:t>
      </w:r>
    </w:p>
    <w:p w14:paraId="43DF932B">
      <w:pPr>
        <w:spacing w:line="26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日期：  年  月  日</w:t>
      </w:r>
    </w:p>
    <w:p w14:paraId="312DF84A">
      <w:pPr>
        <w:pStyle w:val="4"/>
        <w:jc w:val="both"/>
        <w:rPr>
          <w:rFonts w:hint="eastAsia" w:ascii="宋体" w:hAnsi="宋体" w:eastAsia="宋体" w:cs="宋体"/>
          <w:color w:val="auto"/>
          <w:spacing w:val="11"/>
          <w:sz w:val="21"/>
          <w:szCs w:val="21"/>
          <w:highlight w:val="none"/>
          <w:u w:val="none"/>
        </w:rPr>
      </w:pPr>
    </w:p>
    <w:p w14:paraId="17A8BFEE">
      <w:pPr>
        <w:pStyle w:val="4"/>
        <w:jc w:val="center"/>
        <w:rPr>
          <w:rFonts w:hint="eastAsia" w:ascii="宋体" w:hAnsi="宋体" w:eastAsia="宋体" w:cs="宋体"/>
          <w:color w:val="auto"/>
          <w:spacing w:val="11"/>
          <w:sz w:val="21"/>
          <w:szCs w:val="21"/>
          <w:highlight w:val="none"/>
          <w:u w:val="none"/>
        </w:rPr>
      </w:pPr>
      <w:r>
        <w:rPr>
          <w:rFonts w:hint="eastAsia" w:ascii="宋体" w:hAnsi="宋体" w:eastAsia="宋体" w:cs="宋体"/>
          <w:color w:val="auto"/>
          <w:spacing w:val="11"/>
          <w:sz w:val="21"/>
          <w:szCs w:val="21"/>
          <w:highlight w:val="none"/>
          <w:u w:val="none"/>
        </w:rPr>
        <w:t>5.供应商基本情况表</w:t>
      </w:r>
      <w:bookmarkEnd w:id="68"/>
      <w:bookmarkEnd w:id="69"/>
      <w:bookmarkEnd w:id="70"/>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106"/>
        <w:gridCol w:w="937"/>
        <w:gridCol w:w="878"/>
        <w:gridCol w:w="521"/>
        <w:gridCol w:w="1361"/>
        <w:gridCol w:w="1059"/>
        <w:gridCol w:w="1546"/>
      </w:tblGrid>
      <w:tr w14:paraId="207F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6628E4B8">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供应商名称</w:t>
            </w:r>
          </w:p>
        </w:tc>
        <w:tc>
          <w:tcPr>
            <w:tcW w:w="7408" w:type="dxa"/>
            <w:gridSpan w:val="7"/>
            <w:tcBorders>
              <w:top w:val="single" w:color="auto" w:sz="4" w:space="0"/>
              <w:left w:val="single" w:color="auto" w:sz="4" w:space="0"/>
              <w:bottom w:val="single" w:color="auto" w:sz="4" w:space="0"/>
              <w:right w:val="single" w:color="auto" w:sz="4" w:space="0"/>
            </w:tcBorders>
            <w:vAlign w:val="center"/>
          </w:tcPr>
          <w:p w14:paraId="6F996C62">
            <w:pPr>
              <w:jc w:val="center"/>
              <w:rPr>
                <w:rFonts w:hint="eastAsia" w:ascii="宋体" w:hAnsi="宋体" w:eastAsia="宋体" w:cs="宋体"/>
                <w:color w:val="auto"/>
                <w:spacing w:val="11"/>
                <w:szCs w:val="21"/>
                <w:highlight w:val="none"/>
              </w:rPr>
            </w:pPr>
          </w:p>
        </w:tc>
      </w:tr>
      <w:tr w14:paraId="5C95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48B4DFBB">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注册地址</w:t>
            </w:r>
          </w:p>
        </w:tc>
        <w:tc>
          <w:tcPr>
            <w:tcW w:w="3442" w:type="dxa"/>
            <w:gridSpan w:val="4"/>
            <w:tcBorders>
              <w:top w:val="single" w:color="auto" w:sz="4" w:space="0"/>
              <w:left w:val="single" w:color="auto" w:sz="4" w:space="0"/>
              <w:bottom w:val="single" w:color="auto" w:sz="4" w:space="0"/>
              <w:right w:val="single" w:color="auto" w:sz="4" w:space="0"/>
            </w:tcBorders>
            <w:vAlign w:val="center"/>
          </w:tcPr>
          <w:p w14:paraId="4E3143F6">
            <w:pPr>
              <w:jc w:val="center"/>
              <w:rPr>
                <w:rFonts w:hint="eastAsia" w:ascii="宋体" w:hAnsi="宋体" w:eastAsia="宋体" w:cs="宋体"/>
                <w:color w:val="auto"/>
                <w:spacing w:val="11"/>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251C28B0">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邮政编码</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677519D8">
            <w:pPr>
              <w:jc w:val="center"/>
              <w:rPr>
                <w:rFonts w:hint="eastAsia" w:ascii="宋体" w:hAnsi="宋体" w:eastAsia="宋体" w:cs="宋体"/>
                <w:color w:val="auto"/>
                <w:spacing w:val="11"/>
                <w:szCs w:val="21"/>
                <w:highlight w:val="none"/>
              </w:rPr>
            </w:pPr>
          </w:p>
        </w:tc>
      </w:tr>
      <w:tr w14:paraId="6AFE1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vMerge w:val="restart"/>
            <w:tcBorders>
              <w:top w:val="single" w:color="auto" w:sz="4" w:space="0"/>
              <w:left w:val="single" w:color="auto" w:sz="4" w:space="0"/>
              <w:bottom w:val="single" w:color="auto" w:sz="4" w:space="0"/>
              <w:right w:val="single" w:color="auto" w:sz="4" w:space="0"/>
            </w:tcBorders>
            <w:vAlign w:val="center"/>
          </w:tcPr>
          <w:p w14:paraId="455049BC">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联系方式</w:t>
            </w:r>
          </w:p>
        </w:tc>
        <w:tc>
          <w:tcPr>
            <w:tcW w:w="1106" w:type="dxa"/>
            <w:tcBorders>
              <w:top w:val="single" w:color="auto" w:sz="4" w:space="0"/>
              <w:left w:val="single" w:color="auto" w:sz="4" w:space="0"/>
              <w:bottom w:val="single" w:color="auto" w:sz="4" w:space="0"/>
              <w:right w:val="single" w:color="auto" w:sz="4" w:space="0"/>
            </w:tcBorders>
            <w:vAlign w:val="center"/>
          </w:tcPr>
          <w:p w14:paraId="0F3159F5">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联系人</w:t>
            </w:r>
          </w:p>
        </w:tc>
        <w:tc>
          <w:tcPr>
            <w:tcW w:w="2336" w:type="dxa"/>
            <w:gridSpan w:val="3"/>
            <w:tcBorders>
              <w:top w:val="single" w:color="auto" w:sz="4" w:space="0"/>
              <w:left w:val="single" w:color="auto" w:sz="4" w:space="0"/>
              <w:bottom w:val="single" w:color="auto" w:sz="4" w:space="0"/>
              <w:right w:val="single" w:color="auto" w:sz="4" w:space="0"/>
            </w:tcBorders>
            <w:vAlign w:val="center"/>
          </w:tcPr>
          <w:p w14:paraId="20BE6489">
            <w:pPr>
              <w:jc w:val="center"/>
              <w:rPr>
                <w:rFonts w:hint="eastAsia" w:ascii="宋体" w:hAnsi="宋体" w:eastAsia="宋体" w:cs="宋体"/>
                <w:color w:val="auto"/>
                <w:spacing w:val="11"/>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25E025E4">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电  话</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6E856833">
            <w:pPr>
              <w:jc w:val="center"/>
              <w:rPr>
                <w:rFonts w:hint="eastAsia" w:ascii="宋体" w:hAnsi="宋体" w:eastAsia="宋体" w:cs="宋体"/>
                <w:color w:val="auto"/>
                <w:spacing w:val="11"/>
                <w:szCs w:val="21"/>
                <w:highlight w:val="none"/>
              </w:rPr>
            </w:pPr>
          </w:p>
        </w:tc>
      </w:tr>
      <w:tr w14:paraId="2BE03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vMerge w:val="continue"/>
            <w:tcBorders>
              <w:top w:val="single" w:color="auto" w:sz="4" w:space="0"/>
              <w:left w:val="single" w:color="auto" w:sz="4" w:space="0"/>
              <w:bottom w:val="single" w:color="auto" w:sz="4" w:space="0"/>
              <w:right w:val="single" w:color="auto" w:sz="4" w:space="0"/>
            </w:tcBorders>
            <w:vAlign w:val="center"/>
          </w:tcPr>
          <w:p w14:paraId="1A6DBF35">
            <w:pPr>
              <w:widowControl/>
              <w:jc w:val="left"/>
              <w:rPr>
                <w:rFonts w:hint="eastAsia" w:ascii="宋体" w:hAnsi="宋体" w:eastAsia="宋体" w:cs="宋体"/>
                <w:color w:val="auto"/>
                <w:spacing w:val="11"/>
                <w:szCs w:val="21"/>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14:paraId="3383EFBC">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传  真</w:t>
            </w:r>
          </w:p>
        </w:tc>
        <w:tc>
          <w:tcPr>
            <w:tcW w:w="2336" w:type="dxa"/>
            <w:gridSpan w:val="3"/>
            <w:tcBorders>
              <w:top w:val="single" w:color="auto" w:sz="4" w:space="0"/>
              <w:left w:val="single" w:color="auto" w:sz="4" w:space="0"/>
              <w:bottom w:val="single" w:color="auto" w:sz="4" w:space="0"/>
              <w:right w:val="single" w:color="auto" w:sz="4" w:space="0"/>
            </w:tcBorders>
            <w:vAlign w:val="center"/>
          </w:tcPr>
          <w:p w14:paraId="3791C923">
            <w:pPr>
              <w:jc w:val="center"/>
              <w:rPr>
                <w:rFonts w:hint="eastAsia" w:ascii="宋体" w:hAnsi="宋体" w:eastAsia="宋体" w:cs="宋体"/>
                <w:color w:val="auto"/>
                <w:spacing w:val="11"/>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6EBF280E">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网  址</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475AFB4A">
            <w:pPr>
              <w:jc w:val="center"/>
              <w:rPr>
                <w:rFonts w:hint="eastAsia" w:ascii="宋体" w:hAnsi="宋体" w:eastAsia="宋体" w:cs="宋体"/>
                <w:color w:val="auto"/>
                <w:spacing w:val="11"/>
                <w:szCs w:val="21"/>
                <w:highlight w:val="none"/>
              </w:rPr>
            </w:pPr>
          </w:p>
        </w:tc>
      </w:tr>
      <w:tr w14:paraId="0CEEE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24842420">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组织结构</w:t>
            </w:r>
          </w:p>
        </w:tc>
        <w:tc>
          <w:tcPr>
            <w:tcW w:w="7408" w:type="dxa"/>
            <w:gridSpan w:val="7"/>
            <w:tcBorders>
              <w:top w:val="single" w:color="auto" w:sz="4" w:space="0"/>
              <w:left w:val="single" w:color="auto" w:sz="4" w:space="0"/>
              <w:bottom w:val="single" w:color="auto" w:sz="4" w:space="0"/>
              <w:right w:val="single" w:color="auto" w:sz="4" w:space="0"/>
            </w:tcBorders>
            <w:vAlign w:val="center"/>
          </w:tcPr>
          <w:p w14:paraId="691A4F8C">
            <w:pPr>
              <w:jc w:val="center"/>
              <w:rPr>
                <w:rFonts w:hint="eastAsia" w:ascii="宋体" w:hAnsi="宋体" w:eastAsia="宋体" w:cs="宋体"/>
                <w:color w:val="auto"/>
                <w:spacing w:val="11"/>
                <w:szCs w:val="21"/>
                <w:highlight w:val="none"/>
              </w:rPr>
            </w:pPr>
          </w:p>
        </w:tc>
      </w:tr>
      <w:tr w14:paraId="4739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657FC73A">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法定代表人</w:t>
            </w:r>
          </w:p>
        </w:tc>
        <w:tc>
          <w:tcPr>
            <w:tcW w:w="1106" w:type="dxa"/>
            <w:tcBorders>
              <w:top w:val="single" w:color="auto" w:sz="4" w:space="0"/>
              <w:left w:val="single" w:color="auto" w:sz="4" w:space="0"/>
              <w:bottom w:val="single" w:color="auto" w:sz="4" w:space="0"/>
              <w:right w:val="single" w:color="auto" w:sz="4" w:space="0"/>
            </w:tcBorders>
            <w:vAlign w:val="center"/>
          </w:tcPr>
          <w:p w14:paraId="5C81D4B3">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姓名</w:t>
            </w:r>
          </w:p>
        </w:tc>
        <w:tc>
          <w:tcPr>
            <w:tcW w:w="937" w:type="dxa"/>
            <w:tcBorders>
              <w:top w:val="single" w:color="auto" w:sz="4" w:space="0"/>
              <w:left w:val="single" w:color="auto" w:sz="4" w:space="0"/>
              <w:bottom w:val="single" w:color="auto" w:sz="4" w:space="0"/>
              <w:right w:val="single" w:color="auto" w:sz="4" w:space="0"/>
            </w:tcBorders>
            <w:vAlign w:val="center"/>
          </w:tcPr>
          <w:p w14:paraId="62BDA9FF">
            <w:pPr>
              <w:jc w:val="center"/>
              <w:rPr>
                <w:rFonts w:hint="eastAsia" w:ascii="宋体" w:hAnsi="宋体" w:eastAsia="宋体" w:cs="宋体"/>
                <w:color w:val="auto"/>
                <w:spacing w:val="11"/>
                <w:szCs w:val="21"/>
                <w:highlight w:val="none"/>
              </w:rPr>
            </w:pPr>
          </w:p>
        </w:tc>
        <w:tc>
          <w:tcPr>
            <w:tcW w:w="1399" w:type="dxa"/>
            <w:gridSpan w:val="2"/>
            <w:tcBorders>
              <w:top w:val="single" w:color="auto" w:sz="4" w:space="0"/>
              <w:left w:val="single" w:color="auto" w:sz="4" w:space="0"/>
              <w:bottom w:val="single" w:color="auto" w:sz="4" w:space="0"/>
              <w:right w:val="single" w:color="auto" w:sz="4" w:space="0"/>
            </w:tcBorders>
            <w:vAlign w:val="center"/>
          </w:tcPr>
          <w:p w14:paraId="28F7BD4E">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技术职称</w:t>
            </w:r>
          </w:p>
        </w:tc>
        <w:tc>
          <w:tcPr>
            <w:tcW w:w="1361" w:type="dxa"/>
            <w:tcBorders>
              <w:top w:val="single" w:color="auto" w:sz="4" w:space="0"/>
              <w:left w:val="single" w:color="auto" w:sz="4" w:space="0"/>
              <w:bottom w:val="single" w:color="auto" w:sz="4" w:space="0"/>
              <w:right w:val="single" w:color="auto" w:sz="4" w:space="0"/>
            </w:tcBorders>
            <w:vAlign w:val="center"/>
          </w:tcPr>
          <w:p w14:paraId="71F831DE">
            <w:pPr>
              <w:jc w:val="center"/>
              <w:rPr>
                <w:rFonts w:hint="eastAsia" w:ascii="宋体" w:hAnsi="宋体" w:eastAsia="宋体" w:cs="宋体"/>
                <w:color w:val="auto"/>
                <w:spacing w:val="11"/>
                <w:szCs w:val="21"/>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14:paraId="724541AC">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电话</w:t>
            </w:r>
          </w:p>
        </w:tc>
        <w:tc>
          <w:tcPr>
            <w:tcW w:w="1546" w:type="dxa"/>
            <w:tcBorders>
              <w:top w:val="single" w:color="auto" w:sz="4" w:space="0"/>
              <w:left w:val="single" w:color="auto" w:sz="4" w:space="0"/>
              <w:bottom w:val="single" w:color="auto" w:sz="4" w:space="0"/>
              <w:right w:val="single" w:color="auto" w:sz="4" w:space="0"/>
            </w:tcBorders>
            <w:vAlign w:val="center"/>
          </w:tcPr>
          <w:p w14:paraId="5ED14029">
            <w:pPr>
              <w:jc w:val="center"/>
              <w:rPr>
                <w:rFonts w:hint="eastAsia" w:ascii="宋体" w:hAnsi="宋体" w:eastAsia="宋体" w:cs="宋体"/>
                <w:color w:val="auto"/>
                <w:spacing w:val="11"/>
                <w:szCs w:val="21"/>
                <w:highlight w:val="none"/>
              </w:rPr>
            </w:pPr>
          </w:p>
        </w:tc>
      </w:tr>
      <w:tr w14:paraId="1CD6D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4F9A5C9D">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技术负责人</w:t>
            </w:r>
          </w:p>
        </w:tc>
        <w:tc>
          <w:tcPr>
            <w:tcW w:w="1106" w:type="dxa"/>
            <w:tcBorders>
              <w:top w:val="single" w:color="auto" w:sz="4" w:space="0"/>
              <w:left w:val="single" w:color="auto" w:sz="4" w:space="0"/>
              <w:bottom w:val="single" w:color="auto" w:sz="4" w:space="0"/>
              <w:right w:val="single" w:color="auto" w:sz="4" w:space="0"/>
            </w:tcBorders>
            <w:vAlign w:val="center"/>
          </w:tcPr>
          <w:p w14:paraId="013650AC">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姓名</w:t>
            </w:r>
          </w:p>
        </w:tc>
        <w:tc>
          <w:tcPr>
            <w:tcW w:w="937" w:type="dxa"/>
            <w:tcBorders>
              <w:top w:val="single" w:color="auto" w:sz="4" w:space="0"/>
              <w:left w:val="single" w:color="auto" w:sz="4" w:space="0"/>
              <w:bottom w:val="single" w:color="auto" w:sz="4" w:space="0"/>
              <w:right w:val="single" w:color="auto" w:sz="4" w:space="0"/>
            </w:tcBorders>
            <w:vAlign w:val="center"/>
          </w:tcPr>
          <w:p w14:paraId="156AF807">
            <w:pPr>
              <w:jc w:val="center"/>
              <w:rPr>
                <w:rFonts w:hint="eastAsia" w:ascii="宋体" w:hAnsi="宋体" w:eastAsia="宋体" w:cs="宋体"/>
                <w:color w:val="auto"/>
                <w:spacing w:val="11"/>
                <w:szCs w:val="21"/>
                <w:highlight w:val="none"/>
              </w:rPr>
            </w:pPr>
          </w:p>
        </w:tc>
        <w:tc>
          <w:tcPr>
            <w:tcW w:w="1399" w:type="dxa"/>
            <w:gridSpan w:val="2"/>
            <w:tcBorders>
              <w:top w:val="single" w:color="auto" w:sz="4" w:space="0"/>
              <w:left w:val="single" w:color="auto" w:sz="4" w:space="0"/>
              <w:bottom w:val="single" w:color="auto" w:sz="4" w:space="0"/>
              <w:right w:val="single" w:color="auto" w:sz="4" w:space="0"/>
            </w:tcBorders>
            <w:vAlign w:val="center"/>
          </w:tcPr>
          <w:p w14:paraId="59F88BF6">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技术职称</w:t>
            </w:r>
          </w:p>
        </w:tc>
        <w:tc>
          <w:tcPr>
            <w:tcW w:w="1361" w:type="dxa"/>
            <w:tcBorders>
              <w:top w:val="single" w:color="auto" w:sz="4" w:space="0"/>
              <w:left w:val="single" w:color="auto" w:sz="4" w:space="0"/>
              <w:bottom w:val="single" w:color="auto" w:sz="4" w:space="0"/>
              <w:right w:val="single" w:color="auto" w:sz="4" w:space="0"/>
            </w:tcBorders>
            <w:vAlign w:val="center"/>
          </w:tcPr>
          <w:p w14:paraId="426CC6F4">
            <w:pPr>
              <w:jc w:val="center"/>
              <w:rPr>
                <w:rFonts w:hint="eastAsia" w:ascii="宋体" w:hAnsi="宋体" w:eastAsia="宋体" w:cs="宋体"/>
                <w:color w:val="auto"/>
                <w:spacing w:val="11"/>
                <w:szCs w:val="21"/>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14:paraId="540F0D8F">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电话</w:t>
            </w:r>
          </w:p>
        </w:tc>
        <w:tc>
          <w:tcPr>
            <w:tcW w:w="1546" w:type="dxa"/>
            <w:tcBorders>
              <w:top w:val="single" w:color="auto" w:sz="4" w:space="0"/>
              <w:left w:val="single" w:color="auto" w:sz="4" w:space="0"/>
              <w:bottom w:val="single" w:color="auto" w:sz="4" w:space="0"/>
              <w:right w:val="single" w:color="auto" w:sz="4" w:space="0"/>
            </w:tcBorders>
            <w:vAlign w:val="center"/>
          </w:tcPr>
          <w:p w14:paraId="5C9AA1AB">
            <w:pPr>
              <w:jc w:val="center"/>
              <w:rPr>
                <w:rFonts w:hint="eastAsia" w:ascii="宋体" w:hAnsi="宋体" w:eastAsia="宋体" w:cs="宋体"/>
                <w:color w:val="auto"/>
                <w:spacing w:val="11"/>
                <w:szCs w:val="21"/>
                <w:highlight w:val="none"/>
              </w:rPr>
            </w:pPr>
          </w:p>
        </w:tc>
      </w:tr>
      <w:tr w14:paraId="41F9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4A48F152">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成立时间</w:t>
            </w:r>
          </w:p>
        </w:tc>
        <w:tc>
          <w:tcPr>
            <w:tcW w:w="2043" w:type="dxa"/>
            <w:gridSpan w:val="2"/>
            <w:tcBorders>
              <w:top w:val="single" w:color="auto" w:sz="4" w:space="0"/>
              <w:left w:val="single" w:color="auto" w:sz="4" w:space="0"/>
              <w:bottom w:val="single" w:color="auto" w:sz="4" w:space="0"/>
              <w:right w:val="single" w:color="auto" w:sz="4" w:space="0"/>
            </w:tcBorders>
            <w:vAlign w:val="center"/>
          </w:tcPr>
          <w:p w14:paraId="05994171">
            <w:pPr>
              <w:jc w:val="center"/>
              <w:rPr>
                <w:rFonts w:hint="eastAsia" w:ascii="宋体" w:hAnsi="宋体" w:eastAsia="宋体" w:cs="宋体"/>
                <w:color w:val="auto"/>
                <w:spacing w:val="11"/>
                <w:szCs w:val="21"/>
                <w:highlight w:val="none"/>
              </w:rPr>
            </w:pPr>
          </w:p>
        </w:tc>
        <w:tc>
          <w:tcPr>
            <w:tcW w:w="5365" w:type="dxa"/>
            <w:gridSpan w:val="5"/>
            <w:tcBorders>
              <w:top w:val="single" w:color="auto" w:sz="4" w:space="0"/>
              <w:left w:val="single" w:color="auto" w:sz="4" w:space="0"/>
              <w:bottom w:val="single" w:color="auto" w:sz="4" w:space="0"/>
              <w:right w:val="single" w:color="auto" w:sz="4" w:space="0"/>
            </w:tcBorders>
            <w:vAlign w:val="center"/>
          </w:tcPr>
          <w:p w14:paraId="5B466E64">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员工总人数：</w:t>
            </w:r>
          </w:p>
        </w:tc>
      </w:tr>
      <w:tr w14:paraId="7CC4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6F771DC4">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企业资质等级</w:t>
            </w:r>
          </w:p>
        </w:tc>
        <w:tc>
          <w:tcPr>
            <w:tcW w:w="1106" w:type="dxa"/>
            <w:tcBorders>
              <w:top w:val="single" w:color="auto" w:sz="4" w:space="0"/>
              <w:left w:val="single" w:color="auto" w:sz="4" w:space="0"/>
              <w:bottom w:val="single" w:color="auto" w:sz="4" w:space="0"/>
              <w:right w:val="single" w:color="auto" w:sz="4" w:space="0"/>
            </w:tcBorders>
            <w:vAlign w:val="center"/>
          </w:tcPr>
          <w:p w14:paraId="61EA5AFB">
            <w:pPr>
              <w:jc w:val="center"/>
              <w:rPr>
                <w:rFonts w:hint="eastAsia" w:ascii="宋体" w:hAnsi="宋体" w:eastAsia="宋体" w:cs="宋体"/>
                <w:color w:val="auto"/>
                <w:spacing w:val="11"/>
                <w:szCs w:val="21"/>
                <w:highlight w:val="none"/>
              </w:rPr>
            </w:pPr>
          </w:p>
        </w:tc>
        <w:tc>
          <w:tcPr>
            <w:tcW w:w="937" w:type="dxa"/>
            <w:tcBorders>
              <w:top w:val="single" w:color="auto" w:sz="4" w:space="0"/>
              <w:left w:val="single" w:color="auto" w:sz="4" w:space="0"/>
              <w:bottom w:val="single" w:color="auto" w:sz="4" w:space="0"/>
              <w:right w:val="single" w:color="auto" w:sz="4" w:space="0"/>
            </w:tcBorders>
            <w:vAlign w:val="center"/>
          </w:tcPr>
          <w:p w14:paraId="121DF0F5">
            <w:pPr>
              <w:jc w:val="center"/>
              <w:rPr>
                <w:rFonts w:hint="eastAsia" w:ascii="宋体" w:hAnsi="宋体" w:eastAsia="宋体" w:cs="宋体"/>
                <w:color w:val="auto"/>
                <w:spacing w:val="11"/>
                <w:szCs w:val="21"/>
                <w:highlight w:val="none"/>
              </w:rPr>
            </w:pPr>
          </w:p>
        </w:tc>
        <w:tc>
          <w:tcPr>
            <w:tcW w:w="878" w:type="dxa"/>
            <w:vMerge w:val="restart"/>
            <w:tcBorders>
              <w:top w:val="single" w:color="auto" w:sz="4" w:space="0"/>
              <w:left w:val="single" w:color="auto" w:sz="4" w:space="0"/>
              <w:bottom w:val="single" w:color="auto" w:sz="4" w:space="0"/>
              <w:right w:val="single" w:color="auto" w:sz="4" w:space="0"/>
            </w:tcBorders>
            <w:vAlign w:val="center"/>
          </w:tcPr>
          <w:p w14:paraId="562965B2">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其中</w:t>
            </w: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0D9E87AC">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项目经理</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122AF097">
            <w:pPr>
              <w:jc w:val="center"/>
              <w:rPr>
                <w:rFonts w:hint="eastAsia" w:ascii="宋体" w:hAnsi="宋体" w:eastAsia="宋体" w:cs="宋体"/>
                <w:color w:val="auto"/>
                <w:spacing w:val="11"/>
                <w:szCs w:val="21"/>
                <w:highlight w:val="none"/>
              </w:rPr>
            </w:pPr>
          </w:p>
        </w:tc>
      </w:tr>
      <w:tr w14:paraId="3435C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23D4A038">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营业执照号</w:t>
            </w:r>
          </w:p>
        </w:tc>
        <w:tc>
          <w:tcPr>
            <w:tcW w:w="1106" w:type="dxa"/>
            <w:tcBorders>
              <w:top w:val="single" w:color="auto" w:sz="4" w:space="0"/>
              <w:left w:val="single" w:color="auto" w:sz="4" w:space="0"/>
              <w:bottom w:val="single" w:color="auto" w:sz="4" w:space="0"/>
              <w:right w:val="single" w:color="auto" w:sz="4" w:space="0"/>
            </w:tcBorders>
            <w:vAlign w:val="center"/>
          </w:tcPr>
          <w:p w14:paraId="3DB33770">
            <w:pPr>
              <w:jc w:val="center"/>
              <w:rPr>
                <w:rFonts w:hint="eastAsia" w:ascii="宋体" w:hAnsi="宋体" w:eastAsia="宋体" w:cs="宋体"/>
                <w:color w:val="auto"/>
                <w:spacing w:val="11"/>
                <w:szCs w:val="21"/>
                <w:highlight w:val="none"/>
              </w:rPr>
            </w:pPr>
          </w:p>
        </w:tc>
        <w:tc>
          <w:tcPr>
            <w:tcW w:w="937" w:type="dxa"/>
            <w:tcBorders>
              <w:top w:val="single" w:color="auto" w:sz="4" w:space="0"/>
              <w:left w:val="single" w:color="auto" w:sz="4" w:space="0"/>
              <w:bottom w:val="single" w:color="auto" w:sz="4" w:space="0"/>
              <w:right w:val="single" w:color="auto" w:sz="4" w:space="0"/>
            </w:tcBorders>
            <w:vAlign w:val="center"/>
          </w:tcPr>
          <w:p w14:paraId="363757B6">
            <w:pPr>
              <w:jc w:val="center"/>
              <w:rPr>
                <w:rFonts w:hint="eastAsia" w:ascii="宋体" w:hAnsi="宋体" w:eastAsia="宋体" w:cs="宋体"/>
                <w:color w:val="auto"/>
                <w:spacing w:val="11"/>
                <w:szCs w:val="21"/>
                <w:highlight w:val="non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14:paraId="3DA75616">
            <w:pPr>
              <w:widowControl/>
              <w:jc w:val="left"/>
              <w:rPr>
                <w:rFonts w:hint="eastAsia" w:ascii="宋体" w:hAnsi="宋体" w:eastAsia="宋体" w:cs="宋体"/>
                <w:color w:val="auto"/>
                <w:spacing w:val="11"/>
                <w:szCs w:val="21"/>
                <w:highlight w:val="none"/>
              </w:rPr>
            </w:pP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3F21741C">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高级职称人员</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7CCEDAAF">
            <w:pPr>
              <w:jc w:val="center"/>
              <w:rPr>
                <w:rFonts w:hint="eastAsia" w:ascii="宋体" w:hAnsi="宋体" w:eastAsia="宋体" w:cs="宋体"/>
                <w:color w:val="auto"/>
                <w:spacing w:val="11"/>
                <w:szCs w:val="21"/>
                <w:highlight w:val="none"/>
              </w:rPr>
            </w:pPr>
          </w:p>
        </w:tc>
      </w:tr>
      <w:tr w14:paraId="20A97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579EC543">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注册资金</w:t>
            </w:r>
          </w:p>
        </w:tc>
        <w:tc>
          <w:tcPr>
            <w:tcW w:w="1106" w:type="dxa"/>
            <w:tcBorders>
              <w:top w:val="single" w:color="auto" w:sz="4" w:space="0"/>
              <w:left w:val="single" w:color="auto" w:sz="4" w:space="0"/>
              <w:bottom w:val="single" w:color="auto" w:sz="4" w:space="0"/>
              <w:right w:val="single" w:color="auto" w:sz="4" w:space="0"/>
            </w:tcBorders>
            <w:vAlign w:val="center"/>
          </w:tcPr>
          <w:p w14:paraId="27170922">
            <w:pPr>
              <w:jc w:val="center"/>
              <w:rPr>
                <w:rFonts w:hint="eastAsia" w:ascii="宋体" w:hAnsi="宋体" w:eastAsia="宋体" w:cs="宋体"/>
                <w:color w:val="auto"/>
                <w:spacing w:val="11"/>
                <w:szCs w:val="21"/>
                <w:highlight w:val="none"/>
              </w:rPr>
            </w:pPr>
          </w:p>
        </w:tc>
        <w:tc>
          <w:tcPr>
            <w:tcW w:w="937" w:type="dxa"/>
            <w:tcBorders>
              <w:top w:val="single" w:color="auto" w:sz="4" w:space="0"/>
              <w:left w:val="single" w:color="auto" w:sz="4" w:space="0"/>
              <w:bottom w:val="single" w:color="auto" w:sz="4" w:space="0"/>
              <w:right w:val="single" w:color="auto" w:sz="4" w:space="0"/>
            </w:tcBorders>
            <w:vAlign w:val="center"/>
          </w:tcPr>
          <w:p w14:paraId="71FBF6E9">
            <w:pPr>
              <w:jc w:val="center"/>
              <w:rPr>
                <w:rFonts w:hint="eastAsia" w:ascii="宋体" w:hAnsi="宋体" w:eastAsia="宋体" w:cs="宋体"/>
                <w:color w:val="auto"/>
                <w:spacing w:val="11"/>
                <w:szCs w:val="21"/>
                <w:highlight w:val="non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14:paraId="110B4161">
            <w:pPr>
              <w:widowControl/>
              <w:jc w:val="left"/>
              <w:rPr>
                <w:rFonts w:hint="eastAsia" w:ascii="宋体" w:hAnsi="宋体" w:eastAsia="宋体" w:cs="宋体"/>
                <w:color w:val="auto"/>
                <w:spacing w:val="11"/>
                <w:szCs w:val="21"/>
                <w:highlight w:val="none"/>
              </w:rPr>
            </w:pP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2E1B9876">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中级职称人员</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4BF68F1D">
            <w:pPr>
              <w:jc w:val="center"/>
              <w:rPr>
                <w:rFonts w:hint="eastAsia" w:ascii="宋体" w:hAnsi="宋体" w:eastAsia="宋体" w:cs="宋体"/>
                <w:color w:val="auto"/>
                <w:spacing w:val="11"/>
                <w:szCs w:val="21"/>
                <w:highlight w:val="none"/>
              </w:rPr>
            </w:pPr>
          </w:p>
        </w:tc>
      </w:tr>
      <w:tr w14:paraId="372B4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291C16BF">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开户银行</w:t>
            </w:r>
          </w:p>
        </w:tc>
        <w:tc>
          <w:tcPr>
            <w:tcW w:w="1106" w:type="dxa"/>
            <w:tcBorders>
              <w:top w:val="single" w:color="auto" w:sz="4" w:space="0"/>
              <w:left w:val="single" w:color="auto" w:sz="4" w:space="0"/>
              <w:bottom w:val="single" w:color="auto" w:sz="4" w:space="0"/>
              <w:right w:val="single" w:color="auto" w:sz="4" w:space="0"/>
            </w:tcBorders>
            <w:vAlign w:val="center"/>
          </w:tcPr>
          <w:p w14:paraId="2F204BE0">
            <w:pPr>
              <w:jc w:val="center"/>
              <w:rPr>
                <w:rFonts w:hint="eastAsia" w:ascii="宋体" w:hAnsi="宋体" w:eastAsia="宋体" w:cs="宋体"/>
                <w:color w:val="auto"/>
                <w:spacing w:val="11"/>
                <w:szCs w:val="21"/>
                <w:highlight w:val="none"/>
              </w:rPr>
            </w:pPr>
          </w:p>
        </w:tc>
        <w:tc>
          <w:tcPr>
            <w:tcW w:w="937" w:type="dxa"/>
            <w:tcBorders>
              <w:top w:val="single" w:color="auto" w:sz="4" w:space="0"/>
              <w:left w:val="single" w:color="auto" w:sz="4" w:space="0"/>
              <w:bottom w:val="single" w:color="auto" w:sz="4" w:space="0"/>
              <w:right w:val="single" w:color="auto" w:sz="4" w:space="0"/>
            </w:tcBorders>
            <w:vAlign w:val="center"/>
          </w:tcPr>
          <w:p w14:paraId="6859AA01">
            <w:pPr>
              <w:jc w:val="center"/>
              <w:rPr>
                <w:rFonts w:hint="eastAsia" w:ascii="宋体" w:hAnsi="宋体" w:eastAsia="宋体" w:cs="宋体"/>
                <w:color w:val="auto"/>
                <w:spacing w:val="11"/>
                <w:szCs w:val="21"/>
                <w:highlight w:val="non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14:paraId="64950B4C">
            <w:pPr>
              <w:widowControl/>
              <w:jc w:val="left"/>
              <w:rPr>
                <w:rFonts w:hint="eastAsia" w:ascii="宋体" w:hAnsi="宋体" w:eastAsia="宋体" w:cs="宋体"/>
                <w:color w:val="auto"/>
                <w:spacing w:val="11"/>
                <w:szCs w:val="21"/>
                <w:highlight w:val="none"/>
              </w:rPr>
            </w:pP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0FAC9081">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初级职称人员</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3593D27C">
            <w:pPr>
              <w:jc w:val="center"/>
              <w:rPr>
                <w:rFonts w:hint="eastAsia" w:ascii="宋体" w:hAnsi="宋体" w:eastAsia="宋体" w:cs="宋体"/>
                <w:color w:val="auto"/>
                <w:spacing w:val="11"/>
                <w:szCs w:val="21"/>
                <w:highlight w:val="none"/>
              </w:rPr>
            </w:pPr>
          </w:p>
        </w:tc>
      </w:tr>
      <w:tr w14:paraId="59FFE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0C8EDA75">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账号</w:t>
            </w:r>
          </w:p>
        </w:tc>
        <w:tc>
          <w:tcPr>
            <w:tcW w:w="1106" w:type="dxa"/>
            <w:tcBorders>
              <w:top w:val="single" w:color="auto" w:sz="4" w:space="0"/>
              <w:left w:val="single" w:color="auto" w:sz="4" w:space="0"/>
              <w:bottom w:val="single" w:color="auto" w:sz="4" w:space="0"/>
              <w:right w:val="single" w:color="auto" w:sz="4" w:space="0"/>
            </w:tcBorders>
            <w:vAlign w:val="center"/>
          </w:tcPr>
          <w:p w14:paraId="254EBAC7">
            <w:pPr>
              <w:jc w:val="center"/>
              <w:rPr>
                <w:rFonts w:hint="eastAsia" w:ascii="宋体" w:hAnsi="宋体" w:eastAsia="宋体" w:cs="宋体"/>
                <w:color w:val="auto"/>
                <w:spacing w:val="11"/>
                <w:szCs w:val="21"/>
                <w:highlight w:val="none"/>
              </w:rPr>
            </w:pPr>
          </w:p>
        </w:tc>
        <w:tc>
          <w:tcPr>
            <w:tcW w:w="937" w:type="dxa"/>
            <w:tcBorders>
              <w:top w:val="single" w:color="auto" w:sz="4" w:space="0"/>
              <w:left w:val="single" w:color="auto" w:sz="4" w:space="0"/>
              <w:bottom w:val="single" w:color="auto" w:sz="4" w:space="0"/>
              <w:right w:val="single" w:color="auto" w:sz="4" w:space="0"/>
            </w:tcBorders>
            <w:vAlign w:val="center"/>
          </w:tcPr>
          <w:p w14:paraId="392E4C3C">
            <w:pPr>
              <w:jc w:val="center"/>
              <w:rPr>
                <w:rFonts w:hint="eastAsia" w:ascii="宋体" w:hAnsi="宋体" w:eastAsia="宋体" w:cs="宋体"/>
                <w:color w:val="auto"/>
                <w:spacing w:val="11"/>
                <w:szCs w:val="21"/>
                <w:highlight w:val="non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14:paraId="68DCFAD5">
            <w:pPr>
              <w:widowControl/>
              <w:jc w:val="left"/>
              <w:rPr>
                <w:rFonts w:hint="eastAsia" w:ascii="宋体" w:hAnsi="宋体" w:eastAsia="宋体" w:cs="宋体"/>
                <w:color w:val="auto"/>
                <w:spacing w:val="11"/>
                <w:szCs w:val="21"/>
                <w:highlight w:val="none"/>
              </w:rPr>
            </w:pP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317A1591">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技  工</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6C71C80A">
            <w:pPr>
              <w:jc w:val="center"/>
              <w:rPr>
                <w:rFonts w:hint="eastAsia" w:ascii="宋体" w:hAnsi="宋体" w:eastAsia="宋体" w:cs="宋体"/>
                <w:color w:val="auto"/>
                <w:spacing w:val="11"/>
                <w:szCs w:val="21"/>
                <w:highlight w:val="none"/>
              </w:rPr>
            </w:pPr>
          </w:p>
        </w:tc>
      </w:tr>
      <w:tr w14:paraId="4089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4B2A753F">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经营范围</w:t>
            </w:r>
          </w:p>
        </w:tc>
        <w:tc>
          <w:tcPr>
            <w:tcW w:w="7408" w:type="dxa"/>
            <w:gridSpan w:val="7"/>
            <w:tcBorders>
              <w:top w:val="single" w:color="auto" w:sz="4" w:space="0"/>
              <w:left w:val="single" w:color="auto" w:sz="4" w:space="0"/>
              <w:bottom w:val="single" w:color="auto" w:sz="4" w:space="0"/>
              <w:right w:val="single" w:color="auto" w:sz="4" w:space="0"/>
            </w:tcBorders>
            <w:vAlign w:val="center"/>
          </w:tcPr>
          <w:p w14:paraId="397E8CD3">
            <w:pPr>
              <w:jc w:val="center"/>
              <w:rPr>
                <w:rFonts w:hint="eastAsia" w:ascii="宋体" w:hAnsi="宋体" w:eastAsia="宋体" w:cs="宋体"/>
                <w:color w:val="auto"/>
                <w:spacing w:val="11"/>
                <w:szCs w:val="21"/>
                <w:highlight w:val="none"/>
              </w:rPr>
            </w:pPr>
          </w:p>
        </w:tc>
      </w:tr>
      <w:tr w14:paraId="5520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03DD24A3">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备注</w:t>
            </w:r>
          </w:p>
        </w:tc>
        <w:tc>
          <w:tcPr>
            <w:tcW w:w="7408" w:type="dxa"/>
            <w:gridSpan w:val="7"/>
            <w:tcBorders>
              <w:top w:val="single" w:color="auto" w:sz="4" w:space="0"/>
              <w:left w:val="single" w:color="auto" w:sz="4" w:space="0"/>
              <w:bottom w:val="single" w:color="auto" w:sz="4" w:space="0"/>
              <w:right w:val="single" w:color="auto" w:sz="4" w:space="0"/>
            </w:tcBorders>
            <w:vAlign w:val="center"/>
          </w:tcPr>
          <w:p w14:paraId="1744137A">
            <w:pPr>
              <w:jc w:val="center"/>
              <w:rPr>
                <w:rFonts w:hint="eastAsia" w:ascii="宋体" w:hAnsi="宋体" w:eastAsia="宋体" w:cs="宋体"/>
                <w:color w:val="auto"/>
                <w:spacing w:val="11"/>
                <w:szCs w:val="21"/>
                <w:highlight w:val="none"/>
              </w:rPr>
            </w:pPr>
          </w:p>
        </w:tc>
      </w:tr>
    </w:tbl>
    <w:p w14:paraId="59DA07CE">
      <w:pPr>
        <w:snapToGrid w:val="0"/>
        <w:spacing w:before="50" w:after="50"/>
        <w:outlineLvl w:val="1"/>
        <w:rPr>
          <w:rFonts w:hint="eastAsia" w:ascii="宋体" w:hAnsi="宋体" w:eastAsia="宋体" w:cs="宋体"/>
          <w:color w:val="auto"/>
          <w:spacing w:val="11"/>
          <w:szCs w:val="21"/>
          <w:highlight w:val="none"/>
        </w:rPr>
      </w:pPr>
    </w:p>
    <w:p w14:paraId="4355DEB9">
      <w:pPr>
        <w:snapToGrid w:val="0"/>
        <w:spacing w:before="120" w:beforeLines="50"/>
        <w:rPr>
          <w:rFonts w:hint="eastAsia" w:ascii="宋体" w:hAnsi="宋体" w:eastAsia="宋体" w:cs="宋体"/>
          <w:color w:val="auto"/>
          <w:spacing w:val="11"/>
          <w:szCs w:val="21"/>
          <w:highlight w:val="none"/>
          <w:u w:val="single"/>
        </w:rPr>
      </w:pPr>
      <w:r>
        <w:rPr>
          <w:rFonts w:hint="eastAsia" w:ascii="宋体" w:hAnsi="宋体" w:eastAsia="宋体" w:cs="宋体"/>
          <w:color w:val="auto"/>
          <w:spacing w:val="11"/>
          <w:szCs w:val="21"/>
          <w:highlight w:val="none"/>
        </w:rPr>
        <w:t>法定代表人或授权代表（签字或盖章）：</w:t>
      </w:r>
    </w:p>
    <w:p w14:paraId="7FE4E128">
      <w:pPr>
        <w:snapToGrid w:val="0"/>
        <w:spacing w:before="120" w:beforeLines="5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供应商公章：</w:t>
      </w:r>
    </w:p>
    <w:p w14:paraId="0BFE37EE">
      <w:pPr>
        <w:snapToGrid w:val="0"/>
        <w:spacing w:before="120" w:beforeLines="50" w:after="50"/>
        <w:ind w:firstLine="6032" w:firstLineChars="2600"/>
        <w:rPr>
          <w:rFonts w:hint="eastAsia" w:ascii="宋体" w:hAnsi="宋体" w:eastAsia="宋体" w:cs="宋体"/>
          <w:color w:val="auto"/>
          <w:spacing w:val="11"/>
          <w:szCs w:val="21"/>
          <w:highlight w:val="none"/>
        </w:rPr>
      </w:pPr>
    </w:p>
    <w:p w14:paraId="16FF9F77">
      <w:pPr>
        <w:snapToGrid w:val="0"/>
        <w:spacing w:before="120" w:beforeLines="50" w:after="50"/>
        <w:ind w:firstLine="6032" w:firstLineChars="26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年    月    日</w:t>
      </w:r>
    </w:p>
    <w:p w14:paraId="35F06360">
      <w:pPr>
        <w:pStyle w:val="54"/>
        <w:ind w:firstLine="232"/>
        <w:rPr>
          <w:rFonts w:hint="eastAsia" w:ascii="宋体" w:hAnsi="宋体" w:eastAsia="宋体" w:cs="宋体"/>
          <w:color w:val="auto"/>
          <w:spacing w:val="11"/>
          <w:szCs w:val="21"/>
          <w:highlight w:val="none"/>
        </w:rPr>
      </w:pPr>
    </w:p>
    <w:p w14:paraId="555FABA4">
      <w:pPr>
        <w:pStyle w:val="54"/>
        <w:ind w:firstLine="232"/>
        <w:rPr>
          <w:rFonts w:hint="eastAsia" w:ascii="宋体" w:hAnsi="宋体" w:eastAsia="宋体" w:cs="宋体"/>
          <w:color w:val="auto"/>
          <w:spacing w:val="11"/>
          <w:szCs w:val="21"/>
          <w:highlight w:val="none"/>
        </w:rPr>
      </w:pPr>
    </w:p>
    <w:p w14:paraId="4B0506EC">
      <w:pPr>
        <w:pStyle w:val="54"/>
        <w:ind w:firstLine="232"/>
        <w:rPr>
          <w:rFonts w:hint="eastAsia" w:ascii="宋体" w:hAnsi="宋体" w:eastAsia="宋体" w:cs="宋体"/>
          <w:color w:val="auto"/>
          <w:spacing w:val="11"/>
          <w:szCs w:val="21"/>
          <w:highlight w:val="none"/>
        </w:rPr>
      </w:pPr>
    </w:p>
    <w:p w14:paraId="67FB199D">
      <w:pPr>
        <w:rPr>
          <w:rFonts w:hint="eastAsia" w:ascii="宋体" w:hAnsi="宋体" w:eastAsia="宋体" w:cs="宋体"/>
          <w:color w:val="auto"/>
          <w:spacing w:val="11"/>
          <w:szCs w:val="21"/>
          <w:highlight w:val="none"/>
        </w:rPr>
      </w:pPr>
    </w:p>
    <w:p w14:paraId="79FBE9B4">
      <w:pPr>
        <w:rPr>
          <w:rFonts w:hint="eastAsia" w:ascii="宋体" w:hAnsi="宋体" w:eastAsia="宋体" w:cs="宋体"/>
          <w:color w:val="auto"/>
          <w:spacing w:val="11"/>
          <w:szCs w:val="21"/>
          <w:highlight w:val="none"/>
        </w:rPr>
      </w:pPr>
    </w:p>
    <w:p w14:paraId="6505BF70">
      <w:pPr>
        <w:rPr>
          <w:rFonts w:hint="eastAsia" w:ascii="宋体" w:hAnsi="宋体" w:eastAsia="宋体" w:cs="宋体"/>
          <w:color w:val="auto"/>
          <w:spacing w:val="11"/>
          <w:szCs w:val="21"/>
          <w:highlight w:val="none"/>
        </w:rPr>
      </w:pPr>
    </w:p>
    <w:p w14:paraId="62FDC9BD">
      <w:pPr>
        <w:rPr>
          <w:rFonts w:hint="eastAsia" w:ascii="宋体" w:hAnsi="宋体" w:eastAsia="宋体" w:cs="宋体"/>
          <w:color w:val="auto"/>
          <w:spacing w:val="11"/>
          <w:szCs w:val="21"/>
          <w:highlight w:val="none"/>
        </w:rPr>
      </w:pPr>
    </w:p>
    <w:p w14:paraId="36B2D6B6">
      <w:pPr>
        <w:rPr>
          <w:rFonts w:hint="eastAsia" w:ascii="宋体" w:hAnsi="宋体" w:eastAsia="宋体" w:cs="宋体"/>
          <w:color w:val="auto"/>
          <w:spacing w:val="11"/>
          <w:szCs w:val="21"/>
          <w:highlight w:val="none"/>
        </w:rPr>
      </w:pPr>
    </w:p>
    <w:p w14:paraId="113290DC">
      <w:pPr>
        <w:rPr>
          <w:rFonts w:hint="eastAsia" w:ascii="宋体" w:hAnsi="宋体" w:eastAsia="宋体" w:cs="宋体"/>
          <w:color w:val="auto"/>
          <w:spacing w:val="11"/>
          <w:szCs w:val="21"/>
          <w:highlight w:val="none"/>
        </w:rPr>
      </w:pPr>
    </w:p>
    <w:p w14:paraId="13B1BEBC">
      <w:pPr>
        <w:rPr>
          <w:rFonts w:hint="eastAsia" w:ascii="宋体" w:hAnsi="宋体" w:eastAsia="宋体" w:cs="宋体"/>
          <w:color w:val="auto"/>
          <w:spacing w:val="11"/>
          <w:szCs w:val="21"/>
          <w:highlight w:val="none"/>
        </w:rPr>
      </w:pPr>
    </w:p>
    <w:p w14:paraId="0660FC3A">
      <w:pPr>
        <w:rPr>
          <w:rFonts w:hint="eastAsia" w:ascii="宋体" w:hAnsi="宋体" w:eastAsia="宋体" w:cs="宋体"/>
          <w:color w:val="auto"/>
          <w:spacing w:val="11"/>
          <w:szCs w:val="21"/>
          <w:highlight w:val="none"/>
        </w:rPr>
      </w:pPr>
    </w:p>
    <w:p w14:paraId="05185033">
      <w:pPr>
        <w:rPr>
          <w:rFonts w:hint="eastAsia" w:ascii="宋体" w:hAnsi="宋体" w:eastAsia="宋体" w:cs="宋体"/>
          <w:color w:val="auto"/>
          <w:spacing w:val="11"/>
          <w:szCs w:val="21"/>
          <w:highlight w:val="none"/>
        </w:rPr>
      </w:pPr>
    </w:p>
    <w:p w14:paraId="613C738B">
      <w:pPr>
        <w:pStyle w:val="23"/>
        <w:rPr>
          <w:rFonts w:hint="eastAsia" w:ascii="宋体" w:hAnsi="宋体" w:eastAsia="宋体" w:cs="宋体"/>
          <w:color w:val="auto"/>
          <w:spacing w:val="11"/>
          <w:szCs w:val="21"/>
          <w:highlight w:val="none"/>
        </w:rPr>
      </w:pPr>
    </w:p>
    <w:p w14:paraId="4079FA56">
      <w:pPr>
        <w:pStyle w:val="4"/>
        <w:jc w:val="center"/>
        <w:rPr>
          <w:rFonts w:hint="eastAsia" w:ascii="宋体" w:hAnsi="宋体" w:eastAsia="宋体" w:cs="宋体"/>
          <w:color w:val="auto"/>
          <w:spacing w:val="11"/>
          <w:sz w:val="21"/>
          <w:szCs w:val="21"/>
          <w:highlight w:val="none"/>
          <w:u w:val="none"/>
        </w:rPr>
      </w:pPr>
      <w:bookmarkStart w:id="71" w:name="_Toc23073_WPSOffice_Level1"/>
      <w:bookmarkStart w:id="72" w:name="_Toc15116_WPSOffice_Level1"/>
      <w:bookmarkStart w:id="73" w:name="_Toc23014_WPSOffice_Level1"/>
      <w:r>
        <w:rPr>
          <w:rFonts w:hint="eastAsia" w:ascii="宋体" w:hAnsi="宋体" w:eastAsia="宋体" w:cs="宋体"/>
          <w:color w:val="auto"/>
          <w:spacing w:val="11"/>
          <w:sz w:val="21"/>
          <w:szCs w:val="21"/>
          <w:highlight w:val="none"/>
          <w:u w:val="none"/>
        </w:rPr>
        <w:t>6.供应商廉洁守信承诺书</w:t>
      </w:r>
      <w:bookmarkEnd w:id="71"/>
      <w:bookmarkEnd w:id="72"/>
      <w:bookmarkEnd w:id="73"/>
    </w:p>
    <w:p w14:paraId="33F03C58">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本公司决定参加</w:t>
      </w:r>
      <w:r>
        <w:rPr>
          <w:rFonts w:hint="eastAsia" w:ascii="宋体" w:hAnsi="宋体" w:eastAsia="宋体" w:cs="宋体"/>
          <w:color w:val="auto"/>
          <w:spacing w:val="11"/>
          <w:szCs w:val="21"/>
          <w:highlight w:val="none"/>
          <w:u w:val="single"/>
        </w:rPr>
        <w:t xml:space="preserve">  　                       </w:t>
      </w:r>
      <w:r>
        <w:rPr>
          <w:rFonts w:hint="eastAsia" w:ascii="宋体" w:hAnsi="宋体" w:eastAsia="宋体" w:cs="宋体"/>
          <w:color w:val="auto"/>
          <w:spacing w:val="11"/>
          <w:szCs w:val="21"/>
          <w:highlight w:val="none"/>
        </w:rPr>
        <w:t>项目磋商。为维护公平竞争的市场秩序，促进企业廉洁从业、诚实守信，特承诺如下：</w:t>
      </w:r>
    </w:p>
    <w:p w14:paraId="7D98C0F9">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一、严格遵守《中华人民共和国招标投标法》、《中华人民共和国政府采购法》等法律法规，决不发生以下行为：</w:t>
      </w:r>
    </w:p>
    <w:p w14:paraId="01047A23">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1.以他人名义磋商，允许其他单位或个人使用本单位资质磋商；</w:t>
      </w:r>
    </w:p>
    <w:p w14:paraId="5AAC36C4">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2.提供虚假材料，或以其他方式弄虚作假骗取成交；</w:t>
      </w:r>
    </w:p>
    <w:p w14:paraId="0F439C7F">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3.与采购单位或者其他供应商相互串通磋商；</w:t>
      </w:r>
    </w:p>
    <w:p w14:paraId="07059492">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4.成交后将项目转包，或违法分包；</w:t>
      </w:r>
    </w:p>
    <w:p w14:paraId="53DC43EB">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5.成交后与采购单位签订背离磋商响应文件及合同实质性内容的私下协议；</w:t>
      </w:r>
    </w:p>
    <w:p w14:paraId="127090E5">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6.其他违反招标投标、政府采购等法律法规的行为。</w:t>
      </w:r>
    </w:p>
    <w:p w14:paraId="22C1A146">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二、不以任何理由给予建设单位、主管部门、相关单位及其工作人员、专家评委以下好处：</w:t>
      </w:r>
    </w:p>
    <w:p w14:paraId="2E68394D">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1.赠送礼金、有价证券、贵重物品，或给予回扣、感谢费、劳务费等各种名目的经费；</w:t>
      </w:r>
    </w:p>
    <w:p w14:paraId="72F7992D">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2.报销应由上述单位或个人支付的费用；</w:t>
      </w:r>
    </w:p>
    <w:p w14:paraId="50035BDA">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3.赠送或提供通讯工具、交通工具和高档办公用品等；</w:t>
      </w:r>
    </w:p>
    <w:p w14:paraId="419A1F55">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4.提供宴请、健身、旅游、娱乐等高消费活动；</w:t>
      </w:r>
    </w:p>
    <w:p w14:paraId="360CDFE5">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5.无偿或明显低于市场价装修住房。</w:t>
      </w:r>
    </w:p>
    <w:p w14:paraId="5B0A36DA">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三、不以任何理由为建设单位、主管部门、相关单位的工作人员及其配偶、子女等亲属的工作安排以及出国（境）等提供方便。</w:t>
      </w:r>
    </w:p>
    <w:p w14:paraId="09049AE0">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四、自觉接受有关部门和派驻廉政监察组等机构的监督，积极配合建设单位开展廉政文化进工程工作，加强廉洁从业环境宣传、项目管理制度建设，多种形式开展廉洁教育。</w:t>
      </w:r>
    </w:p>
    <w:p w14:paraId="78D5022A">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上述承诺如有违反，愿接受录入诚信档案的处理，构成违纪违法的，由相关部门依纪依法作出处理。</w:t>
      </w:r>
    </w:p>
    <w:p w14:paraId="334E8C4B">
      <w:pPr>
        <w:tabs>
          <w:tab w:val="left" w:pos="465"/>
        </w:tabs>
        <w:ind w:firstLine="464" w:firstLineChars="200"/>
        <w:rPr>
          <w:rFonts w:hint="eastAsia" w:ascii="宋体" w:hAnsi="宋体" w:eastAsia="宋体" w:cs="宋体"/>
          <w:color w:val="auto"/>
          <w:spacing w:val="11"/>
          <w:szCs w:val="21"/>
          <w:highlight w:val="none"/>
        </w:rPr>
      </w:pPr>
    </w:p>
    <w:p w14:paraId="22B56AC9">
      <w:pPr>
        <w:snapToGrid w:val="0"/>
        <w:spacing w:before="120" w:beforeLines="50"/>
        <w:rPr>
          <w:rFonts w:hint="eastAsia" w:ascii="宋体" w:hAnsi="宋体" w:eastAsia="宋体" w:cs="宋体"/>
          <w:color w:val="auto"/>
          <w:spacing w:val="11"/>
          <w:szCs w:val="21"/>
          <w:highlight w:val="none"/>
        </w:rPr>
      </w:pPr>
    </w:p>
    <w:p w14:paraId="40A39B82">
      <w:pPr>
        <w:snapToGrid w:val="0"/>
        <w:spacing w:before="120" w:beforeLines="50"/>
        <w:rPr>
          <w:rFonts w:hint="eastAsia" w:ascii="宋体" w:hAnsi="宋体" w:eastAsia="宋体" w:cs="宋体"/>
          <w:color w:val="auto"/>
          <w:spacing w:val="11"/>
          <w:szCs w:val="21"/>
          <w:highlight w:val="none"/>
          <w:u w:val="single"/>
        </w:rPr>
      </w:pPr>
      <w:r>
        <w:rPr>
          <w:rFonts w:hint="eastAsia" w:ascii="宋体" w:hAnsi="宋体" w:eastAsia="宋体" w:cs="宋体"/>
          <w:color w:val="auto"/>
          <w:spacing w:val="11"/>
          <w:szCs w:val="21"/>
          <w:highlight w:val="none"/>
        </w:rPr>
        <w:t>法定代表人或授权代表（签字或盖章）：</w:t>
      </w:r>
    </w:p>
    <w:p w14:paraId="27808C82">
      <w:pPr>
        <w:snapToGrid w:val="0"/>
        <w:spacing w:before="120" w:beforeLines="5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供应商公章：</w:t>
      </w:r>
    </w:p>
    <w:p w14:paraId="04A8B637">
      <w:pPr>
        <w:snapToGrid w:val="0"/>
        <w:spacing w:before="120" w:beforeLines="50" w:after="50"/>
        <w:ind w:firstLine="6032" w:firstLineChars="2600"/>
        <w:rPr>
          <w:rFonts w:hint="eastAsia" w:ascii="宋体" w:hAnsi="宋体" w:eastAsia="宋体" w:cs="宋体"/>
          <w:color w:val="auto"/>
          <w:spacing w:val="11"/>
          <w:szCs w:val="21"/>
          <w:highlight w:val="none"/>
        </w:rPr>
      </w:pPr>
    </w:p>
    <w:p w14:paraId="38DF95A1">
      <w:pPr>
        <w:snapToGrid w:val="0"/>
        <w:spacing w:before="120" w:beforeLines="50" w:after="50"/>
        <w:ind w:firstLine="6032" w:firstLineChars="26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年    月    日</w:t>
      </w:r>
    </w:p>
    <w:p w14:paraId="0E81DCF9">
      <w:pPr>
        <w:adjustRightInd w:val="0"/>
        <w:snapToGrid w:val="0"/>
        <w:spacing w:line="400" w:lineRule="exact"/>
        <w:rPr>
          <w:rFonts w:hint="eastAsia" w:ascii="宋体" w:hAnsi="宋体" w:eastAsia="宋体" w:cs="宋体"/>
          <w:color w:val="auto"/>
          <w:spacing w:val="11"/>
          <w:szCs w:val="21"/>
          <w:highlight w:val="none"/>
        </w:rPr>
      </w:pPr>
    </w:p>
    <w:p w14:paraId="4ED45F5B">
      <w:pPr>
        <w:tabs>
          <w:tab w:val="left" w:pos="465"/>
        </w:tabs>
        <w:ind w:firstLine="464" w:firstLineChars="200"/>
        <w:rPr>
          <w:rFonts w:hint="eastAsia" w:ascii="宋体" w:hAnsi="宋体" w:eastAsia="宋体" w:cs="宋体"/>
          <w:color w:val="auto"/>
          <w:spacing w:val="11"/>
          <w:szCs w:val="21"/>
          <w:highlight w:val="none"/>
        </w:rPr>
      </w:pPr>
    </w:p>
    <w:p w14:paraId="1FF9C67F">
      <w:pPr>
        <w:pStyle w:val="54"/>
        <w:ind w:firstLine="232"/>
        <w:rPr>
          <w:rFonts w:hint="eastAsia" w:ascii="宋体" w:hAnsi="宋体" w:eastAsia="宋体" w:cs="宋体"/>
          <w:color w:val="auto"/>
          <w:spacing w:val="11"/>
          <w:szCs w:val="21"/>
          <w:highlight w:val="none"/>
        </w:rPr>
      </w:pPr>
    </w:p>
    <w:p w14:paraId="158034D4">
      <w:pPr>
        <w:pStyle w:val="54"/>
        <w:ind w:firstLine="232"/>
        <w:rPr>
          <w:rFonts w:hint="eastAsia" w:ascii="宋体" w:hAnsi="宋体" w:eastAsia="宋体" w:cs="宋体"/>
          <w:color w:val="auto"/>
          <w:spacing w:val="11"/>
          <w:szCs w:val="21"/>
          <w:highlight w:val="none"/>
        </w:rPr>
      </w:pPr>
    </w:p>
    <w:p w14:paraId="44542AB4">
      <w:pPr>
        <w:rPr>
          <w:rFonts w:hint="eastAsia" w:ascii="宋体" w:hAnsi="宋体" w:eastAsia="宋体" w:cs="宋体"/>
          <w:color w:val="auto"/>
          <w:spacing w:val="11"/>
          <w:szCs w:val="21"/>
          <w:highlight w:val="none"/>
        </w:rPr>
      </w:pPr>
    </w:p>
    <w:p w14:paraId="681719D3">
      <w:pPr>
        <w:rPr>
          <w:rFonts w:hint="eastAsia" w:ascii="宋体" w:hAnsi="宋体" w:eastAsia="宋体" w:cs="宋体"/>
          <w:color w:val="auto"/>
          <w:spacing w:val="11"/>
          <w:szCs w:val="21"/>
          <w:highlight w:val="none"/>
        </w:rPr>
      </w:pPr>
    </w:p>
    <w:p w14:paraId="639ABAB0">
      <w:pPr>
        <w:rPr>
          <w:rFonts w:hint="eastAsia" w:ascii="宋体" w:hAnsi="宋体" w:eastAsia="宋体" w:cs="宋体"/>
          <w:color w:val="auto"/>
          <w:spacing w:val="11"/>
          <w:szCs w:val="21"/>
          <w:highlight w:val="none"/>
        </w:rPr>
      </w:pPr>
    </w:p>
    <w:p w14:paraId="233B2473">
      <w:pPr>
        <w:pStyle w:val="4"/>
        <w:jc w:val="center"/>
        <w:rPr>
          <w:rFonts w:hint="eastAsia" w:ascii="宋体" w:hAnsi="宋体" w:eastAsia="宋体" w:cs="宋体"/>
          <w:color w:val="auto"/>
          <w:spacing w:val="11"/>
          <w:sz w:val="21"/>
          <w:szCs w:val="21"/>
          <w:highlight w:val="none"/>
          <w:u w:val="none"/>
        </w:rPr>
      </w:pPr>
      <w:r>
        <w:rPr>
          <w:rFonts w:hint="eastAsia" w:ascii="宋体" w:hAnsi="宋体" w:eastAsia="宋体" w:cs="宋体"/>
          <w:color w:val="auto"/>
          <w:spacing w:val="11"/>
          <w:sz w:val="21"/>
          <w:szCs w:val="21"/>
          <w:highlight w:val="none"/>
          <w:u w:val="none"/>
        </w:rPr>
        <w:t>7.商务响应表</w:t>
      </w:r>
    </w:p>
    <w:p w14:paraId="4B648FFC">
      <w:pPr>
        <w:spacing w:line="180" w:lineRule="exact"/>
        <w:rPr>
          <w:rFonts w:hint="eastAsia" w:ascii="宋体" w:hAnsi="宋体" w:eastAsia="宋体" w:cs="宋体"/>
          <w:color w:val="auto"/>
          <w:spacing w:val="11"/>
          <w:szCs w:val="21"/>
          <w:highlight w:val="none"/>
          <w:u w:val="single"/>
        </w:rPr>
      </w:pPr>
    </w:p>
    <w:tbl>
      <w:tblPr>
        <w:tblStyle w:val="6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68"/>
        <w:gridCol w:w="2995"/>
        <w:gridCol w:w="2540"/>
        <w:gridCol w:w="2459"/>
      </w:tblGrid>
      <w:tr w14:paraId="3C008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94" w:hRule="atLeast"/>
          <w:jc w:val="center"/>
        </w:trPr>
        <w:tc>
          <w:tcPr>
            <w:tcW w:w="1968" w:type="dxa"/>
            <w:tcBorders>
              <w:top w:val="single" w:color="auto" w:sz="4" w:space="0"/>
              <w:left w:val="single" w:color="auto" w:sz="4" w:space="0"/>
              <w:bottom w:val="single" w:color="auto" w:sz="4" w:space="0"/>
              <w:right w:val="single" w:color="auto" w:sz="4" w:space="0"/>
            </w:tcBorders>
            <w:vAlign w:val="center"/>
          </w:tcPr>
          <w:p w14:paraId="63517AAD">
            <w:pPr>
              <w:snapToGrid w:val="0"/>
              <w:spacing w:before="120" w:beforeLines="50"/>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商务条款内容</w:t>
            </w:r>
          </w:p>
        </w:tc>
        <w:tc>
          <w:tcPr>
            <w:tcW w:w="2995" w:type="dxa"/>
            <w:tcBorders>
              <w:top w:val="single" w:color="auto" w:sz="4" w:space="0"/>
              <w:left w:val="single" w:color="auto" w:sz="4" w:space="0"/>
              <w:bottom w:val="single" w:color="auto" w:sz="4" w:space="0"/>
              <w:right w:val="single" w:color="auto" w:sz="4" w:space="0"/>
            </w:tcBorders>
            <w:vAlign w:val="center"/>
          </w:tcPr>
          <w:p w14:paraId="064E4624">
            <w:pPr>
              <w:snapToGrid w:val="0"/>
              <w:spacing w:before="120" w:beforeLines="50"/>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竞争性磋商文件要求</w:t>
            </w:r>
          </w:p>
        </w:tc>
        <w:tc>
          <w:tcPr>
            <w:tcW w:w="2540" w:type="dxa"/>
            <w:tcBorders>
              <w:top w:val="single" w:color="auto" w:sz="4" w:space="0"/>
              <w:left w:val="single" w:color="auto" w:sz="4" w:space="0"/>
              <w:bottom w:val="single" w:color="auto" w:sz="4" w:space="0"/>
              <w:right w:val="single" w:color="auto" w:sz="4" w:space="0"/>
            </w:tcBorders>
            <w:vAlign w:val="center"/>
          </w:tcPr>
          <w:p w14:paraId="34C2F101">
            <w:pPr>
              <w:snapToGrid w:val="0"/>
              <w:spacing w:before="120" w:beforeLines="50"/>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磋商响应文件内容</w:t>
            </w:r>
          </w:p>
        </w:tc>
        <w:tc>
          <w:tcPr>
            <w:tcW w:w="2459" w:type="dxa"/>
            <w:tcBorders>
              <w:top w:val="single" w:color="auto" w:sz="4" w:space="0"/>
              <w:left w:val="single" w:color="auto" w:sz="4" w:space="0"/>
              <w:bottom w:val="single" w:color="auto" w:sz="4" w:space="0"/>
              <w:right w:val="single" w:color="auto" w:sz="4" w:space="0"/>
            </w:tcBorders>
            <w:vAlign w:val="center"/>
          </w:tcPr>
          <w:p w14:paraId="27A1D511">
            <w:pPr>
              <w:snapToGrid w:val="0"/>
              <w:spacing w:before="120" w:beforeLines="50"/>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偏离情况</w:t>
            </w:r>
          </w:p>
        </w:tc>
      </w:tr>
      <w:tr w14:paraId="08BA8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14:paraId="42838458">
            <w:pPr>
              <w:snapToGrid w:val="0"/>
              <w:spacing w:line="460" w:lineRule="exact"/>
              <w:jc w:val="center"/>
              <w:rPr>
                <w:rFonts w:hint="eastAsia" w:ascii="宋体" w:hAnsi="宋体" w:eastAsia="宋体" w:cs="宋体"/>
                <w:color w:val="auto"/>
                <w:spacing w:val="11"/>
                <w:szCs w:val="21"/>
                <w:highlight w:val="none"/>
              </w:rPr>
            </w:pPr>
          </w:p>
        </w:tc>
        <w:tc>
          <w:tcPr>
            <w:tcW w:w="2995" w:type="dxa"/>
            <w:tcBorders>
              <w:top w:val="single" w:color="auto" w:sz="4" w:space="0"/>
              <w:left w:val="single" w:color="auto" w:sz="4" w:space="0"/>
              <w:bottom w:val="single" w:color="auto" w:sz="4" w:space="0"/>
              <w:right w:val="single" w:color="auto" w:sz="4" w:space="0"/>
            </w:tcBorders>
            <w:vAlign w:val="center"/>
          </w:tcPr>
          <w:p w14:paraId="18B18E28">
            <w:pPr>
              <w:snapToGrid w:val="0"/>
              <w:spacing w:line="460" w:lineRule="exact"/>
              <w:jc w:val="center"/>
              <w:rPr>
                <w:rFonts w:hint="eastAsia" w:ascii="宋体" w:hAnsi="宋体" w:eastAsia="宋体" w:cs="宋体"/>
                <w:color w:val="auto"/>
                <w:spacing w:val="11"/>
                <w:szCs w:val="21"/>
                <w:highlight w:val="none"/>
              </w:rPr>
            </w:pPr>
          </w:p>
        </w:tc>
        <w:tc>
          <w:tcPr>
            <w:tcW w:w="2540" w:type="dxa"/>
            <w:tcBorders>
              <w:top w:val="single" w:color="auto" w:sz="4" w:space="0"/>
              <w:left w:val="single" w:color="auto" w:sz="4" w:space="0"/>
              <w:bottom w:val="single" w:color="auto" w:sz="4" w:space="0"/>
              <w:right w:val="single" w:color="auto" w:sz="4" w:space="0"/>
            </w:tcBorders>
            <w:vAlign w:val="center"/>
          </w:tcPr>
          <w:p w14:paraId="7EA69700">
            <w:pPr>
              <w:snapToGrid w:val="0"/>
              <w:spacing w:before="120" w:beforeLines="50" w:line="460" w:lineRule="exact"/>
              <w:jc w:val="center"/>
              <w:rPr>
                <w:rFonts w:hint="eastAsia" w:ascii="宋体" w:hAnsi="宋体" w:eastAsia="宋体" w:cs="宋体"/>
                <w:color w:val="auto"/>
                <w:spacing w:val="11"/>
                <w:szCs w:val="21"/>
                <w:highlight w:val="none"/>
              </w:rPr>
            </w:pPr>
          </w:p>
        </w:tc>
        <w:tc>
          <w:tcPr>
            <w:tcW w:w="2459" w:type="dxa"/>
            <w:tcBorders>
              <w:top w:val="single" w:color="auto" w:sz="4" w:space="0"/>
              <w:left w:val="single" w:color="auto" w:sz="4" w:space="0"/>
              <w:bottom w:val="single" w:color="auto" w:sz="4" w:space="0"/>
              <w:right w:val="single" w:color="auto" w:sz="4" w:space="0"/>
            </w:tcBorders>
            <w:vAlign w:val="center"/>
          </w:tcPr>
          <w:p w14:paraId="02780CF0">
            <w:pPr>
              <w:snapToGrid w:val="0"/>
              <w:spacing w:before="120" w:beforeLines="50" w:line="460" w:lineRule="exact"/>
              <w:jc w:val="center"/>
              <w:rPr>
                <w:rFonts w:hint="eastAsia" w:ascii="宋体" w:hAnsi="宋体" w:eastAsia="宋体" w:cs="宋体"/>
                <w:color w:val="auto"/>
                <w:spacing w:val="11"/>
                <w:szCs w:val="21"/>
                <w:highlight w:val="none"/>
              </w:rPr>
            </w:pPr>
          </w:p>
        </w:tc>
      </w:tr>
      <w:tr w14:paraId="656CB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14:paraId="5E98CB29">
            <w:pPr>
              <w:snapToGrid w:val="0"/>
              <w:spacing w:before="120" w:beforeLines="50" w:line="460" w:lineRule="exact"/>
              <w:jc w:val="center"/>
              <w:rPr>
                <w:rFonts w:hint="eastAsia" w:ascii="宋体" w:hAnsi="宋体" w:eastAsia="宋体" w:cs="宋体"/>
                <w:color w:val="auto"/>
                <w:spacing w:val="11"/>
                <w:szCs w:val="21"/>
                <w:highlight w:val="none"/>
              </w:rPr>
            </w:pPr>
          </w:p>
        </w:tc>
        <w:tc>
          <w:tcPr>
            <w:tcW w:w="2995" w:type="dxa"/>
            <w:tcBorders>
              <w:top w:val="single" w:color="auto" w:sz="4" w:space="0"/>
              <w:left w:val="single" w:color="auto" w:sz="4" w:space="0"/>
              <w:bottom w:val="single" w:color="auto" w:sz="4" w:space="0"/>
              <w:right w:val="single" w:color="auto" w:sz="4" w:space="0"/>
            </w:tcBorders>
            <w:vAlign w:val="center"/>
          </w:tcPr>
          <w:p w14:paraId="0063206A">
            <w:pPr>
              <w:snapToGrid w:val="0"/>
              <w:spacing w:line="460" w:lineRule="exact"/>
              <w:jc w:val="center"/>
              <w:rPr>
                <w:rFonts w:hint="eastAsia" w:ascii="宋体" w:hAnsi="宋体" w:eastAsia="宋体" w:cs="宋体"/>
                <w:color w:val="auto"/>
                <w:spacing w:val="11"/>
                <w:szCs w:val="21"/>
                <w:highlight w:val="none"/>
              </w:rPr>
            </w:pPr>
          </w:p>
        </w:tc>
        <w:tc>
          <w:tcPr>
            <w:tcW w:w="2540" w:type="dxa"/>
            <w:tcBorders>
              <w:top w:val="single" w:color="auto" w:sz="4" w:space="0"/>
              <w:left w:val="single" w:color="auto" w:sz="4" w:space="0"/>
              <w:bottom w:val="single" w:color="auto" w:sz="4" w:space="0"/>
              <w:right w:val="single" w:color="auto" w:sz="4" w:space="0"/>
            </w:tcBorders>
            <w:vAlign w:val="center"/>
          </w:tcPr>
          <w:p w14:paraId="55D92888">
            <w:pPr>
              <w:snapToGrid w:val="0"/>
              <w:spacing w:before="120" w:beforeLines="50" w:line="460" w:lineRule="exact"/>
              <w:jc w:val="center"/>
              <w:rPr>
                <w:rFonts w:hint="eastAsia" w:ascii="宋体" w:hAnsi="宋体" w:eastAsia="宋体" w:cs="宋体"/>
                <w:color w:val="auto"/>
                <w:spacing w:val="11"/>
                <w:szCs w:val="21"/>
                <w:highlight w:val="none"/>
              </w:rPr>
            </w:pPr>
          </w:p>
        </w:tc>
        <w:tc>
          <w:tcPr>
            <w:tcW w:w="2459" w:type="dxa"/>
            <w:tcBorders>
              <w:top w:val="single" w:color="auto" w:sz="4" w:space="0"/>
              <w:left w:val="single" w:color="auto" w:sz="4" w:space="0"/>
              <w:bottom w:val="single" w:color="auto" w:sz="4" w:space="0"/>
              <w:right w:val="single" w:color="auto" w:sz="4" w:space="0"/>
            </w:tcBorders>
            <w:vAlign w:val="center"/>
          </w:tcPr>
          <w:p w14:paraId="639ADD09">
            <w:pPr>
              <w:snapToGrid w:val="0"/>
              <w:spacing w:before="120" w:beforeLines="50" w:line="460" w:lineRule="exact"/>
              <w:jc w:val="center"/>
              <w:rPr>
                <w:rFonts w:hint="eastAsia" w:ascii="宋体" w:hAnsi="宋体" w:eastAsia="宋体" w:cs="宋体"/>
                <w:color w:val="auto"/>
                <w:spacing w:val="11"/>
                <w:szCs w:val="21"/>
                <w:highlight w:val="none"/>
              </w:rPr>
            </w:pPr>
          </w:p>
        </w:tc>
      </w:tr>
      <w:tr w14:paraId="4D66FF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14:paraId="56BA6A95">
            <w:pPr>
              <w:snapToGrid w:val="0"/>
              <w:spacing w:line="460" w:lineRule="exact"/>
              <w:jc w:val="center"/>
              <w:rPr>
                <w:rFonts w:hint="eastAsia" w:ascii="宋体" w:hAnsi="宋体" w:eastAsia="宋体" w:cs="宋体"/>
                <w:color w:val="auto"/>
                <w:spacing w:val="11"/>
                <w:szCs w:val="21"/>
                <w:highlight w:val="none"/>
              </w:rPr>
            </w:pPr>
          </w:p>
        </w:tc>
        <w:tc>
          <w:tcPr>
            <w:tcW w:w="2995" w:type="dxa"/>
            <w:tcBorders>
              <w:top w:val="single" w:color="auto" w:sz="4" w:space="0"/>
              <w:left w:val="single" w:color="auto" w:sz="4" w:space="0"/>
              <w:bottom w:val="single" w:color="auto" w:sz="4" w:space="0"/>
              <w:right w:val="single" w:color="auto" w:sz="4" w:space="0"/>
            </w:tcBorders>
            <w:vAlign w:val="center"/>
          </w:tcPr>
          <w:p w14:paraId="3179990E">
            <w:pPr>
              <w:snapToGrid w:val="0"/>
              <w:spacing w:line="460" w:lineRule="exact"/>
              <w:jc w:val="center"/>
              <w:rPr>
                <w:rFonts w:hint="eastAsia" w:ascii="宋体" w:hAnsi="宋体" w:eastAsia="宋体" w:cs="宋体"/>
                <w:color w:val="auto"/>
                <w:spacing w:val="11"/>
                <w:szCs w:val="21"/>
                <w:highlight w:val="none"/>
              </w:rPr>
            </w:pPr>
          </w:p>
        </w:tc>
        <w:tc>
          <w:tcPr>
            <w:tcW w:w="2540" w:type="dxa"/>
            <w:tcBorders>
              <w:top w:val="single" w:color="auto" w:sz="4" w:space="0"/>
              <w:left w:val="single" w:color="auto" w:sz="4" w:space="0"/>
              <w:bottom w:val="single" w:color="auto" w:sz="4" w:space="0"/>
              <w:right w:val="single" w:color="auto" w:sz="4" w:space="0"/>
            </w:tcBorders>
            <w:vAlign w:val="center"/>
          </w:tcPr>
          <w:p w14:paraId="77426A14">
            <w:pPr>
              <w:snapToGrid w:val="0"/>
              <w:spacing w:before="120" w:beforeLines="50" w:line="460" w:lineRule="exact"/>
              <w:jc w:val="center"/>
              <w:rPr>
                <w:rFonts w:hint="eastAsia" w:ascii="宋体" w:hAnsi="宋体" w:eastAsia="宋体" w:cs="宋体"/>
                <w:color w:val="auto"/>
                <w:spacing w:val="11"/>
                <w:szCs w:val="21"/>
                <w:highlight w:val="none"/>
              </w:rPr>
            </w:pPr>
          </w:p>
        </w:tc>
        <w:tc>
          <w:tcPr>
            <w:tcW w:w="2459" w:type="dxa"/>
            <w:tcBorders>
              <w:top w:val="single" w:color="auto" w:sz="4" w:space="0"/>
              <w:left w:val="single" w:color="auto" w:sz="4" w:space="0"/>
              <w:bottom w:val="single" w:color="auto" w:sz="4" w:space="0"/>
              <w:right w:val="single" w:color="auto" w:sz="4" w:space="0"/>
            </w:tcBorders>
            <w:vAlign w:val="center"/>
          </w:tcPr>
          <w:p w14:paraId="040A9CC2">
            <w:pPr>
              <w:snapToGrid w:val="0"/>
              <w:spacing w:before="120" w:beforeLines="50" w:line="460" w:lineRule="exact"/>
              <w:jc w:val="center"/>
              <w:rPr>
                <w:rFonts w:hint="eastAsia" w:ascii="宋体" w:hAnsi="宋体" w:eastAsia="宋体" w:cs="宋体"/>
                <w:color w:val="auto"/>
                <w:spacing w:val="11"/>
                <w:szCs w:val="21"/>
                <w:highlight w:val="none"/>
              </w:rPr>
            </w:pPr>
          </w:p>
        </w:tc>
      </w:tr>
      <w:tr w14:paraId="6600E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14:paraId="111B5D7C">
            <w:pPr>
              <w:snapToGrid w:val="0"/>
              <w:spacing w:line="460" w:lineRule="exact"/>
              <w:jc w:val="center"/>
              <w:rPr>
                <w:rFonts w:hint="eastAsia" w:ascii="宋体" w:hAnsi="宋体" w:eastAsia="宋体" w:cs="宋体"/>
                <w:color w:val="auto"/>
                <w:spacing w:val="11"/>
                <w:szCs w:val="21"/>
                <w:highlight w:val="none"/>
              </w:rPr>
            </w:pPr>
          </w:p>
        </w:tc>
        <w:tc>
          <w:tcPr>
            <w:tcW w:w="2995" w:type="dxa"/>
            <w:tcBorders>
              <w:top w:val="single" w:color="auto" w:sz="4" w:space="0"/>
              <w:left w:val="single" w:color="auto" w:sz="4" w:space="0"/>
              <w:bottom w:val="single" w:color="auto" w:sz="4" w:space="0"/>
              <w:right w:val="single" w:color="auto" w:sz="4" w:space="0"/>
            </w:tcBorders>
            <w:vAlign w:val="center"/>
          </w:tcPr>
          <w:p w14:paraId="2D84C3B7">
            <w:pPr>
              <w:snapToGrid w:val="0"/>
              <w:spacing w:line="460" w:lineRule="exact"/>
              <w:jc w:val="center"/>
              <w:rPr>
                <w:rFonts w:hint="eastAsia" w:ascii="宋体" w:hAnsi="宋体" w:eastAsia="宋体" w:cs="宋体"/>
                <w:color w:val="auto"/>
                <w:spacing w:val="11"/>
                <w:szCs w:val="21"/>
                <w:highlight w:val="none"/>
              </w:rPr>
            </w:pPr>
          </w:p>
        </w:tc>
        <w:tc>
          <w:tcPr>
            <w:tcW w:w="2540" w:type="dxa"/>
            <w:tcBorders>
              <w:top w:val="single" w:color="auto" w:sz="4" w:space="0"/>
              <w:left w:val="single" w:color="auto" w:sz="4" w:space="0"/>
              <w:bottom w:val="single" w:color="auto" w:sz="4" w:space="0"/>
              <w:right w:val="single" w:color="auto" w:sz="4" w:space="0"/>
            </w:tcBorders>
            <w:vAlign w:val="center"/>
          </w:tcPr>
          <w:p w14:paraId="70CF60E8">
            <w:pPr>
              <w:snapToGrid w:val="0"/>
              <w:spacing w:before="120" w:beforeLines="50" w:line="460" w:lineRule="exact"/>
              <w:jc w:val="center"/>
              <w:rPr>
                <w:rFonts w:hint="eastAsia" w:ascii="宋体" w:hAnsi="宋体" w:eastAsia="宋体" w:cs="宋体"/>
                <w:color w:val="auto"/>
                <w:spacing w:val="11"/>
                <w:szCs w:val="21"/>
                <w:highlight w:val="none"/>
              </w:rPr>
            </w:pPr>
          </w:p>
        </w:tc>
        <w:tc>
          <w:tcPr>
            <w:tcW w:w="2459" w:type="dxa"/>
            <w:tcBorders>
              <w:top w:val="single" w:color="auto" w:sz="4" w:space="0"/>
              <w:left w:val="single" w:color="auto" w:sz="4" w:space="0"/>
              <w:bottom w:val="single" w:color="auto" w:sz="4" w:space="0"/>
              <w:right w:val="single" w:color="auto" w:sz="4" w:space="0"/>
            </w:tcBorders>
            <w:vAlign w:val="center"/>
          </w:tcPr>
          <w:p w14:paraId="73FBFA87">
            <w:pPr>
              <w:snapToGrid w:val="0"/>
              <w:spacing w:before="120" w:beforeLines="50" w:line="460" w:lineRule="exact"/>
              <w:jc w:val="center"/>
              <w:rPr>
                <w:rFonts w:hint="eastAsia" w:ascii="宋体" w:hAnsi="宋体" w:eastAsia="宋体" w:cs="宋体"/>
                <w:color w:val="auto"/>
                <w:spacing w:val="11"/>
                <w:szCs w:val="21"/>
                <w:highlight w:val="none"/>
              </w:rPr>
            </w:pPr>
          </w:p>
        </w:tc>
      </w:tr>
      <w:tr w14:paraId="53A1B9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14:paraId="72FBA464">
            <w:pPr>
              <w:snapToGrid w:val="0"/>
              <w:spacing w:line="460" w:lineRule="exact"/>
              <w:jc w:val="center"/>
              <w:rPr>
                <w:rFonts w:hint="eastAsia" w:ascii="宋体" w:hAnsi="宋体" w:eastAsia="宋体" w:cs="宋体"/>
                <w:color w:val="auto"/>
                <w:spacing w:val="11"/>
                <w:szCs w:val="21"/>
                <w:highlight w:val="none"/>
              </w:rPr>
            </w:pPr>
          </w:p>
        </w:tc>
        <w:tc>
          <w:tcPr>
            <w:tcW w:w="2995" w:type="dxa"/>
            <w:tcBorders>
              <w:top w:val="single" w:color="auto" w:sz="4" w:space="0"/>
              <w:left w:val="single" w:color="auto" w:sz="4" w:space="0"/>
              <w:bottom w:val="single" w:color="auto" w:sz="4" w:space="0"/>
              <w:right w:val="single" w:color="auto" w:sz="4" w:space="0"/>
            </w:tcBorders>
            <w:vAlign w:val="center"/>
          </w:tcPr>
          <w:p w14:paraId="740BFF5E">
            <w:pPr>
              <w:snapToGrid w:val="0"/>
              <w:spacing w:line="460" w:lineRule="exact"/>
              <w:jc w:val="center"/>
              <w:rPr>
                <w:rFonts w:hint="eastAsia" w:ascii="宋体" w:hAnsi="宋体" w:eastAsia="宋体" w:cs="宋体"/>
                <w:color w:val="auto"/>
                <w:spacing w:val="11"/>
                <w:szCs w:val="21"/>
                <w:highlight w:val="none"/>
              </w:rPr>
            </w:pPr>
          </w:p>
        </w:tc>
        <w:tc>
          <w:tcPr>
            <w:tcW w:w="2540" w:type="dxa"/>
            <w:tcBorders>
              <w:top w:val="single" w:color="auto" w:sz="4" w:space="0"/>
              <w:left w:val="single" w:color="auto" w:sz="4" w:space="0"/>
              <w:bottom w:val="single" w:color="auto" w:sz="4" w:space="0"/>
              <w:right w:val="single" w:color="auto" w:sz="4" w:space="0"/>
            </w:tcBorders>
            <w:vAlign w:val="center"/>
          </w:tcPr>
          <w:p w14:paraId="540FA21E">
            <w:pPr>
              <w:snapToGrid w:val="0"/>
              <w:spacing w:before="120" w:beforeLines="50" w:line="460" w:lineRule="exact"/>
              <w:jc w:val="center"/>
              <w:rPr>
                <w:rFonts w:hint="eastAsia" w:ascii="宋体" w:hAnsi="宋体" w:eastAsia="宋体" w:cs="宋体"/>
                <w:color w:val="auto"/>
                <w:spacing w:val="11"/>
                <w:szCs w:val="21"/>
                <w:highlight w:val="none"/>
              </w:rPr>
            </w:pPr>
          </w:p>
        </w:tc>
        <w:tc>
          <w:tcPr>
            <w:tcW w:w="2459" w:type="dxa"/>
            <w:tcBorders>
              <w:top w:val="single" w:color="auto" w:sz="4" w:space="0"/>
              <w:left w:val="single" w:color="auto" w:sz="4" w:space="0"/>
              <w:bottom w:val="single" w:color="auto" w:sz="4" w:space="0"/>
              <w:right w:val="single" w:color="auto" w:sz="4" w:space="0"/>
            </w:tcBorders>
            <w:vAlign w:val="center"/>
          </w:tcPr>
          <w:p w14:paraId="3934344D">
            <w:pPr>
              <w:snapToGrid w:val="0"/>
              <w:spacing w:before="120" w:beforeLines="50" w:line="460" w:lineRule="exact"/>
              <w:jc w:val="center"/>
              <w:rPr>
                <w:rFonts w:hint="eastAsia" w:ascii="宋体" w:hAnsi="宋体" w:eastAsia="宋体" w:cs="宋体"/>
                <w:color w:val="auto"/>
                <w:spacing w:val="11"/>
                <w:szCs w:val="21"/>
                <w:highlight w:val="none"/>
              </w:rPr>
            </w:pPr>
          </w:p>
        </w:tc>
      </w:tr>
    </w:tbl>
    <w:p w14:paraId="2F293A5B">
      <w:pPr>
        <w:spacing w:line="360" w:lineRule="auto"/>
        <w:ind w:right="-21" w:rightChars="-10"/>
        <w:rPr>
          <w:rFonts w:hint="eastAsia" w:ascii="宋体" w:hAnsi="宋体" w:eastAsia="宋体" w:cs="宋体"/>
          <w:color w:val="auto"/>
          <w:spacing w:val="11"/>
          <w:szCs w:val="21"/>
          <w:highlight w:val="none"/>
        </w:rPr>
      </w:pPr>
    </w:p>
    <w:p w14:paraId="2CF7398B">
      <w:pPr>
        <w:spacing w:line="360" w:lineRule="auto"/>
        <w:ind w:right="-21" w:rightChars="-1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注：1、商务条款内容主要是针对竞争性磋商文件</w:t>
      </w:r>
      <w:r>
        <w:rPr>
          <w:rFonts w:hint="eastAsia" w:ascii="宋体" w:hAnsi="宋体" w:eastAsia="宋体" w:cs="宋体"/>
          <w:color w:val="auto"/>
          <w:szCs w:val="21"/>
          <w:highlight w:val="none"/>
        </w:rPr>
        <w:t>“第二章 磋商需求”</w:t>
      </w:r>
      <w:r>
        <w:rPr>
          <w:rFonts w:hint="eastAsia" w:ascii="宋体" w:hAnsi="宋体" w:eastAsia="宋体" w:cs="宋体"/>
          <w:color w:val="auto"/>
          <w:szCs w:val="21"/>
          <w:highlight w:val="none"/>
          <w:lang w:val="en-US" w:eastAsia="zh-CN"/>
        </w:rPr>
        <w:t>商务条款</w:t>
      </w:r>
      <w:r>
        <w:rPr>
          <w:rFonts w:hint="eastAsia" w:ascii="宋体" w:hAnsi="宋体" w:eastAsia="宋体" w:cs="宋体"/>
          <w:color w:val="auto"/>
          <w:szCs w:val="21"/>
          <w:highlight w:val="none"/>
        </w:rPr>
        <w:t>、</w:t>
      </w:r>
      <w:r>
        <w:rPr>
          <w:rFonts w:hint="eastAsia" w:ascii="宋体" w:hAnsi="宋体" w:eastAsia="宋体" w:cs="宋体"/>
          <w:color w:val="auto"/>
          <w:spacing w:val="11"/>
          <w:szCs w:val="21"/>
          <w:highlight w:val="none"/>
        </w:rPr>
        <w:t>合同主要条款等内容。</w:t>
      </w:r>
    </w:p>
    <w:p w14:paraId="536B2C1A">
      <w:pPr>
        <w:spacing w:line="360" w:lineRule="auto"/>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2、如不填写，则视为完全响应竞争性磋商文件；如有偏离请如实填写，偏离情况可按实际响应情况填写正偏离、负偏离或无偏离。</w:t>
      </w:r>
    </w:p>
    <w:p w14:paraId="1EAB945C">
      <w:pPr>
        <w:spacing w:line="360" w:lineRule="auto"/>
        <w:rPr>
          <w:rFonts w:hint="eastAsia" w:ascii="宋体" w:hAnsi="宋体" w:eastAsia="宋体" w:cs="宋体"/>
          <w:color w:val="auto"/>
          <w:spacing w:val="11"/>
          <w:szCs w:val="21"/>
          <w:highlight w:val="none"/>
        </w:rPr>
      </w:pPr>
    </w:p>
    <w:p w14:paraId="663C0BFD">
      <w:pPr>
        <w:snapToGrid w:val="0"/>
        <w:spacing w:before="120" w:beforeLines="50"/>
        <w:rPr>
          <w:rFonts w:hint="eastAsia" w:ascii="宋体" w:hAnsi="宋体" w:eastAsia="宋体" w:cs="宋体"/>
          <w:color w:val="auto"/>
          <w:spacing w:val="11"/>
          <w:szCs w:val="21"/>
          <w:highlight w:val="none"/>
          <w:u w:val="single"/>
        </w:rPr>
      </w:pPr>
      <w:r>
        <w:rPr>
          <w:rFonts w:hint="eastAsia" w:ascii="宋体" w:hAnsi="宋体" w:eastAsia="宋体" w:cs="宋体"/>
          <w:color w:val="auto"/>
          <w:spacing w:val="11"/>
          <w:szCs w:val="21"/>
          <w:highlight w:val="none"/>
        </w:rPr>
        <w:t>法定代表人或授权代表（签字或盖章）：</w:t>
      </w:r>
    </w:p>
    <w:p w14:paraId="7DBD7E3F">
      <w:pPr>
        <w:snapToGrid w:val="0"/>
        <w:spacing w:before="120" w:beforeLines="5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供应商公章：</w:t>
      </w:r>
    </w:p>
    <w:p w14:paraId="3B102A55">
      <w:pPr>
        <w:snapToGrid w:val="0"/>
        <w:spacing w:before="120" w:beforeLines="50" w:after="50"/>
        <w:ind w:firstLine="6032" w:firstLineChars="2600"/>
        <w:rPr>
          <w:rFonts w:hint="eastAsia" w:ascii="宋体" w:hAnsi="宋体" w:eastAsia="宋体" w:cs="宋体"/>
          <w:color w:val="auto"/>
          <w:spacing w:val="11"/>
          <w:szCs w:val="21"/>
          <w:highlight w:val="none"/>
        </w:rPr>
      </w:pPr>
    </w:p>
    <w:p w14:paraId="53F3079F">
      <w:pPr>
        <w:snapToGrid w:val="0"/>
        <w:spacing w:before="120" w:beforeLines="50" w:after="50"/>
        <w:ind w:firstLine="6032" w:firstLineChars="26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年    月    日</w:t>
      </w:r>
    </w:p>
    <w:p w14:paraId="449D3264">
      <w:pPr>
        <w:snapToGrid w:val="0"/>
        <w:spacing w:before="120" w:beforeLines="50" w:after="50"/>
        <w:rPr>
          <w:rFonts w:hint="eastAsia" w:ascii="宋体" w:hAnsi="宋体" w:eastAsia="宋体" w:cs="宋体"/>
          <w:color w:val="auto"/>
          <w:spacing w:val="11"/>
          <w:szCs w:val="21"/>
          <w:highlight w:val="none"/>
        </w:rPr>
      </w:pPr>
    </w:p>
    <w:p w14:paraId="4B768D6B">
      <w:pPr>
        <w:pStyle w:val="4"/>
        <w:jc w:val="center"/>
        <w:rPr>
          <w:rFonts w:hint="eastAsia" w:ascii="宋体" w:hAnsi="宋体" w:eastAsia="宋体" w:cs="宋体"/>
          <w:color w:val="auto"/>
          <w:spacing w:val="11"/>
          <w:sz w:val="21"/>
          <w:szCs w:val="21"/>
          <w:highlight w:val="none"/>
          <w:u w:val="none"/>
        </w:rPr>
      </w:pPr>
      <w:r>
        <w:rPr>
          <w:rFonts w:hint="eastAsia" w:ascii="宋体" w:hAnsi="宋体" w:eastAsia="宋体" w:cs="宋体"/>
          <w:color w:val="auto"/>
          <w:spacing w:val="11"/>
          <w:sz w:val="21"/>
          <w:szCs w:val="21"/>
          <w:highlight w:val="none"/>
        </w:rPr>
        <w:br w:type="page"/>
      </w:r>
      <w:r>
        <w:rPr>
          <w:rFonts w:hint="eastAsia" w:ascii="宋体" w:hAnsi="宋体" w:eastAsia="宋体" w:cs="宋体"/>
          <w:color w:val="auto"/>
          <w:spacing w:val="11"/>
          <w:sz w:val="21"/>
          <w:szCs w:val="21"/>
          <w:highlight w:val="none"/>
          <w:u w:val="none"/>
        </w:rPr>
        <w:t>8.供应商类似业绩一览表</w:t>
      </w:r>
    </w:p>
    <w:p w14:paraId="2D16742D">
      <w:pPr>
        <w:spacing w:line="300" w:lineRule="auto"/>
        <w:rPr>
          <w:rFonts w:hint="eastAsia" w:ascii="宋体" w:hAnsi="宋体" w:eastAsia="宋体" w:cs="宋体"/>
          <w:color w:val="auto"/>
          <w:spacing w:val="11"/>
          <w:szCs w:val="21"/>
          <w:highlight w:val="none"/>
        </w:rPr>
      </w:pPr>
    </w:p>
    <w:tbl>
      <w:tblPr>
        <w:tblStyle w:val="6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5"/>
        <w:gridCol w:w="1691"/>
        <w:gridCol w:w="1902"/>
        <w:gridCol w:w="1687"/>
        <w:gridCol w:w="1687"/>
        <w:gridCol w:w="1685"/>
      </w:tblGrid>
      <w:tr w14:paraId="34B12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4253399C">
            <w:pPr>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691" w:type="dxa"/>
            <w:vAlign w:val="center"/>
          </w:tcPr>
          <w:p w14:paraId="78105ED3">
            <w:pPr>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1902" w:type="dxa"/>
            <w:vAlign w:val="center"/>
          </w:tcPr>
          <w:p w14:paraId="20E1894D">
            <w:pPr>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合同金额</w:t>
            </w:r>
          </w:p>
        </w:tc>
        <w:tc>
          <w:tcPr>
            <w:tcW w:w="1687" w:type="dxa"/>
            <w:vAlign w:val="center"/>
          </w:tcPr>
          <w:p w14:paraId="257068E8">
            <w:pPr>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合同签订时间</w:t>
            </w:r>
          </w:p>
        </w:tc>
        <w:tc>
          <w:tcPr>
            <w:tcW w:w="1687" w:type="dxa"/>
            <w:vAlign w:val="center"/>
          </w:tcPr>
          <w:p w14:paraId="0B06F650">
            <w:pPr>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用户名称</w:t>
            </w:r>
          </w:p>
        </w:tc>
        <w:tc>
          <w:tcPr>
            <w:tcW w:w="1685" w:type="dxa"/>
            <w:vAlign w:val="center"/>
          </w:tcPr>
          <w:p w14:paraId="53ED799F">
            <w:pPr>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4B835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37C69E02">
            <w:pPr>
              <w:spacing w:line="400" w:lineRule="atLeast"/>
              <w:jc w:val="center"/>
              <w:rPr>
                <w:rFonts w:hint="eastAsia" w:ascii="宋体" w:hAnsi="宋体" w:eastAsia="宋体" w:cs="宋体"/>
                <w:color w:val="auto"/>
                <w:szCs w:val="21"/>
                <w:highlight w:val="none"/>
              </w:rPr>
            </w:pPr>
          </w:p>
        </w:tc>
        <w:tc>
          <w:tcPr>
            <w:tcW w:w="1691" w:type="dxa"/>
            <w:vAlign w:val="center"/>
          </w:tcPr>
          <w:p w14:paraId="5FCB3281">
            <w:pPr>
              <w:spacing w:line="400" w:lineRule="atLeast"/>
              <w:jc w:val="center"/>
              <w:rPr>
                <w:rFonts w:hint="eastAsia" w:ascii="宋体" w:hAnsi="宋体" w:eastAsia="宋体" w:cs="宋体"/>
                <w:color w:val="auto"/>
                <w:szCs w:val="21"/>
                <w:highlight w:val="none"/>
              </w:rPr>
            </w:pPr>
          </w:p>
        </w:tc>
        <w:tc>
          <w:tcPr>
            <w:tcW w:w="1902" w:type="dxa"/>
            <w:vAlign w:val="center"/>
          </w:tcPr>
          <w:p w14:paraId="6D463236">
            <w:pPr>
              <w:spacing w:line="400" w:lineRule="atLeast"/>
              <w:jc w:val="center"/>
              <w:rPr>
                <w:rFonts w:hint="eastAsia" w:ascii="宋体" w:hAnsi="宋体" w:eastAsia="宋体" w:cs="宋体"/>
                <w:color w:val="auto"/>
                <w:szCs w:val="21"/>
                <w:highlight w:val="none"/>
              </w:rPr>
            </w:pPr>
          </w:p>
        </w:tc>
        <w:tc>
          <w:tcPr>
            <w:tcW w:w="1687" w:type="dxa"/>
            <w:vAlign w:val="center"/>
          </w:tcPr>
          <w:p w14:paraId="6AE45172">
            <w:pPr>
              <w:spacing w:line="400" w:lineRule="atLeast"/>
              <w:jc w:val="center"/>
              <w:rPr>
                <w:rFonts w:hint="eastAsia" w:ascii="宋体" w:hAnsi="宋体" w:eastAsia="宋体" w:cs="宋体"/>
                <w:color w:val="auto"/>
                <w:szCs w:val="21"/>
                <w:highlight w:val="none"/>
              </w:rPr>
            </w:pPr>
          </w:p>
        </w:tc>
        <w:tc>
          <w:tcPr>
            <w:tcW w:w="1687" w:type="dxa"/>
            <w:vAlign w:val="center"/>
          </w:tcPr>
          <w:p w14:paraId="2DCA77F0">
            <w:pPr>
              <w:spacing w:line="400" w:lineRule="atLeast"/>
              <w:jc w:val="center"/>
              <w:rPr>
                <w:rFonts w:hint="eastAsia" w:ascii="宋体" w:hAnsi="宋体" w:eastAsia="宋体" w:cs="宋体"/>
                <w:color w:val="auto"/>
                <w:szCs w:val="21"/>
                <w:highlight w:val="none"/>
              </w:rPr>
            </w:pPr>
          </w:p>
        </w:tc>
        <w:tc>
          <w:tcPr>
            <w:tcW w:w="1685" w:type="dxa"/>
            <w:vAlign w:val="center"/>
          </w:tcPr>
          <w:p w14:paraId="7359F7B3">
            <w:pPr>
              <w:spacing w:line="400" w:lineRule="atLeast"/>
              <w:jc w:val="center"/>
              <w:rPr>
                <w:rFonts w:hint="eastAsia" w:ascii="宋体" w:hAnsi="宋体" w:eastAsia="宋体" w:cs="宋体"/>
                <w:color w:val="auto"/>
                <w:szCs w:val="21"/>
                <w:highlight w:val="none"/>
              </w:rPr>
            </w:pPr>
          </w:p>
        </w:tc>
      </w:tr>
      <w:tr w14:paraId="26354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739503F9">
            <w:pPr>
              <w:spacing w:line="400" w:lineRule="atLeast"/>
              <w:jc w:val="center"/>
              <w:rPr>
                <w:rFonts w:hint="eastAsia" w:ascii="宋体" w:hAnsi="宋体" w:eastAsia="宋体" w:cs="宋体"/>
                <w:color w:val="auto"/>
                <w:szCs w:val="21"/>
                <w:highlight w:val="none"/>
              </w:rPr>
            </w:pPr>
          </w:p>
        </w:tc>
        <w:tc>
          <w:tcPr>
            <w:tcW w:w="1691" w:type="dxa"/>
            <w:vAlign w:val="center"/>
          </w:tcPr>
          <w:p w14:paraId="33BFFAB0">
            <w:pPr>
              <w:spacing w:line="400" w:lineRule="atLeast"/>
              <w:jc w:val="center"/>
              <w:rPr>
                <w:rFonts w:hint="eastAsia" w:ascii="宋体" w:hAnsi="宋体" w:eastAsia="宋体" w:cs="宋体"/>
                <w:color w:val="auto"/>
                <w:szCs w:val="21"/>
                <w:highlight w:val="none"/>
              </w:rPr>
            </w:pPr>
          </w:p>
        </w:tc>
        <w:tc>
          <w:tcPr>
            <w:tcW w:w="1902" w:type="dxa"/>
            <w:vAlign w:val="center"/>
          </w:tcPr>
          <w:p w14:paraId="7A1A0565">
            <w:pPr>
              <w:spacing w:line="400" w:lineRule="atLeast"/>
              <w:jc w:val="center"/>
              <w:rPr>
                <w:rFonts w:hint="eastAsia" w:ascii="宋体" w:hAnsi="宋体" w:eastAsia="宋体" w:cs="宋体"/>
                <w:color w:val="auto"/>
                <w:szCs w:val="21"/>
                <w:highlight w:val="none"/>
              </w:rPr>
            </w:pPr>
          </w:p>
        </w:tc>
        <w:tc>
          <w:tcPr>
            <w:tcW w:w="1687" w:type="dxa"/>
            <w:vAlign w:val="center"/>
          </w:tcPr>
          <w:p w14:paraId="1DF00D46">
            <w:pPr>
              <w:spacing w:line="400" w:lineRule="atLeast"/>
              <w:jc w:val="center"/>
              <w:rPr>
                <w:rFonts w:hint="eastAsia" w:ascii="宋体" w:hAnsi="宋体" w:eastAsia="宋体" w:cs="宋体"/>
                <w:color w:val="auto"/>
                <w:szCs w:val="21"/>
                <w:highlight w:val="none"/>
              </w:rPr>
            </w:pPr>
          </w:p>
        </w:tc>
        <w:tc>
          <w:tcPr>
            <w:tcW w:w="1687" w:type="dxa"/>
            <w:vAlign w:val="center"/>
          </w:tcPr>
          <w:p w14:paraId="2BB698B6">
            <w:pPr>
              <w:spacing w:line="400" w:lineRule="atLeast"/>
              <w:jc w:val="center"/>
              <w:rPr>
                <w:rFonts w:hint="eastAsia" w:ascii="宋体" w:hAnsi="宋体" w:eastAsia="宋体" w:cs="宋体"/>
                <w:color w:val="auto"/>
                <w:szCs w:val="21"/>
                <w:highlight w:val="none"/>
              </w:rPr>
            </w:pPr>
          </w:p>
        </w:tc>
        <w:tc>
          <w:tcPr>
            <w:tcW w:w="1685" w:type="dxa"/>
            <w:vAlign w:val="center"/>
          </w:tcPr>
          <w:p w14:paraId="0F6FBA74">
            <w:pPr>
              <w:spacing w:line="400" w:lineRule="atLeast"/>
              <w:jc w:val="center"/>
              <w:rPr>
                <w:rFonts w:hint="eastAsia" w:ascii="宋体" w:hAnsi="宋体" w:eastAsia="宋体" w:cs="宋体"/>
                <w:color w:val="auto"/>
                <w:szCs w:val="21"/>
                <w:highlight w:val="none"/>
              </w:rPr>
            </w:pPr>
          </w:p>
        </w:tc>
      </w:tr>
      <w:tr w14:paraId="0BB35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544008E3">
            <w:pPr>
              <w:spacing w:line="400" w:lineRule="atLeast"/>
              <w:jc w:val="center"/>
              <w:rPr>
                <w:rFonts w:hint="eastAsia" w:ascii="宋体" w:hAnsi="宋体" w:eastAsia="宋体" w:cs="宋体"/>
                <w:color w:val="auto"/>
                <w:szCs w:val="21"/>
                <w:highlight w:val="none"/>
              </w:rPr>
            </w:pPr>
          </w:p>
        </w:tc>
        <w:tc>
          <w:tcPr>
            <w:tcW w:w="1691" w:type="dxa"/>
            <w:vAlign w:val="center"/>
          </w:tcPr>
          <w:p w14:paraId="44A5201F">
            <w:pPr>
              <w:spacing w:line="400" w:lineRule="atLeast"/>
              <w:jc w:val="center"/>
              <w:rPr>
                <w:rFonts w:hint="eastAsia" w:ascii="宋体" w:hAnsi="宋体" w:eastAsia="宋体" w:cs="宋体"/>
                <w:color w:val="auto"/>
                <w:szCs w:val="21"/>
                <w:highlight w:val="none"/>
              </w:rPr>
            </w:pPr>
          </w:p>
        </w:tc>
        <w:tc>
          <w:tcPr>
            <w:tcW w:w="1902" w:type="dxa"/>
            <w:vAlign w:val="center"/>
          </w:tcPr>
          <w:p w14:paraId="4336307D">
            <w:pPr>
              <w:spacing w:line="400" w:lineRule="atLeast"/>
              <w:jc w:val="center"/>
              <w:rPr>
                <w:rFonts w:hint="eastAsia" w:ascii="宋体" w:hAnsi="宋体" w:eastAsia="宋体" w:cs="宋体"/>
                <w:color w:val="auto"/>
                <w:szCs w:val="21"/>
                <w:highlight w:val="none"/>
              </w:rPr>
            </w:pPr>
          </w:p>
        </w:tc>
        <w:tc>
          <w:tcPr>
            <w:tcW w:w="1687" w:type="dxa"/>
            <w:vAlign w:val="center"/>
          </w:tcPr>
          <w:p w14:paraId="12581EE0">
            <w:pPr>
              <w:spacing w:line="400" w:lineRule="atLeast"/>
              <w:jc w:val="center"/>
              <w:rPr>
                <w:rFonts w:hint="eastAsia" w:ascii="宋体" w:hAnsi="宋体" w:eastAsia="宋体" w:cs="宋体"/>
                <w:color w:val="auto"/>
                <w:szCs w:val="21"/>
                <w:highlight w:val="none"/>
              </w:rPr>
            </w:pPr>
          </w:p>
        </w:tc>
        <w:tc>
          <w:tcPr>
            <w:tcW w:w="1687" w:type="dxa"/>
            <w:vAlign w:val="center"/>
          </w:tcPr>
          <w:p w14:paraId="3F2D2839">
            <w:pPr>
              <w:spacing w:line="400" w:lineRule="atLeast"/>
              <w:jc w:val="center"/>
              <w:rPr>
                <w:rFonts w:hint="eastAsia" w:ascii="宋体" w:hAnsi="宋体" w:eastAsia="宋体" w:cs="宋体"/>
                <w:color w:val="auto"/>
                <w:szCs w:val="21"/>
                <w:highlight w:val="none"/>
              </w:rPr>
            </w:pPr>
          </w:p>
        </w:tc>
        <w:tc>
          <w:tcPr>
            <w:tcW w:w="1685" w:type="dxa"/>
            <w:vAlign w:val="center"/>
          </w:tcPr>
          <w:p w14:paraId="619A7FDE">
            <w:pPr>
              <w:spacing w:line="400" w:lineRule="atLeast"/>
              <w:jc w:val="center"/>
              <w:rPr>
                <w:rFonts w:hint="eastAsia" w:ascii="宋体" w:hAnsi="宋体" w:eastAsia="宋体" w:cs="宋体"/>
                <w:color w:val="auto"/>
                <w:szCs w:val="21"/>
                <w:highlight w:val="none"/>
              </w:rPr>
            </w:pPr>
          </w:p>
        </w:tc>
      </w:tr>
      <w:tr w14:paraId="20875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15608A10">
            <w:pPr>
              <w:spacing w:line="400" w:lineRule="atLeast"/>
              <w:jc w:val="center"/>
              <w:rPr>
                <w:rFonts w:hint="eastAsia" w:ascii="宋体" w:hAnsi="宋体" w:eastAsia="宋体" w:cs="宋体"/>
                <w:color w:val="auto"/>
                <w:szCs w:val="21"/>
                <w:highlight w:val="none"/>
              </w:rPr>
            </w:pPr>
          </w:p>
        </w:tc>
        <w:tc>
          <w:tcPr>
            <w:tcW w:w="1691" w:type="dxa"/>
            <w:vAlign w:val="center"/>
          </w:tcPr>
          <w:p w14:paraId="357D88C6">
            <w:pPr>
              <w:spacing w:line="400" w:lineRule="atLeast"/>
              <w:jc w:val="center"/>
              <w:rPr>
                <w:rFonts w:hint="eastAsia" w:ascii="宋体" w:hAnsi="宋体" w:eastAsia="宋体" w:cs="宋体"/>
                <w:color w:val="auto"/>
                <w:szCs w:val="21"/>
                <w:highlight w:val="none"/>
              </w:rPr>
            </w:pPr>
          </w:p>
        </w:tc>
        <w:tc>
          <w:tcPr>
            <w:tcW w:w="1902" w:type="dxa"/>
            <w:vAlign w:val="center"/>
          </w:tcPr>
          <w:p w14:paraId="1EF0266A">
            <w:pPr>
              <w:spacing w:line="400" w:lineRule="atLeast"/>
              <w:jc w:val="center"/>
              <w:rPr>
                <w:rFonts w:hint="eastAsia" w:ascii="宋体" w:hAnsi="宋体" w:eastAsia="宋体" w:cs="宋体"/>
                <w:color w:val="auto"/>
                <w:szCs w:val="21"/>
                <w:highlight w:val="none"/>
              </w:rPr>
            </w:pPr>
          </w:p>
        </w:tc>
        <w:tc>
          <w:tcPr>
            <w:tcW w:w="1687" w:type="dxa"/>
            <w:vAlign w:val="center"/>
          </w:tcPr>
          <w:p w14:paraId="69D9AD84">
            <w:pPr>
              <w:spacing w:line="400" w:lineRule="atLeast"/>
              <w:jc w:val="center"/>
              <w:rPr>
                <w:rFonts w:hint="eastAsia" w:ascii="宋体" w:hAnsi="宋体" w:eastAsia="宋体" w:cs="宋体"/>
                <w:color w:val="auto"/>
                <w:szCs w:val="21"/>
                <w:highlight w:val="none"/>
              </w:rPr>
            </w:pPr>
          </w:p>
        </w:tc>
        <w:tc>
          <w:tcPr>
            <w:tcW w:w="1687" w:type="dxa"/>
            <w:vAlign w:val="center"/>
          </w:tcPr>
          <w:p w14:paraId="15B49DE4">
            <w:pPr>
              <w:spacing w:line="400" w:lineRule="atLeast"/>
              <w:jc w:val="center"/>
              <w:rPr>
                <w:rFonts w:hint="eastAsia" w:ascii="宋体" w:hAnsi="宋体" w:eastAsia="宋体" w:cs="宋体"/>
                <w:color w:val="auto"/>
                <w:szCs w:val="21"/>
                <w:highlight w:val="none"/>
              </w:rPr>
            </w:pPr>
          </w:p>
        </w:tc>
        <w:tc>
          <w:tcPr>
            <w:tcW w:w="1685" w:type="dxa"/>
            <w:vAlign w:val="center"/>
          </w:tcPr>
          <w:p w14:paraId="4337C317">
            <w:pPr>
              <w:spacing w:line="400" w:lineRule="atLeast"/>
              <w:jc w:val="center"/>
              <w:rPr>
                <w:rFonts w:hint="eastAsia" w:ascii="宋体" w:hAnsi="宋体" w:eastAsia="宋体" w:cs="宋体"/>
                <w:color w:val="auto"/>
                <w:szCs w:val="21"/>
                <w:highlight w:val="none"/>
              </w:rPr>
            </w:pPr>
          </w:p>
        </w:tc>
      </w:tr>
      <w:tr w14:paraId="5C83A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41093730">
            <w:pPr>
              <w:spacing w:line="400" w:lineRule="atLeast"/>
              <w:jc w:val="center"/>
              <w:rPr>
                <w:rFonts w:hint="eastAsia" w:ascii="宋体" w:hAnsi="宋体" w:eastAsia="宋体" w:cs="宋体"/>
                <w:color w:val="auto"/>
                <w:szCs w:val="21"/>
                <w:highlight w:val="none"/>
              </w:rPr>
            </w:pPr>
          </w:p>
        </w:tc>
        <w:tc>
          <w:tcPr>
            <w:tcW w:w="1691" w:type="dxa"/>
            <w:vAlign w:val="center"/>
          </w:tcPr>
          <w:p w14:paraId="0B16073B">
            <w:pPr>
              <w:spacing w:line="400" w:lineRule="atLeast"/>
              <w:jc w:val="center"/>
              <w:rPr>
                <w:rFonts w:hint="eastAsia" w:ascii="宋体" w:hAnsi="宋体" w:eastAsia="宋体" w:cs="宋体"/>
                <w:color w:val="auto"/>
                <w:szCs w:val="21"/>
                <w:highlight w:val="none"/>
              </w:rPr>
            </w:pPr>
          </w:p>
        </w:tc>
        <w:tc>
          <w:tcPr>
            <w:tcW w:w="1902" w:type="dxa"/>
            <w:vAlign w:val="center"/>
          </w:tcPr>
          <w:p w14:paraId="5FDCABBF">
            <w:pPr>
              <w:spacing w:line="400" w:lineRule="atLeast"/>
              <w:jc w:val="center"/>
              <w:rPr>
                <w:rFonts w:hint="eastAsia" w:ascii="宋体" w:hAnsi="宋体" w:eastAsia="宋体" w:cs="宋体"/>
                <w:color w:val="auto"/>
                <w:szCs w:val="21"/>
                <w:highlight w:val="none"/>
              </w:rPr>
            </w:pPr>
          </w:p>
        </w:tc>
        <w:tc>
          <w:tcPr>
            <w:tcW w:w="1687" w:type="dxa"/>
            <w:vAlign w:val="center"/>
          </w:tcPr>
          <w:p w14:paraId="26BEE5D9">
            <w:pPr>
              <w:spacing w:line="400" w:lineRule="atLeast"/>
              <w:jc w:val="center"/>
              <w:rPr>
                <w:rFonts w:hint="eastAsia" w:ascii="宋体" w:hAnsi="宋体" w:eastAsia="宋体" w:cs="宋体"/>
                <w:color w:val="auto"/>
                <w:szCs w:val="21"/>
                <w:highlight w:val="none"/>
              </w:rPr>
            </w:pPr>
          </w:p>
        </w:tc>
        <w:tc>
          <w:tcPr>
            <w:tcW w:w="1687" w:type="dxa"/>
            <w:vAlign w:val="center"/>
          </w:tcPr>
          <w:p w14:paraId="5F93DD8F">
            <w:pPr>
              <w:spacing w:line="400" w:lineRule="atLeast"/>
              <w:jc w:val="center"/>
              <w:rPr>
                <w:rFonts w:hint="eastAsia" w:ascii="宋体" w:hAnsi="宋体" w:eastAsia="宋体" w:cs="宋体"/>
                <w:color w:val="auto"/>
                <w:szCs w:val="21"/>
                <w:highlight w:val="none"/>
              </w:rPr>
            </w:pPr>
          </w:p>
        </w:tc>
        <w:tc>
          <w:tcPr>
            <w:tcW w:w="1685" w:type="dxa"/>
            <w:vAlign w:val="center"/>
          </w:tcPr>
          <w:p w14:paraId="139EC59F">
            <w:pPr>
              <w:spacing w:line="400" w:lineRule="atLeast"/>
              <w:jc w:val="center"/>
              <w:rPr>
                <w:rFonts w:hint="eastAsia" w:ascii="宋体" w:hAnsi="宋体" w:eastAsia="宋体" w:cs="宋体"/>
                <w:color w:val="auto"/>
                <w:szCs w:val="21"/>
                <w:highlight w:val="none"/>
              </w:rPr>
            </w:pPr>
          </w:p>
        </w:tc>
      </w:tr>
      <w:tr w14:paraId="09F26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3915749B">
            <w:pPr>
              <w:spacing w:line="400" w:lineRule="atLeast"/>
              <w:jc w:val="center"/>
              <w:rPr>
                <w:rFonts w:hint="eastAsia" w:ascii="宋体" w:hAnsi="宋体" w:eastAsia="宋体" w:cs="宋体"/>
                <w:color w:val="auto"/>
                <w:szCs w:val="21"/>
                <w:highlight w:val="none"/>
              </w:rPr>
            </w:pPr>
          </w:p>
        </w:tc>
        <w:tc>
          <w:tcPr>
            <w:tcW w:w="1691" w:type="dxa"/>
            <w:vAlign w:val="center"/>
          </w:tcPr>
          <w:p w14:paraId="74961693">
            <w:pPr>
              <w:spacing w:line="400" w:lineRule="atLeast"/>
              <w:jc w:val="center"/>
              <w:rPr>
                <w:rFonts w:hint="eastAsia" w:ascii="宋体" w:hAnsi="宋体" w:eastAsia="宋体" w:cs="宋体"/>
                <w:color w:val="auto"/>
                <w:szCs w:val="21"/>
                <w:highlight w:val="none"/>
              </w:rPr>
            </w:pPr>
          </w:p>
        </w:tc>
        <w:tc>
          <w:tcPr>
            <w:tcW w:w="1902" w:type="dxa"/>
            <w:vAlign w:val="center"/>
          </w:tcPr>
          <w:p w14:paraId="5546C54E">
            <w:pPr>
              <w:spacing w:line="400" w:lineRule="atLeast"/>
              <w:jc w:val="center"/>
              <w:rPr>
                <w:rFonts w:hint="eastAsia" w:ascii="宋体" w:hAnsi="宋体" w:eastAsia="宋体" w:cs="宋体"/>
                <w:color w:val="auto"/>
                <w:szCs w:val="21"/>
                <w:highlight w:val="none"/>
              </w:rPr>
            </w:pPr>
          </w:p>
        </w:tc>
        <w:tc>
          <w:tcPr>
            <w:tcW w:w="1687" w:type="dxa"/>
            <w:vAlign w:val="center"/>
          </w:tcPr>
          <w:p w14:paraId="37D038E2">
            <w:pPr>
              <w:spacing w:line="400" w:lineRule="atLeast"/>
              <w:jc w:val="center"/>
              <w:rPr>
                <w:rFonts w:hint="eastAsia" w:ascii="宋体" w:hAnsi="宋体" w:eastAsia="宋体" w:cs="宋体"/>
                <w:color w:val="auto"/>
                <w:szCs w:val="21"/>
                <w:highlight w:val="none"/>
              </w:rPr>
            </w:pPr>
          </w:p>
        </w:tc>
        <w:tc>
          <w:tcPr>
            <w:tcW w:w="1687" w:type="dxa"/>
            <w:vAlign w:val="center"/>
          </w:tcPr>
          <w:p w14:paraId="228E811C">
            <w:pPr>
              <w:spacing w:line="400" w:lineRule="atLeast"/>
              <w:jc w:val="center"/>
              <w:rPr>
                <w:rFonts w:hint="eastAsia" w:ascii="宋体" w:hAnsi="宋体" w:eastAsia="宋体" w:cs="宋体"/>
                <w:color w:val="auto"/>
                <w:szCs w:val="21"/>
                <w:highlight w:val="none"/>
              </w:rPr>
            </w:pPr>
          </w:p>
        </w:tc>
        <w:tc>
          <w:tcPr>
            <w:tcW w:w="1685" w:type="dxa"/>
            <w:vAlign w:val="center"/>
          </w:tcPr>
          <w:p w14:paraId="28B9B195">
            <w:pPr>
              <w:spacing w:line="400" w:lineRule="atLeast"/>
              <w:jc w:val="center"/>
              <w:rPr>
                <w:rFonts w:hint="eastAsia" w:ascii="宋体" w:hAnsi="宋体" w:eastAsia="宋体" w:cs="宋体"/>
                <w:color w:val="auto"/>
                <w:szCs w:val="21"/>
                <w:highlight w:val="none"/>
              </w:rPr>
            </w:pPr>
          </w:p>
        </w:tc>
      </w:tr>
    </w:tbl>
    <w:p w14:paraId="6A884488">
      <w:pPr>
        <w:adjustRightInd w:val="0"/>
        <w:spacing w:line="300" w:lineRule="auto"/>
        <w:rPr>
          <w:rFonts w:hint="eastAsia" w:ascii="宋体" w:hAnsi="宋体" w:eastAsia="宋体" w:cs="宋体"/>
          <w:color w:val="auto"/>
          <w:spacing w:val="11"/>
          <w:szCs w:val="21"/>
          <w:highlight w:val="none"/>
        </w:rPr>
      </w:pPr>
    </w:p>
    <w:p w14:paraId="3446FE99">
      <w:pPr>
        <w:adjustRightInd w:val="0"/>
        <w:spacing w:line="300" w:lineRule="auto"/>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注：1.本表后附合同等业绩证明资料复印件加盖供应商公章</w:t>
      </w:r>
      <w:r>
        <w:rPr>
          <w:rFonts w:hint="eastAsia" w:ascii="宋体" w:hAnsi="宋体" w:eastAsia="宋体" w:cs="宋体"/>
          <w:b/>
          <w:color w:val="auto"/>
          <w:spacing w:val="11"/>
          <w:szCs w:val="21"/>
          <w:highlight w:val="none"/>
        </w:rPr>
        <w:t>(详见业绩评分项)</w:t>
      </w:r>
      <w:r>
        <w:rPr>
          <w:rFonts w:hint="eastAsia" w:ascii="宋体" w:hAnsi="宋体" w:eastAsia="宋体" w:cs="宋体"/>
          <w:color w:val="auto"/>
          <w:spacing w:val="11"/>
          <w:szCs w:val="21"/>
          <w:highlight w:val="none"/>
        </w:rPr>
        <w:t>。</w:t>
      </w:r>
    </w:p>
    <w:p w14:paraId="29FFC5EA">
      <w:pPr>
        <w:adjustRightInd w:val="0"/>
        <w:spacing w:line="300" w:lineRule="auto"/>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2.此表仅提供了表格形式，供应商应根据需要准备足够数量的表格来填写。供应商不填写此表或未提供相关业绩证明材料将视为无业绩。</w:t>
      </w:r>
    </w:p>
    <w:p w14:paraId="2337784A">
      <w:pPr>
        <w:snapToGrid w:val="0"/>
        <w:spacing w:before="50" w:after="50"/>
        <w:outlineLvl w:val="1"/>
        <w:rPr>
          <w:rFonts w:hint="eastAsia" w:ascii="宋体" w:hAnsi="宋体" w:eastAsia="宋体" w:cs="宋体"/>
          <w:color w:val="auto"/>
          <w:spacing w:val="11"/>
          <w:szCs w:val="21"/>
          <w:highlight w:val="none"/>
        </w:rPr>
      </w:pPr>
    </w:p>
    <w:p w14:paraId="5790B7AE">
      <w:pPr>
        <w:snapToGrid w:val="0"/>
        <w:spacing w:before="120" w:beforeLines="50"/>
        <w:rPr>
          <w:rFonts w:hint="eastAsia" w:ascii="宋体" w:hAnsi="宋体" w:eastAsia="宋体" w:cs="宋体"/>
          <w:color w:val="auto"/>
          <w:spacing w:val="11"/>
          <w:szCs w:val="21"/>
          <w:highlight w:val="none"/>
          <w:u w:val="single"/>
        </w:rPr>
      </w:pPr>
      <w:r>
        <w:rPr>
          <w:rFonts w:hint="eastAsia" w:ascii="宋体" w:hAnsi="宋体" w:eastAsia="宋体" w:cs="宋体"/>
          <w:color w:val="auto"/>
          <w:spacing w:val="11"/>
          <w:szCs w:val="21"/>
          <w:highlight w:val="none"/>
        </w:rPr>
        <w:t>法定代表人或授权代表（签字或盖章）：</w:t>
      </w:r>
    </w:p>
    <w:p w14:paraId="4710BAAA">
      <w:pPr>
        <w:snapToGrid w:val="0"/>
        <w:spacing w:before="120" w:beforeLines="5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供应商公章：</w:t>
      </w:r>
    </w:p>
    <w:p w14:paraId="30F20772">
      <w:pPr>
        <w:snapToGrid w:val="0"/>
        <w:spacing w:before="120" w:beforeLines="50" w:after="50"/>
        <w:ind w:firstLine="6032" w:firstLineChars="2600"/>
        <w:rPr>
          <w:rFonts w:hint="eastAsia" w:ascii="宋体" w:hAnsi="宋体" w:eastAsia="宋体" w:cs="宋体"/>
          <w:color w:val="auto"/>
          <w:spacing w:val="11"/>
          <w:szCs w:val="21"/>
          <w:highlight w:val="none"/>
        </w:rPr>
      </w:pPr>
    </w:p>
    <w:p w14:paraId="6F65D88F">
      <w:pPr>
        <w:snapToGrid w:val="0"/>
        <w:spacing w:before="120" w:beforeLines="50" w:after="50"/>
        <w:ind w:firstLine="6032" w:firstLineChars="26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年    月    日</w:t>
      </w:r>
    </w:p>
    <w:p w14:paraId="16C55415">
      <w:pPr>
        <w:widowControl/>
        <w:tabs>
          <w:tab w:val="left" w:pos="3141"/>
          <w:tab w:val="center" w:pos="4934"/>
        </w:tabs>
        <w:spacing w:line="360" w:lineRule="auto"/>
        <w:ind w:right="-21" w:rightChars="-10"/>
        <w:jc w:val="left"/>
        <w:rPr>
          <w:rFonts w:hint="eastAsia" w:ascii="宋体" w:hAnsi="宋体" w:eastAsia="宋体" w:cs="宋体"/>
          <w:b/>
          <w:bCs/>
          <w:color w:val="auto"/>
          <w:spacing w:val="11"/>
          <w:kern w:val="0"/>
          <w:szCs w:val="21"/>
          <w:highlight w:val="none"/>
        </w:rPr>
      </w:pPr>
    </w:p>
    <w:p w14:paraId="41260EF1">
      <w:pPr>
        <w:snapToGrid w:val="0"/>
        <w:spacing w:before="50" w:after="50"/>
        <w:outlineLvl w:val="1"/>
        <w:rPr>
          <w:rFonts w:hint="eastAsia" w:ascii="宋体" w:hAnsi="宋体" w:eastAsia="宋体" w:cs="宋体"/>
          <w:color w:val="auto"/>
          <w:spacing w:val="11"/>
          <w:szCs w:val="21"/>
          <w:highlight w:val="none"/>
        </w:rPr>
      </w:pPr>
    </w:p>
    <w:p w14:paraId="5CFF2B8F">
      <w:pPr>
        <w:pStyle w:val="54"/>
        <w:ind w:firstLine="232"/>
        <w:rPr>
          <w:rFonts w:hint="eastAsia" w:ascii="宋体" w:hAnsi="宋体" w:eastAsia="宋体" w:cs="宋体"/>
          <w:color w:val="auto"/>
          <w:spacing w:val="11"/>
          <w:szCs w:val="21"/>
          <w:highlight w:val="none"/>
        </w:rPr>
      </w:pPr>
    </w:p>
    <w:p w14:paraId="0B315ED0">
      <w:pPr>
        <w:pStyle w:val="54"/>
        <w:ind w:firstLine="232"/>
        <w:rPr>
          <w:rFonts w:hint="eastAsia" w:ascii="宋体" w:hAnsi="宋体" w:eastAsia="宋体" w:cs="宋体"/>
          <w:color w:val="auto"/>
          <w:spacing w:val="11"/>
          <w:szCs w:val="21"/>
          <w:highlight w:val="none"/>
        </w:rPr>
      </w:pPr>
    </w:p>
    <w:p w14:paraId="2C535613">
      <w:pPr>
        <w:pStyle w:val="54"/>
        <w:ind w:firstLine="211"/>
        <w:rPr>
          <w:rFonts w:hint="eastAsia" w:ascii="宋体" w:hAnsi="宋体" w:eastAsia="宋体" w:cs="宋体"/>
          <w:b/>
          <w:bCs/>
          <w:color w:val="auto"/>
          <w:szCs w:val="21"/>
          <w:highlight w:val="none"/>
        </w:rPr>
      </w:pPr>
    </w:p>
    <w:p w14:paraId="22AEA6A2">
      <w:pPr>
        <w:pStyle w:val="4"/>
        <w:jc w:val="center"/>
        <w:rPr>
          <w:rFonts w:hint="eastAsia" w:ascii="宋体" w:hAnsi="宋体" w:eastAsia="宋体" w:cs="宋体"/>
          <w:color w:val="auto"/>
          <w:spacing w:val="11"/>
          <w:sz w:val="21"/>
          <w:szCs w:val="21"/>
          <w:highlight w:val="none"/>
          <w:u w:val="none"/>
        </w:rPr>
      </w:pPr>
      <w:r>
        <w:rPr>
          <w:rFonts w:hint="eastAsia" w:ascii="宋体" w:hAnsi="宋体" w:eastAsia="宋体" w:cs="宋体"/>
          <w:color w:val="auto"/>
          <w:spacing w:val="11"/>
          <w:sz w:val="21"/>
          <w:szCs w:val="21"/>
          <w:highlight w:val="none"/>
          <w:u w:val="none"/>
        </w:rPr>
        <w:t>9.技术响应表</w:t>
      </w:r>
    </w:p>
    <w:p w14:paraId="0DC69260">
      <w:pPr>
        <w:spacing w:line="380" w:lineRule="exact"/>
        <w:rPr>
          <w:rFonts w:hint="eastAsia" w:ascii="宋体" w:hAnsi="宋体" w:eastAsia="宋体" w:cs="宋体"/>
          <w:color w:val="auto"/>
          <w:szCs w:val="21"/>
          <w:highlight w:val="none"/>
        </w:rPr>
      </w:pPr>
    </w:p>
    <w:tbl>
      <w:tblPr>
        <w:tblStyle w:val="60"/>
        <w:tblpPr w:leftFromText="180" w:rightFromText="180" w:vertAnchor="text" w:horzAnchor="page" w:tblpX="1545" w:tblpY="14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6"/>
        <w:gridCol w:w="2029"/>
        <w:gridCol w:w="2173"/>
        <w:gridCol w:w="1230"/>
        <w:gridCol w:w="2948"/>
      </w:tblGrid>
      <w:tr w14:paraId="3321C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176" w:type="dxa"/>
            <w:tcBorders>
              <w:top w:val="single" w:color="auto" w:sz="4" w:space="0"/>
              <w:left w:val="single" w:color="auto" w:sz="4" w:space="0"/>
              <w:bottom w:val="single" w:color="auto" w:sz="4" w:space="0"/>
              <w:right w:val="single" w:color="auto" w:sz="4" w:space="0"/>
            </w:tcBorders>
            <w:vAlign w:val="center"/>
          </w:tcPr>
          <w:p w14:paraId="268E2DA8">
            <w:pPr>
              <w:snapToGrid w:val="0"/>
              <w:spacing w:before="120"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029" w:type="dxa"/>
            <w:tcBorders>
              <w:top w:val="single" w:color="auto" w:sz="4" w:space="0"/>
              <w:left w:val="single" w:color="auto" w:sz="4" w:space="0"/>
              <w:bottom w:val="single" w:color="auto" w:sz="4" w:space="0"/>
              <w:right w:val="single" w:color="auto" w:sz="4" w:space="0"/>
            </w:tcBorders>
            <w:vAlign w:val="center"/>
          </w:tcPr>
          <w:p w14:paraId="59A8B48C">
            <w:pPr>
              <w:snapToGrid w:val="0"/>
              <w:spacing w:before="120"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竞争性磋商文件</w:t>
            </w:r>
          </w:p>
          <w:p w14:paraId="10E008FB">
            <w:pPr>
              <w:snapToGrid w:val="0"/>
              <w:spacing w:before="120"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技术条款</w:t>
            </w:r>
          </w:p>
        </w:tc>
        <w:tc>
          <w:tcPr>
            <w:tcW w:w="2173" w:type="dxa"/>
            <w:tcBorders>
              <w:top w:val="single" w:color="auto" w:sz="4" w:space="0"/>
              <w:left w:val="single" w:color="auto" w:sz="4" w:space="0"/>
              <w:bottom w:val="single" w:color="auto" w:sz="4" w:space="0"/>
              <w:right w:val="single" w:color="auto" w:sz="4" w:space="0"/>
            </w:tcBorders>
            <w:vAlign w:val="center"/>
          </w:tcPr>
          <w:p w14:paraId="21923D9C">
            <w:pPr>
              <w:snapToGrid w:val="0"/>
              <w:spacing w:before="120"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磋商响应文件</w:t>
            </w:r>
          </w:p>
          <w:p w14:paraId="3235C86B">
            <w:pPr>
              <w:snapToGrid w:val="0"/>
              <w:spacing w:before="120"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技术条款</w:t>
            </w:r>
          </w:p>
        </w:tc>
        <w:tc>
          <w:tcPr>
            <w:tcW w:w="1230" w:type="dxa"/>
            <w:tcBorders>
              <w:top w:val="single" w:color="auto" w:sz="4" w:space="0"/>
              <w:left w:val="single" w:color="auto" w:sz="4" w:space="0"/>
              <w:bottom w:val="single" w:color="auto" w:sz="4" w:space="0"/>
              <w:right w:val="single" w:color="auto" w:sz="4" w:space="0"/>
            </w:tcBorders>
            <w:vAlign w:val="center"/>
          </w:tcPr>
          <w:p w14:paraId="68870F78">
            <w:pPr>
              <w:snapToGrid w:val="0"/>
              <w:spacing w:before="120"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偏离情况</w:t>
            </w:r>
          </w:p>
        </w:tc>
        <w:tc>
          <w:tcPr>
            <w:tcW w:w="2948" w:type="dxa"/>
            <w:tcBorders>
              <w:top w:val="single" w:color="auto" w:sz="4" w:space="0"/>
              <w:left w:val="single" w:color="auto" w:sz="4" w:space="0"/>
              <w:bottom w:val="single" w:color="auto" w:sz="4" w:space="0"/>
              <w:right w:val="single" w:color="auto" w:sz="4" w:space="0"/>
            </w:tcBorders>
            <w:vAlign w:val="center"/>
          </w:tcPr>
          <w:p w14:paraId="6DB64A7C">
            <w:pPr>
              <w:snapToGrid w:val="0"/>
              <w:spacing w:before="120"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4F976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7B4E0CE7">
            <w:pPr>
              <w:snapToGrid w:val="0"/>
              <w:spacing w:line="460" w:lineRule="exact"/>
              <w:jc w:val="center"/>
              <w:rPr>
                <w:rFonts w:hint="eastAsia" w:ascii="宋体" w:hAnsi="宋体" w:eastAsia="宋体" w:cs="宋体"/>
                <w:color w:val="auto"/>
                <w:szCs w:val="21"/>
                <w:highlight w:val="none"/>
              </w:rPr>
            </w:pPr>
          </w:p>
        </w:tc>
        <w:tc>
          <w:tcPr>
            <w:tcW w:w="2029" w:type="dxa"/>
            <w:tcBorders>
              <w:top w:val="single" w:color="auto" w:sz="4" w:space="0"/>
              <w:left w:val="single" w:color="auto" w:sz="4" w:space="0"/>
              <w:bottom w:val="single" w:color="auto" w:sz="4" w:space="0"/>
              <w:right w:val="single" w:color="auto" w:sz="4" w:space="0"/>
            </w:tcBorders>
            <w:vAlign w:val="center"/>
          </w:tcPr>
          <w:p w14:paraId="42810E6B">
            <w:pPr>
              <w:snapToGrid w:val="0"/>
              <w:spacing w:line="460" w:lineRule="exact"/>
              <w:jc w:val="center"/>
              <w:rPr>
                <w:rFonts w:hint="eastAsia" w:ascii="宋体" w:hAnsi="宋体" w:eastAsia="宋体" w:cs="宋体"/>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vAlign w:val="center"/>
          </w:tcPr>
          <w:p w14:paraId="53627C8F">
            <w:pPr>
              <w:snapToGrid w:val="0"/>
              <w:spacing w:before="120" w:beforeLines="50" w:line="460" w:lineRule="exact"/>
              <w:jc w:val="center"/>
              <w:rPr>
                <w:rFonts w:hint="eastAsia" w:ascii="宋体" w:hAnsi="宋体" w:eastAsia="宋体" w:cs="宋体"/>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1C845199">
            <w:pPr>
              <w:snapToGrid w:val="0"/>
              <w:spacing w:before="120" w:beforeLines="50" w:line="460" w:lineRule="exact"/>
              <w:jc w:val="center"/>
              <w:rPr>
                <w:rFonts w:hint="eastAsia" w:ascii="宋体" w:hAnsi="宋体" w:eastAsia="宋体" w:cs="宋体"/>
                <w:color w:val="auto"/>
                <w:szCs w:val="21"/>
                <w:highlight w:val="none"/>
              </w:rPr>
            </w:pPr>
          </w:p>
        </w:tc>
        <w:tc>
          <w:tcPr>
            <w:tcW w:w="2948" w:type="dxa"/>
            <w:tcBorders>
              <w:top w:val="single" w:color="auto" w:sz="4" w:space="0"/>
              <w:left w:val="single" w:color="auto" w:sz="4" w:space="0"/>
              <w:bottom w:val="single" w:color="auto" w:sz="4" w:space="0"/>
              <w:right w:val="single" w:color="auto" w:sz="4" w:space="0"/>
            </w:tcBorders>
            <w:vAlign w:val="center"/>
          </w:tcPr>
          <w:p w14:paraId="4E2B8B82">
            <w:pPr>
              <w:snapToGrid w:val="0"/>
              <w:spacing w:before="120" w:beforeLines="50" w:line="460" w:lineRule="exact"/>
              <w:jc w:val="center"/>
              <w:rPr>
                <w:rFonts w:hint="eastAsia" w:ascii="宋体" w:hAnsi="宋体" w:eastAsia="宋体" w:cs="宋体"/>
                <w:color w:val="auto"/>
                <w:szCs w:val="21"/>
                <w:highlight w:val="none"/>
              </w:rPr>
            </w:pPr>
          </w:p>
        </w:tc>
      </w:tr>
      <w:tr w14:paraId="35F83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25CF4C6F">
            <w:pPr>
              <w:snapToGrid w:val="0"/>
              <w:spacing w:before="120" w:beforeLines="50" w:line="460" w:lineRule="exact"/>
              <w:jc w:val="center"/>
              <w:rPr>
                <w:rFonts w:hint="eastAsia" w:ascii="宋体" w:hAnsi="宋体" w:eastAsia="宋体" w:cs="宋体"/>
                <w:color w:val="auto"/>
                <w:szCs w:val="21"/>
                <w:highlight w:val="none"/>
              </w:rPr>
            </w:pPr>
          </w:p>
        </w:tc>
        <w:tc>
          <w:tcPr>
            <w:tcW w:w="2029" w:type="dxa"/>
            <w:tcBorders>
              <w:top w:val="single" w:color="auto" w:sz="4" w:space="0"/>
              <w:left w:val="single" w:color="auto" w:sz="4" w:space="0"/>
              <w:bottom w:val="single" w:color="auto" w:sz="4" w:space="0"/>
              <w:right w:val="single" w:color="auto" w:sz="4" w:space="0"/>
            </w:tcBorders>
            <w:vAlign w:val="center"/>
          </w:tcPr>
          <w:p w14:paraId="2BD9F46E">
            <w:pPr>
              <w:snapToGrid w:val="0"/>
              <w:spacing w:line="460" w:lineRule="exact"/>
              <w:jc w:val="center"/>
              <w:rPr>
                <w:rFonts w:hint="eastAsia" w:ascii="宋体" w:hAnsi="宋体" w:eastAsia="宋体" w:cs="宋体"/>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vAlign w:val="center"/>
          </w:tcPr>
          <w:p w14:paraId="6CAF5B36">
            <w:pPr>
              <w:snapToGrid w:val="0"/>
              <w:spacing w:before="120" w:beforeLines="50" w:line="460" w:lineRule="exact"/>
              <w:jc w:val="center"/>
              <w:rPr>
                <w:rFonts w:hint="eastAsia" w:ascii="宋体" w:hAnsi="宋体" w:eastAsia="宋体" w:cs="宋体"/>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6A19FF2C">
            <w:pPr>
              <w:snapToGrid w:val="0"/>
              <w:spacing w:before="120" w:beforeLines="50" w:line="460" w:lineRule="exact"/>
              <w:jc w:val="center"/>
              <w:rPr>
                <w:rFonts w:hint="eastAsia" w:ascii="宋体" w:hAnsi="宋体" w:eastAsia="宋体" w:cs="宋体"/>
                <w:color w:val="auto"/>
                <w:szCs w:val="21"/>
                <w:highlight w:val="none"/>
              </w:rPr>
            </w:pPr>
          </w:p>
        </w:tc>
        <w:tc>
          <w:tcPr>
            <w:tcW w:w="2948" w:type="dxa"/>
            <w:tcBorders>
              <w:top w:val="single" w:color="auto" w:sz="4" w:space="0"/>
              <w:left w:val="single" w:color="auto" w:sz="4" w:space="0"/>
              <w:bottom w:val="single" w:color="auto" w:sz="4" w:space="0"/>
              <w:right w:val="single" w:color="auto" w:sz="4" w:space="0"/>
            </w:tcBorders>
            <w:vAlign w:val="center"/>
          </w:tcPr>
          <w:p w14:paraId="307EC1A1">
            <w:pPr>
              <w:snapToGrid w:val="0"/>
              <w:spacing w:before="120" w:beforeLines="50" w:line="460" w:lineRule="exact"/>
              <w:jc w:val="center"/>
              <w:rPr>
                <w:rFonts w:hint="eastAsia" w:ascii="宋体" w:hAnsi="宋体" w:eastAsia="宋体" w:cs="宋体"/>
                <w:color w:val="auto"/>
                <w:szCs w:val="21"/>
                <w:highlight w:val="none"/>
              </w:rPr>
            </w:pPr>
          </w:p>
        </w:tc>
      </w:tr>
      <w:tr w14:paraId="65E0AB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2006EF1C">
            <w:pPr>
              <w:snapToGrid w:val="0"/>
              <w:spacing w:before="120" w:beforeLines="50" w:line="460" w:lineRule="exact"/>
              <w:jc w:val="center"/>
              <w:rPr>
                <w:rFonts w:hint="eastAsia" w:ascii="宋体" w:hAnsi="宋体" w:eastAsia="宋体" w:cs="宋体"/>
                <w:color w:val="auto"/>
                <w:szCs w:val="21"/>
                <w:highlight w:val="none"/>
              </w:rPr>
            </w:pPr>
          </w:p>
        </w:tc>
        <w:tc>
          <w:tcPr>
            <w:tcW w:w="2029" w:type="dxa"/>
            <w:tcBorders>
              <w:top w:val="single" w:color="auto" w:sz="4" w:space="0"/>
              <w:left w:val="single" w:color="auto" w:sz="4" w:space="0"/>
              <w:bottom w:val="single" w:color="auto" w:sz="4" w:space="0"/>
              <w:right w:val="single" w:color="auto" w:sz="4" w:space="0"/>
            </w:tcBorders>
            <w:vAlign w:val="center"/>
          </w:tcPr>
          <w:p w14:paraId="08CACED5">
            <w:pPr>
              <w:snapToGrid w:val="0"/>
              <w:spacing w:line="460" w:lineRule="exact"/>
              <w:jc w:val="center"/>
              <w:rPr>
                <w:rFonts w:hint="eastAsia" w:ascii="宋体" w:hAnsi="宋体" w:eastAsia="宋体" w:cs="宋体"/>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vAlign w:val="center"/>
          </w:tcPr>
          <w:p w14:paraId="046E6F34">
            <w:pPr>
              <w:snapToGrid w:val="0"/>
              <w:spacing w:before="120" w:beforeLines="50" w:line="460" w:lineRule="exact"/>
              <w:jc w:val="center"/>
              <w:rPr>
                <w:rFonts w:hint="eastAsia" w:ascii="宋体" w:hAnsi="宋体" w:eastAsia="宋体" w:cs="宋体"/>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6D8F39DD">
            <w:pPr>
              <w:snapToGrid w:val="0"/>
              <w:spacing w:before="120" w:beforeLines="50" w:line="460" w:lineRule="exact"/>
              <w:jc w:val="center"/>
              <w:rPr>
                <w:rFonts w:hint="eastAsia" w:ascii="宋体" w:hAnsi="宋体" w:eastAsia="宋体" w:cs="宋体"/>
                <w:color w:val="auto"/>
                <w:szCs w:val="21"/>
                <w:highlight w:val="none"/>
              </w:rPr>
            </w:pPr>
          </w:p>
        </w:tc>
        <w:tc>
          <w:tcPr>
            <w:tcW w:w="2948" w:type="dxa"/>
            <w:tcBorders>
              <w:top w:val="single" w:color="auto" w:sz="4" w:space="0"/>
              <w:left w:val="single" w:color="auto" w:sz="4" w:space="0"/>
              <w:bottom w:val="single" w:color="auto" w:sz="4" w:space="0"/>
              <w:right w:val="single" w:color="auto" w:sz="4" w:space="0"/>
            </w:tcBorders>
            <w:vAlign w:val="center"/>
          </w:tcPr>
          <w:p w14:paraId="07485324">
            <w:pPr>
              <w:snapToGrid w:val="0"/>
              <w:spacing w:before="120" w:beforeLines="50" w:line="460" w:lineRule="exact"/>
              <w:jc w:val="center"/>
              <w:rPr>
                <w:rFonts w:hint="eastAsia" w:ascii="宋体" w:hAnsi="宋体" w:eastAsia="宋体" w:cs="宋体"/>
                <w:color w:val="auto"/>
                <w:szCs w:val="21"/>
                <w:highlight w:val="none"/>
              </w:rPr>
            </w:pPr>
          </w:p>
        </w:tc>
      </w:tr>
      <w:tr w14:paraId="29501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643D0D52">
            <w:pPr>
              <w:snapToGrid w:val="0"/>
              <w:spacing w:before="120" w:beforeLines="50" w:line="460" w:lineRule="exact"/>
              <w:jc w:val="center"/>
              <w:rPr>
                <w:rFonts w:hint="eastAsia" w:ascii="宋体" w:hAnsi="宋体" w:eastAsia="宋体" w:cs="宋体"/>
                <w:color w:val="auto"/>
                <w:szCs w:val="21"/>
                <w:highlight w:val="none"/>
              </w:rPr>
            </w:pPr>
          </w:p>
        </w:tc>
        <w:tc>
          <w:tcPr>
            <w:tcW w:w="2029" w:type="dxa"/>
            <w:tcBorders>
              <w:top w:val="single" w:color="auto" w:sz="4" w:space="0"/>
              <w:left w:val="single" w:color="auto" w:sz="4" w:space="0"/>
              <w:bottom w:val="single" w:color="auto" w:sz="4" w:space="0"/>
              <w:right w:val="single" w:color="auto" w:sz="4" w:space="0"/>
            </w:tcBorders>
            <w:vAlign w:val="center"/>
          </w:tcPr>
          <w:p w14:paraId="35CEC0B4">
            <w:pPr>
              <w:snapToGrid w:val="0"/>
              <w:spacing w:line="460" w:lineRule="exact"/>
              <w:jc w:val="center"/>
              <w:rPr>
                <w:rFonts w:hint="eastAsia" w:ascii="宋体" w:hAnsi="宋体" w:eastAsia="宋体" w:cs="宋体"/>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vAlign w:val="center"/>
          </w:tcPr>
          <w:p w14:paraId="0C7A4982">
            <w:pPr>
              <w:snapToGrid w:val="0"/>
              <w:spacing w:before="120" w:beforeLines="50" w:line="460" w:lineRule="exact"/>
              <w:jc w:val="center"/>
              <w:rPr>
                <w:rFonts w:hint="eastAsia" w:ascii="宋体" w:hAnsi="宋体" w:eastAsia="宋体" w:cs="宋体"/>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540BDF03">
            <w:pPr>
              <w:snapToGrid w:val="0"/>
              <w:spacing w:before="120" w:beforeLines="50" w:line="460" w:lineRule="exact"/>
              <w:jc w:val="center"/>
              <w:rPr>
                <w:rFonts w:hint="eastAsia" w:ascii="宋体" w:hAnsi="宋体" w:eastAsia="宋体" w:cs="宋体"/>
                <w:color w:val="auto"/>
                <w:szCs w:val="21"/>
                <w:highlight w:val="none"/>
              </w:rPr>
            </w:pPr>
          </w:p>
        </w:tc>
        <w:tc>
          <w:tcPr>
            <w:tcW w:w="2948" w:type="dxa"/>
            <w:tcBorders>
              <w:top w:val="single" w:color="auto" w:sz="4" w:space="0"/>
              <w:left w:val="single" w:color="auto" w:sz="4" w:space="0"/>
              <w:bottom w:val="single" w:color="auto" w:sz="4" w:space="0"/>
              <w:right w:val="single" w:color="auto" w:sz="4" w:space="0"/>
            </w:tcBorders>
            <w:vAlign w:val="center"/>
          </w:tcPr>
          <w:p w14:paraId="4B5CCAA1">
            <w:pPr>
              <w:snapToGrid w:val="0"/>
              <w:spacing w:before="120" w:beforeLines="50" w:line="460" w:lineRule="exact"/>
              <w:jc w:val="center"/>
              <w:rPr>
                <w:rFonts w:hint="eastAsia" w:ascii="宋体" w:hAnsi="宋体" w:eastAsia="宋体" w:cs="宋体"/>
                <w:color w:val="auto"/>
                <w:szCs w:val="21"/>
                <w:highlight w:val="none"/>
              </w:rPr>
            </w:pPr>
          </w:p>
        </w:tc>
      </w:tr>
      <w:tr w14:paraId="45712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5BAA46FB">
            <w:pPr>
              <w:snapToGrid w:val="0"/>
              <w:spacing w:before="120" w:beforeLines="50" w:line="460" w:lineRule="exact"/>
              <w:jc w:val="center"/>
              <w:rPr>
                <w:rFonts w:hint="eastAsia" w:ascii="宋体" w:hAnsi="宋体" w:eastAsia="宋体" w:cs="宋体"/>
                <w:color w:val="auto"/>
                <w:szCs w:val="21"/>
                <w:highlight w:val="none"/>
              </w:rPr>
            </w:pPr>
          </w:p>
        </w:tc>
        <w:tc>
          <w:tcPr>
            <w:tcW w:w="2029" w:type="dxa"/>
            <w:tcBorders>
              <w:top w:val="single" w:color="auto" w:sz="4" w:space="0"/>
              <w:left w:val="single" w:color="auto" w:sz="4" w:space="0"/>
              <w:bottom w:val="single" w:color="auto" w:sz="4" w:space="0"/>
              <w:right w:val="single" w:color="auto" w:sz="4" w:space="0"/>
            </w:tcBorders>
            <w:vAlign w:val="center"/>
          </w:tcPr>
          <w:p w14:paraId="23200705">
            <w:pPr>
              <w:snapToGrid w:val="0"/>
              <w:spacing w:line="460" w:lineRule="exact"/>
              <w:jc w:val="center"/>
              <w:rPr>
                <w:rFonts w:hint="eastAsia" w:ascii="宋体" w:hAnsi="宋体" w:eastAsia="宋体" w:cs="宋体"/>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vAlign w:val="center"/>
          </w:tcPr>
          <w:p w14:paraId="033BF008">
            <w:pPr>
              <w:snapToGrid w:val="0"/>
              <w:spacing w:before="120" w:beforeLines="50" w:line="460" w:lineRule="exact"/>
              <w:jc w:val="center"/>
              <w:rPr>
                <w:rFonts w:hint="eastAsia" w:ascii="宋体" w:hAnsi="宋体" w:eastAsia="宋体" w:cs="宋体"/>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26BD891F">
            <w:pPr>
              <w:snapToGrid w:val="0"/>
              <w:spacing w:before="120" w:beforeLines="50" w:line="460" w:lineRule="exact"/>
              <w:jc w:val="center"/>
              <w:rPr>
                <w:rFonts w:hint="eastAsia" w:ascii="宋体" w:hAnsi="宋体" w:eastAsia="宋体" w:cs="宋体"/>
                <w:color w:val="auto"/>
                <w:szCs w:val="21"/>
                <w:highlight w:val="none"/>
              </w:rPr>
            </w:pPr>
          </w:p>
        </w:tc>
        <w:tc>
          <w:tcPr>
            <w:tcW w:w="2948" w:type="dxa"/>
            <w:tcBorders>
              <w:top w:val="single" w:color="auto" w:sz="4" w:space="0"/>
              <w:left w:val="single" w:color="auto" w:sz="4" w:space="0"/>
              <w:bottom w:val="single" w:color="auto" w:sz="4" w:space="0"/>
              <w:right w:val="single" w:color="auto" w:sz="4" w:space="0"/>
            </w:tcBorders>
            <w:vAlign w:val="center"/>
          </w:tcPr>
          <w:p w14:paraId="58460375">
            <w:pPr>
              <w:snapToGrid w:val="0"/>
              <w:spacing w:before="120" w:beforeLines="50" w:line="460" w:lineRule="exact"/>
              <w:jc w:val="center"/>
              <w:rPr>
                <w:rFonts w:hint="eastAsia" w:ascii="宋体" w:hAnsi="宋体" w:eastAsia="宋体" w:cs="宋体"/>
                <w:color w:val="auto"/>
                <w:szCs w:val="21"/>
                <w:highlight w:val="none"/>
              </w:rPr>
            </w:pPr>
          </w:p>
        </w:tc>
      </w:tr>
      <w:tr w14:paraId="7741A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5D584A2E">
            <w:pPr>
              <w:snapToGrid w:val="0"/>
              <w:spacing w:before="120" w:beforeLines="50" w:line="460" w:lineRule="exact"/>
              <w:jc w:val="center"/>
              <w:rPr>
                <w:rFonts w:hint="eastAsia" w:ascii="宋体" w:hAnsi="宋体" w:eastAsia="宋体" w:cs="宋体"/>
                <w:color w:val="auto"/>
                <w:szCs w:val="21"/>
                <w:highlight w:val="none"/>
              </w:rPr>
            </w:pPr>
          </w:p>
        </w:tc>
        <w:tc>
          <w:tcPr>
            <w:tcW w:w="2029" w:type="dxa"/>
            <w:tcBorders>
              <w:top w:val="single" w:color="auto" w:sz="4" w:space="0"/>
              <w:left w:val="single" w:color="auto" w:sz="4" w:space="0"/>
              <w:bottom w:val="single" w:color="auto" w:sz="4" w:space="0"/>
              <w:right w:val="single" w:color="auto" w:sz="4" w:space="0"/>
            </w:tcBorders>
            <w:vAlign w:val="center"/>
          </w:tcPr>
          <w:p w14:paraId="7DA1FCAB">
            <w:pPr>
              <w:snapToGrid w:val="0"/>
              <w:spacing w:line="460" w:lineRule="exact"/>
              <w:jc w:val="center"/>
              <w:rPr>
                <w:rFonts w:hint="eastAsia" w:ascii="宋体" w:hAnsi="宋体" w:eastAsia="宋体" w:cs="宋体"/>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vAlign w:val="center"/>
          </w:tcPr>
          <w:p w14:paraId="70E07842">
            <w:pPr>
              <w:snapToGrid w:val="0"/>
              <w:spacing w:before="120" w:beforeLines="50" w:line="460" w:lineRule="exact"/>
              <w:jc w:val="center"/>
              <w:rPr>
                <w:rFonts w:hint="eastAsia" w:ascii="宋体" w:hAnsi="宋体" w:eastAsia="宋体" w:cs="宋体"/>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5C5DC055">
            <w:pPr>
              <w:snapToGrid w:val="0"/>
              <w:spacing w:before="120" w:beforeLines="50" w:line="460" w:lineRule="exact"/>
              <w:jc w:val="center"/>
              <w:rPr>
                <w:rFonts w:hint="eastAsia" w:ascii="宋体" w:hAnsi="宋体" w:eastAsia="宋体" w:cs="宋体"/>
                <w:color w:val="auto"/>
                <w:szCs w:val="21"/>
                <w:highlight w:val="none"/>
              </w:rPr>
            </w:pPr>
          </w:p>
        </w:tc>
        <w:tc>
          <w:tcPr>
            <w:tcW w:w="2948" w:type="dxa"/>
            <w:tcBorders>
              <w:top w:val="single" w:color="auto" w:sz="4" w:space="0"/>
              <w:left w:val="single" w:color="auto" w:sz="4" w:space="0"/>
              <w:bottom w:val="single" w:color="auto" w:sz="4" w:space="0"/>
              <w:right w:val="single" w:color="auto" w:sz="4" w:space="0"/>
            </w:tcBorders>
            <w:vAlign w:val="center"/>
          </w:tcPr>
          <w:p w14:paraId="451275BD">
            <w:pPr>
              <w:snapToGrid w:val="0"/>
              <w:spacing w:before="120" w:beforeLines="50" w:line="460" w:lineRule="exact"/>
              <w:jc w:val="center"/>
              <w:rPr>
                <w:rFonts w:hint="eastAsia" w:ascii="宋体" w:hAnsi="宋体" w:eastAsia="宋体" w:cs="宋体"/>
                <w:color w:val="auto"/>
                <w:szCs w:val="21"/>
                <w:highlight w:val="none"/>
              </w:rPr>
            </w:pPr>
          </w:p>
        </w:tc>
      </w:tr>
    </w:tbl>
    <w:p w14:paraId="07E6D6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注1.供应商应根据文件技术要求、“第二章 磋商需求”</w:t>
      </w:r>
      <w:r>
        <w:rPr>
          <w:rFonts w:hint="eastAsia" w:ascii="宋体" w:hAnsi="宋体" w:eastAsia="宋体" w:cs="宋体"/>
          <w:color w:val="auto"/>
          <w:szCs w:val="21"/>
          <w:highlight w:val="none"/>
          <w:lang w:val="en-US" w:eastAsia="zh-CN"/>
        </w:rPr>
        <w:t>除商务条款及标有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项且注明演示的</w:t>
      </w:r>
      <w:r>
        <w:rPr>
          <w:rFonts w:hint="eastAsia" w:ascii="宋体" w:hAnsi="宋体" w:eastAsia="宋体" w:cs="宋体"/>
          <w:color w:val="auto"/>
          <w:szCs w:val="21"/>
          <w:highlight w:val="none"/>
        </w:rPr>
        <w:t>参数</w:t>
      </w:r>
      <w:r>
        <w:rPr>
          <w:rFonts w:hint="eastAsia" w:ascii="宋体" w:hAnsi="宋体" w:eastAsia="宋体" w:cs="宋体"/>
          <w:color w:val="auto"/>
          <w:szCs w:val="21"/>
          <w:highlight w:val="none"/>
          <w:lang w:val="en-US" w:eastAsia="zh-CN"/>
        </w:rPr>
        <w:t>外</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对照竞争性磋商文件要求在“偏离情况”栏注明“正偏离”、“负偏离”或“无偏离”。</w:t>
      </w:r>
    </w:p>
    <w:p w14:paraId="6D058D19">
      <w:pPr>
        <w:numPr>
          <w:ilvl w:val="0"/>
          <w:numId w:val="8"/>
        </w:num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没有填写此表视为完全响应竞争性磋商文件要求</w:t>
      </w:r>
      <w:r>
        <w:rPr>
          <w:rFonts w:hint="eastAsia" w:ascii="宋体" w:hAnsi="宋体" w:eastAsia="宋体" w:cs="宋体"/>
          <w:b/>
          <w:bCs/>
          <w:color w:val="auto"/>
          <w:sz w:val="21"/>
          <w:szCs w:val="21"/>
          <w:highlight w:val="none"/>
          <w:lang w:val="en-US" w:eastAsia="zh-CN"/>
        </w:rPr>
        <w:t>。</w:t>
      </w:r>
    </w:p>
    <w:p w14:paraId="2A9F1D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3.如出现偏离，供应商务必如实填写此表，否则存在的风险由供应商自行承担。</w:t>
      </w:r>
    </w:p>
    <w:p w14:paraId="5625457E">
      <w:pPr>
        <w:spacing w:line="360" w:lineRule="auto"/>
        <w:ind w:right="-21" w:rightChars="-10"/>
        <w:rPr>
          <w:rFonts w:hint="eastAsia" w:ascii="宋体" w:hAnsi="宋体" w:eastAsia="宋体" w:cs="宋体"/>
          <w:color w:val="auto"/>
          <w:szCs w:val="21"/>
          <w:highlight w:val="none"/>
        </w:rPr>
      </w:pPr>
    </w:p>
    <w:p w14:paraId="0197C35C">
      <w:pPr>
        <w:spacing w:line="360" w:lineRule="auto"/>
        <w:ind w:right="-21" w:rightChars="-10"/>
        <w:rPr>
          <w:rFonts w:hint="eastAsia" w:ascii="宋体" w:hAnsi="宋体" w:eastAsia="宋体" w:cs="宋体"/>
          <w:color w:val="auto"/>
          <w:szCs w:val="21"/>
          <w:highlight w:val="none"/>
        </w:rPr>
      </w:pPr>
    </w:p>
    <w:p w14:paraId="73DFA513">
      <w:pPr>
        <w:spacing w:line="360" w:lineRule="auto"/>
        <w:ind w:right="-21" w:rightChars="-10"/>
        <w:rPr>
          <w:rFonts w:hint="eastAsia" w:ascii="宋体" w:hAnsi="宋体" w:eastAsia="宋体" w:cs="宋体"/>
          <w:color w:val="auto"/>
          <w:szCs w:val="21"/>
          <w:highlight w:val="none"/>
        </w:rPr>
      </w:pPr>
    </w:p>
    <w:p w14:paraId="7BE94266">
      <w:pPr>
        <w:spacing w:line="360" w:lineRule="auto"/>
        <w:ind w:right="-21" w:rightChars="-1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供应商全称（公章）：</w:t>
      </w:r>
      <w:r>
        <w:rPr>
          <w:rFonts w:hint="eastAsia" w:ascii="宋体" w:hAnsi="宋体" w:eastAsia="宋体" w:cs="宋体"/>
          <w:color w:val="auto"/>
          <w:szCs w:val="21"/>
          <w:highlight w:val="none"/>
          <w:u w:val="single"/>
        </w:rPr>
        <w:t xml:space="preserve">                      </w:t>
      </w:r>
    </w:p>
    <w:p w14:paraId="65226FA0">
      <w:pPr>
        <w:spacing w:line="360" w:lineRule="auto"/>
        <w:ind w:right="-10"/>
        <w:rPr>
          <w:rFonts w:hint="eastAsia" w:ascii="宋体" w:hAnsi="宋体" w:eastAsia="宋体" w:cs="宋体"/>
          <w:color w:val="auto"/>
          <w:szCs w:val="21"/>
          <w:highlight w:val="none"/>
        </w:rPr>
      </w:pPr>
    </w:p>
    <w:p w14:paraId="405F2752">
      <w:pPr>
        <w:spacing w:line="360" w:lineRule="auto"/>
        <w:ind w:right="-1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法定代表人或授权代表（签字或盖章）：</w:t>
      </w:r>
      <w:r>
        <w:rPr>
          <w:rFonts w:hint="eastAsia" w:ascii="宋体" w:hAnsi="宋体" w:eastAsia="宋体" w:cs="宋体"/>
          <w:color w:val="auto"/>
          <w:szCs w:val="21"/>
          <w:highlight w:val="none"/>
          <w:u w:val="single"/>
        </w:rPr>
        <w:t xml:space="preserve">          </w:t>
      </w:r>
    </w:p>
    <w:p w14:paraId="6B577A5F">
      <w:pPr>
        <w:spacing w:line="360" w:lineRule="auto"/>
        <w:rPr>
          <w:rFonts w:hint="eastAsia" w:ascii="宋体" w:hAnsi="宋体" w:eastAsia="宋体" w:cs="宋体"/>
          <w:color w:val="auto"/>
          <w:szCs w:val="21"/>
          <w:highlight w:val="none"/>
        </w:rPr>
      </w:pPr>
    </w:p>
    <w:p w14:paraId="7D6FE144">
      <w:pPr>
        <w:spacing w:line="360" w:lineRule="auto"/>
        <w:ind w:right="-21" w:rightChars="-10"/>
        <w:rPr>
          <w:rFonts w:hint="eastAsia" w:ascii="宋体" w:hAnsi="宋体" w:eastAsia="宋体" w:cs="宋体"/>
          <w:color w:val="auto"/>
          <w:sz w:val="24"/>
          <w:highlight w:val="none"/>
          <w:u w:val="singl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p>
    <w:p w14:paraId="05DD28DF">
      <w:pPr>
        <w:snapToGrid w:val="0"/>
        <w:spacing w:before="120" w:beforeLines="50" w:after="50"/>
        <w:jc w:val="center"/>
        <w:rPr>
          <w:rFonts w:hint="eastAsia" w:ascii="宋体" w:hAnsi="宋体" w:eastAsia="宋体" w:cs="宋体"/>
          <w:b/>
          <w:bCs/>
          <w:color w:val="auto"/>
          <w:spacing w:val="11"/>
          <w:sz w:val="24"/>
          <w:highlight w:val="none"/>
        </w:rPr>
      </w:pPr>
    </w:p>
    <w:p w14:paraId="430D9757">
      <w:pPr>
        <w:spacing w:line="420" w:lineRule="exact"/>
        <w:jc w:val="left"/>
        <w:rPr>
          <w:rFonts w:hint="eastAsia" w:ascii="宋体" w:hAnsi="宋体" w:eastAsia="宋体" w:cs="宋体"/>
          <w:color w:val="auto"/>
          <w:spacing w:val="11"/>
          <w:sz w:val="24"/>
          <w:highlight w:val="none"/>
        </w:rPr>
      </w:pPr>
    </w:p>
    <w:p w14:paraId="7F4953A3">
      <w:pPr>
        <w:pStyle w:val="54"/>
        <w:ind w:firstLine="262"/>
        <w:rPr>
          <w:rFonts w:hint="eastAsia" w:ascii="宋体" w:hAnsi="宋体" w:eastAsia="宋体" w:cs="宋体"/>
          <w:color w:val="auto"/>
          <w:spacing w:val="11"/>
          <w:sz w:val="24"/>
          <w:highlight w:val="none"/>
        </w:rPr>
      </w:pPr>
    </w:p>
    <w:p w14:paraId="760978CF">
      <w:pPr>
        <w:rPr>
          <w:rFonts w:hint="eastAsia" w:ascii="宋体" w:hAnsi="宋体" w:eastAsia="宋体" w:cs="宋体"/>
          <w:color w:val="auto"/>
          <w:spacing w:val="11"/>
          <w:sz w:val="24"/>
          <w:highlight w:val="none"/>
        </w:rPr>
      </w:pPr>
    </w:p>
    <w:p w14:paraId="52CF86D1">
      <w:pPr>
        <w:pStyle w:val="54"/>
        <w:ind w:firstLine="262"/>
        <w:rPr>
          <w:rFonts w:hint="eastAsia" w:ascii="宋体" w:hAnsi="宋体" w:eastAsia="宋体" w:cs="宋体"/>
          <w:color w:val="auto"/>
          <w:spacing w:val="11"/>
          <w:sz w:val="24"/>
          <w:highlight w:val="none"/>
        </w:rPr>
      </w:pPr>
    </w:p>
    <w:p w14:paraId="5EF183D0">
      <w:pPr>
        <w:rPr>
          <w:rFonts w:hint="eastAsia" w:ascii="宋体" w:hAnsi="宋体" w:eastAsia="宋体" w:cs="宋体"/>
          <w:color w:val="auto"/>
          <w:spacing w:val="11"/>
          <w:sz w:val="24"/>
          <w:highlight w:val="none"/>
        </w:rPr>
      </w:pPr>
    </w:p>
    <w:p w14:paraId="60C79C25">
      <w:pPr>
        <w:pStyle w:val="54"/>
        <w:ind w:firstLine="262"/>
        <w:rPr>
          <w:rFonts w:hint="eastAsia" w:ascii="宋体" w:hAnsi="宋体" w:eastAsia="宋体" w:cs="宋体"/>
          <w:color w:val="auto"/>
          <w:spacing w:val="11"/>
          <w:sz w:val="24"/>
          <w:highlight w:val="none"/>
        </w:rPr>
      </w:pPr>
    </w:p>
    <w:p w14:paraId="1818A214">
      <w:pPr>
        <w:rPr>
          <w:rFonts w:hint="eastAsia" w:ascii="宋体" w:hAnsi="宋体" w:eastAsia="宋体" w:cs="宋体"/>
          <w:color w:val="auto"/>
          <w:highlight w:val="none"/>
        </w:rPr>
      </w:pPr>
    </w:p>
    <w:p w14:paraId="4A53C86C">
      <w:pPr>
        <w:pStyle w:val="4"/>
        <w:jc w:val="center"/>
        <w:rPr>
          <w:rFonts w:hint="eastAsia" w:ascii="宋体" w:hAnsi="宋体" w:eastAsia="宋体" w:cs="宋体"/>
          <w:color w:val="auto"/>
          <w:spacing w:val="11"/>
          <w:sz w:val="21"/>
          <w:szCs w:val="21"/>
          <w:highlight w:val="none"/>
          <w:u w:val="none"/>
        </w:rPr>
      </w:pPr>
      <w:r>
        <w:rPr>
          <w:rFonts w:hint="eastAsia" w:ascii="宋体" w:hAnsi="宋体" w:eastAsia="宋体" w:cs="宋体"/>
          <w:color w:val="auto"/>
          <w:spacing w:val="11"/>
          <w:sz w:val="21"/>
          <w:szCs w:val="21"/>
          <w:highlight w:val="none"/>
          <w:u w:val="none"/>
        </w:rPr>
        <w:t>10.磋商函</w:t>
      </w:r>
    </w:p>
    <w:p w14:paraId="70329B5F">
      <w:pPr>
        <w:rPr>
          <w:rFonts w:hint="eastAsia" w:ascii="宋体" w:hAnsi="宋体" w:eastAsia="宋体" w:cs="宋体"/>
          <w:color w:val="auto"/>
          <w:spacing w:val="11"/>
          <w:szCs w:val="21"/>
          <w:highlight w:val="none"/>
        </w:rPr>
      </w:pPr>
    </w:p>
    <w:p w14:paraId="35CA8604">
      <w:pPr>
        <w:pStyle w:val="29"/>
        <w:spacing w:before="120" w:after="120" w:line="480" w:lineRule="exact"/>
        <w:rPr>
          <w:rFonts w:hint="eastAsia" w:ascii="宋体" w:hAnsi="宋体" w:eastAsia="宋体" w:cs="宋体"/>
          <w:bCs/>
          <w:color w:val="auto"/>
          <w:spacing w:val="11"/>
          <w:sz w:val="21"/>
          <w:szCs w:val="21"/>
          <w:highlight w:val="none"/>
        </w:rPr>
      </w:pPr>
      <w:r>
        <w:rPr>
          <w:rFonts w:hint="eastAsia" w:ascii="宋体" w:hAnsi="宋体" w:eastAsia="宋体" w:cs="宋体"/>
          <w:bCs/>
          <w:color w:val="auto"/>
          <w:spacing w:val="11"/>
          <w:sz w:val="21"/>
          <w:szCs w:val="21"/>
          <w:highlight w:val="none"/>
        </w:rPr>
        <w:t xml:space="preserve">致：（采购单位名称）    </w:t>
      </w:r>
    </w:p>
    <w:p w14:paraId="47E4118A">
      <w:pPr>
        <w:autoSpaceDE w:val="0"/>
        <w:autoSpaceDN w:val="0"/>
        <w:adjustRightInd w:val="0"/>
        <w:spacing w:line="480" w:lineRule="exact"/>
        <w:ind w:firstLine="568" w:firstLineChars="245"/>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lang w:val="zh-CN"/>
        </w:rPr>
        <w:t>（供应商全称）授权 （授权代表名称）</w:t>
      </w:r>
      <w:r>
        <w:rPr>
          <w:rFonts w:hint="eastAsia" w:ascii="宋体" w:hAnsi="宋体" w:eastAsia="宋体" w:cs="宋体"/>
          <w:color w:val="auto"/>
          <w:spacing w:val="11"/>
          <w:szCs w:val="21"/>
          <w:highlight w:val="none"/>
          <w:u w:val="single"/>
          <w:lang w:val="zh-CN"/>
        </w:rPr>
        <w:t xml:space="preserve">         （职务、职称）</w:t>
      </w:r>
      <w:r>
        <w:rPr>
          <w:rFonts w:hint="eastAsia" w:ascii="宋体" w:hAnsi="宋体" w:eastAsia="宋体" w:cs="宋体"/>
          <w:color w:val="auto"/>
          <w:spacing w:val="11"/>
          <w:szCs w:val="21"/>
          <w:highlight w:val="none"/>
          <w:lang w:val="zh-CN"/>
        </w:rPr>
        <w:t xml:space="preserve">为授权代表，参加贵方组织的（项目名称）的有关活动，并对本项目全部进行报价。为此，签字代表宣布同意如下：   </w:t>
      </w:r>
    </w:p>
    <w:p w14:paraId="31C5CC61">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lang w:val="zh-CN"/>
        </w:rPr>
        <w:t>1、提供磋商须知规定的全部报价文件。</w:t>
      </w:r>
    </w:p>
    <w:p w14:paraId="415FDC87">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我方已详细审查全部“竞争性磋商文件”，包括修改文件（如有的话）以及全部参考资料和有关附件，我方完全理解并接受竞争性磋商文件的各项规定和要求，对竞争性磋商文件的合理性、合法性不再有异议。</w:t>
      </w:r>
    </w:p>
    <w:p w14:paraId="30AF1E2B">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3、我方没有被本项目所在地的政府采购管理部门限制参加报价。</w:t>
      </w:r>
    </w:p>
    <w:p w14:paraId="1E628BC3">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4、如成交，我方保证按竞争性磋商文件、成交通知书、本磋商响应文件及政府采购法律、法规的规定履行合同责任和义务。</w:t>
      </w:r>
    </w:p>
    <w:p w14:paraId="327B038A">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5、我方同意所递交的磋商响应文件在“磋商须知前附表”规定的磋商有效期内有效，在此期间内我方有可能成交，我方将受此约束。</w:t>
      </w:r>
    </w:p>
    <w:p w14:paraId="1955E2EF">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rPr>
        <w:t>6、</w:t>
      </w:r>
      <w:r>
        <w:rPr>
          <w:rFonts w:hint="eastAsia" w:ascii="宋体" w:hAnsi="宋体" w:eastAsia="宋体" w:cs="宋体"/>
          <w:color w:val="auto"/>
          <w:spacing w:val="11"/>
          <w:szCs w:val="21"/>
          <w:highlight w:val="none"/>
          <w:lang w:val="zh-CN"/>
        </w:rPr>
        <w:t>除非另外达成协议并生效，贵方的成交通知书和本磋商响应文件将成为约束我们双方的合同文件组成部分。</w:t>
      </w:r>
    </w:p>
    <w:p w14:paraId="53EB8419">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rPr>
        <w:t>7</w:t>
      </w:r>
      <w:r>
        <w:rPr>
          <w:rFonts w:hint="eastAsia" w:ascii="宋体" w:hAnsi="宋体" w:eastAsia="宋体" w:cs="宋体"/>
          <w:color w:val="auto"/>
          <w:spacing w:val="11"/>
          <w:szCs w:val="21"/>
          <w:highlight w:val="none"/>
          <w:lang w:val="zh-CN"/>
        </w:rPr>
        <w:t>、兹证明上述声明是真实的、正确的，并提供了全部能提供的资料和数据，我们同意遵照贵方要求出示有关证明文件。</w:t>
      </w:r>
    </w:p>
    <w:p w14:paraId="038DE0EE">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rPr>
        <w:t>8、</w:t>
      </w:r>
      <w:r>
        <w:rPr>
          <w:rFonts w:hint="eastAsia" w:ascii="宋体" w:hAnsi="宋体" w:eastAsia="宋体" w:cs="宋体"/>
          <w:color w:val="auto"/>
          <w:spacing w:val="11"/>
          <w:szCs w:val="21"/>
          <w:highlight w:val="none"/>
          <w:lang w:val="zh-CN"/>
        </w:rPr>
        <w:t>以上事项如有虚假或隐瞒，我方愿意承担一切后果，并不再寻求任何旨在减轻或免除法律责任的辩解。</w:t>
      </w:r>
    </w:p>
    <w:p w14:paraId="308652FB">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rPr>
        <w:t>9</w:t>
      </w:r>
      <w:r>
        <w:rPr>
          <w:rFonts w:hint="eastAsia" w:ascii="宋体" w:hAnsi="宋体" w:eastAsia="宋体" w:cs="宋体"/>
          <w:color w:val="auto"/>
          <w:spacing w:val="11"/>
          <w:szCs w:val="21"/>
          <w:highlight w:val="none"/>
          <w:lang w:val="zh-CN"/>
        </w:rPr>
        <w:t>、与本磋商有关的一切正式往来信函请寄：</w:t>
      </w:r>
    </w:p>
    <w:p w14:paraId="105B8072">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lang w:val="zh-CN"/>
        </w:rPr>
        <w:t xml:space="preserve">地址：__________                       邮编：___________________ </w:t>
      </w:r>
    </w:p>
    <w:p w14:paraId="0975E41A">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lang w:val="zh-CN"/>
        </w:rPr>
        <w:t>电话：__________________               传真：___________________</w:t>
      </w:r>
    </w:p>
    <w:p w14:paraId="038EE18B">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lang w:val="zh-CN"/>
        </w:rPr>
        <w:t xml:space="preserve">开户银行：                             银行帐号：               </w:t>
      </w:r>
    </w:p>
    <w:p w14:paraId="3284A8C7">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lang w:val="zh-CN"/>
        </w:rPr>
        <w:t xml:space="preserve">法定代表人或授权代表（签字或盖章）:___________   </w:t>
      </w:r>
    </w:p>
    <w:p w14:paraId="6C270574">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lang w:val="zh-CN"/>
        </w:rPr>
        <w:t>供应商名称(公章):___________________</w:t>
      </w:r>
    </w:p>
    <w:p w14:paraId="5782677C">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lang w:val="zh-CN"/>
        </w:rPr>
        <w:t>日期:_____年___月___日</w:t>
      </w:r>
    </w:p>
    <w:p w14:paraId="72B37A01">
      <w:pPr>
        <w:autoSpaceDE w:val="0"/>
        <w:autoSpaceDN w:val="0"/>
        <w:adjustRightInd w:val="0"/>
        <w:spacing w:line="460" w:lineRule="exact"/>
        <w:rPr>
          <w:rFonts w:hint="eastAsia" w:ascii="宋体" w:hAnsi="宋体" w:eastAsia="宋体" w:cs="宋体"/>
          <w:b/>
          <w:color w:val="auto"/>
          <w:szCs w:val="21"/>
          <w:highlight w:val="none"/>
        </w:rPr>
      </w:pPr>
    </w:p>
    <w:p w14:paraId="5B3FED07">
      <w:pPr>
        <w:pStyle w:val="54"/>
        <w:ind w:firstLine="211"/>
        <w:rPr>
          <w:rFonts w:hint="eastAsia" w:ascii="宋体" w:hAnsi="宋体" w:eastAsia="宋体" w:cs="宋体"/>
          <w:b/>
          <w:color w:val="auto"/>
          <w:szCs w:val="21"/>
          <w:highlight w:val="none"/>
        </w:rPr>
      </w:pPr>
    </w:p>
    <w:p w14:paraId="3D4430D7">
      <w:pPr>
        <w:pStyle w:val="54"/>
        <w:ind w:firstLine="211"/>
        <w:rPr>
          <w:rFonts w:hint="eastAsia" w:ascii="宋体" w:hAnsi="宋体" w:eastAsia="宋体" w:cs="宋体"/>
          <w:b/>
          <w:color w:val="auto"/>
          <w:szCs w:val="21"/>
          <w:highlight w:val="none"/>
        </w:rPr>
      </w:pPr>
    </w:p>
    <w:p w14:paraId="58560AE8">
      <w:pPr>
        <w:pStyle w:val="54"/>
        <w:ind w:firstLine="211"/>
        <w:rPr>
          <w:rFonts w:hint="eastAsia" w:ascii="宋体" w:hAnsi="宋体" w:eastAsia="宋体" w:cs="宋体"/>
          <w:b/>
          <w:color w:val="auto"/>
          <w:szCs w:val="21"/>
          <w:highlight w:val="none"/>
        </w:rPr>
      </w:pPr>
    </w:p>
    <w:p w14:paraId="7E3AE69D">
      <w:pPr>
        <w:pStyle w:val="54"/>
        <w:ind w:firstLine="211"/>
        <w:rPr>
          <w:rFonts w:hint="eastAsia" w:ascii="宋体" w:hAnsi="宋体" w:eastAsia="宋体" w:cs="宋体"/>
          <w:b/>
          <w:color w:val="auto"/>
          <w:szCs w:val="21"/>
          <w:highlight w:val="none"/>
        </w:rPr>
      </w:pPr>
    </w:p>
    <w:p w14:paraId="5A8899D1">
      <w:pPr>
        <w:pStyle w:val="44"/>
        <w:ind w:left="2100"/>
        <w:rPr>
          <w:rFonts w:hint="eastAsia" w:ascii="宋体" w:hAnsi="宋体" w:eastAsia="宋体" w:cs="宋体"/>
          <w:color w:val="auto"/>
          <w:highlight w:val="none"/>
        </w:rPr>
      </w:pPr>
    </w:p>
    <w:p w14:paraId="5AC3D145">
      <w:pPr>
        <w:pStyle w:val="54"/>
        <w:ind w:firstLine="211"/>
        <w:rPr>
          <w:rFonts w:hint="eastAsia" w:ascii="宋体" w:hAnsi="宋体" w:eastAsia="宋体" w:cs="宋体"/>
          <w:b/>
          <w:color w:val="auto"/>
          <w:szCs w:val="21"/>
          <w:highlight w:val="none"/>
        </w:rPr>
      </w:pPr>
    </w:p>
    <w:p w14:paraId="35EE9554">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11.</w:t>
      </w:r>
      <w:r>
        <w:rPr>
          <w:rFonts w:hint="eastAsia" w:ascii="宋体" w:hAnsi="宋体" w:eastAsia="宋体" w:cs="宋体"/>
          <w:b/>
          <w:bCs/>
          <w:color w:val="auto"/>
          <w:spacing w:val="11"/>
          <w:szCs w:val="21"/>
          <w:highlight w:val="none"/>
        </w:rPr>
        <w:t>磋商报价一览表（首次报价）</w:t>
      </w:r>
    </w:p>
    <w:tbl>
      <w:tblPr>
        <w:tblStyle w:val="60"/>
        <w:tblW w:w="5000" w:type="pct"/>
        <w:tblInd w:w="0" w:type="dxa"/>
        <w:tblLayout w:type="autofit"/>
        <w:tblCellMar>
          <w:top w:w="0" w:type="dxa"/>
          <w:left w:w="108" w:type="dxa"/>
          <w:bottom w:w="0" w:type="dxa"/>
          <w:right w:w="108" w:type="dxa"/>
        </w:tblCellMar>
      </w:tblPr>
      <w:tblGrid>
        <w:gridCol w:w="869"/>
        <w:gridCol w:w="2452"/>
        <w:gridCol w:w="1806"/>
        <w:gridCol w:w="1328"/>
        <w:gridCol w:w="1858"/>
        <w:gridCol w:w="1649"/>
      </w:tblGrid>
      <w:tr w14:paraId="13DD0F00">
        <w:tblPrEx>
          <w:tblCellMar>
            <w:top w:w="0" w:type="dxa"/>
            <w:left w:w="108" w:type="dxa"/>
            <w:bottom w:w="0" w:type="dxa"/>
            <w:right w:w="108" w:type="dxa"/>
          </w:tblCellMar>
        </w:tblPrEx>
        <w:trPr>
          <w:trHeight w:val="666" w:hRule="atLeast"/>
        </w:trPr>
        <w:tc>
          <w:tcPr>
            <w:tcW w:w="411" w:type="pct"/>
            <w:tcBorders>
              <w:top w:val="single" w:color="000000" w:sz="4" w:space="0"/>
              <w:left w:val="single" w:color="000000" w:sz="4" w:space="0"/>
              <w:bottom w:val="single" w:color="000000" w:sz="4" w:space="0"/>
              <w:right w:val="single" w:color="000000" w:sz="4" w:space="0"/>
            </w:tcBorders>
            <w:vAlign w:val="center"/>
          </w:tcPr>
          <w:p w14:paraId="02B5B4F9">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160" w:type="pct"/>
            <w:tcBorders>
              <w:top w:val="single" w:color="000000" w:sz="4" w:space="0"/>
              <w:bottom w:val="single" w:color="000000" w:sz="4" w:space="0"/>
              <w:right w:val="single" w:color="000000" w:sz="4" w:space="0"/>
            </w:tcBorders>
            <w:vAlign w:val="center"/>
          </w:tcPr>
          <w:p w14:paraId="4DEFFA24">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854" w:type="pct"/>
            <w:tcBorders>
              <w:top w:val="single" w:color="000000" w:sz="4" w:space="0"/>
              <w:bottom w:val="single" w:color="000000" w:sz="4" w:space="0"/>
              <w:right w:val="single" w:color="000000" w:sz="4" w:space="0"/>
            </w:tcBorders>
            <w:vAlign w:val="center"/>
          </w:tcPr>
          <w:p w14:paraId="74EF00B3">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628" w:type="pct"/>
            <w:tcBorders>
              <w:top w:val="single" w:color="000000" w:sz="4" w:space="0"/>
              <w:bottom w:val="single" w:color="000000" w:sz="4" w:space="0"/>
              <w:right w:val="single" w:color="000000" w:sz="4" w:space="0"/>
            </w:tcBorders>
            <w:vAlign w:val="center"/>
          </w:tcPr>
          <w:p w14:paraId="1801B6F8">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879" w:type="pct"/>
            <w:tcBorders>
              <w:top w:val="single" w:color="000000" w:sz="4" w:space="0"/>
              <w:bottom w:val="single" w:color="000000" w:sz="4" w:space="0"/>
              <w:right w:val="single" w:color="000000" w:sz="4" w:space="0"/>
            </w:tcBorders>
            <w:vAlign w:val="center"/>
          </w:tcPr>
          <w:p w14:paraId="5682C364">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磋商报价</w:t>
            </w:r>
          </w:p>
        </w:tc>
        <w:tc>
          <w:tcPr>
            <w:tcW w:w="780" w:type="pct"/>
            <w:tcBorders>
              <w:top w:val="single" w:color="000000" w:sz="4" w:space="0"/>
              <w:bottom w:val="single" w:color="000000" w:sz="4" w:space="0"/>
              <w:right w:val="single" w:color="000000" w:sz="4" w:space="0"/>
            </w:tcBorders>
            <w:vAlign w:val="center"/>
          </w:tcPr>
          <w:p w14:paraId="39CB5E37">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27A0276D">
        <w:tblPrEx>
          <w:tblCellMar>
            <w:top w:w="0" w:type="dxa"/>
            <w:left w:w="108" w:type="dxa"/>
            <w:bottom w:w="0" w:type="dxa"/>
            <w:right w:w="108" w:type="dxa"/>
          </w:tblCellMar>
        </w:tblPrEx>
        <w:trPr>
          <w:cantSplit/>
          <w:trHeight w:val="1400" w:hRule="atLeast"/>
        </w:trPr>
        <w:tc>
          <w:tcPr>
            <w:tcW w:w="411" w:type="pct"/>
            <w:tcBorders>
              <w:left w:val="single" w:color="000000" w:sz="4" w:space="0"/>
              <w:bottom w:val="single" w:color="auto" w:sz="4" w:space="0"/>
              <w:right w:val="single" w:color="000000" w:sz="4" w:space="0"/>
            </w:tcBorders>
            <w:vAlign w:val="center"/>
          </w:tcPr>
          <w:p w14:paraId="363351AD">
            <w:pPr>
              <w:widowControl/>
              <w:spacing w:line="380" w:lineRule="exact"/>
              <w:ind w:left="60" w:right="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60" w:type="pct"/>
            <w:tcBorders>
              <w:bottom w:val="single" w:color="auto" w:sz="4" w:space="0"/>
              <w:right w:val="single" w:color="000000" w:sz="4" w:space="0"/>
            </w:tcBorders>
            <w:vAlign w:val="center"/>
          </w:tcPr>
          <w:p w14:paraId="24C134A2">
            <w:pPr>
              <w:spacing w:line="380" w:lineRule="exact"/>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lang w:eastAsia="zh-CN"/>
              </w:rPr>
              <w:t xml:space="preserve">长兴县太湖图影小学篮球场悬浮地板采购项目 </w:t>
            </w:r>
            <w:r>
              <w:rPr>
                <w:rFonts w:hint="eastAsia" w:ascii="宋体" w:hAnsi="宋体" w:eastAsia="宋体" w:cs="宋体"/>
                <w:color w:val="auto"/>
                <w:kern w:val="1"/>
                <w:szCs w:val="21"/>
                <w:highlight w:val="none"/>
              </w:rPr>
              <w:t xml:space="preserve"> </w:t>
            </w:r>
          </w:p>
        </w:tc>
        <w:tc>
          <w:tcPr>
            <w:tcW w:w="854" w:type="pct"/>
            <w:tcBorders>
              <w:bottom w:val="single" w:color="auto" w:sz="4" w:space="0"/>
              <w:right w:val="single" w:color="000000" w:sz="4" w:space="0"/>
            </w:tcBorders>
            <w:vAlign w:val="center"/>
          </w:tcPr>
          <w:p w14:paraId="305E5FC4">
            <w:pPr>
              <w:tabs>
                <w:tab w:val="left" w:pos="720"/>
              </w:tabs>
              <w:spacing w:line="380" w:lineRule="exact"/>
              <w:ind w:left="67" w:right="67"/>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项</w:t>
            </w:r>
          </w:p>
        </w:tc>
        <w:tc>
          <w:tcPr>
            <w:tcW w:w="628" w:type="pct"/>
            <w:tcBorders>
              <w:bottom w:val="single" w:color="auto" w:sz="4" w:space="0"/>
              <w:right w:val="single" w:color="000000" w:sz="4" w:space="0"/>
            </w:tcBorders>
            <w:vAlign w:val="center"/>
          </w:tcPr>
          <w:p w14:paraId="66D51092">
            <w:pPr>
              <w:spacing w:line="380" w:lineRule="exact"/>
              <w:ind w:right="67"/>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1</w:t>
            </w:r>
          </w:p>
        </w:tc>
        <w:tc>
          <w:tcPr>
            <w:tcW w:w="879" w:type="pct"/>
            <w:tcBorders>
              <w:bottom w:val="single" w:color="auto" w:sz="4" w:space="0"/>
              <w:right w:val="single" w:color="000000" w:sz="4" w:space="0"/>
            </w:tcBorders>
            <w:vAlign w:val="center"/>
          </w:tcPr>
          <w:p w14:paraId="14D28C14">
            <w:pPr>
              <w:tabs>
                <w:tab w:val="left" w:pos="720"/>
              </w:tabs>
              <w:spacing w:line="380" w:lineRule="exact"/>
              <w:ind w:right="67"/>
              <w:jc w:val="center"/>
              <w:rPr>
                <w:rFonts w:hint="eastAsia" w:ascii="宋体" w:hAnsi="宋体" w:eastAsia="宋体" w:cs="宋体"/>
                <w:color w:val="auto"/>
                <w:kern w:val="1"/>
                <w:szCs w:val="21"/>
                <w:highlight w:val="none"/>
              </w:rPr>
            </w:pPr>
          </w:p>
        </w:tc>
        <w:tc>
          <w:tcPr>
            <w:tcW w:w="780" w:type="pct"/>
            <w:tcBorders>
              <w:bottom w:val="single" w:color="auto" w:sz="4" w:space="0"/>
              <w:right w:val="single" w:color="000000" w:sz="4" w:space="0"/>
            </w:tcBorders>
            <w:vAlign w:val="center"/>
          </w:tcPr>
          <w:p w14:paraId="454B19F2">
            <w:pPr>
              <w:tabs>
                <w:tab w:val="left" w:pos="720"/>
              </w:tabs>
              <w:spacing w:line="380" w:lineRule="exact"/>
              <w:ind w:right="67"/>
              <w:jc w:val="center"/>
              <w:rPr>
                <w:rFonts w:hint="eastAsia" w:ascii="宋体" w:hAnsi="宋体" w:eastAsia="宋体" w:cs="宋体"/>
                <w:color w:val="auto"/>
                <w:kern w:val="1"/>
                <w:szCs w:val="21"/>
                <w:highlight w:val="none"/>
              </w:rPr>
            </w:pPr>
          </w:p>
        </w:tc>
      </w:tr>
    </w:tbl>
    <w:p w14:paraId="7DD2CD17">
      <w:pPr>
        <w:spacing w:line="400" w:lineRule="exact"/>
        <w:rPr>
          <w:rFonts w:hint="eastAsia" w:ascii="宋体" w:hAnsi="宋体" w:eastAsia="宋体" w:cs="宋体"/>
          <w:color w:val="auto"/>
          <w:spacing w:val="11"/>
          <w:szCs w:val="21"/>
          <w:highlight w:val="none"/>
        </w:rPr>
      </w:pPr>
    </w:p>
    <w:p w14:paraId="259A0733">
      <w:pPr>
        <w:snapToGrid w:val="0"/>
        <w:spacing w:line="4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注: ▲1.报价一经涂改，应在涂改处加盖单位公章或由法定代表人或委托代理人签字或盖章，否则其磋商作无效标处理。</w:t>
      </w:r>
    </w:p>
    <w:p w14:paraId="51C36480">
      <w:pPr>
        <w:snapToGrid w:val="0"/>
        <w:spacing w:line="4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▲2.不提供此表格的将视为没有实质性响应磋商文件。</w:t>
      </w:r>
    </w:p>
    <w:p w14:paraId="7A12DE47">
      <w:pPr>
        <w:snapToGrid w:val="0"/>
        <w:spacing w:line="180" w:lineRule="exact"/>
        <w:rPr>
          <w:rFonts w:hint="eastAsia" w:ascii="宋体" w:hAnsi="宋体" w:eastAsia="宋体" w:cs="宋体"/>
          <w:color w:val="auto"/>
          <w:spacing w:val="11"/>
          <w:szCs w:val="21"/>
          <w:highlight w:val="none"/>
        </w:rPr>
      </w:pPr>
    </w:p>
    <w:p w14:paraId="4C7756B4">
      <w:pPr>
        <w:snapToGrid w:val="0"/>
        <w:spacing w:before="120" w:beforeLines="50"/>
        <w:rPr>
          <w:rFonts w:hint="eastAsia" w:ascii="宋体" w:hAnsi="宋体" w:eastAsia="宋体" w:cs="宋体"/>
          <w:color w:val="auto"/>
          <w:spacing w:val="11"/>
          <w:szCs w:val="21"/>
          <w:highlight w:val="none"/>
          <w:u w:val="single"/>
        </w:rPr>
      </w:pPr>
      <w:r>
        <w:rPr>
          <w:rFonts w:hint="eastAsia" w:ascii="宋体" w:hAnsi="宋体" w:eastAsia="宋体" w:cs="宋体"/>
          <w:color w:val="auto"/>
          <w:spacing w:val="11"/>
          <w:szCs w:val="21"/>
          <w:highlight w:val="none"/>
        </w:rPr>
        <w:t>法定代表人或授权代表（签字或盖章）：</w:t>
      </w:r>
    </w:p>
    <w:p w14:paraId="5F6FED9D">
      <w:pPr>
        <w:snapToGrid w:val="0"/>
        <w:spacing w:before="120" w:beforeLines="5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供应商公章：</w:t>
      </w:r>
    </w:p>
    <w:p w14:paraId="6587D993">
      <w:pPr>
        <w:snapToGrid w:val="0"/>
        <w:spacing w:before="120" w:beforeLines="50" w:after="50"/>
        <w:ind w:firstLine="6032" w:firstLineChars="26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年    月    日</w:t>
      </w:r>
    </w:p>
    <w:p w14:paraId="59033769">
      <w:pPr>
        <w:spacing w:line="360" w:lineRule="auto"/>
        <w:ind w:firstLine="3259" w:firstLineChars="1400"/>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磋商报价一览表（最终报价）</w:t>
      </w:r>
    </w:p>
    <w:tbl>
      <w:tblPr>
        <w:tblStyle w:val="60"/>
        <w:tblW w:w="5000" w:type="pct"/>
        <w:tblInd w:w="0" w:type="dxa"/>
        <w:tblLayout w:type="autofit"/>
        <w:tblCellMar>
          <w:top w:w="0" w:type="dxa"/>
          <w:left w:w="108" w:type="dxa"/>
          <w:bottom w:w="0" w:type="dxa"/>
          <w:right w:w="108" w:type="dxa"/>
        </w:tblCellMar>
      </w:tblPr>
      <w:tblGrid>
        <w:gridCol w:w="869"/>
        <w:gridCol w:w="2452"/>
        <w:gridCol w:w="1806"/>
        <w:gridCol w:w="1328"/>
        <w:gridCol w:w="1858"/>
        <w:gridCol w:w="1649"/>
      </w:tblGrid>
      <w:tr w14:paraId="5F995BF1">
        <w:tblPrEx>
          <w:tblCellMar>
            <w:top w:w="0" w:type="dxa"/>
            <w:left w:w="108" w:type="dxa"/>
            <w:bottom w:w="0" w:type="dxa"/>
            <w:right w:w="108" w:type="dxa"/>
          </w:tblCellMar>
        </w:tblPrEx>
        <w:trPr>
          <w:trHeight w:val="666" w:hRule="atLeast"/>
        </w:trPr>
        <w:tc>
          <w:tcPr>
            <w:tcW w:w="436" w:type="pct"/>
            <w:tcBorders>
              <w:top w:val="single" w:color="000000" w:sz="4" w:space="0"/>
              <w:left w:val="single" w:color="000000" w:sz="4" w:space="0"/>
              <w:bottom w:val="single" w:color="000000" w:sz="4" w:space="0"/>
              <w:right w:val="single" w:color="000000" w:sz="4" w:space="0"/>
            </w:tcBorders>
            <w:vAlign w:val="center"/>
          </w:tcPr>
          <w:p w14:paraId="1C2252A6">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30" w:type="pct"/>
            <w:tcBorders>
              <w:top w:val="single" w:color="000000" w:sz="4" w:space="0"/>
              <w:bottom w:val="single" w:color="000000" w:sz="4" w:space="0"/>
              <w:right w:val="single" w:color="000000" w:sz="4" w:space="0"/>
            </w:tcBorders>
            <w:vAlign w:val="center"/>
          </w:tcPr>
          <w:p w14:paraId="5721C831">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906" w:type="pct"/>
            <w:tcBorders>
              <w:top w:val="single" w:color="000000" w:sz="4" w:space="0"/>
              <w:bottom w:val="single" w:color="000000" w:sz="4" w:space="0"/>
              <w:right w:val="single" w:color="000000" w:sz="4" w:space="0"/>
            </w:tcBorders>
            <w:vAlign w:val="center"/>
          </w:tcPr>
          <w:p w14:paraId="35F5F3ED">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666" w:type="pct"/>
            <w:tcBorders>
              <w:top w:val="single" w:color="000000" w:sz="4" w:space="0"/>
              <w:bottom w:val="single" w:color="000000" w:sz="4" w:space="0"/>
              <w:right w:val="single" w:color="000000" w:sz="4" w:space="0"/>
            </w:tcBorders>
            <w:vAlign w:val="center"/>
          </w:tcPr>
          <w:p w14:paraId="43DAEA6F">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932" w:type="pct"/>
            <w:tcBorders>
              <w:top w:val="single" w:color="000000" w:sz="4" w:space="0"/>
              <w:bottom w:val="single" w:color="000000" w:sz="4" w:space="0"/>
              <w:right w:val="single" w:color="000000" w:sz="4" w:space="0"/>
            </w:tcBorders>
            <w:vAlign w:val="center"/>
          </w:tcPr>
          <w:p w14:paraId="632F0BD0">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磋商报价</w:t>
            </w:r>
          </w:p>
        </w:tc>
        <w:tc>
          <w:tcPr>
            <w:tcW w:w="827" w:type="pct"/>
            <w:tcBorders>
              <w:top w:val="single" w:color="000000" w:sz="4" w:space="0"/>
              <w:bottom w:val="single" w:color="000000" w:sz="4" w:space="0"/>
              <w:right w:val="single" w:color="000000" w:sz="4" w:space="0"/>
            </w:tcBorders>
            <w:vAlign w:val="center"/>
          </w:tcPr>
          <w:p w14:paraId="519DA8FC">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0EF848BC">
        <w:tblPrEx>
          <w:tblCellMar>
            <w:top w:w="0" w:type="dxa"/>
            <w:left w:w="108" w:type="dxa"/>
            <w:bottom w:w="0" w:type="dxa"/>
            <w:right w:w="108" w:type="dxa"/>
          </w:tblCellMar>
        </w:tblPrEx>
        <w:trPr>
          <w:cantSplit/>
          <w:trHeight w:val="1400" w:hRule="atLeast"/>
        </w:trPr>
        <w:tc>
          <w:tcPr>
            <w:tcW w:w="436" w:type="pct"/>
            <w:tcBorders>
              <w:left w:val="single" w:color="000000" w:sz="4" w:space="0"/>
              <w:bottom w:val="single" w:color="auto" w:sz="4" w:space="0"/>
              <w:right w:val="single" w:color="000000" w:sz="4" w:space="0"/>
            </w:tcBorders>
            <w:vAlign w:val="center"/>
          </w:tcPr>
          <w:p w14:paraId="651FF09C">
            <w:pPr>
              <w:widowControl/>
              <w:spacing w:line="380" w:lineRule="exact"/>
              <w:ind w:left="60" w:right="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30" w:type="pct"/>
            <w:tcBorders>
              <w:bottom w:val="single" w:color="auto" w:sz="4" w:space="0"/>
              <w:right w:val="single" w:color="000000" w:sz="4" w:space="0"/>
            </w:tcBorders>
            <w:vAlign w:val="center"/>
          </w:tcPr>
          <w:p w14:paraId="7BBE0E78">
            <w:pPr>
              <w:spacing w:line="380" w:lineRule="exact"/>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lang w:eastAsia="zh-CN"/>
              </w:rPr>
              <w:t xml:space="preserve">长兴县太湖图影小学篮球场悬浮地板采购项目 </w:t>
            </w:r>
            <w:r>
              <w:rPr>
                <w:rFonts w:hint="eastAsia" w:ascii="宋体" w:hAnsi="宋体" w:eastAsia="宋体" w:cs="宋体"/>
                <w:color w:val="auto"/>
                <w:kern w:val="1"/>
                <w:szCs w:val="21"/>
                <w:highlight w:val="none"/>
              </w:rPr>
              <w:t xml:space="preserve"> </w:t>
            </w:r>
          </w:p>
        </w:tc>
        <w:tc>
          <w:tcPr>
            <w:tcW w:w="906" w:type="pct"/>
            <w:tcBorders>
              <w:bottom w:val="single" w:color="auto" w:sz="4" w:space="0"/>
              <w:right w:val="single" w:color="000000" w:sz="4" w:space="0"/>
            </w:tcBorders>
            <w:vAlign w:val="center"/>
          </w:tcPr>
          <w:p w14:paraId="6866AC42">
            <w:pPr>
              <w:tabs>
                <w:tab w:val="left" w:pos="720"/>
              </w:tabs>
              <w:spacing w:line="380" w:lineRule="exact"/>
              <w:ind w:left="67" w:right="67"/>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项</w:t>
            </w:r>
          </w:p>
        </w:tc>
        <w:tc>
          <w:tcPr>
            <w:tcW w:w="666" w:type="pct"/>
            <w:tcBorders>
              <w:bottom w:val="single" w:color="auto" w:sz="4" w:space="0"/>
              <w:right w:val="single" w:color="000000" w:sz="4" w:space="0"/>
            </w:tcBorders>
            <w:vAlign w:val="center"/>
          </w:tcPr>
          <w:p w14:paraId="5C6D43B0">
            <w:pPr>
              <w:spacing w:line="380" w:lineRule="exact"/>
              <w:ind w:right="67"/>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1</w:t>
            </w:r>
          </w:p>
        </w:tc>
        <w:tc>
          <w:tcPr>
            <w:tcW w:w="932" w:type="pct"/>
            <w:tcBorders>
              <w:bottom w:val="single" w:color="auto" w:sz="4" w:space="0"/>
              <w:right w:val="single" w:color="000000" w:sz="4" w:space="0"/>
            </w:tcBorders>
            <w:vAlign w:val="center"/>
          </w:tcPr>
          <w:p w14:paraId="1BEE30E8">
            <w:pPr>
              <w:tabs>
                <w:tab w:val="left" w:pos="720"/>
              </w:tabs>
              <w:spacing w:line="380" w:lineRule="exact"/>
              <w:ind w:right="67"/>
              <w:jc w:val="center"/>
              <w:rPr>
                <w:rFonts w:hint="eastAsia" w:ascii="宋体" w:hAnsi="宋体" w:eastAsia="宋体" w:cs="宋体"/>
                <w:color w:val="auto"/>
                <w:kern w:val="1"/>
                <w:szCs w:val="21"/>
                <w:highlight w:val="none"/>
              </w:rPr>
            </w:pPr>
          </w:p>
        </w:tc>
        <w:tc>
          <w:tcPr>
            <w:tcW w:w="827" w:type="pct"/>
            <w:tcBorders>
              <w:bottom w:val="single" w:color="auto" w:sz="4" w:space="0"/>
              <w:right w:val="single" w:color="000000" w:sz="4" w:space="0"/>
            </w:tcBorders>
            <w:vAlign w:val="center"/>
          </w:tcPr>
          <w:p w14:paraId="10583658">
            <w:pPr>
              <w:tabs>
                <w:tab w:val="left" w:pos="720"/>
              </w:tabs>
              <w:spacing w:line="380" w:lineRule="exact"/>
              <w:ind w:right="67"/>
              <w:jc w:val="center"/>
              <w:rPr>
                <w:rFonts w:hint="eastAsia" w:ascii="宋体" w:hAnsi="宋体" w:eastAsia="宋体" w:cs="宋体"/>
                <w:color w:val="auto"/>
                <w:kern w:val="1"/>
                <w:szCs w:val="21"/>
                <w:highlight w:val="none"/>
              </w:rPr>
            </w:pPr>
          </w:p>
        </w:tc>
      </w:tr>
    </w:tbl>
    <w:p w14:paraId="10DC1430">
      <w:pPr>
        <w:autoSpaceDE w:val="0"/>
        <w:autoSpaceDN w:val="0"/>
        <w:adjustRightIn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注：1.此表在政采云在线最终报价异常时提供，磋商响应文件中无需提供。</w:t>
      </w:r>
    </w:p>
    <w:p w14:paraId="157D99D7">
      <w:pPr>
        <w:autoSpaceDE w:val="0"/>
        <w:autoSpaceDN w:val="0"/>
        <w:adjustRightInd w:val="0"/>
        <w:spacing w:line="360" w:lineRule="exact"/>
        <w:jc w:val="left"/>
        <w:rPr>
          <w:rFonts w:hint="eastAsia" w:ascii="宋体" w:hAnsi="宋体" w:eastAsia="宋体" w:cs="宋体"/>
          <w:color w:val="auto"/>
          <w:szCs w:val="21"/>
          <w:highlight w:val="none"/>
        </w:rPr>
      </w:pPr>
    </w:p>
    <w:p w14:paraId="30276E66">
      <w:pPr>
        <w:snapToGrid w:val="0"/>
        <w:spacing w:line="180" w:lineRule="exact"/>
        <w:rPr>
          <w:rFonts w:hint="eastAsia" w:ascii="宋体" w:hAnsi="宋体" w:eastAsia="宋体" w:cs="宋体"/>
          <w:color w:val="auto"/>
          <w:spacing w:val="11"/>
          <w:szCs w:val="21"/>
          <w:highlight w:val="none"/>
        </w:rPr>
      </w:pPr>
    </w:p>
    <w:p w14:paraId="32E27CDD">
      <w:pPr>
        <w:snapToGrid w:val="0"/>
        <w:spacing w:before="120" w:beforeLines="50"/>
        <w:rPr>
          <w:rFonts w:hint="eastAsia" w:ascii="宋体" w:hAnsi="宋体" w:eastAsia="宋体" w:cs="宋体"/>
          <w:color w:val="auto"/>
          <w:spacing w:val="11"/>
          <w:szCs w:val="21"/>
          <w:highlight w:val="none"/>
          <w:u w:val="single"/>
        </w:rPr>
      </w:pPr>
      <w:r>
        <w:rPr>
          <w:rFonts w:hint="eastAsia" w:ascii="宋体" w:hAnsi="宋体" w:eastAsia="宋体" w:cs="宋体"/>
          <w:color w:val="auto"/>
          <w:spacing w:val="11"/>
          <w:szCs w:val="21"/>
          <w:highlight w:val="none"/>
        </w:rPr>
        <w:t>法定代表人或授权代表（签字或盖章）：</w:t>
      </w:r>
    </w:p>
    <w:p w14:paraId="1D284F3D">
      <w:pPr>
        <w:snapToGrid w:val="0"/>
        <w:spacing w:before="120" w:beforeLines="5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供应商公章：</w:t>
      </w:r>
    </w:p>
    <w:p w14:paraId="03BC0D31">
      <w:pPr>
        <w:snapToGrid w:val="0"/>
        <w:spacing w:before="120" w:beforeLines="50" w:after="50"/>
        <w:ind w:firstLine="6032" w:firstLineChars="2600"/>
        <w:rPr>
          <w:rFonts w:hint="eastAsia" w:ascii="宋体" w:hAnsi="宋体" w:eastAsia="宋体" w:cs="宋体"/>
          <w:color w:val="auto"/>
          <w:spacing w:val="11"/>
          <w:szCs w:val="21"/>
          <w:highlight w:val="none"/>
        </w:rPr>
      </w:pPr>
    </w:p>
    <w:p w14:paraId="09F4191E">
      <w:pPr>
        <w:snapToGrid w:val="0"/>
        <w:spacing w:before="120" w:beforeLines="50" w:after="50"/>
        <w:ind w:firstLine="6032" w:firstLineChars="26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年    月   日</w:t>
      </w:r>
    </w:p>
    <w:p w14:paraId="2C84663A">
      <w:pPr>
        <w:pStyle w:val="54"/>
        <w:ind w:firstLine="232"/>
        <w:rPr>
          <w:rFonts w:hint="eastAsia" w:ascii="宋体" w:hAnsi="宋体" w:eastAsia="宋体" w:cs="宋体"/>
          <w:color w:val="auto"/>
          <w:spacing w:val="11"/>
          <w:szCs w:val="21"/>
          <w:highlight w:val="none"/>
        </w:rPr>
      </w:pPr>
    </w:p>
    <w:p w14:paraId="0A1B5B1B">
      <w:pPr>
        <w:pStyle w:val="54"/>
        <w:ind w:firstLine="232"/>
        <w:rPr>
          <w:rFonts w:hint="eastAsia" w:ascii="宋体" w:hAnsi="宋体" w:eastAsia="宋体" w:cs="宋体"/>
          <w:color w:val="auto"/>
          <w:spacing w:val="11"/>
          <w:szCs w:val="21"/>
          <w:highlight w:val="none"/>
        </w:rPr>
      </w:pPr>
    </w:p>
    <w:p w14:paraId="0991F199">
      <w:pPr>
        <w:pStyle w:val="54"/>
        <w:ind w:firstLine="232"/>
        <w:rPr>
          <w:rFonts w:hint="eastAsia" w:ascii="宋体" w:hAnsi="宋体" w:eastAsia="宋体" w:cs="宋体"/>
          <w:color w:val="auto"/>
          <w:spacing w:val="11"/>
          <w:szCs w:val="21"/>
          <w:highlight w:val="none"/>
        </w:rPr>
      </w:pPr>
    </w:p>
    <w:p w14:paraId="0E9118E9">
      <w:pPr>
        <w:pStyle w:val="54"/>
        <w:ind w:firstLine="232"/>
        <w:rPr>
          <w:rFonts w:hint="eastAsia" w:ascii="宋体" w:hAnsi="宋体" w:eastAsia="宋体" w:cs="宋体"/>
          <w:color w:val="auto"/>
          <w:spacing w:val="11"/>
          <w:szCs w:val="21"/>
          <w:highlight w:val="none"/>
        </w:rPr>
      </w:pPr>
    </w:p>
    <w:p w14:paraId="12F14F47">
      <w:pPr>
        <w:pStyle w:val="54"/>
        <w:ind w:firstLine="232"/>
        <w:rPr>
          <w:rFonts w:hint="eastAsia" w:ascii="宋体" w:hAnsi="宋体" w:eastAsia="宋体" w:cs="宋体"/>
          <w:color w:val="auto"/>
          <w:spacing w:val="11"/>
          <w:szCs w:val="21"/>
          <w:highlight w:val="none"/>
        </w:rPr>
      </w:pPr>
    </w:p>
    <w:p w14:paraId="6C0B3B02">
      <w:pPr>
        <w:pStyle w:val="54"/>
        <w:ind w:firstLine="232"/>
        <w:rPr>
          <w:rFonts w:hint="eastAsia" w:ascii="宋体" w:hAnsi="宋体" w:eastAsia="宋体" w:cs="宋体"/>
          <w:color w:val="auto"/>
          <w:spacing w:val="11"/>
          <w:szCs w:val="21"/>
          <w:highlight w:val="none"/>
        </w:rPr>
      </w:pPr>
    </w:p>
    <w:p w14:paraId="69412DA1">
      <w:pPr>
        <w:pStyle w:val="54"/>
        <w:ind w:firstLine="232"/>
        <w:rPr>
          <w:rFonts w:hint="eastAsia" w:ascii="宋体" w:hAnsi="宋体" w:eastAsia="宋体" w:cs="宋体"/>
          <w:color w:val="auto"/>
          <w:spacing w:val="11"/>
          <w:szCs w:val="21"/>
          <w:highlight w:val="none"/>
        </w:rPr>
      </w:pPr>
    </w:p>
    <w:p w14:paraId="358A64E1">
      <w:pPr>
        <w:pStyle w:val="54"/>
        <w:ind w:firstLine="232"/>
        <w:rPr>
          <w:rFonts w:hint="eastAsia" w:ascii="宋体" w:hAnsi="宋体" w:eastAsia="宋体" w:cs="宋体"/>
          <w:color w:val="auto"/>
          <w:spacing w:val="11"/>
          <w:szCs w:val="21"/>
          <w:highlight w:val="none"/>
        </w:rPr>
      </w:pPr>
    </w:p>
    <w:p w14:paraId="2CD03E3D">
      <w:pPr>
        <w:pStyle w:val="54"/>
        <w:ind w:firstLine="232"/>
        <w:rPr>
          <w:rFonts w:hint="eastAsia" w:ascii="宋体" w:hAnsi="宋体" w:eastAsia="宋体" w:cs="宋体"/>
          <w:color w:val="auto"/>
          <w:spacing w:val="11"/>
          <w:szCs w:val="21"/>
          <w:highlight w:val="none"/>
        </w:rPr>
      </w:pPr>
    </w:p>
    <w:p w14:paraId="71073684">
      <w:pPr>
        <w:jc w:val="center"/>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rPr>
        <w:t>12.</w:t>
      </w:r>
      <w:r>
        <w:rPr>
          <w:rFonts w:hint="eastAsia" w:ascii="宋体" w:hAnsi="宋体" w:eastAsia="宋体" w:cs="宋体"/>
          <w:b/>
          <w:color w:val="auto"/>
          <w:szCs w:val="21"/>
          <w:highlight w:val="none"/>
          <w:lang w:val="zh-CN"/>
        </w:rPr>
        <w:t>磋商报价明细表</w:t>
      </w:r>
    </w:p>
    <w:p w14:paraId="13B70D1D">
      <w:pPr>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金额单位：人民币（元）</w:t>
      </w:r>
    </w:p>
    <w:tbl>
      <w:tblPr>
        <w:tblStyle w:val="60"/>
        <w:tblW w:w="9472" w:type="dxa"/>
        <w:jc w:val="center"/>
        <w:tblLayout w:type="fixed"/>
        <w:tblCellMar>
          <w:top w:w="0" w:type="dxa"/>
          <w:left w:w="10" w:type="dxa"/>
          <w:bottom w:w="0" w:type="dxa"/>
          <w:right w:w="10" w:type="dxa"/>
        </w:tblCellMar>
      </w:tblPr>
      <w:tblGrid>
        <w:gridCol w:w="630"/>
        <w:gridCol w:w="1007"/>
        <w:gridCol w:w="735"/>
        <w:gridCol w:w="960"/>
        <w:gridCol w:w="1385"/>
        <w:gridCol w:w="780"/>
        <w:gridCol w:w="660"/>
        <w:gridCol w:w="660"/>
        <w:gridCol w:w="750"/>
        <w:gridCol w:w="780"/>
        <w:gridCol w:w="570"/>
        <w:gridCol w:w="555"/>
      </w:tblGrid>
      <w:tr w14:paraId="61D5BCDF">
        <w:tblPrEx>
          <w:tblCellMar>
            <w:top w:w="0" w:type="dxa"/>
            <w:left w:w="10" w:type="dxa"/>
            <w:bottom w:w="0" w:type="dxa"/>
            <w:right w:w="10" w:type="dxa"/>
          </w:tblCellMar>
        </w:tblPrEx>
        <w:trPr>
          <w:jc w:val="center"/>
        </w:trPr>
        <w:tc>
          <w:tcPr>
            <w:tcW w:w="630" w:type="dxa"/>
            <w:vMerge w:val="restart"/>
            <w:tcBorders>
              <w:top w:val="single" w:color="auto" w:sz="6" w:space="0"/>
              <w:left w:val="single" w:color="auto" w:sz="6" w:space="0"/>
              <w:right w:val="single" w:color="auto" w:sz="6" w:space="0"/>
            </w:tcBorders>
            <w:noWrap w:val="0"/>
            <w:vAlign w:val="center"/>
          </w:tcPr>
          <w:p w14:paraId="52503015">
            <w:pPr>
              <w:tabs>
                <w:tab w:val="left" w:pos="1418"/>
              </w:tabs>
              <w:autoSpaceDE w:val="0"/>
              <w:autoSpaceDN w:val="0"/>
              <w:spacing w:before="50" w:after="5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序号</w:t>
            </w:r>
          </w:p>
        </w:tc>
        <w:tc>
          <w:tcPr>
            <w:tcW w:w="1007" w:type="dxa"/>
            <w:vMerge w:val="restart"/>
            <w:tcBorders>
              <w:top w:val="single" w:color="auto" w:sz="6" w:space="0"/>
              <w:left w:val="single" w:color="auto" w:sz="6" w:space="0"/>
              <w:right w:val="single" w:color="auto" w:sz="6" w:space="0"/>
            </w:tcBorders>
            <w:noWrap w:val="0"/>
            <w:vAlign w:val="center"/>
          </w:tcPr>
          <w:p w14:paraId="5794910E">
            <w:pPr>
              <w:tabs>
                <w:tab w:val="left" w:pos="1418"/>
              </w:tabs>
              <w:autoSpaceDE w:val="0"/>
              <w:autoSpaceDN w:val="0"/>
              <w:spacing w:before="50" w:after="5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货物名称</w:t>
            </w:r>
          </w:p>
        </w:tc>
        <w:tc>
          <w:tcPr>
            <w:tcW w:w="735" w:type="dxa"/>
            <w:vMerge w:val="restart"/>
            <w:tcBorders>
              <w:top w:val="single" w:color="auto" w:sz="6" w:space="0"/>
              <w:left w:val="single" w:color="auto" w:sz="6" w:space="0"/>
              <w:right w:val="single" w:color="auto" w:sz="6" w:space="0"/>
            </w:tcBorders>
            <w:noWrap w:val="0"/>
            <w:vAlign w:val="center"/>
          </w:tcPr>
          <w:p w14:paraId="5B42382E">
            <w:pPr>
              <w:tabs>
                <w:tab w:val="left" w:pos="1418"/>
              </w:tabs>
              <w:autoSpaceDE w:val="0"/>
              <w:autoSpaceDN w:val="0"/>
              <w:spacing w:before="50" w:after="50"/>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品牌</w:t>
            </w:r>
          </w:p>
        </w:tc>
        <w:tc>
          <w:tcPr>
            <w:tcW w:w="960" w:type="dxa"/>
            <w:vMerge w:val="restart"/>
            <w:tcBorders>
              <w:top w:val="single" w:color="auto" w:sz="6" w:space="0"/>
              <w:left w:val="single" w:color="auto" w:sz="6" w:space="0"/>
              <w:right w:val="single" w:color="auto" w:sz="6" w:space="0"/>
            </w:tcBorders>
            <w:noWrap w:val="0"/>
            <w:vAlign w:val="center"/>
          </w:tcPr>
          <w:p w14:paraId="06986697">
            <w:pPr>
              <w:tabs>
                <w:tab w:val="left" w:pos="1418"/>
              </w:tabs>
              <w:autoSpaceDE w:val="0"/>
              <w:autoSpaceDN w:val="0"/>
              <w:spacing w:before="50" w:after="50"/>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规格型号</w:t>
            </w:r>
          </w:p>
        </w:tc>
        <w:tc>
          <w:tcPr>
            <w:tcW w:w="4235" w:type="dxa"/>
            <w:gridSpan w:val="5"/>
            <w:tcBorders>
              <w:top w:val="single" w:color="auto" w:sz="6" w:space="0"/>
              <w:left w:val="single" w:color="auto" w:sz="6" w:space="0"/>
              <w:bottom w:val="single" w:color="auto" w:sz="6" w:space="0"/>
              <w:right w:val="single" w:color="auto" w:sz="6" w:space="0"/>
            </w:tcBorders>
            <w:noWrap w:val="0"/>
            <w:vAlign w:val="center"/>
          </w:tcPr>
          <w:p w14:paraId="71502837">
            <w:pPr>
              <w:tabs>
                <w:tab w:val="left" w:pos="1418"/>
              </w:tabs>
              <w:autoSpaceDE w:val="0"/>
              <w:autoSpaceDN w:val="0"/>
              <w:spacing w:before="50" w:after="5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制造商情况</w:t>
            </w:r>
          </w:p>
        </w:tc>
        <w:tc>
          <w:tcPr>
            <w:tcW w:w="780" w:type="dxa"/>
            <w:vMerge w:val="restart"/>
            <w:tcBorders>
              <w:top w:val="single" w:color="auto" w:sz="6" w:space="0"/>
              <w:left w:val="single" w:color="auto" w:sz="6" w:space="0"/>
              <w:right w:val="single" w:color="auto" w:sz="6" w:space="0"/>
            </w:tcBorders>
            <w:noWrap w:val="0"/>
            <w:vAlign w:val="center"/>
          </w:tcPr>
          <w:p w14:paraId="44E2A2EF">
            <w:pPr>
              <w:tabs>
                <w:tab w:val="left" w:pos="1418"/>
              </w:tabs>
              <w:autoSpaceDE w:val="0"/>
              <w:autoSpaceDN w:val="0"/>
              <w:spacing w:before="50" w:after="5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单位及数量</w:t>
            </w:r>
          </w:p>
        </w:tc>
        <w:tc>
          <w:tcPr>
            <w:tcW w:w="570" w:type="dxa"/>
            <w:vMerge w:val="restart"/>
            <w:tcBorders>
              <w:top w:val="single" w:color="auto" w:sz="6" w:space="0"/>
              <w:left w:val="single" w:color="auto" w:sz="6" w:space="0"/>
              <w:right w:val="single" w:color="auto" w:sz="6" w:space="0"/>
            </w:tcBorders>
            <w:noWrap w:val="0"/>
            <w:vAlign w:val="center"/>
          </w:tcPr>
          <w:p w14:paraId="0B898846">
            <w:pPr>
              <w:tabs>
                <w:tab w:val="left" w:pos="1418"/>
              </w:tabs>
              <w:autoSpaceDE w:val="0"/>
              <w:autoSpaceDN w:val="0"/>
              <w:spacing w:before="50" w:after="5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单价</w:t>
            </w:r>
          </w:p>
        </w:tc>
        <w:tc>
          <w:tcPr>
            <w:tcW w:w="555" w:type="dxa"/>
            <w:vMerge w:val="restart"/>
            <w:tcBorders>
              <w:top w:val="single" w:color="auto" w:sz="6" w:space="0"/>
              <w:left w:val="single" w:color="auto" w:sz="6" w:space="0"/>
              <w:right w:val="single" w:color="auto" w:sz="6" w:space="0"/>
            </w:tcBorders>
            <w:noWrap w:val="0"/>
            <w:vAlign w:val="center"/>
          </w:tcPr>
          <w:p w14:paraId="11FD93AB">
            <w:pPr>
              <w:tabs>
                <w:tab w:val="left" w:pos="1418"/>
              </w:tabs>
              <w:autoSpaceDE w:val="0"/>
              <w:autoSpaceDN w:val="0"/>
              <w:spacing w:before="50" w:after="5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金额</w:t>
            </w:r>
          </w:p>
        </w:tc>
      </w:tr>
      <w:tr w14:paraId="2DBC2824">
        <w:tblPrEx>
          <w:tblCellMar>
            <w:top w:w="0" w:type="dxa"/>
            <w:left w:w="10" w:type="dxa"/>
            <w:bottom w:w="0" w:type="dxa"/>
            <w:right w:w="10" w:type="dxa"/>
          </w:tblCellMar>
        </w:tblPrEx>
        <w:trPr>
          <w:trHeight w:val="186" w:hRule="atLeast"/>
          <w:jc w:val="center"/>
        </w:trPr>
        <w:tc>
          <w:tcPr>
            <w:tcW w:w="630" w:type="dxa"/>
            <w:vMerge w:val="continue"/>
            <w:tcBorders>
              <w:left w:val="single" w:color="auto" w:sz="6" w:space="0"/>
              <w:bottom w:val="single" w:color="auto" w:sz="6" w:space="0"/>
              <w:right w:val="single" w:color="auto" w:sz="6" w:space="0"/>
            </w:tcBorders>
            <w:noWrap w:val="0"/>
            <w:vAlign w:val="center"/>
          </w:tcPr>
          <w:p w14:paraId="57D14684">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1007" w:type="dxa"/>
            <w:vMerge w:val="continue"/>
            <w:tcBorders>
              <w:left w:val="single" w:color="auto" w:sz="6" w:space="0"/>
              <w:bottom w:val="single" w:color="auto" w:sz="6" w:space="0"/>
              <w:right w:val="single" w:color="auto" w:sz="6" w:space="0"/>
            </w:tcBorders>
            <w:noWrap w:val="0"/>
            <w:vAlign w:val="center"/>
          </w:tcPr>
          <w:p w14:paraId="41FF9E00">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735" w:type="dxa"/>
            <w:vMerge w:val="continue"/>
            <w:tcBorders>
              <w:left w:val="single" w:color="auto" w:sz="6" w:space="0"/>
              <w:bottom w:val="single" w:color="auto" w:sz="6" w:space="0"/>
              <w:right w:val="single" w:color="auto" w:sz="6" w:space="0"/>
            </w:tcBorders>
            <w:noWrap w:val="0"/>
            <w:vAlign w:val="center"/>
          </w:tcPr>
          <w:p w14:paraId="14C98EC0">
            <w:pPr>
              <w:tabs>
                <w:tab w:val="left" w:pos="1418"/>
              </w:tabs>
              <w:autoSpaceDE w:val="0"/>
              <w:autoSpaceDN w:val="0"/>
              <w:spacing w:before="50" w:after="50"/>
              <w:jc w:val="center"/>
              <w:rPr>
                <w:rFonts w:hint="eastAsia" w:ascii="宋体" w:hAnsi="宋体" w:eastAsia="宋体" w:cs="宋体"/>
                <w:color w:val="auto"/>
                <w:kern w:val="0"/>
                <w:szCs w:val="21"/>
                <w:highlight w:val="none"/>
                <w:lang w:val="zh-CN"/>
              </w:rPr>
            </w:pPr>
          </w:p>
        </w:tc>
        <w:tc>
          <w:tcPr>
            <w:tcW w:w="960" w:type="dxa"/>
            <w:vMerge w:val="continue"/>
            <w:tcBorders>
              <w:left w:val="single" w:color="auto" w:sz="6" w:space="0"/>
              <w:bottom w:val="single" w:color="auto" w:sz="6" w:space="0"/>
              <w:right w:val="single" w:color="auto" w:sz="6" w:space="0"/>
            </w:tcBorders>
            <w:noWrap w:val="0"/>
            <w:vAlign w:val="center"/>
          </w:tcPr>
          <w:p w14:paraId="45DACCDC">
            <w:pPr>
              <w:tabs>
                <w:tab w:val="left" w:pos="1418"/>
              </w:tabs>
              <w:autoSpaceDE w:val="0"/>
              <w:autoSpaceDN w:val="0"/>
              <w:spacing w:before="50" w:after="50"/>
              <w:jc w:val="center"/>
              <w:rPr>
                <w:rFonts w:hint="eastAsia" w:ascii="宋体" w:hAnsi="宋体" w:eastAsia="宋体" w:cs="宋体"/>
                <w:color w:val="auto"/>
                <w:kern w:val="0"/>
                <w:szCs w:val="21"/>
                <w:highlight w:val="none"/>
                <w:lang w:val="zh-CN"/>
              </w:rPr>
            </w:pPr>
          </w:p>
        </w:tc>
        <w:tc>
          <w:tcPr>
            <w:tcW w:w="1385" w:type="dxa"/>
            <w:vMerge w:val="restart"/>
            <w:tcBorders>
              <w:top w:val="single" w:color="auto" w:sz="6" w:space="0"/>
              <w:left w:val="single" w:color="auto" w:sz="6" w:space="0"/>
              <w:right w:val="single" w:color="auto" w:sz="6" w:space="0"/>
            </w:tcBorders>
            <w:noWrap w:val="0"/>
            <w:vAlign w:val="center"/>
          </w:tcPr>
          <w:p w14:paraId="7281AF0F">
            <w:pPr>
              <w:tabs>
                <w:tab w:val="left" w:pos="1418"/>
              </w:tabs>
              <w:autoSpaceDE w:val="0"/>
              <w:autoSpaceDN w:val="0"/>
              <w:spacing w:before="50" w:after="50"/>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企业全称</w:t>
            </w:r>
          </w:p>
        </w:tc>
        <w:tc>
          <w:tcPr>
            <w:tcW w:w="2850" w:type="dxa"/>
            <w:gridSpan w:val="4"/>
            <w:tcBorders>
              <w:top w:val="single" w:color="auto" w:sz="6" w:space="0"/>
              <w:left w:val="single" w:color="auto" w:sz="6" w:space="0"/>
              <w:bottom w:val="single" w:color="auto" w:sz="6" w:space="0"/>
              <w:right w:val="single" w:color="auto" w:sz="6" w:space="0"/>
            </w:tcBorders>
            <w:noWrap w:val="0"/>
            <w:vAlign w:val="center"/>
          </w:tcPr>
          <w:p w14:paraId="29697AC2">
            <w:pPr>
              <w:tabs>
                <w:tab w:val="left" w:pos="1418"/>
              </w:tabs>
              <w:autoSpaceDE w:val="0"/>
              <w:autoSpaceDN w:val="0"/>
              <w:spacing w:before="50" w:after="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企业规模</w:t>
            </w:r>
          </w:p>
        </w:tc>
        <w:tc>
          <w:tcPr>
            <w:tcW w:w="780" w:type="dxa"/>
            <w:vMerge w:val="continue"/>
            <w:tcBorders>
              <w:left w:val="single" w:color="auto" w:sz="6" w:space="0"/>
              <w:bottom w:val="single" w:color="auto" w:sz="6" w:space="0"/>
              <w:right w:val="single" w:color="auto" w:sz="6" w:space="0"/>
            </w:tcBorders>
            <w:noWrap w:val="0"/>
            <w:vAlign w:val="center"/>
          </w:tcPr>
          <w:p w14:paraId="212BB437">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570" w:type="dxa"/>
            <w:vMerge w:val="continue"/>
            <w:tcBorders>
              <w:left w:val="single" w:color="auto" w:sz="6" w:space="0"/>
              <w:bottom w:val="single" w:color="auto" w:sz="6" w:space="0"/>
              <w:right w:val="single" w:color="auto" w:sz="6" w:space="0"/>
            </w:tcBorders>
            <w:noWrap w:val="0"/>
            <w:vAlign w:val="center"/>
          </w:tcPr>
          <w:p w14:paraId="2562E49B">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555" w:type="dxa"/>
            <w:vMerge w:val="continue"/>
            <w:tcBorders>
              <w:left w:val="single" w:color="auto" w:sz="6" w:space="0"/>
              <w:bottom w:val="single" w:color="auto" w:sz="6" w:space="0"/>
              <w:right w:val="single" w:color="auto" w:sz="6" w:space="0"/>
            </w:tcBorders>
            <w:noWrap w:val="0"/>
            <w:vAlign w:val="center"/>
          </w:tcPr>
          <w:p w14:paraId="0D8D253D">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r>
      <w:tr w14:paraId="34A3530C">
        <w:tblPrEx>
          <w:tblCellMar>
            <w:top w:w="0" w:type="dxa"/>
            <w:left w:w="10" w:type="dxa"/>
            <w:bottom w:w="0" w:type="dxa"/>
            <w:right w:w="10" w:type="dxa"/>
          </w:tblCellMar>
        </w:tblPrEx>
        <w:trPr>
          <w:trHeight w:val="186" w:hRule="atLeast"/>
          <w:jc w:val="center"/>
        </w:trPr>
        <w:tc>
          <w:tcPr>
            <w:tcW w:w="630" w:type="dxa"/>
            <w:vMerge w:val="continue"/>
            <w:tcBorders>
              <w:left w:val="single" w:color="auto" w:sz="6" w:space="0"/>
              <w:bottom w:val="single" w:color="auto" w:sz="6" w:space="0"/>
              <w:right w:val="single" w:color="auto" w:sz="6" w:space="0"/>
            </w:tcBorders>
            <w:noWrap w:val="0"/>
            <w:vAlign w:val="center"/>
          </w:tcPr>
          <w:p w14:paraId="7997AB17">
            <w:pPr>
              <w:tabs>
                <w:tab w:val="left" w:pos="1418"/>
              </w:tabs>
              <w:autoSpaceDE w:val="0"/>
              <w:autoSpaceDN w:val="0"/>
              <w:spacing w:before="50" w:after="50"/>
              <w:jc w:val="center"/>
              <w:rPr>
                <w:rFonts w:hint="eastAsia" w:ascii="宋体" w:hAnsi="宋体" w:eastAsia="宋体" w:cs="宋体"/>
                <w:color w:val="auto"/>
                <w:highlight w:val="none"/>
              </w:rPr>
            </w:pPr>
          </w:p>
        </w:tc>
        <w:tc>
          <w:tcPr>
            <w:tcW w:w="1007" w:type="dxa"/>
            <w:vMerge w:val="continue"/>
            <w:tcBorders>
              <w:left w:val="single" w:color="auto" w:sz="6" w:space="0"/>
              <w:bottom w:val="single" w:color="auto" w:sz="6" w:space="0"/>
              <w:right w:val="single" w:color="auto" w:sz="6" w:space="0"/>
            </w:tcBorders>
            <w:noWrap w:val="0"/>
            <w:vAlign w:val="center"/>
          </w:tcPr>
          <w:p w14:paraId="727CD212">
            <w:pPr>
              <w:tabs>
                <w:tab w:val="left" w:pos="1418"/>
              </w:tabs>
              <w:autoSpaceDE w:val="0"/>
              <w:autoSpaceDN w:val="0"/>
              <w:spacing w:before="50" w:after="50"/>
              <w:jc w:val="center"/>
              <w:rPr>
                <w:rFonts w:hint="eastAsia" w:ascii="宋体" w:hAnsi="宋体" w:eastAsia="宋体" w:cs="宋体"/>
                <w:color w:val="auto"/>
                <w:highlight w:val="none"/>
              </w:rPr>
            </w:pPr>
          </w:p>
        </w:tc>
        <w:tc>
          <w:tcPr>
            <w:tcW w:w="735" w:type="dxa"/>
            <w:vMerge w:val="continue"/>
            <w:tcBorders>
              <w:left w:val="single" w:color="auto" w:sz="6" w:space="0"/>
              <w:bottom w:val="single" w:color="auto" w:sz="6" w:space="0"/>
              <w:right w:val="single" w:color="auto" w:sz="6" w:space="0"/>
            </w:tcBorders>
            <w:noWrap w:val="0"/>
            <w:vAlign w:val="center"/>
          </w:tcPr>
          <w:p w14:paraId="33FBDA51">
            <w:pPr>
              <w:tabs>
                <w:tab w:val="left" w:pos="1418"/>
              </w:tabs>
              <w:autoSpaceDE w:val="0"/>
              <w:autoSpaceDN w:val="0"/>
              <w:spacing w:before="50" w:after="50"/>
              <w:jc w:val="center"/>
              <w:rPr>
                <w:rFonts w:hint="eastAsia" w:ascii="宋体" w:hAnsi="宋体" w:eastAsia="宋体" w:cs="宋体"/>
                <w:color w:val="auto"/>
                <w:highlight w:val="none"/>
              </w:rPr>
            </w:pPr>
          </w:p>
        </w:tc>
        <w:tc>
          <w:tcPr>
            <w:tcW w:w="960" w:type="dxa"/>
            <w:vMerge w:val="continue"/>
            <w:tcBorders>
              <w:left w:val="single" w:color="auto" w:sz="6" w:space="0"/>
              <w:bottom w:val="single" w:color="auto" w:sz="6" w:space="0"/>
              <w:right w:val="single" w:color="auto" w:sz="6" w:space="0"/>
            </w:tcBorders>
            <w:noWrap w:val="0"/>
            <w:vAlign w:val="center"/>
          </w:tcPr>
          <w:p w14:paraId="2A870D91">
            <w:pPr>
              <w:tabs>
                <w:tab w:val="left" w:pos="1418"/>
              </w:tabs>
              <w:autoSpaceDE w:val="0"/>
              <w:autoSpaceDN w:val="0"/>
              <w:spacing w:before="50" w:after="50"/>
              <w:jc w:val="center"/>
              <w:rPr>
                <w:rFonts w:hint="eastAsia" w:ascii="宋体" w:hAnsi="宋体" w:eastAsia="宋体" w:cs="宋体"/>
                <w:color w:val="auto"/>
                <w:highlight w:val="none"/>
              </w:rPr>
            </w:pPr>
          </w:p>
        </w:tc>
        <w:tc>
          <w:tcPr>
            <w:tcW w:w="1385" w:type="dxa"/>
            <w:vMerge w:val="continue"/>
            <w:tcBorders>
              <w:left w:val="single" w:color="auto" w:sz="6" w:space="0"/>
              <w:bottom w:val="single" w:color="auto" w:sz="6" w:space="0"/>
              <w:right w:val="single" w:color="auto" w:sz="6" w:space="0"/>
            </w:tcBorders>
            <w:noWrap w:val="0"/>
            <w:vAlign w:val="center"/>
          </w:tcPr>
          <w:p w14:paraId="2FB81AAB">
            <w:pPr>
              <w:tabs>
                <w:tab w:val="left" w:pos="1418"/>
              </w:tabs>
              <w:autoSpaceDE w:val="0"/>
              <w:autoSpaceDN w:val="0"/>
              <w:spacing w:before="50" w:after="50"/>
              <w:jc w:val="center"/>
              <w:rPr>
                <w:rFonts w:hint="eastAsia" w:ascii="宋体" w:hAnsi="宋体" w:eastAsia="宋体" w:cs="宋体"/>
                <w:color w:val="auto"/>
                <w:highlight w:val="none"/>
              </w:rPr>
            </w:pPr>
          </w:p>
        </w:tc>
        <w:tc>
          <w:tcPr>
            <w:tcW w:w="780" w:type="dxa"/>
            <w:tcBorders>
              <w:top w:val="single" w:color="auto" w:sz="6" w:space="0"/>
              <w:left w:val="single" w:color="auto" w:sz="6" w:space="0"/>
              <w:bottom w:val="single" w:color="auto" w:sz="6" w:space="0"/>
              <w:right w:val="single" w:color="auto" w:sz="6" w:space="0"/>
            </w:tcBorders>
            <w:noWrap w:val="0"/>
            <w:vAlign w:val="center"/>
          </w:tcPr>
          <w:p w14:paraId="02D2B403">
            <w:pPr>
              <w:tabs>
                <w:tab w:val="left" w:pos="1418"/>
              </w:tabs>
              <w:autoSpaceDE w:val="0"/>
              <w:autoSpaceDN w:val="0"/>
              <w:spacing w:before="50" w:after="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大型</w:t>
            </w:r>
          </w:p>
        </w:tc>
        <w:tc>
          <w:tcPr>
            <w:tcW w:w="660" w:type="dxa"/>
            <w:tcBorders>
              <w:left w:val="single" w:color="auto" w:sz="6" w:space="0"/>
              <w:bottom w:val="single" w:color="auto" w:sz="6" w:space="0"/>
              <w:right w:val="single" w:color="auto" w:sz="6" w:space="0"/>
            </w:tcBorders>
            <w:noWrap w:val="0"/>
            <w:vAlign w:val="center"/>
          </w:tcPr>
          <w:p w14:paraId="00AAE239">
            <w:pPr>
              <w:tabs>
                <w:tab w:val="left" w:pos="1418"/>
              </w:tabs>
              <w:autoSpaceDE w:val="0"/>
              <w:autoSpaceDN w:val="0"/>
              <w:spacing w:before="50" w:after="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中型</w:t>
            </w:r>
          </w:p>
        </w:tc>
        <w:tc>
          <w:tcPr>
            <w:tcW w:w="660" w:type="dxa"/>
            <w:tcBorders>
              <w:left w:val="single" w:color="auto" w:sz="6" w:space="0"/>
              <w:bottom w:val="single" w:color="auto" w:sz="6" w:space="0"/>
              <w:right w:val="single" w:color="auto" w:sz="6" w:space="0"/>
            </w:tcBorders>
            <w:noWrap w:val="0"/>
            <w:vAlign w:val="center"/>
          </w:tcPr>
          <w:p w14:paraId="1FE0FE48">
            <w:pPr>
              <w:tabs>
                <w:tab w:val="left" w:pos="1418"/>
              </w:tabs>
              <w:autoSpaceDE w:val="0"/>
              <w:autoSpaceDN w:val="0"/>
              <w:spacing w:before="50" w:after="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小型</w:t>
            </w:r>
          </w:p>
        </w:tc>
        <w:tc>
          <w:tcPr>
            <w:tcW w:w="750" w:type="dxa"/>
            <w:tcBorders>
              <w:left w:val="single" w:color="auto" w:sz="6" w:space="0"/>
              <w:bottom w:val="single" w:color="auto" w:sz="6" w:space="0"/>
              <w:right w:val="single" w:color="auto" w:sz="6" w:space="0"/>
            </w:tcBorders>
            <w:noWrap w:val="0"/>
            <w:vAlign w:val="center"/>
          </w:tcPr>
          <w:p w14:paraId="26689CA9">
            <w:pPr>
              <w:tabs>
                <w:tab w:val="left" w:pos="1418"/>
              </w:tabs>
              <w:autoSpaceDE w:val="0"/>
              <w:autoSpaceDN w:val="0"/>
              <w:spacing w:before="50" w:after="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微型</w:t>
            </w:r>
          </w:p>
        </w:tc>
        <w:tc>
          <w:tcPr>
            <w:tcW w:w="780" w:type="dxa"/>
            <w:vMerge w:val="continue"/>
            <w:tcBorders>
              <w:left w:val="single" w:color="auto" w:sz="6" w:space="0"/>
              <w:bottom w:val="single" w:color="auto" w:sz="6" w:space="0"/>
              <w:right w:val="single" w:color="auto" w:sz="6" w:space="0"/>
            </w:tcBorders>
            <w:noWrap w:val="0"/>
            <w:vAlign w:val="center"/>
          </w:tcPr>
          <w:p w14:paraId="684C7004">
            <w:pPr>
              <w:tabs>
                <w:tab w:val="left" w:pos="1418"/>
              </w:tabs>
              <w:autoSpaceDE w:val="0"/>
              <w:autoSpaceDN w:val="0"/>
              <w:spacing w:before="50" w:after="50"/>
              <w:jc w:val="center"/>
              <w:rPr>
                <w:rFonts w:hint="eastAsia" w:ascii="宋体" w:hAnsi="宋体" w:eastAsia="宋体" w:cs="宋体"/>
                <w:color w:val="auto"/>
                <w:kern w:val="0"/>
                <w:szCs w:val="21"/>
                <w:highlight w:val="none"/>
              </w:rPr>
            </w:pPr>
          </w:p>
        </w:tc>
        <w:tc>
          <w:tcPr>
            <w:tcW w:w="570" w:type="dxa"/>
            <w:vMerge w:val="continue"/>
            <w:tcBorders>
              <w:left w:val="single" w:color="auto" w:sz="6" w:space="0"/>
              <w:bottom w:val="single" w:color="auto" w:sz="6" w:space="0"/>
              <w:right w:val="single" w:color="auto" w:sz="6" w:space="0"/>
            </w:tcBorders>
            <w:noWrap w:val="0"/>
            <w:vAlign w:val="center"/>
          </w:tcPr>
          <w:p w14:paraId="1BA740C1">
            <w:pPr>
              <w:tabs>
                <w:tab w:val="left" w:pos="1418"/>
              </w:tabs>
              <w:autoSpaceDE w:val="0"/>
              <w:autoSpaceDN w:val="0"/>
              <w:spacing w:before="50" w:after="50"/>
              <w:jc w:val="center"/>
              <w:rPr>
                <w:rFonts w:hint="eastAsia" w:ascii="宋体" w:hAnsi="宋体" w:eastAsia="宋体" w:cs="宋体"/>
                <w:color w:val="auto"/>
                <w:kern w:val="0"/>
                <w:szCs w:val="21"/>
                <w:highlight w:val="none"/>
              </w:rPr>
            </w:pPr>
          </w:p>
        </w:tc>
        <w:tc>
          <w:tcPr>
            <w:tcW w:w="555" w:type="dxa"/>
            <w:vMerge w:val="continue"/>
            <w:tcBorders>
              <w:left w:val="single" w:color="auto" w:sz="6" w:space="0"/>
              <w:bottom w:val="single" w:color="auto" w:sz="6" w:space="0"/>
              <w:right w:val="single" w:color="auto" w:sz="6" w:space="0"/>
            </w:tcBorders>
            <w:noWrap w:val="0"/>
            <w:vAlign w:val="center"/>
          </w:tcPr>
          <w:p w14:paraId="5C8D0D39">
            <w:pPr>
              <w:tabs>
                <w:tab w:val="left" w:pos="1418"/>
              </w:tabs>
              <w:autoSpaceDE w:val="0"/>
              <w:autoSpaceDN w:val="0"/>
              <w:spacing w:before="50" w:after="50"/>
              <w:jc w:val="center"/>
              <w:rPr>
                <w:rFonts w:hint="eastAsia" w:ascii="宋体" w:hAnsi="宋体" w:eastAsia="宋体" w:cs="宋体"/>
                <w:color w:val="auto"/>
                <w:kern w:val="0"/>
                <w:szCs w:val="21"/>
                <w:highlight w:val="none"/>
              </w:rPr>
            </w:pPr>
          </w:p>
        </w:tc>
      </w:tr>
      <w:tr w14:paraId="3CAD2C02">
        <w:tblPrEx>
          <w:tblCellMar>
            <w:top w:w="0" w:type="dxa"/>
            <w:left w:w="10" w:type="dxa"/>
            <w:bottom w:w="0" w:type="dxa"/>
            <w:right w:w="10" w:type="dxa"/>
          </w:tblCellMar>
        </w:tblPrEx>
        <w:trPr>
          <w:jc w:val="center"/>
        </w:trPr>
        <w:tc>
          <w:tcPr>
            <w:tcW w:w="630" w:type="dxa"/>
            <w:tcBorders>
              <w:top w:val="single" w:color="auto" w:sz="6" w:space="0"/>
              <w:left w:val="single" w:color="auto" w:sz="6" w:space="0"/>
              <w:bottom w:val="single" w:color="auto" w:sz="6" w:space="0"/>
              <w:right w:val="single" w:color="auto" w:sz="6" w:space="0"/>
            </w:tcBorders>
            <w:noWrap w:val="0"/>
            <w:vAlign w:val="top"/>
          </w:tcPr>
          <w:p w14:paraId="05E269F7">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1007" w:type="dxa"/>
            <w:tcBorders>
              <w:top w:val="single" w:color="auto" w:sz="6" w:space="0"/>
              <w:left w:val="single" w:color="auto" w:sz="6" w:space="0"/>
              <w:bottom w:val="single" w:color="auto" w:sz="6" w:space="0"/>
              <w:right w:val="single" w:color="auto" w:sz="6" w:space="0"/>
            </w:tcBorders>
            <w:noWrap w:val="0"/>
            <w:vAlign w:val="top"/>
          </w:tcPr>
          <w:p w14:paraId="1DFB0743">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35" w:type="dxa"/>
            <w:tcBorders>
              <w:top w:val="single" w:color="auto" w:sz="6" w:space="0"/>
              <w:left w:val="single" w:color="auto" w:sz="6" w:space="0"/>
              <w:bottom w:val="single" w:color="auto" w:sz="6" w:space="0"/>
              <w:right w:val="single" w:color="auto" w:sz="6" w:space="0"/>
            </w:tcBorders>
            <w:noWrap w:val="0"/>
            <w:vAlign w:val="top"/>
          </w:tcPr>
          <w:p w14:paraId="08241FB7">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960" w:type="dxa"/>
            <w:tcBorders>
              <w:top w:val="single" w:color="auto" w:sz="6" w:space="0"/>
              <w:left w:val="single" w:color="auto" w:sz="6" w:space="0"/>
              <w:bottom w:val="single" w:color="auto" w:sz="6" w:space="0"/>
              <w:right w:val="single" w:color="auto" w:sz="6" w:space="0"/>
            </w:tcBorders>
            <w:noWrap w:val="0"/>
            <w:vAlign w:val="top"/>
          </w:tcPr>
          <w:p w14:paraId="3F513963">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1385" w:type="dxa"/>
            <w:tcBorders>
              <w:top w:val="single" w:color="auto" w:sz="6" w:space="0"/>
              <w:left w:val="single" w:color="auto" w:sz="6" w:space="0"/>
              <w:bottom w:val="single" w:color="auto" w:sz="6" w:space="0"/>
              <w:right w:val="single" w:color="auto" w:sz="6" w:space="0"/>
            </w:tcBorders>
            <w:noWrap w:val="0"/>
            <w:vAlign w:val="top"/>
          </w:tcPr>
          <w:p w14:paraId="18A5AC12">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80" w:type="dxa"/>
            <w:tcBorders>
              <w:top w:val="single" w:color="auto" w:sz="6" w:space="0"/>
              <w:left w:val="single" w:color="auto" w:sz="6" w:space="0"/>
              <w:bottom w:val="single" w:color="auto" w:sz="6" w:space="0"/>
              <w:right w:val="single" w:color="auto" w:sz="6" w:space="0"/>
            </w:tcBorders>
            <w:noWrap w:val="0"/>
            <w:vAlign w:val="top"/>
          </w:tcPr>
          <w:p w14:paraId="7AB90F56">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top"/>
          </w:tcPr>
          <w:p w14:paraId="091A4D3E">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top"/>
          </w:tcPr>
          <w:p w14:paraId="18E2CEDB">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50" w:type="dxa"/>
            <w:tcBorders>
              <w:top w:val="single" w:color="auto" w:sz="6" w:space="0"/>
              <w:left w:val="single" w:color="auto" w:sz="6" w:space="0"/>
              <w:bottom w:val="single" w:color="auto" w:sz="6" w:space="0"/>
              <w:right w:val="single" w:color="auto" w:sz="6" w:space="0"/>
            </w:tcBorders>
            <w:noWrap w:val="0"/>
            <w:vAlign w:val="top"/>
          </w:tcPr>
          <w:p w14:paraId="6A0CF254">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80" w:type="dxa"/>
            <w:tcBorders>
              <w:top w:val="single" w:color="auto" w:sz="6" w:space="0"/>
              <w:left w:val="single" w:color="auto" w:sz="6" w:space="0"/>
              <w:bottom w:val="single" w:color="auto" w:sz="6" w:space="0"/>
              <w:right w:val="single" w:color="auto" w:sz="6" w:space="0"/>
            </w:tcBorders>
            <w:noWrap w:val="0"/>
            <w:vAlign w:val="top"/>
          </w:tcPr>
          <w:p w14:paraId="3822DEDD">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570" w:type="dxa"/>
            <w:tcBorders>
              <w:top w:val="single" w:color="auto" w:sz="6" w:space="0"/>
              <w:left w:val="single" w:color="auto" w:sz="6" w:space="0"/>
              <w:bottom w:val="single" w:color="auto" w:sz="6" w:space="0"/>
              <w:right w:val="single" w:color="auto" w:sz="6" w:space="0"/>
            </w:tcBorders>
            <w:noWrap w:val="0"/>
            <w:vAlign w:val="top"/>
          </w:tcPr>
          <w:p w14:paraId="647291A1">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555" w:type="dxa"/>
            <w:tcBorders>
              <w:top w:val="single" w:color="auto" w:sz="6" w:space="0"/>
              <w:left w:val="single" w:color="auto" w:sz="6" w:space="0"/>
              <w:bottom w:val="single" w:color="auto" w:sz="6" w:space="0"/>
              <w:right w:val="single" w:color="auto" w:sz="6" w:space="0"/>
            </w:tcBorders>
            <w:noWrap w:val="0"/>
            <w:vAlign w:val="top"/>
          </w:tcPr>
          <w:p w14:paraId="5E26D3E6">
            <w:pPr>
              <w:tabs>
                <w:tab w:val="left" w:pos="1418"/>
              </w:tabs>
              <w:autoSpaceDE w:val="0"/>
              <w:autoSpaceDN w:val="0"/>
              <w:spacing w:before="50" w:after="50"/>
              <w:jc w:val="center"/>
              <w:rPr>
                <w:rFonts w:hint="eastAsia" w:ascii="宋体" w:hAnsi="宋体" w:eastAsia="宋体" w:cs="宋体"/>
                <w:color w:val="auto"/>
                <w:szCs w:val="21"/>
                <w:highlight w:val="none"/>
              </w:rPr>
            </w:pPr>
          </w:p>
        </w:tc>
      </w:tr>
      <w:tr w14:paraId="0DFDD80D">
        <w:tblPrEx>
          <w:tblCellMar>
            <w:top w:w="0" w:type="dxa"/>
            <w:left w:w="10" w:type="dxa"/>
            <w:bottom w:w="0" w:type="dxa"/>
            <w:right w:w="10" w:type="dxa"/>
          </w:tblCellMar>
        </w:tblPrEx>
        <w:trPr>
          <w:jc w:val="center"/>
        </w:trPr>
        <w:tc>
          <w:tcPr>
            <w:tcW w:w="630" w:type="dxa"/>
            <w:tcBorders>
              <w:top w:val="single" w:color="auto" w:sz="6" w:space="0"/>
              <w:left w:val="single" w:color="auto" w:sz="6" w:space="0"/>
              <w:bottom w:val="single" w:color="auto" w:sz="6" w:space="0"/>
              <w:right w:val="single" w:color="auto" w:sz="6" w:space="0"/>
            </w:tcBorders>
            <w:noWrap w:val="0"/>
            <w:vAlign w:val="top"/>
          </w:tcPr>
          <w:p w14:paraId="430A19CB">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1007" w:type="dxa"/>
            <w:tcBorders>
              <w:top w:val="single" w:color="auto" w:sz="6" w:space="0"/>
              <w:left w:val="single" w:color="auto" w:sz="6" w:space="0"/>
              <w:bottom w:val="single" w:color="auto" w:sz="6" w:space="0"/>
              <w:right w:val="single" w:color="auto" w:sz="6" w:space="0"/>
            </w:tcBorders>
            <w:noWrap w:val="0"/>
            <w:vAlign w:val="top"/>
          </w:tcPr>
          <w:p w14:paraId="6B23A0E7">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35" w:type="dxa"/>
            <w:tcBorders>
              <w:top w:val="single" w:color="auto" w:sz="6" w:space="0"/>
              <w:left w:val="single" w:color="auto" w:sz="6" w:space="0"/>
              <w:bottom w:val="single" w:color="auto" w:sz="6" w:space="0"/>
              <w:right w:val="single" w:color="auto" w:sz="6" w:space="0"/>
            </w:tcBorders>
            <w:noWrap w:val="0"/>
            <w:vAlign w:val="top"/>
          </w:tcPr>
          <w:p w14:paraId="17A03869">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960" w:type="dxa"/>
            <w:tcBorders>
              <w:top w:val="single" w:color="auto" w:sz="6" w:space="0"/>
              <w:left w:val="single" w:color="auto" w:sz="6" w:space="0"/>
              <w:bottom w:val="single" w:color="auto" w:sz="6" w:space="0"/>
              <w:right w:val="single" w:color="auto" w:sz="6" w:space="0"/>
            </w:tcBorders>
            <w:noWrap w:val="0"/>
            <w:vAlign w:val="top"/>
          </w:tcPr>
          <w:p w14:paraId="33CF5482">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1385" w:type="dxa"/>
            <w:tcBorders>
              <w:top w:val="single" w:color="auto" w:sz="6" w:space="0"/>
              <w:left w:val="single" w:color="auto" w:sz="6" w:space="0"/>
              <w:bottom w:val="single" w:color="auto" w:sz="6" w:space="0"/>
              <w:right w:val="single" w:color="auto" w:sz="6" w:space="0"/>
            </w:tcBorders>
            <w:noWrap w:val="0"/>
            <w:vAlign w:val="top"/>
          </w:tcPr>
          <w:p w14:paraId="0DF07ACD">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80" w:type="dxa"/>
            <w:tcBorders>
              <w:top w:val="single" w:color="auto" w:sz="6" w:space="0"/>
              <w:left w:val="single" w:color="auto" w:sz="6" w:space="0"/>
              <w:bottom w:val="single" w:color="auto" w:sz="6" w:space="0"/>
              <w:right w:val="single" w:color="auto" w:sz="6" w:space="0"/>
            </w:tcBorders>
            <w:noWrap w:val="0"/>
            <w:vAlign w:val="top"/>
          </w:tcPr>
          <w:p w14:paraId="5C17B289">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top"/>
          </w:tcPr>
          <w:p w14:paraId="1629E2BD">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top"/>
          </w:tcPr>
          <w:p w14:paraId="3A49C407">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50" w:type="dxa"/>
            <w:tcBorders>
              <w:top w:val="single" w:color="auto" w:sz="6" w:space="0"/>
              <w:left w:val="single" w:color="auto" w:sz="6" w:space="0"/>
              <w:bottom w:val="single" w:color="auto" w:sz="6" w:space="0"/>
              <w:right w:val="single" w:color="auto" w:sz="6" w:space="0"/>
            </w:tcBorders>
            <w:noWrap w:val="0"/>
            <w:vAlign w:val="top"/>
          </w:tcPr>
          <w:p w14:paraId="5D2E7576">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80" w:type="dxa"/>
            <w:tcBorders>
              <w:top w:val="single" w:color="auto" w:sz="6" w:space="0"/>
              <w:left w:val="single" w:color="auto" w:sz="6" w:space="0"/>
              <w:bottom w:val="single" w:color="auto" w:sz="6" w:space="0"/>
              <w:right w:val="single" w:color="auto" w:sz="6" w:space="0"/>
            </w:tcBorders>
            <w:noWrap w:val="0"/>
            <w:vAlign w:val="top"/>
          </w:tcPr>
          <w:p w14:paraId="2C06D3D4">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570" w:type="dxa"/>
            <w:tcBorders>
              <w:top w:val="single" w:color="auto" w:sz="6" w:space="0"/>
              <w:left w:val="single" w:color="auto" w:sz="6" w:space="0"/>
              <w:bottom w:val="single" w:color="auto" w:sz="6" w:space="0"/>
              <w:right w:val="single" w:color="auto" w:sz="6" w:space="0"/>
            </w:tcBorders>
            <w:noWrap w:val="0"/>
            <w:vAlign w:val="top"/>
          </w:tcPr>
          <w:p w14:paraId="16FE7B08">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555" w:type="dxa"/>
            <w:tcBorders>
              <w:top w:val="single" w:color="auto" w:sz="6" w:space="0"/>
              <w:left w:val="single" w:color="auto" w:sz="6" w:space="0"/>
              <w:bottom w:val="single" w:color="auto" w:sz="6" w:space="0"/>
              <w:right w:val="single" w:color="auto" w:sz="6" w:space="0"/>
            </w:tcBorders>
            <w:noWrap w:val="0"/>
            <w:vAlign w:val="top"/>
          </w:tcPr>
          <w:p w14:paraId="5B759A68">
            <w:pPr>
              <w:tabs>
                <w:tab w:val="left" w:pos="1418"/>
              </w:tabs>
              <w:autoSpaceDE w:val="0"/>
              <w:autoSpaceDN w:val="0"/>
              <w:spacing w:before="50" w:after="50"/>
              <w:jc w:val="center"/>
              <w:rPr>
                <w:rFonts w:hint="eastAsia" w:ascii="宋体" w:hAnsi="宋体" w:eastAsia="宋体" w:cs="宋体"/>
                <w:color w:val="auto"/>
                <w:szCs w:val="21"/>
                <w:highlight w:val="none"/>
              </w:rPr>
            </w:pPr>
          </w:p>
        </w:tc>
      </w:tr>
      <w:tr w14:paraId="7CD97873">
        <w:tblPrEx>
          <w:tblCellMar>
            <w:top w:w="0" w:type="dxa"/>
            <w:left w:w="10" w:type="dxa"/>
            <w:bottom w:w="0" w:type="dxa"/>
            <w:right w:w="10" w:type="dxa"/>
          </w:tblCellMar>
        </w:tblPrEx>
        <w:trPr>
          <w:jc w:val="center"/>
        </w:trPr>
        <w:tc>
          <w:tcPr>
            <w:tcW w:w="630" w:type="dxa"/>
            <w:tcBorders>
              <w:top w:val="single" w:color="auto" w:sz="6" w:space="0"/>
              <w:left w:val="single" w:color="auto" w:sz="6" w:space="0"/>
              <w:bottom w:val="single" w:color="auto" w:sz="6" w:space="0"/>
              <w:right w:val="single" w:color="auto" w:sz="6" w:space="0"/>
            </w:tcBorders>
            <w:noWrap w:val="0"/>
            <w:vAlign w:val="top"/>
          </w:tcPr>
          <w:p w14:paraId="58A8F6C7">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1007" w:type="dxa"/>
            <w:tcBorders>
              <w:top w:val="single" w:color="auto" w:sz="6" w:space="0"/>
              <w:left w:val="single" w:color="auto" w:sz="6" w:space="0"/>
              <w:bottom w:val="single" w:color="auto" w:sz="6" w:space="0"/>
              <w:right w:val="single" w:color="auto" w:sz="6" w:space="0"/>
            </w:tcBorders>
            <w:noWrap w:val="0"/>
            <w:vAlign w:val="top"/>
          </w:tcPr>
          <w:p w14:paraId="1ADE092D">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35" w:type="dxa"/>
            <w:tcBorders>
              <w:top w:val="single" w:color="auto" w:sz="6" w:space="0"/>
              <w:left w:val="single" w:color="auto" w:sz="6" w:space="0"/>
              <w:bottom w:val="single" w:color="auto" w:sz="6" w:space="0"/>
              <w:right w:val="single" w:color="auto" w:sz="6" w:space="0"/>
            </w:tcBorders>
            <w:noWrap w:val="0"/>
            <w:vAlign w:val="top"/>
          </w:tcPr>
          <w:p w14:paraId="7650AC95">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960" w:type="dxa"/>
            <w:tcBorders>
              <w:top w:val="single" w:color="auto" w:sz="6" w:space="0"/>
              <w:left w:val="single" w:color="auto" w:sz="6" w:space="0"/>
              <w:bottom w:val="single" w:color="auto" w:sz="6" w:space="0"/>
              <w:right w:val="single" w:color="auto" w:sz="6" w:space="0"/>
            </w:tcBorders>
            <w:noWrap w:val="0"/>
            <w:vAlign w:val="top"/>
          </w:tcPr>
          <w:p w14:paraId="36ECA8B7">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1385" w:type="dxa"/>
            <w:tcBorders>
              <w:top w:val="single" w:color="auto" w:sz="6" w:space="0"/>
              <w:left w:val="single" w:color="auto" w:sz="6" w:space="0"/>
              <w:bottom w:val="single" w:color="auto" w:sz="6" w:space="0"/>
              <w:right w:val="single" w:color="auto" w:sz="6" w:space="0"/>
            </w:tcBorders>
            <w:noWrap w:val="0"/>
            <w:vAlign w:val="top"/>
          </w:tcPr>
          <w:p w14:paraId="1E053E2C">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80" w:type="dxa"/>
            <w:tcBorders>
              <w:top w:val="single" w:color="auto" w:sz="6" w:space="0"/>
              <w:left w:val="single" w:color="auto" w:sz="6" w:space="0"/>
              <w:bottom w:val="single" w:color="auto" w:sz="6" w:space="0"/>
              <w:right w:val="single" w:color="auto" w:sz="6" w:space="0"/>
            </w:tcBorders>
            <w:noWrap w:val="0"/>
            <w:vAlign w:val="top"/>
          </w:tcPr>
          <w:p w14:paraId="5C97A076">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top"/>
          </w:tcPr>
          <w:p w14:paraId="29857936">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top"/>
          </w:tcPr>
          <w:p w14:paraId="037B95CD">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50" w:type="dxa"/>
            <w:tcBorders>
              <w:top w:val="single" w:color="auto" w:sz="6" w:space="0"/>
              <w:left w:val="single" w:color="auto" w:sz="6" w:space="0"/>
              <w:bottom w:val="single" w:color="auto" w:sz="6" w:space="0"/>
              <w:right w:val="single" w:color="auto" w:sz="6" w:space="0"/>
            </w:tcBorders>
            <w:noWrap w:val="0"/>
            <w:vAlign w:val="top"/>
          </w:tcPr>
          <w:p w14:paraId="5F33C29D">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80" w:type="dxa"/>
            <w:tcBorders>
              <w:top w:val="single" w:color="auto" w:sz="6" w:space="0"/>
              <w:left w:val="single" w:color="auto" w:sz="6" w:space="0"/>
              <w:bottom w:val="single" w:color="auto" w:sz="6" w:space="0"/>
              <w:right w:val="single" w:color="auto" w:sz="6" w:space="0"/>
            </w:tcBorders>
            <w:noWrap w:val="0"/>
            <w:vAlign w:val="top"/>
          </w:tcPr>
          <w:p w14:paraId="23CD8DA2">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570" w:type="dxa"/>
            <w:tcBorders>
              <w:top w:val="single" w:color="auto" w:sz="6" w:space="0"/>
              <w:left w:val="single" w:color="auto" w:sz="6" w:space="0"/>
              <w:bottom w:val="single" w:color="auto" w:sz="6" w:space="0"/>
              <w:right w:val="single" w:color="auto" w:sz="6" w:space="0"/>
            </w:tcBorders>
            <w:noWrap w:val="0"/>
            <w:vAlign w:val="top"/>
          </w:tcPr>
          <w:p w14:paraId="2EBC77D5">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555" w:type="dxa"/>
            <w:tcBorders>
              <w:top w:val="single" w:color="auto" w:sz="6" w:space="0"/>
              <w:left w:val="single" w:color="auto" w:sz="6" w:space="0"/>
              <w:bottom w:val="single" w:color="auto" w:sz="6" w:space="0"/>
              <w:right w:val="single" w:color="auto" w:sz="6" w:space="0"/>
            </w:tcBorders>
            <w:noWrap w:val="0"/>
            <w:vAlign w:val="top"/>
          </w:tcPr>
          <w:p w14:paraId="5B8FD78C">
            <w:pPr>
              <w:tabs>
                <w:tab w:val="left" w:pos="1418"/>
              </w:tabs>
              <w:autoSpaceDE w:val="0"/>
              <w:autoSpaceDN w:val="0"/>
              <w:spacing w:before="50" w:after="50"/>
              <w:jc w:val="center"/>
              <w:rPr>
                <w:rFonts w:hint="eastAsia" w:ascii="宋体" w:hAnsi="宋体" w:eastAsia="宋体" w:cs="宋体"/>
                <w:color w:val="auto"/>
                <w:szCs w:val="21"/>
                <w:highlight w:val="none"/>
              </w:rPr>
            </w:pPr>
          </w:p>
        </w:tc>
      </w:tr>
      <w:tr w14:paraId="42B4671B">
        <w:tblPrEx>
          <w:tblCellMar>
            <w:top w:w="0" w:type="dxa"/>
            <w:left w:w="10" w:type="dxa"/>
            <w:bottom w:w="0" w:type="dxa"/>
            <w:right w:w="10" w:type="dxa"/>
          </w:tblCellMar>
        </w:tblPrEx>
        <w:trPr>
          <w:trHeight w:val="351" w:hRule="atLeast"/>
          <w:jc w:val="center"/>
        </w:trPr>
        <w:tc>
          <w:tcPr>
            <w:tcW w:w="630" w:type="dxa"/>
            <w:tcBorders>
              <w:top w:val="single" w:color="auto" w:sz="6" w:space="0"/>
              <w:left w:val="single" w:color="auto" w:sz="6" w:space="0"/>
              <w:bottom w:val="single" w:color="auto" w:sz="6" w:space="0"/>
              <w:right w:val="single" w:color="auto" w:sz="6" w:space="0"/>
            </w:tcBorders>
            <w:noWrap w:val="0"/>
            <w:vAlign w:val="top"/>
          </w:tcPr>
          <w:p w14:paraId="6DC6AFB1">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1007" w:type="dxa"/>
            <w:tcBorders>
              <w:top w:val="single" w:color="auto" w:sz="6" w:space="0"/>
              <w:left w:val="single" w:color="auto" w:sz="6" w:space="0"/>
              <w:bottom w:val="single" w:color="auto" w:sz="6" w:space="0"/>
              <w:right w:val="single" w:color="auto" w:sz="6" w:space="0"/>
            </w:tcBorders>
            <w:noWrap w:val="0"/>
            <w:vAlign w:val="top"/>
          </w:tcPr>
          <w:p w14:paraId="55B83D46">
            <w:pPr>
              <w:tabs>
                <w:tab w:val="left" w:pos="1418"/>
              </w:tabs>
              <w:autoSpaceDE w:val="0"/>
              <w:autoSpaceDN w:val="0"/>
              <w:spacing w:before="50" w:after="5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p>
        </w:tc>
        <w:tc>
          <w:tcPr>
            <w:tcW w:w="735" w:type="dxa"/>
            <w:tcBorders>
              <w:top w:val="single" w:color="auto" w:sz="6" w:space="0"/>
              <w:left w:val="single" w:color="auto" w:sz="6" w:space="0"/>
              <w:bottom w:val="single" w:color="auto" w:sz="6" w:space="0"/>
              <w:right w:val="single" w:color="auto" w:sz="6" w:space="0"/>
            </w:tcBorders>
            <w:noWrap w:val="0"/>
            <w:vAlign w:val="top"/>
          </w:tcPr>
          <w:p w14:paraId="195E09A3">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960" w:type="dxa"/>
            <w:tcBorders>
              <w:top w:val="single" w:color="auto" w:sz="6" w:space="0"/>
              <w:left w:val="single" w:color="auto" w:sz="6" w:space="0"/>
              <w:bottom w:val="single" w:color="auto" w:sz="6" w:space="0"/>
              <w:right w:val="single" w:color="auto" w:sz="6" w:space="0"/>
            </w:tcBorders>
            <w:noWrap w:val="0"/>
            <w:vAlign w:val="top"/>
          </w:tcPr>
          <w:p w14:paraId="0753F258">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1385" w:type="dxa"/>
            <w:tcBorders>
              <w:top w:val="single" w:color="auto" w:sz="6" w:space="0"/>
              <w:left w:val="single" w:color="auto" w:sz="6" w:space="0"/>
              <w:bottom w:val="single" w:color="auto" w:sz="6" w:space="0"/>
              <w:right w:val="single" w:color="auto" w:sz="6" w:space="0"/>
            </w:tcBorders>
            <w:noWrap w:val="0"/>
            <w:vAlign w:val="top"/>
          </w:tcPr>
          <w:p w14:paraId="29B291F5">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780" w:type="dxa"/>
            <w:tcBorders>
              <w:top w:val="single" w:color="auto" w:sz="6" w:space="0"/>
              <w:left w:val="single" w:color="auto" w:sz="6" w:space="0"/>
              <w:bottom w:val="single" w:color="auto" w:sz="6" w:space="0"/>
              <w:right w:val="single" w:color="auto" w:sz="6" w:space="0"/>
            </w:tcBorders>
            <w:noWrap w:val="0"/>
            <w:vAlign w:val="top"/>
          </w:tcPr>
          <w:p w14:paraId="07360F5A">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660" w:type="dxa"/>
            <w:tcBorders>
              <w:top w:val="single" w:color="auto" w:sz="6" w:space="0"/>
              <w:left w:val="single" w:color="auto" w:sz="6" w:space="0"/>
              <w:bottom w:val="single" w:color="auto" w:sz="6" w:space="0"/>
              <w:right w:val="single" w:color="auto" w:sz="6" w:space="0"/>
            </w:tcBorders>
            <w:noWrap w:val="0"/>
            <w:vAlign w:val="top"/>
          </w:tcPr>
          <w:p w14:paraId="29408B38">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660" w:type="dxa"/>
            <w:tcBorders>
              <w:top w:val="single" w:color="auto" w:sz="6" w:space="0"/>
              <w:left w:val="single" w:color="auto" w:sz="6" w:space="0"/>
              <w:bottom w:val="single" w:color="auto" w:sz="6" w:space="0"/>
              <w:right w:val="single" w:color="auto" w:sz="6" w:space="0"/>
            </w:tcBorders>
            <w:noWrap w:val="0"/>
            <w:vAlign w:val="top"/>
          </w:tcPr>
          <w:p w14:paraId="41012975">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750" w:type="dxa"/>
            <w:tcBorders>
              <w:top w:val="single" w:color="auto" w:sz="6" w:space="0"/>
              <w:left w:val="single" w:color="auto" w:sz="6" w:space="0"/>
              <w:bottom w:val="single" w:color="auto" w:sz="6" w:space="0"/>
              <w:right w:val="single" w:color="auto" w:sz="6" w:space="0"/>
            </w:tcBorders>
            <w:noWrap w:val="0"/>
            <w:vAlign w:val="top"/>
          </w:tcPr>
          <w:p w14:paraId="26447DC4">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780" w:type="dxa"/>
            <w:tcBorders>
              <w:top w:val="single" w:color="auto" w:sz="6" w:space="0"/>
              <w:left w:val="single" w:color="auto" w:sz="6" w:space="0"/>
              <w:bottom w:val="single" w:color="auto" w:sz="6" w:space="0"/>
              <w:right w:val="single" w:color="auto" w:sz="6" w:space="0"/>
            </w:tcBorders>
            <w:noWrap w:val="0"/>
            <w:vAlign w:val="top"/>
          </w:tcPr>
          <w:p w14:paraId="4BBAC4B6">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570" w:type="dxa"/>
            <w:tcBorders>
              <w:top w:val="single" w:color="auto" w:sz="6" w:space="0"/>
              <w:left w:val="single" w:color="auto" w:sz="6" w:space="0"/>
              <w:bottom w:val="single" w:color="auto" w:sz="6" w:space="0"/>
              <w:right w:val="single" w:color="auto" w:sz="6" w:space="0"/>
            </w:tcBorders>
            <w:noWrap w:val="0"/>
            <w:vAlign w:val="top"/>
          </w:tcPr>
          <w:p w14:paraId="318019AC">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555" w:type="dxa"/>
            <w:tcBorders>
              <w:top w:val="single" w:color="auto" w:sz="6" w:space="0"/>
              <w:left w:val="single" w:color="auto" w:sz="6" w:space="0"/>
              <w:bottom w:val="single" w:color="auto" w:sz="6" w:space="0"/>
              <w:right w:val="single" w:color="auto" w:sz="6" w:space="0"/>
            </w:tcBorders>
            <w:noWrap w:val="0"/>
            <w:vAlign w:val="top"/>
          </w:tcPr>
          <w:p w14:paraId="0156DA19">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r>
      <w:tr w14:paraId="0FE3012F">
        <w:tblPrEx>
          <w:tblCellMar>
            <w:top w:w="0" w:type="dxa"/>
            <w:left w:w="10" w:type="dxa"/>
            <w:bottom w:w="0" w:type="dxa"/>
            <w:right w:w="10" w:type="dxa"/>
          </w:tblCellMar>
        </w:tblPrEx>
        <w:trPr>
          <w:jc w:val="center"/>
        </w:trPr>
        <w:tc>
          <w:tcPr>
            <w:tcW w:w="8917" w:type="dxa"/>
            <w:gridSpan w:val="11"/>
            <w:tcBorders>
              <w:top w:val="single" w:color="auto" w:sz="6" w:space="0"/>
              <w:left w:val="single" w:color="auto" w:sz="6" w:space="0"/>
              <w:bottom w:val="single" w:color="auto" w:sz="6" w:space="0"/>
              <w:right w:val="single" w:color="auto" w:sz="6" w:space="0"/>
            </w:tcBorders>
            <w:noWrap w:val="0"/>
            <w:vAlign w:val="top"/>
          </w:tcPr>
          <w:p w14:paraId="75EDCD0F">
            <w:pPr>
              <w:tabs>
                <w:tab w:val="left" w:pos="1418"/>
              </w:tabs>
              <w:autoSpaceDE w:val="0"/>
              <w:autoSpaceDN w:val="0"/>
              <w:spacing w:before="50" w:after="5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投 标</w:t>
            </w:r>
            <w:r>
              <w:rPr>
                <w:rFonts w:hint="eastAsia" w:ascii="宋体" w:hAnsi="宋体" w:eastAsia="宋体" w:cs="宋体"/>
                <w:color w:val="auto"/>
                <w:szCs w:val="21"/>
                <w:highlight w:val="none"/>
                <w:lang w:val="zh-CN"/>
              </w:rPr>
              <w:t xml:space="preserve">  总  价</w:t>
            </w:r>
          </w:p>
        </w:tc>
        <w:tc>
          <w:tcPr>
            <w:tcW w:w="555" w:type="dxa"/>
            <w:tcBorders>
              <w:top w:val="single" w:color="auto" w:sz="6" w:space="0"/>
              <w:left w:val="single" w:color="auto" w:sz="6" w:space="0"/>
              <w:bottom w:val="single" w:color="auto" w:sz="6" w:space="0"/>
              <w:right w:val="single" w:color="auto" w:sz="6" w:space="0"/>
            </w:tcBorders>
            <w:noWrap w:val="0"/>
            <w:vAlign w:val="top"/>
          </w:tcPr>
          <w:p w14:paraId="03534EE5">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r>
    </w:tbl>
    <w:p w14:paraId="47572787">
      <w:pPr>
        <w:spacing w:line="360" w:lineRule="auto"/>
        <w:rPr>
          <w:rFonts w:hint="eastAsia" w:ascii="宋体" w:hAnsi="宋体" w:eastAsia="宋体" w:cs="宋体"/>
          <w:color w:val="auto"/>
          <w:szCs w:val="21"/>
          <w:highlight w:val="none"/>
          <w:lang w:val="zh-CN"/>
        </w:rPr>
      </w:pPr>
    </w:p>
    <w:p w14:paraId="0D785B40">
      <w:pPr>
        <w:autoSpaceDE w:val="0"/>
        <w:autoSpaceDN w:val="0"/>
        <w:spacing w:before="50" w:after="50"/>
        <w:rPr>
          <w:rFonts w:hint="eastAsia" w:ascii="宋体" w:hAnsi="宋体" w:eastAsia="宋体" w:cs="宋体"/>
          <w:color w:val="auto"/>
          <w:szCs w:val="21"/>
          <w:highlight w:val="none"/>
          <w:lang w:val="zh-CN"/>
        </w:rPr>
      </w:pPr>
      <w:r>
        <w:rPr>
          <w:rFonts w:hint="eastAsia" w:ascii="宋体" w:hAnsi="宋体" w:eastAsia="宋体" w:cs="宋体"/>
          <w:b/>
          <w:bCs/>
          <w:color w:val="auto"/>
          <w:szCs w:val="21"/>
          <w:highlight w:val="none"/>
          <w:lang w:val="zh-CN"/>
        </w:rPr>
        <w:t>注：</w:t>
      </w:r>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lang w:val="zh-CN"/>
        </w:rPr>
        <w:t>按《第二章  磋商需求》填写。若我方成交，承诺最终成交报价与本次总报价所折合的优惠率即为综合优惠率，成交后的所有设备清单单价优惠率与综合优惠率一致。</w:t>
      </w:r>
    </w:p>
    <w:p w14:paraId="2241AA1D">
      <w:pPr>
        <w:tabs>
          <w:tab w:val="left" w:pos="1176"/>
        </w:tabs>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2.报价一经涂改，应在涂改处加盖单位公章或者由法定代表人或授权委托人签字或盖章，否则作无效标处理。</w:t>
      </w:r>
    </w:p>
    <w:p w14:paraId="5E5AC134">
      <w:pPr>
        <w:tabs>
          <w:tab w:val="left" w:pos="1176"/>
        </w:tabs>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3.本表总价金额应与磋商报价一览表“磋商报价”金额一致。</w:t>
      </w:r>
    </w:p>
    <w:p w14:paraId="0D3EA67A">
      <w:pPr>
        <w:tabs>
          <w:tab w:val="left" w:pos="1176"/>
        </w:tabs>
        <w:spacing w:line="480" w:lineRule="exact"/>
        <w:rPr>
          <w:rFonts w:hint="eastAsia" w:ascii="宋体" w:hAnsi="宋体" w:eastAsia="宋体" w:cs="宋体"/>
          <w:color w:val="auto"/>
          <w:szCs w:val="21"/>
          <w:highlight w:val="none"/>
        </w:rPr>
      </w:pPr>
    </w:p>
    <w:p w14:paraId="0E2ECB2F">
      <w:pPr>
        <w:spacing w:line="360" w:lineRule="auto"/>
        <w:ind w:firstLine="2835" w:firstLineChars="13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供应商名称(盖章)：</w:t>
      </w:r>
      <w:r>
        <w:rPr>
          <w:rFonts w:hint="eastAsia" w:ascii="宋体" w:hAnsi="宋体" w:eastAsia="宋体" w:cs="宋体"/>
          <w:color w:val="auto"/>
          <w:szCs w:val="21"/>
          <w:highlight w:val="none"/>
          <w:u w:val="single"/>
        </w:rPr>
        <w:t xml:space="preserve">                           </w:t>
      </w:r>
    </w:p>
    <w:p w14:paraId="12A841CC">
      <w:pPr>
        <w:spacing w:line="360" w:lineRule="auto"/>
        <w:ind w:firstLine="2835" w:firstLineChars="1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法定代表人或授权代表（签字或盖章）：</w:t>
      </w:r>
      <w:r>
        <w:rPr>
          <w:rFonts w:hint="eastAsia" w:ascii="宋体" w:hAnsi="宋体" w:eastAsia="宋体" w:cs="宋体"/>
          <w:color w:val="auto"/>
          <w:szCs w:val="21"/>
          <w:highlight w:val="none"/>
          <w:u w:val="single"/>
        </w:rPr>
        <w:t xml:space="preserve">          </w:t>
      </w:r>
    </w:p>
    <w:p w14:paraId="31720B93">
      <w:pPr>
        <w:spacing w:line="360" w:lineRule="auto"/>
        <w:ind w:firstLine="2835" w:firstLineChars="135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14:paraId="179EE7DA">
      <w:pPr>
        <w:spacing w:line="360" w:lineRule="auto"/>
        <w:ind w:firstLine="420" w:firstLineChars="200"/>
        <w:rPr>
          <w:rFonts w:hint="eastAsia" w:ascii="宋体" w:hAnsi="宋体" w:eastAsia="宋体" w:cs="宋体"/>
          <w:color w:val="auto"/>
          <w:highlight w:val="none"/>
          <w:lang w:val="zh-CN"/>
        </w:rPr>
      </w:pPr>
    </w:p>
    <w:sectPr>
      <w:footerReference r:id="rId11" w:type="default"/>
      <w:pgSz w:w="11906" w:h="16838"/>
      <w:pgMar w:top="1440" w:right="1080" w:bottom="1440" w:left="1080" w:header="851" w:footer="850"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ì.">
    <w:altName w:val="宋体"/>
    <w:panose1 w:val="00000000000000000000"/>
    <w:charset w:val="86"/>
    <w:family w:val="roman"/>
    <w:pitch w:val="default"/>
    <w:sig w:usb0="00000000" w:usb1="00000000" w:usb2="00000000"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3F72F">
    <w:pPr>
      <w:tabs>
        <w:tab w:val="left" w:pos="5182"/>
      </w:tabs>
      <w:ind w:right="360"/>
      <w:rPr>
        <w:rFonts w:eastAsia="宋体"/>
        <w:sz w:val="18"/>
        <w:szCs w:val="18"/>
      </w:rPr>
    </w:pPr>
    <w:r>
      <w:rPr>
        <w:rFonts w:hint="eastAsia" w:eastAsia="宋体"/>
        <w:sz w:val="18"/>
        <w:szCs w:val="18"/>
        <w:lang w:eastAsia="zh-CN"/>
      </w:rPr>
      <w:t>湖州同力招标代理有限公司</w:t>
    </w:r>
    <w:r>
      <w:rPr>
        <w:rFonts w:hint="eastAsia" w:eastAsia="宋体"/>
        <w:sz w:val="18"/>
        <w:szCs w:val="18"/>
      </w:rPr>
      <w:t xml:space="preserve">  </w:t>
    </w:r>
  </w:p>
  <w:p w14:paraId="5DFDD771">
    <w:pPr>
      <w:ind w:right="360"/>
      <w:rPr>
        <w:sz w:val="24"/>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5018E">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BDA58">
    <w:pPr>
      <w:pStyle w:val="36"/>
      <w:tabs>
        <w:tab w:val="left" w:pos="8691"/>
        <w:tab w:val="clear" w:pos="4153"/>
      </w:tabs>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05CC9">
    <w:pPr>
      <w:pStyle w:val="3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AEA97">
    <w:pPr>
      <w:pStyle w:val="3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12E54EC">
                          <w:pPr>
                            <w:pStyle w:val="3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712E54EC">
                    <w:pPr>
                      <w:pStyle w:val="3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E981D">
    <w:pPr>
      <w:pStyle w:val="38"/>
      <w:pBdr>
        <w:bottom w:val="none" w:color="auto" w:sz="0" w:space="1"/>
      </w:pBdr>
      <w:jc w:val="left"/>
      <w:rPr>
        <w:rFonts w:ascii="宋体" w:hAnsi="宋体" w:eastAsia="宋体" w:cs="宋体"/>
      </w:rPr>
    </w:pPr>
    <w:r>
      <w:rPr>
        <w:rFonts w:hint="eastAsia" w:ascii="宋体" w:hAnsi="宋体" w:eastAsia="宋体" w:cs="宋体"/>
        <w:lang w:val="zh-CN"/>
      </w:rPr>
      <w:t>长兴县农业农村局礼堂椅采购项目</w:t>
    </w:r>
    <w:r>
      <w:rPr>
        <w:rFonts w:hint="eastAsia" w:ascii="宋体" w:hAnsi="宋体" w:eastAsia="宋体" w:cs="宋体"/>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B2799">
    <w:pPr>
      <w:pStyle w:val="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C8DC8">
    <w:pPr>
      <w:pStyle w:val="3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37AD1">
    <w:pPr>
      <w:pStyle w:val="38"/>
      <w:pBdr>
        <w:bottom w:val="none" w:color="auto" w:sz="0" w:space="1"/>
      </w:pBdr>
      <w:jc w:val="both"/>
      <w:rPr>
        <w:rFonts w:ascii="宋体" w:hAnsi="宋体" w:eastAsia="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DD295C"/>
    <w:multiLevelType w:val="singleLevel"/>
    <w:tmpl w:val="DADD295C"/>
    <w:lvl w:ilvl="0" w:tentative="0">
      <w:start w:val="2"/>
      <w:numFmt w:val="chineseCounting"/>
      <w:suff w:val="nothing"/>
      <w:lvlText w:val="%1、"/>
      <w:lvlJc w:val="left"/>
      <w:rPr>
        <w:rFonts w:hint="eastAsia"/>
      </w:rPr>
    </w:lvl>
  </w:abstractNum>
  <w:abstractNum w:abstractNumId="1">
    <w:nsid w:val="ED797E2B"/>
    <w:multiLevelType w:val="singleLevel"/>
    <w:tmpl w:val="ED797E2B"/>
    <w:lvl w:ilvl="0" w:tentative="0">
      <w:start w:val="7"/>
      <w:numFmt w:val="chineseCounting"/>
      <w:suff w:val="nothing"/>
      <w:lvlText w:val="%1、"/>
      <w:lvlJc w:val="left"/>
      <w:rPr>
        <w:rFonts w:hint="eastAsia"/>
      </w:rPr>
    </w:lvl>
  </w:abstractNum>
  <w:abstractNum w:abstractNumId="2">
    <w:nsid w:val="00000002"/>
    <w:multiLevelType w:val="singleLevel"/>
    <w:tmpl w:val="00000002"/>
    <w:lvl w:ilvl="0" w:tentative="0">
      <w:start w:val="1"/>
      <w:numFmt w:val="decimal"/>
      <w:pStyle w:val="24"/>
      <w:lvlText w:val="%1."/>
      <w:lvlJc w:val="left"/>
      <w:pPr>
        <w:tabs>
          <w:tab w:val="left" w:pos="1200"/>
        </w:tabs>
        <w:ind w:left="1200" w:hanging="360"/>
      </w:pPr>
    </w:lvl>
  </w:abstractNum>
  <w:abstractNum w:abstractNumId="3">
    <w:nsid w:val="0053208E"/>
    <w:multiLevelType w:val="multilevel"/>
    <w:tmpl w:val="0053208E"/>
    <w:lvl w:ilvl="0" w:tentative="0">
      <w:start w:val="1"/>
      <w:numFmt w:val="japaneseCounting"/>
      <w:pStyle w:val="15"/>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0"/>
      <w:numFmt w:val="decimal"/>
      <w:lvlText w:val="（%3）"/>
      <w:lvlJc w:val="left"/>
      <w:pPr>
        <w:tabs>
          <w:tab w:val="left" w:pos="1725"/>
        </w:tabs>
        <w:ind w:left="1725" w:hanging="720"/>
      </w:pPr>
      <w:rPr>
        <w:rFonts w:hint="default" w:ascii="宋体" w:hAnsi="宋体"/>
        <w:b w:val="0"/>
        <w:color w:val="auto"/>
      </w:r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4">
    <w:nsid w:val="2E342379"/>
    <w:multiLevelType w:val="singleLevel"/>
    <w:tmpl w:val="2E342379"/>
    <w:lvl w:ilvl="0" w:tentative="0">
      <w:start w:val="12"/>
      <w:numFmt w:val="decimal"/>
      <w:suff w:val="nothing"/>
      <w:lvlText w:val="%1、"/>
      <w:lvlJc w:val="left"/>
    </w:lvl>
  </w:abstractNum>
  <w:abstractNum w:abstractNumId="5">
    <w:nsid w:val="56172246"/>
    <w:multiLevelType w:val="singleLevel"/>
    <w:tmpl w:val="56172246"/>
    <w:lvl w:ilvl="0" w:tentative="0">
      <w:start w:val="1"/>
      <w:numFmt w:val="decimal"/>
      <w:lvlText w:val="%1."/>
      <w:lvlJc w:val="left"/>
      <w:pPr>
        <w:tabs>
          <w:tab w:val="left" w:pos="312"/>
        </w:tabs>
      </w:pPr>
    </w:lvl>
  </w:abstractNum>
  <w:abstractNum w:abstractNumId="6">
    <w:nsid w:val="57A1FE83"/>
    <w:multiLevelType w:val="singleLevel"/>
    <w:tmpl w:val="57A1FE83"/>
    <w:lvl w:ilvl="0" w:tentative="0">
      <w:start w:val="2"/>
      <w:numFmt w:val="decimal"/>
      <w:suff w:val="nothing"/>
      <w:lvlText w:val="%1."/>
      <w:lvlJc w:val="left"/>
      <w:rPr>
        <w:rFonts w:hint="default" w:ascii="宋体" w:hAnsi="宋体" w:eastAsia="宋体" w:cs="宋体"/>
        <w:b w:val="0"/>
        <w:bCs w:val="0"/>
      </w:rPr>
    </w:lvl>
  </w:abstractNum>
  <w:abstractNum w:abstractNumId="7">
    <w:nsid w:val="7EDBD397"/>
    <w:multiLevelType w:val="singleLevel"/>
    <w:tmpl w:val="7EDBD397"/>
    <w:lvl w:ilvl="0" w:tentative="0">
      <w:start w:val="1"/>
      <w:numFmt w:val="bullet"/>
      <w:pStyle w:val="30"/>
      <w:lvlText w:val=""/>
      <w:lvlJc w:val="left"/>
      <w:pPr>
        <w:tabs>
          <w:tab w:val="left" w:pos="2040"/>
        </w:tabs>
        <w:ind w:left="2040" w:hanging="360"/>
      </w:pPr>
      <w:rPr>
        <w:rFonts w:hint="default" w:ascii="Wingdings" w:hAnsi="Wingdings"/>
      </w:rPr>
    </w:lvl>
  </w:abstractNum>
  <w:num w:numId="1">
    <w:abstractNumId w:val="3"/>
  </w:num>
  <w:num w:numId="2">
    <w:abstractNumId w:val="2"/>
  </w:num>
  <w:num w:numId="3">
    <w:abstractNumId w:val="7"/>
  </w:num>
  <w:num w:numId="4">
    <w:abstractNumId w:val="0"/>
  </w:num>
  <w:num w:numId="5">
    <w:abstractNumId w:val="4"/>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yNmE1MzkxNzk5YTAyYzVkODRkMzYzYjU5MDllZmEifQ=="/>
  </w:docVars>
  <w:rsids>
    <w:rsidRoot w:val="00172A27"/>
    <w:rsid w:val="00000E2C"/>
    <w:rsid w:val="00012CFA"/>
    <w:rsid w:val="000137B9"/>
    <w:rsid w:val="000142A6"/>
    <w:rsid w:val="0001526F"/>
    <w:rsid w:val="000200CE"/>
    <w:rsid w:val="00021B2F"/>
    <w:rsid w:val="00023D01"/>
    <w:rsid w:val="00024E9C"/>
    <w:rsid w:val="00031ABB"/>
    <w:rsid w:val="0003517A"/>
    <w:rsid w:val="00035ACF"/>
    <w:rsid w:val="00035C6E"/>
    <w:rsid w:val="00037EFA"/>
    <w:rsid w:val="000420BE"/>
    <w:rsid w:val="00044BAD"/>
    <w:rsid w:val="00044E3A"/>
    <w:rsid w:val="000469B1"/>
    <w:rsid w:val="0004790D"/>
    <w:rsid w:val="000516A0"/>
    <w:rsid w:val="000517A3"/>
    <w:rsid w:val="00051F9F"/>
    <w:rsid w:val="000522D0"/>
    <w:rsid w:val="00054296"/>
    <w:rsid w:val="00054BFB"/>
    <w:rsid w:val="000569CA"/>
    <w:rsid w:val="00060F24"/>
    <w:rsid w:val="0006234B"/>
    <w:rsid w:val="00063F04"/>
    <w:rsid w:val="0006509A"/>
    <w:rsid w:val="00071F56"/>
    <w:rsid w:val="00081251"/>
    <w:rsid w:val="00083515"/>
    <w:rsid w:val="000913FC"/>
    <w:rsid w:val="000919D3"/>
    <w:rsid w:val="00096195"/>
    <w:rsid w:val="00096CCB"/>
    <w:rsid w:val="000B6777"/>
    <w:rsid w:val="000C516B"/>
    <w:rsid w:val="000C5C0A"/>
    <w:rsid w:val="000C5D73"/>
    <w:rsid w:val="000D06B3"/>
    <w:rsid w:val="000D2EF9"/>
    <w:rsid w:val="000D34D7"/>
    <w:rsid w:val="000D5F4B"/>
    <w:rsid w:val="000E1AE6"/>
    <w:rsid w:val="000F0351"/>
    <w:rsid w:val="000F38C6"/>
    <w:rsid w:val="000F4C6F"/>
    <w:rsid w:val="000F5BEF"/>
    <w:rsid w:val="001025DE"/>
    <w:rsid w:val="0010412D"/>
    <w:rsid w:val="00110040"/>
    <w:rsid w:val="00114499"/>
    <w:rsid w:val="00116C69"/>
    <w:rsid w:val="0012718E"/>
    <w:rsid w:val="00127B5A"/>
    <w:rsid w:val="001306D9"/>
    <w:rsid w:val="0013191E"/>
    <w:rsid w:val="001319DE"/>
    <w:rsid w:val="001324CD"/>
    <w:rsid w:val="00133AC5"/>
    <w:rsid w:val="00134E1B"/>
    <w:rsid w:val="00141D02"/>
    <w:rsid w:val="00142ADA"/>
    <w:rsid w:val="00142EE2"/>
    <w:rsid w:val="00146D3A"/>
    <w:rsid w:val="0015308A"/>
    <w:rsid w:val="0016359C"/>
    <w:rsid w:val="0016368D"/>
    <w:rsid w:val="0016574C"/>
    <w:rsid w:val="00165998"/>
    <w:rsid w:val="00166902"/>
    <w:rsid w:val="001729A8"/>
    <w:rsid w:val="00172A27"/>
    <w:rsid w:val="00175042"/>
    <w:rsid w:val="00175D3F"/>
    <w:rsid w:val="00183579"/>
    <w:rsid w:val="00184034"/>
    <w:rsid w:val="00186F64"/>
    <w:rsid w:val="00194102"/>
    <w:rsid w:val="001A03CA"/>
    <w:rsid w:val="001A0535"/>
    <w:rsid w:val="001A3A58"/>
    <w:rsid w:val="001A622F"/>
    <w:rsid w:val="001A6D1B"/>
    <w:rsid w:val="001B3AD3"/>
    <w:rsid w:val="001B3D32"/>
    <w:rsid w:val="001B6E14"/>
    <w:rsid w:val="001C17C2"/>
    <w:rsid w:val="001C19A7"/>
    <w:rsid w:val="001C3E41"/>
    <w:rsid w:val="001C67FA"/>
    <w:rsid w:val="001D02C2"/>
    <w:rsid w:val="001D27A0"/>
    <w:rsid w:val="001D2C62"/>
    <w:rsid w:val="001D4954"/>
    <w:rsid w:val="001E744A"/>
    <w:rsid w:val="001F0FAC"/>
    <w:rsid w:val="001F12FD"/>
    <w:rsid w:val="001F199E"/>
    <w:rsid w:val="001F7281"/>
    <w:rsid w:val="002003C4"/>
    <w:rsid w:val="002012E3"/>
    <w:rsid w:val="002041BE"/>
    <w:rsid w:val="00205601"/>
    <w:rsid w:val="0021017B"/>
    <w:rsid w:val="00210696"/>
    <w:rsid w:val="0021080B"/>
    <w:rsid w:val="00212BFF"/>
    <w:rsid w:val="00214D31"/>
    <w:rsid w:val="00214EF5"/>
    <w:rsid w:val="00222F60"/>
    <w:rsid w:val="00226321"/>
    <w:rsid w:val="00227181"/>
    <w:rsid w:val="002315C3"/>
    <w:rsid w:val="00231A57"/>
    <w:rsid w:val="00236749"/>
    <w:rsid w:val="0024486D"/>
    <w:rsid w:val="00244F4C"/>
    <w:rsid w:val="00245663"/>
    <w:rsid w:val="00247288"/>
    <w:rsid w:val="0024757C"/>
    <w:rsid w:val="00250E18"/>
    <w:rsid w:val="002544CB"/>
    <w:rsid w:val="00255961"/>
    <w:rsid w:val="00256FBF"/>
    <w:rsid w:val="00264D23"/>
    <w:rsid w:val="00264D42"/>
    <w:rsid w:val="0027014A"/>
    <w:rsid w:val="00274843"/>
    <w:rsid w:val="002843D4"/>
    <w:rsid w:val="002900D4"/>
    <w:rsid w:val="00294AFA"/>
    <w:rsid w:val="002A05B2"/>
    <w:rsid w:val="002A394E"/>
    <w:rsid w:val="002A5F80"/>
    <w:rsid w:val="002A6056"/>
    <w:rsid w:val="002C1B6B"/>
    <w:rsid w:val="002C5C56"/>
    <w:rsid w:val="002C6A68"/>
    <w:rsid w:val="002C6D8B"/>
    <w:rsid w:val="002C6F52"/>
    <w:rsid w:val="002D0641"/>
    <w:rsid w:val="002D4B91"/>
    <w:rsid w:val="002D7F3C"/>
    <w:rsid w:val="002E02C7"/>
    <w:rsid w:val="002E1DC9"/>
    <w:rsid w:val="002E21DB"/>
    <w:rsid w:val="002E588C"/>
    <w:rsid w:val="002E754F"/>
    <w:rsid w:val="002F06C8"/>
    <w:rsid w:val="002F4932"/>
    <w:rsid w:val="00303B60"/>
    <w:rsid w:val="00322666"/>
    <w:rsid w:val="00326926"/>
    <w:rsid w:val="003336CA"/>
    <w:rsid w:val="00335149"/>
    <w:rsid w:val="00340EA1"/>
    <w:rsid w:val="00341794"/>
    <w:rsid w:val="003426F8"/>
    <w:rsid w:val="0034272F"/>
    <w:rsid w:val="00344715"/>
    <w:rsid w:val="00345A5B"/>
    <w:rsid w:val="003465EA"/>
    <w:rsid w:val="00347943"/>
    <w:rsid w:val="00352917"/>
    <w:rsid w:val="003531D1"/>
    <w:rsid w:val="003544A9"/>
    <w:rsid w:val="00356B39"/>
    <w:rsid w:val="0036324E"/>
    <w:rsid w:val="00365334"/>
    <w:rsid w:val="003675E4"/>
    <w:rsid w:val="00370A7B"/>
    <w:rsid w:val="00370EB2"/>
    <w:rsid w:val="0037699D"/>
    <w:rsid w:val="003779E6"/>
    <w:rsid w:val="00377A89"/>
    <w:rsid w:val="00382818"/>
    <w:rsid w:val="00390676"/>
    <w:rsid w:val="00390761"/>
    <w:rsid w:val="00394997"/>
    <w:rsid w:val="0039752A"/>
    <w:rsid w:val="003A11BF"/>
    <w:rsid w:val="003A676C"/>
    <w:rsid w:val="003B0335"/>
    <w:rsid w:val="003B2320"/>
    <w:rsid w:val="003B2FA2"/>
    <w:rsid w:val="003B3945"/>
    <w:rsid w:val="003B4055"/>
    <w:rsid w:val="003B4B2A"/>
    <w:rsid w:val="003B58DC"/>
    <w:rsid w:val="003C1B0E"/>
    <w:rsid w:val="003C349D"/>
    <w:rsid w:val="003C3540"/>
    <w:rsid w:val="003D4768"/>
    <w:rsid w:val="003D6928"/>
    <w:rsid w:val="003E02F9"/>
    <w:rsid w:val="003E1DE4"/>
    <w:rsid w:val="003E5082"/>
    <w:rsid w:val="003F37BA"/>
    <w:rsid w:val="003F3A43"/>
    <w:rsid w:val="00400403"/>
    <w:rsid w:val="00401361"/>
    <w:rsid w:val="00406AC2"/>
    <w:rsid w:val="004117E1"/>
    <w:rsid w:val="00411CE3"/>
    <w:rsid w:val="00415775"/>
    <w:rsid w:val="00421AEB"/>
    <w:rsid w:val="00424106"/>
    <w:rsid w:val="0043165F"/>
    <w:rsid w:val="00431CC3"/>
    <w:rsid w:val="00435806"/>
    <w:rsid w:val="004374FC"/>
    <w:rsid w:val="00437A4C"/>
    <w:rsid w:val="004463EC"/>
    <w:rsid w:val="00446ECA"/>
    <w:rsid w:val="00451CA9"/>
    <w:rsid w:val="004529EA"/>
    <w:rsid w:val="00454E56"/>
    <w:rsid w:val="00456E86"/>
    <w:rsid w:val="004606DC"/>
    <w:rsid w:val="00463804"/>
    <w:rsid w:val="00463CEB"/>
    <w:rsid w:val="00471B2C"/>
    <w:rsid w:val="00471C6B"/>
    <w:rsid w:val="004735DA"/>
    <w:rsid w:val="004753F1"/>
    <w:rsid w:val="0048027B"/>
    <w:rsid w:val="00481F03"/>
    <w:rsid w:val="0049203B"/>
    <w:rsid w:val="004931CA"/>
    <w:rsid w:val="004942FC"/>
    <w:rsid w:val="00497051"/>
    <w:rsid w:val="004A3036"/>
    <w:rsid w:val="004A4EB5"/>
    <w:rsid w:val="004A6E35"/>
    <w:rsid w:val="004B7DD6"/>
    <w:rsid w:val="004C46BB"/>
    <w:rsid w:val="004D7CCF"/>
    <w:rsid w:val="004E2D98"/>
    <w:rsid w:val="004E6EC0"/>
    <w:rsid w:val="004F09F6"/>
    <w:rsid w:val="004F7E6D"/>
    <w:rsid w:val="00501725"/>
    <w:rsid w:val="00501EE0"/>
    <w:rsid w:val="00502BF0"/>
    <w:rsid w:val="00511BA3"/>
    <w:rsid w:val="00513599"/>
    <w:rsid w:val="00514191"/>
    <w:rsid w:val="00514E2E"/>
    <w:rsid w:val="00521AF0"/>
    <w:rsid w:val="00523CDA"/>
    <w:rsid w:val="00523FC6"/>
    <w:rsid w:val="005320F2"/>
    <w:rsid w:val="005332E5"/>
    <w:rsid w:val="00536A7C"/>
    <w:rsid w:val="005408D9"/>
    <w:rsid w:val="0054404E"/>
    <w:rsid w:val="0055175A"/>
    <w:rsid w:val="005657DC"/>
    <w:rsid w:val="0056610A"/>
    <w:rsid w:val="00566E02"/>
    <w:rsid w:val="0057206B"/>
    <w:rsid w:val="00572619"/>
    <w:rsid w:val="00575639"/>
    <w:rsid w:val="0057612F"/>
    <w:rsid w:val="00577EB1"/>
    <w:rsid w:val="005821DD"/>
    <w:rsid w:val="00586056"/>
    <w:rsid w:val="0058759D"/>
    <w:rsid w:val="005878C2"/>
    <w:rsid w:val="00592BF0"/>
    <w:rsid w:val="00594B22"/>
    <w:rsid w:val="00595923"/>
    <w:rsid w:val="00597C70"/>
    <w:rsid w:val="005A0303"/>
    <w:rsid w:val="005A0312"/>
    <w:rsid w:val="005A1FE8"/>
    <w:rsid w:val="005A2B7C"/>
    <w:rsid w:val="005A44EE"/>
    <w:rsid w:val="005A7C46"/>
    <w:rsid w:val="005B2546"/>
    <w:rsid w:val="005B4073"/>
    <w:rsid w:val="005B4AF8"/>
    <w:rsid w:val="005C4682"/>
    <w:rsid w:val="005C6F78"/>
    <w:rsid w:val="005D3EE3"/>
    <w:rsid w:val="005D4681"/>
    <w:rsid w:val="005E33EB"/>
    <w:rsid w:val="005E3BCC"/>
    <w:rsid w:val="005E4272"/>
    <w:rsid w:val="005E553B"/>
    <w:rsid w:val="005E6D5E"/>
    <w:rsid w:val="005F1DF6"/>
    <w:rsid w:val="005F756D"/>
    <w:rsid w:val="006011A1"/>
    <w:rsid w:val="00601D18"/>
    <w:rsid w:val="00601E7D"/>
    <w:rsid w:val="00605101"/>
    <w:rsid w:val="00606892"/>
    <w:rsid w:val="00606AE9"/>
    <w:rsid w:val="0061229B"/>
    <w:rsid w:val="0061783D"/>
    <w:rsid w:val="00621268"/>
    <w:rsid w:val="006215BE"/>
    <w:rsid w:val="00621A99"/>
    <w:rsid w:val="00622D38"/>
    <w:rsid w:val="00625FE6"/>
    <w:rsid w:val="00636681"/>
    <w:rsid w:val="00637879"/>
    <w:rsid w:val="006450D3"/>
    <w:rsid w:val="00646330"/>
    <w:rsid w:val="00652929"/>
    <w:rsid w:val="00653781"/>
    <w:rsid w:val="00662475"/>
    <w:rsid w:val="0067029B"/>
    <w:rsid w:val="006716C3"/>
    <w:rsid w:val="00672431"/>
    <w:rsid w:val="0067390D"/>
    <w:rsid w:val="0067672B"/>
    <w:rsid w:val="00676836"/>
    <w:rsid w:val="00683434"/>
    <w:rsid w:val="006837DF"/>
    <w:rsid w:val="0068483A"/>
    <w:rsid w:val="00684D2E"/>
    <w:rsid w:val="00685CA5"/>
    <w:rsid w:val="00686121"/>
    <w:rsid w:val="00691A3D"/>
    <w:rsid w:val="006927D3"/>
    <w:rsid w:val="00694A85"/>
    <w:rsid w:val="00694DE6"/>
    <w:rsid w:val="006A04C0"/>
    <w:rsid w:val="006A5C61"/>
    <w:rsid w:val="006A7CEC"/>
    <w:rsid w:val="006B1F29"/>
    <w:rsid w:val="006B53A4"/>
    <w:rsid w:val="006B7F87"/>
    <w:rsid w:val="006C5785"/>
    <w:rsid w:val="006D098B"/>
    <w:rsid w:val="006D2C99"/>
    <w:rsid w:val="006D3883"/>
    <w:rsid w:val="006D7F6B"/>
    <w:rsid w:val="006E0FC3"/>
    <w:rsid w:val="006E41B9"/>
    <w:rsid w:val="006E4A47"/>
    <w:rsid w:val="006E6543"/>
    <w:rsid w:val="006E7D20"/>
    <w:rsid w:val="006F41A6"/>
    <w:rsid w:val="006F4AC9"/>
    <w:rsid w:val="006F517E"/>
    <w:rsid w:val="00700BC8"/>
    <w:rsid w:val="00704339"/>
    <w:rsid w:val="00707A64"/>
    <w:rsid w:val="007117EF"/>
    <w:rsid w:val="00712434"/>
    <w:rsid w:val="00713EAE"/>
    <w:rsid w:val="00716D45"/>
    <w:rsid w:val="00717083"/>
    <w:rsid w:val="00720FF5"/>
    <w:rsid w:val="00723C37"/>
    <w:rsid w:val="00725819"/>
    <w:rsid w:val="007336EB"/>
    <w:rsid w:val="00735253"/>
    <w:rsid w:val="00736780"/>
    <w:rsid w:val="00737724"/>
    <w:rsid w:val="007471EE"/>
    <w:rsid w:val="00751738"/>
    <w:rsid w:val="00751836"/>
    <w:rsid w:val="00762DD7"/>
    <w:rsid w:val="00763F9C"/>
    <w:rsid w:val="00764B36"/>
    <w:rsid w:val="00765770"/>
    <w:rsid w:val="007659E3"/>
    <w:rsid w:val="007721C5"/>
    <w:rsid w:val="00772501"/>
    <w:rsid w:val="00773B64"/>
    <w:rsid w:val="00774D6D"/>
    <w:rsid w:val="00774EB3"/>
    <w:rsid w:val="0078089F"/>
    <w:rsid w:val="007831EE"/>
    <w:rsid w:val="007935D0"/>
    <w:rsid w:val="00793C45"/>
    <w:rsid w:val="0079402B"/>
    <w:rsid w:val="00794B89"/>
    <w:rsid w:val="00796646"/>
    <w:rsid w:val="007A7E0E"/>
    <w:rsid w:val="007B0BAC"/>
    <w:rsid w:val="007B5386"/>
    <w:rsid w:val="007B7893"/>
    <w:rsid w:val="007B7F6B"/>
    <w:rsid w:val="007C139F"/>
    <w:rsid w:val="007C2CEC"/>
    <w:rsid w:val="007C2D22"/>
    <w:rsid w:val="007C379C"/>
    <w:rsid w:val="007D055A"/>
    <w:rsid w:val="007D1970"/>
    <w:rsid w:val="007D40E5"/>
    <w:rsid w:val="007D4F41"/>
    <w:rsid w:val="007F5FC7"/>
    <w:rsid w:val="007F722A"/>
    <w:rsid w:val="007F7319"/>
    <w:rsid w:val="00800E95"/>
    <w:rsid w:val="0080123E"/>
    <w:rsid w:val="00802185"/>
    <w:rsid w:val="0080488A"/>
    <w:rsid w:val="00810C9D"/>
    <w:rsid w:val="0081580E"/>
    <w:rsid w:val="0081582C"/>
    <w:rsid w:val="00823F4F"/>
    <w:rsid w:val="008262CF"/>
    <w:rsid w:val="00827CE0"/>
    <w:rsid w:val="00830EBD"/>
    <w:rsid w:val="00835467"/>
    <w:rsid w:val="00841745"/>
    <w:rsid w:val="00842D55"/>
    <w:rsid w:val="00850053"/>
    <w:rsid w:val="00850AC1"/>
    <w:rsid w:val="00852A8F"/>
    <w:rsid w:val="00856B5F"/>
    <w:rsid w:val="008577DA"/>
    <w:rsid w:val="008600E0"/>
    <w:rsid w:val="00873F18"/>
    <w:rsid w:val="00875038"/>
    <w:rsid w:val="00876C43"/>
    <w:rsid w:val="00876F42"/>
    <w:rsid w:val="00885B5C"/>
    <w:rsid w:val="00890199"/>
    <w:rsid w:val="0089258E"/>
    <w:rsid w:val="0089600C"/>
    <w:rsid w:val="008978C5"/>
    <w:rsid w:val="008A08FC"/>
    <w:rsid w:val="008A10EA"/>
    <w:rsid w:val="008A4B0E"/>
    <w:rsid w:val="008B3568"/>
    <w:rsid w:val="008B74CA"/>
    <w:rsid w:val="008C1D95"/>
    <w:rsid w:val="008C2FF1"/>
    <w:rsid w:val="008D2178"/>
    <w:rsid w:val="008D3582"/>
    <w:rsid w:val="008D55AF"/>
    <w:rsid w:val="008D6659"/>
    <w:rsid w:val="008D6712"/>
    <w:rsid w:val="008D6F2E"/>
    <w:rsid w:val="008E3E54"/>
    <w:rsid w:val="008F1BA6"/>
    <w:rsid w:val="008F49AC"/>
    <w:rsid w:val="008F57E7"/>
    <w:rsid w:val="008F7E09"/>
    <w:rsid w:val="00906728"/>
    <w:rsid w:val="00910716"/>
    <w:rsid w:val="009205FD"/>
    <w:rsid w:val="00930431"/>
    <w:rsid w:val="00933645"/>
    <w:rsid w:val="00935322"/>
    <w:rsid w:val="00941F9C"/>
    <w:rsid w:val="009509EF"/>
    <w:rsid w:val="00953479"/>
    <w:rsid w:val="00953788"/>
    <w:rsid w:val="00953D0C"/>
    <w:rsid w:val="00955A26"/>
    <w:rsid w:val="009608D4"/>
    <w:rsid w:val="00962974"/>
    <w:rsid w:val="00962C7E"/>
    <w:rsid w:val="00964B19"/>
    <w:rsid w:val="00965C64"/>
    <w:rsid w:val="00970182"/>
    <w:rsid w:val="009707AA"/>
    <w:rsid w:val="0097436C"/>
    <w:rsid w:val="0097566F"/>
    <w:rsid w:val="00976D6F"/>
    <w:rsid w:val="00977318"/>
    <w:rsid w:val="00983464"/>
    <w:rsid w:val="00986FE3"/>
    <w:rsid w:val="00987193"/>
    <w:rsid w:val="009910BE"/>
    <w:rsid w:val="00992607"/>
    <w:rsid w:val="0099330F"/>
    <w:rsid w:val="00996DC3"/>
    <w:rsid w:val="009A0D10"/>
    <w:rsid w:val="009A2F88"/>
    <w:rsid w:val="009A3CAB"/>
    <w:rsid w:val="009B2F8D"/>
    <w:rsid w:val="009B4EEF"/>
    <w:rsid w:val="009C64D7"/>
    <w:rsid w:val="009C7BCB"/>
    <w:rsid w:val="009D15EE"/>
    <w:rsid w:val="009D4FE8"/>
    <w:rsid w:val="009D5C65"/>
    <w:rsid w:val="009E0497"/>
    <w:rsid w:val="009E4545"/>
    <w:rsid w:val="009E4CB0"/>
    <w:rsid w:val="009E53AE"/>
    <w:rsid w:val="009E647F"/>
    <w:rsid w:val="009E7944"/>
    <w:rsid w:val="009E7EB6"/>
    <w:rsid w:val="009F0AE6"/>
    <w:rsid w:val="009F14F4"/>
    <w:rsid w:val="009F4755"/>
    <w:rsid w:val="009F6977"/>
    <w:rsid w:val="00A004A6"/>
    <w:rsid w:val="00A00F13"/>
    <w:rsid w:val="00A02542"/>
    <w:rsid w:val="00A02BA5"/>
    <w:rsid w:val="00A02C29"/>
    <w:rsid w:val="00A02E2B"/>
    <w:rsid w:val="00A041F9"/>
    <w:rsid w:val="00A07C4D"/>
    <w:rsid w:val="00A11F68"/>
    <w:rsid w:val="00A13179"/>
    <w:rsid w:val="00A15744"/>
    <w:rsid w:val="00A163D5"/>
    <w:rsid w:val="00A25B56"/>
    <w:rsid w:val="00A25BCC"/>
    <w:rsid w:val="00A343EC"/>
    <w:rsid w:val="00A401CC"/>
    <w:rsid w:val="00A42D11"/>
    <w:rsid w:val="00A4458A"/>
    <w:rsid w:val="00A46890"/>
    <w:rsid w:val="00A51A99"/>
    <w:rsid w:val="00A53C7F"/>
    <w:rsid w:val="00A55090"/>
    <w:rsid w:val="00A55527"/>
    <w:rsid w:val="00A626DF"/>
    <w:rsid w:val="00A644F1"/>
    <w:rsid w:val="00A648B9"/>
    <w:rsid w:val="00A663F5"/>
    <w:rsid w:val="00A70448"/>
    <w:rsid w:val="00A71B27"/>
    <w:rsid w:val="00A72AE2"/>
    <w:rsid w:val="00A72CD9"/>
    <w:rsid w:val="00A74017"/>
    <w:rsid w:val="00A8626F"/>
    <w:rsid w:val="00A91FA5"/>
    <w:rsid w:val="00A92F10"/>
    <w:rsid w:val="00A941E0"/>
    <w:rsid w:val="00A95A1A"/>
    <w:rsid w:val="00A96AF1"/>
    <w:rsid w:val="00AA034F"/>
    <w:rsid w:val="00AA4EA9"/>
    <w:rsid w:val="00AB4454"/>
    <w:rsid w:val="00AC05C0"/>
    <w:rsid w:val="00AC5C38"/>
    <w:rsid w:val="00AC6362"/>
    <w:rsid w:val="00AC6EF6"/>
    <w:rsid w:val="00AD0966"/>
    <w:rsid w:val="00AD687C"/>
    <w:rsid w:val="00AE29E5"/>
    <w:rsid w:val="00AF2049"/>
    <w:rsid w:val="00AF2793"/>
    <w:rsid w:val="00AF51A0"/>
    <w:rsid w:val="00AF5A3A"/>
    <w:rsid w:val="00AF7A57"/>
    <w:rsid w:val="00B0138B"/>
    <w:rsid w:val="00B03DBE"/>
    <w:rsid w:val="00B045E4"/>
    <w:rsid w:val="00B04D9B"/>
    <w:rsid w:val="00B0672A"/>
    <w:rsid w:val="00B10289"/>
    <w:rsid w:val="00B1028F"/>
    <w:rsid w:val="00B11B32"/>
    <w:rsid w:val="00B125BB"/>
    <w:rsid w:val="00B1425E"/>
    <w:rsid w:val="00B2032F"/>
    <w:rsid w:val="00B24A5F"/>
    <w:rsid w:val="00B25F82"/>
    <w:rsid w:val="00B27A39"/>
    <w:rsid w:val="00B3073B"/>
    <w:rsid w:val="00B30768"/>
    <w:rsid w:val="00B33FF7"/>
    <w:rsid w:val="00B3780D"/>
    <w:rsid w:val="00B43B6A"/>
    <w:rsid w:val="00B44848"/>
    <w:rsid w:val="00B44ABA"/>
    <w:rsid w:val="00B44F8E"/>
    <w:rsid w:val="00B45455"/>
    <w:rsid w:val="00B5606B"/>
    <w:rsid w:val="00B6009B"/>
    <w:rsid w:val="00B61E1B"/>
    <w:rsid w:val="00B6557A"/>
    <w:rsid w:val="00B66DD9"/>
    <w:rsid w:val="00B67349"/>
    <w:rsid w:val="00B67800"/>
    <w:rsid w:val="00B709DC"/>
    <w:rsid w:val="00B7243C"/>
    <w:rsid w:val="00B77E03"/>
    <w:rsid w:val="00B80740"/>
    <w:rsid w:val="00B81CE7"/>
    <w:rsid w:val="00B82697"/>
    <w:rsid w:val="00B827CA"/>
    <w:rsid w:val="00B85B11"/>
    <w:rsid w:val="00B8691B"/>
    <w:rsid w:val="00B95A01"/>
    <w:rsid w:val="00BA1960"/>
    <w:rsid w:val="00BA5833"/>
    <w:rsid w:val="00BA618E"/>
    <w:rsid w:val="00BB1B87"/>
    <w:rsid w:val="00BB6199"/>
    <w:rsid w:val="00BC1522"/>
    <w:rsid w:val="00BC1BFF"/>
    <w:rsid w:val="00BC2B70"/>
    <w:rsid w:val="00BC5F10"/>
    <w:rsid w:val="00BC65E8"/>
    <w:rsid w:val="00BD0C5D"/>
    <w:rsid w:val="00BD1CE1"/>
    <w:rsid w:val="00BE1A7B"/>
    <w:rsid w:val="00BE3B56"/>
    <w:rsid w:val="00BE69D1"/>
    <w:rsid w:val="00BF57DB"/>
    <w:rsid w:val="00BF592E"/>
    <w:rsid w:val="00BF5E73"/>
    <w:rsid w:val="00BF77F7"/>
    <w:rsid w:val="00C01F77"/>
    <w:rsid w:val="00C066D1"/>
    <w:rsid w:val="00C06F6D"/>
    <w:rsid w:val="00C07711"/>
    <w:rsid w:val="00C11ED9"/>
    <w:rsid w:val="00C123D9"/>
    <w:rsid w:val="00C2591F"/>
    <w:rsid w:val="00C31641"/>
    <w:rsid w:val="00C4104C"/>
    <w:rsid w:val="00C44F9F"/>
    <w:rsid w:val="00C54C5F"/>
    <w:rsid w:val="00C555D7"/>
    <w:rsid w:val="00C5576A"/>
    <w:rsid w:val="00C55DC3"/>
    <w:rsid w:val="00C720FB"/>
    <w:rsid w:val="00C73886"/>
    <w:rsid w:val="00C75D67"/>
    <w:rsid w:val="00C77E0D"/>
    <w:rsid w:val="00C805FA"/>
    <w:rsid w:val="00C8342A"/>
    <w:rsid w:val="00C8391C"/>
    <w:rsid w:val="00C85025"/>
    <w:rsid w:val="00C864C6"/>
    <w:rsid w:val="00C879A7"/>
    <w:rsid w:val="00C91241"/>
    <w:rsid w:val="00C91288"/>
    <w:rsid w:val="00C97F14"/>
    <w:rsid w:val="00CA4DA5"/>
    <w:rsid w:val="00CA555C"/>
    <w:rsid w:val="00CB2FEE"/>
    <w:rsid w:val="00CB6421"/>
    <w:rsid w:val="00CB7136"/>
    <w:rsid w:val="00CC174C"/>
    <w:rsid w:val="00CC1BB2"/>
    <w:rsid w:val="00CC3C61"/>
    <w:rsid w:val="00CC642E"/>
    <w:rsid w:val="00CD4D70"/>
    <w:rsid w:val="00CD7FAE"/>
    <w:rsid w:val="00CE065C"/>
    <w:rsid w:val="00CE13A1"/>
    <w:rsid w:val="00CE14D7"/>
    <w:rsid w:val="00CE1FA2"/>
    <w:rsid w:val="00CF0445"/>
    <w:rsid w:val="00CF0493"/>
    <w:rsid w:val="00CF1A78"/>
    <w:rsid w:val="00CF2A79"/>
    <w:rsid w:val="00CF673C"/>
    <w:rsid w:val="00D01876"/>
    <w:rsid w:val="00D04354"/>
    <w:rsid w:val="00D04C92"/>
    <w:rsid w:val="00D054B3"/>
    <w:rsid w:val="00D0755F"/>
    <w:rsid w:val="00D11810"/>
    <w:rsid w:val="00D11CCA"/>
    <w:rsid w:val="00D15554"/>
    <w:rsid w:val="00D20012"/>
    <w:rsid w:val="00D21192"/>
    <w:rsid w:val="00D24A0A"/>
    <w:rsid w:val="00D26541"/>
    <w:rsid w:val="00D26654"/>
    <w:rsid w:val="00D3147E"/>
    <w:rsid w:val="00D32D19"/>
    <w:rsid w:val="00D3609E"/>
    <w:rsid w:val="00D37F20"/>
    <w:rsid w:val="00D42D08"/>
    <w:rsid w:val="00D43BAC"/>
    <w:rsid w:val="00D541EC"/>
    <w:rsid w:val="00D577AB"/>
    <w:rsid w:val="00D6110A"/>
    <w:rsid w:val="00D61D35"/>
    <w:rsid w:val="00D6309C"/>
    <w:rsid w:val="00D63759"/>
    <w:rsid w:val="00D66580"/>
    <w:rsid w:val="00D66649"/>
    <w:rsid w:val="00D70331"/>
    <w:rsid w:val="00D71452"/>
    <w:rsid w:val="00D7310B"/>
    <w:rsid w:val="00D80ACB"/>
    <w:rsid w:val="00D835B9"/>
    <w:rsid w:val="00D864DA"/>
    <w:rsid w:val="00D87C31"/>
    <w:rsid w:val="00D87F1D"/>
    <w:rsid w:val="00D87FD1"/>
    <w:rsid w:val="00DA0B44"/>
    <w:rsid w:val="00DB1A31"/>
    <w:rsid w:val="00DB4A4F"/>
    <w:rsid w:val="00DB598B"/>
    <w:rsid w:val="00DC4044"/>
    <w:rsid w:val="00DC4661"/>
    <w:rsid w:val="00DD13A4"/>
    <w:rsid w:val="00DD24E6"/>
    <w:rsid w:val="00DD486B"/>
    <w:rsid w:val="00DD547D"/>
    <w:rsid w:val="00DE028D"/>
    <w:rsid w:val="00DE02C5"/>
    <w:rsid w:val="00DE087F"/>
    <w:rsid w:val="00DE2EA1"/>
    <w:rsid w:val="00DE329C"/>
    <w:rsid w:val="00DE78A5"/>
    <w:rsid w:val="00DF4189"/>
    <w:rsid w:val="00E04E75"/>
    <w:rsid w:val="00E06735"/>
    <w:rsid w:val="00E069D7"/>
    <w:rsid w:val="00E06D4F"/>
    <w:rsid w:val="00E11B67"/>
    <w:rsid w:val="00E127CF"/>
    <w:rsid w:val="00E17CAD"/>
    <w:rsid w:val="00E210A4"/>
    <w:rsid w:val="00E21C4D"/>
    <w:rsid w:val="00E24B46"/>
    <w:rsid w:val="00E30D47"/>
    <w:rsid w:val="00E352DF"/>
    <w:rsid w:val="00E409FC"/>
    <w:rsid w:val="00E42107"/>
    <w:rsid w:val="00E44E55"/>
    <w:rsid w:val="00E50A84"/>
    <w:rsid w:val="00E54416"/>
    <w:rsid w:val="00E57627"/>
    <w:rsid w:val="00E7308E"/>
    <w:rsid w:val="00E75F10"/>
    <w:rsid w:val="00E76339"/>
    <w:rsid w:val="00E76B49"/>
    <w:rsid w:val="00E829E8"/>
    <w:rsid w:val="00E908A8"/>
    <w:rsid w:val="00EA19B9"/>
    <w:rsid w:val="00EB0125"/>
    <w:rsid w:val="00EB08E7"/>
    <w:rsid w:val="00EC48C4"/>
    <w:rsid w:val="00EC4D36"/>
    <w:rsid w:val="00EC5090"/>
    <w:rsid w:val="00ED37EA"/>
    <w:rsid w:val="00ED71BE"/>
    <w:rsid w:val="00ED7A3C"/>
    <w:rsid w:val="00EE02B4"/>
    <w:rsid w:val="00EE157D"/>
    <w:rsid w:val="00EE1BD9"/>
    <w:rsid w:val="00EE2A42"/>
    <w:rsid w:val="00EE3651"/>
    <w:rsid w:val="00EE3B77"/>
    <w:rsid w:val="00EE4B28"/>
    <w:rsid w:val="00EF2C29"/>
    <w:rsid w:val="00EF42B9"/>
    <w:rsid w:val="00EF7EAA"/>
    <w:rsid w:val="00F01A10"/>
    <w:rsid w:val="00F02FA5"/>
    <w:rsid w:val="00F040CC"/>
    <w:rsid w:val="00F06CE9"/>
    <w:rsid w:val="00F103A9"/>
    <w:rsid w:val="00F12B44"/>
    <w:rsid w:val="00F149FF"/>
    <w:rsid w:val="00F22AC6"/>
    <w:rsid w:val="00F2326F"/>
    <w:rsid w:val="00F253D4"/>
    <w:rsid w:val="00F278A8"/>
    <w:rsid w:val="00F349CA"/>
    <w:rsid w:val="00F43724"/>
    <w:rsid w:val="00F4449D"/>
    <w:rsid w:val="00F44798"/>
    <w:rsid w:val="00F458CC"/>
    <w:rsid w:val="00F463AF"/>
    <w:rsid w:val="00F46434"/>
    <w:rsid w:val="00F504D3"/>
    <w:rsid w:val="00F569B4"/>
    <w:rsid w:val="00F6158A"/>
    <w:rsid w:val="00F712C3"/>
    <w:rsid w:val="00F71D39"/>
    <w:rsid w:val="00F80857"/>
    <w:rsid w:val="00F82CD0"/>
    <w:rsid w:val="00F83A6A"/>
    <w:rsid w:val="00FA0353"/>
    <w:rsid w:val="00FA1574"/>
    <w:rsid w:val="00FA28D1"/>
    <w:rsid w:val="00FA2C12"/>
    <w:rsid w:val="00FA4E17"/>
    <w:rsid w:val="00FA7CCB"/>
    <w:rsid w:val="00FB50CA"/>
    <w:rsid w:val="00FC0536"/>
    <w:rsid w:val="00FC14FE"/>
    <w:rsid w:val="00FC1B70"/>
    <w:rsid w:val="00FC4F5D"/>
    <w:rsid w:val="00FC6DE1"/>
    <w:rsid w:val="00FD54FB"/>
    <w:rsid w:val="00FD5B60"/>
    <w:rsid w:val="00FD703A"/>
    <w:rsid w:val="00FE0BF1"/>
    <w:rsid w:val="00FE2443"/>
    <w:rsid w:val="00FE3599"/>
    <w:rsid w:val="00FE5729"/>
    <w:rsid w:val="00FE5AB6"/>
    <w:rsid w:val="00FE6B69"/>
    <w:rsid w:val="00FE6CA9"/>
    <w:rsid w:val="00FE7400"/>
    <w:rsid w:val="00FF4B0E"/>
    <w:rsid w:val="00FF57AC"/>
    <w:rsid w:val="00FF7E56"/>
    <w:rsid w:val="010066FA"/>
    <w:rsid w:val="01033296"/>
    <w:rsid w:val="010A2F04"/>
    <w:rsid w:val="010C7268"/>
    <w:rsid w:val="010E689E"/>
    <w:rsid w:val="0117150B"/>
    <w:rsid w:val="011D6124"/>
    <w:rsid w:val="011E0013"/>
    <w:rsid w:val="011E4817"/>
    <w:rsid w:val="011F0D23"/>
    <w:rsid w:val="01221949"/>
    <w:rsid w:val="01245B5E"/>
    <w:rsid w:val="012F68BA"/>
    <w:rsid w:val="01307FF1"/>
    <w:rsid w:val="01371108"/>
    <w:rsid w:val="0140635E"/>
    <w:rsid w:val="01476353"/>
    <w:rsid w:val="014A10AA"/>
    <w:rsid w:val="014A4ADD"/>
    <w:rsid w:val="01510438"/>
    <w:rsid w:val="01575B75"/>
    <w:rsid w:val="01680BC1"/>
    <w:rsid w:val="016A33D0"/>
    <w:rsid w:val="016F640B"/>
    <w:rsid w:val="01773AB0"/>
    <w:rsid w:val="01785512"/>
    <w:rsid w:val="017F4157"/>
    <w:rsid w:val="0185119D"/>
    <w:rsid w:val="0187012B"/>
    <w:rsid w:val="01882749"/>
    <w:rsid w:val="0190682B"/>
    <w:rsid w:val="019B2A74"/>
    <w:rsid w:val="019D11C2"/>
    <w:rsid w:val="019D5A44"/>
    <w:rsid w:val="019F572B"/>
    <w:rsid w:val="01A406E5"/>
    <w:rsid w:val="01A91EC7"/>
    <w:rsid w:val="01AA444A"/>
    <w:rsid w:val="01AD57B7"/>
    <w:rsid w:val="01B8283F"/>
    <w:rsid w:val="01BF13D3"/>
    <w:rsid w:val="01CD19A6"/>
    <w:rsid w:val="01CF6426"/>
    <w:rsid w:val="01DC7996"/>
    <w:rsid w:val="01E66E2D"/>
    <w:rsid w:val="01EA0F36"/>
    <w:rsid w:val="01EC07E8"/>
    <w:rsid w:val="01F02B1E"/>
    <w:rsid w:val="01F565ED"/>
    <w:rsid w:val="01FC0421"/>
    <w:rsid w:val="02031B37"/>
    <w:rsid w:val="02044306"/>
    <w:rsid w:val="0210125A"/>
    <w:rsid w:val="02134C7D"/>
    <w:rsid w:val="02135A1E"/>
    <w:rsid w:val="02136687"/>
    <w:rsid w:val="021A1CEC"/>
    <w:rsid w:val="021C0E6A"/>
    <w:rsid w:val="021C41EC"/>
    <w:rsid w:val="02250AC2"/>
    <w:rsid w:val="0228407B"/>
    <w:rsid w:val="02291D85"/>
    <w:rsid w:val="022A1441"/>
    <w:rsid w:val="022B5DCE"/>
    <w:rsid w:val="022D3600"/>
    <w:rsid w:val="023A36B2"/>
    <w:rsid w:val="02412B4D"/>
    <w:rsid w:val="02415B82"/>
    <w:rsid w:val="024C230D"/>
    <w:rsid w:val="0250063E"/>
    <w:rsid w:val="0256123C"/>
    <w:rsid w:val="02574460"/>
    <w:rsid w:val="025823B6"/>
    <w:rsid w:val="025F196A"/>
    <w:rsid w:val="02643B54"/>
    <w:rsid w:val="02662C6D"/>
    <w:rsid w:val="026B0CB2"/>
    <w:rsid w:val="026B239D"/>
    <w:rsid w:val="026D2382"/>
    <w:rsid w:val="026F51A1"/>
    <w:rsid w:val="0271753D"/>
    <w:rsid w:val="027314A4"/>
    <w:rsid w:val="02733AA5"/>
    <w:rsid w:val="027545F8"/>
    <w:rsid w:val="02755B24"/>
    <w:rsid w:val="02835433"/>
    <w:rsid w:val="028370A0"/>
    <w:rsid w:val="028B5203"/>
    <w:rsid w:val="028D4DD5"/>
    <w:rsid w:val="0296199C"/>
    <w:rsid w:val="02985D36"/>
    <w:rsid w:val="02A45F3C"/>
    <w:rsid w:val="02A941B1"/>
    <w:rsid w:val="02AA719B"/>
    <w:rsid w:val="02B4283F"/>
    <w:rsid w:val="02BE2F94"/>
    <w:rsid w:val="02BE65FF"/>
    <w:rsid w:val="02C652BF"/>
    <w:rsid w:val="02CE1C3A"/>
    <w:rsid w:val="02D3419D"/>
    <w:rsid w:val="02D45C4C"/>
    <w:rsid w:val="02D90877"/>
    <w:rsid w:val="02E078C7"/>
    <w:rsid w:val="02E1103F"/>
    <w:rsid w:val="02E47247"/>
    <w:rsid w:val="02E5557E"/>
    <w:rsid w:val="02E63D59"/>
    <w:rsid w:val="02E914AE"/>
    <w:rsid w:val="02EE1058"/>
    <w:rsid w:val="02EE6B23"/>
    <w:rsid w:val="02EF12B5"/>
    <w:rsid w:val="02F829B3"/>
    <w:rsid w:val="02FC554C"/>
    <w:rsid w:val="02FF7C41"/>
    <w:rsid w:val="03002B29"/>
    <w:rsid w:val="0300568E"/>
    <w:rsid w:val="030322E7"/>
    <w:rsid w:val="03065B03"/>
    <w:rsid w:val="03137BCB"/>
    <w:rsid w:val="03157778"/>
    <w:rsid w:val="031704BB"/>
    <w:rsid w:val="031756C6"/>
    <w:rsid w:val="031B12E2"/>
    <w:rsid w:val="031B3863"/>
    <w:rsid w:val="031C0238"/>
    <w:rsid w:val="031C3798"/>
    <w:rsid w:val="03211A07"/>
    <w:rsid w:val="0321274B"/>
    <w:rsid w:val="0321395A"/>
    <w:rsid w:val="032426DA"/>
    <w:rsid w:val="0325798F"/>
    <w:rsid w:val="0327374B"/>
    <w:rsid w:val="032856EE"/>
    <w:rsid w:val="032C4CB6"/>
    <w:rsid w:val="0335306E"/>
    <w:rsid w:val="03355A13"/>
    <w:rsid w:val="0336382A"/>
    <w:rsid w:val="03401736"/>
    <w:rsid w:val="03463920"/>
    <w:rsid w:val="0347253E"/>
    <w:rsid w:val="034F57FF"/>
    <w:rsid w:val="035A0E55"/>
    <w:rsid w:val="035C0938"/>
    <w:rsid w:val="035D0638"/>
    <w:rsid w:val="0362130B"/>
    <w:rsid w:val="03624FE1"/>
    <w:rsid w:val="03664013"/>
    <w:rsid w:val="03693BF5"/>
    <w:rsid w:val="036B35E9"/>
    <w:rsid w:val="037319EB"/>
    <w:rsid w:val="03753832"/>
    <w:rsid w:val="03757159"/>
    <w:rsid w:val="038525D2"/>
    <w:rsid w:val="0388644D"/>
    <w:rsid w:val="03897AB6"/>
    <w:rsid w:val="039466D3"/>
    <w:rsid w:val="039A39B9"/>
    <w:rsid w:val="03A315C1"/>
    <w:rsid w:val="03AE3C27"/>
    <w:rsid w:val="03B21983"/>
    <w:rsid w:val="03B25D32"/>
    <w:rsid w:val="03B60EEB"/>
    <w:rsid w:val="03B85224"/>
    <w:rsid w:val="03BA79CA"/>
    <w:rsid w:val="03BD20CA"/>
    <w:rsid w:val="03C27B39"/>
    <w:rsid w:val="03D87494"/>
    <w:rsid w:val="03DA57F7"/>
    <w:rsid w:val="03DC3D88"/>
    <w:rsid w:val="03E5020E"/>
    <w:rsid w:val="03E9617F"/>
    <w:rsid w:val="03EC1E93"/>
    <w:rsid w:val="03EC3FEA"/>
    <w:rsid w:val="03F06938"/>
    <w:rsid w:val="03F558A4"/>
    <w:rsid w:val="03F703E7"/>
    <w:rsid w:val="03FB043C"/>
    <w:rsid w:val="04012890"/>
    <w:rsid w:val="04077CB6"/>
    <w:rsid w:val="04085F26"/>
    <w:rsid w:val="040C1844"/>
    <w:rsid w:val="041002B1"/>
    <w:rsid w:val="04156A83"/>
    <w:rsid w:val="04164767"/>
    <w:rsid w:val="04197D80"/>
    <w:rsid w:val="041B1332"/>
    <w:rsid w:val="041F1109"/>
    <w:rsid w:val="042137FA"/>
    <w:rsid w:val="04213AC3"/>
    <w:rsid w:val="04217B79"/>
    <w:rsid w:val="04266945"/>
    <w:rsid w:val="042A4649"/>
    <w:rsid w:val="043D5800"/>
    <w:rsid w:val="043F23E2"/>
    <w:rsid w:val="043F2788"/>
    <w:rsid w:val="04451815"/>
    <w:rsid w:val="04482C18"/>
    <w:rsid w:val="04494C46"/>
    <w:rsid w:val="045E0362"/>
    <w:rsid w:val="045F4645"/>
    <w:rsid w:val="046A7366"/>
    <w:rsid w:val="04706DAC"/>
    <w:rsid w:val="047A7429"/>
    <w:rsid w:val="047E27DD"/>
    <w:rsid w:val="047F273F"/>
    <w:rsid w:val="04803AD3"/>
    <w:rsid w:val="04804292"/>
    <w:rsid w:val="048675C1"/>
    <w:rsid w:val="0487274F"/>
    <w:rsid w:val="04876B06"/>
    <w:rsid w:val="048D26E4"/>
    <w:rsid w:val="049309E4"/>
    <w:rsid w:val="049716A3"/>
    <w:rsid w:val="049A3D5B"/>
    <w:rsid w:val="04A62C03"/>
    <w:rsid w:val="04A62FC9"/>
    <w:rsid w:val="04A96A66"/>
    <w:rsid w:val="04B504D8"/>
    <w:rsid w:val="04B52B49"/>
    <w:rsid w:val="04BB31E6"/>
    <w:rsid w:val="04C50884"/>
    <w:rsid w:val="04C66540"/>
    <w:rsid w:val="04C676E5"/>
    <w:rsid w:val="04C8189C"/>
    <w:rsid w:val="04CF33F4"/>
    <w:rsid w:val="04D00CB2"/>
    <w:rsid w:val="04D10E77"/>
    <w:rsid w:val="04D17AC9"/>
    <w:rsid w:val="04D50294"/>
    <w:rsid w:val="04D62209"/>
    <w:rsid w:val="04D97C84"/>
    <w:rsid w:val="04E04F23"/>
    <w:rsid w:val="04ED779A"/>
    <w:rsid w:val="04F10A94"/>
    <w:rsid w:val="04F46E8D"/>
    <w:rsid w:val="04F633BB"/>
    <w:rsid w:val="04F6782A"/>
    <w:rsid w:val="04F75D49"/>
    <w:rsid w:val="04FE6636"/>
    <w:rsid w:val="05013FC0"/>
    <w:rsid w:val="05037F20"/>
    <w:rsid w:val="050709A0"/>
    <w:rsid w:val="050D5DC0"/>
    <w:rsid w:val="05354168"/>
    <w:rsid w:val="053D4272"/>
    <w:rsid w:val="0544165F"/>
    <w:rsid w:val="05466395"/>
    <w:rsid w:val="054A44B3"/>
    <w:rsid w:val="055278F1"/>
    <w:rsid w:val="0553184C"/>
    <w:rsid w:val="055468A0"/>
    <w:rsid w:val="05552C97"/>
    <w:rsid w:val="055C031B"/>
    <w:rsid w:val="05660504"/>
    <w:rsid w:val="0567668C"/>
    <w:rsid w:val="05680838"/>
    <w:rsid w:val="057B55BE"/>
    <w:rsid w:val="05805FDB"/>
    <w:rsid w:val="05812A42"/>
    <w:rsid w:val="05813A79"/>
    <w:rsid w:val="058C7D2C"/>
    <w:rsid w:val="059D009B"/>
    <w:rsid w:val="059F2D68"/>
    <w:rsid w:val="05A31CAF"/>
    <w:rsid w:val="05A57FE4"/>
    <w:rsid w:val="05AF3D22"/>
    <w:rsid w:val="05B71F44"/>
    <w:rsid w:val="05BE0162"/>
    <w:rsid w:val="05C068FF"/>
    <w:rsid w:val="05C632F6"/>
    <w:rsid w:val="05CC501A"/>
    <w:rsid w:val="05CE5914"/>
    <w:rsid w:val="05D206CA"/>
    <w:rsid w:val="05DB13B5"/>
    <w:rsid w:val="05E44D14"/>
    <w:rsid w:val="05E736B9"/>
    <w:rsid w:val="05EF105A"/>
    <w:rsid w:val="05F110F6"/>
    <w:rsid w:val="05F2647A"/>
    <w:rsid w:val="05F45C86"/>
    <w:rsid w:val="05F5301A"/>
    <w:rsid w:val="05F71B03"/>
    <w:rsid w:val="05FA7FA7"/>
    <w:rsid w:val="05FB005A"/>
    <w:rsid w:val="06084972"/>
    <w:rsid w:val="060A2ABD"/>
    <w:rsid w:val="060A2C05"/>
    <w:rsid w:val="060B3C16"/>
    <w:rsid w:val="06174E54"/>
    <w:rsid w:val="061D7788"/>
    <w:rsid w:val="06220914"/>
    <w:rsid w:val="062369CC"/>
    <w:rsid w:val="06383813"/>
    <w:rsid w:val="063B04D1"/>
    <w:rsid w:val="063F0C15"/>
    <w:rsid w:val="0648784E"/>
    <w:rsid w:val="06521ACC"/>
    <w:rsid w:val="065D03FE"/>
    <w:rsid w:val="066117A1"/>
    <w:rsid w:val="066274C8"/>
    <w:rsid w:val="06631155"/>
    <w:rsid w:val="066E4E10"/>
    <w:rsid w:val="066F33CF"/>
    <w:rsid w:val="06710095"/>
    <w:rsid w:val="06721DD3"/>
    <w:rsid w:val="067224F1"/>
    <w:rsid w:val="067C11B9"/>
    <w:rsid w:val="067E03CB"/>
    <w:rsid w:val="067E65E4"/>
    <w:rsid w:val="067F36DD"/>
    <w:rsid w:val="068236D4"/>
    <w:rsid w:val="0683675F"/>
    <w:rsid w:val="0684698C"/>
    <w:rsid w:val="06851F07"/>
    <w:rsid w:val="068536A6"/>
    <w:rsid w:val="06896891"/>
    <w:rsid w:val="068C5529"/>
    <w:rsid w:val="06922FA4"/>
    <w:rsid w:val="0699382F"/>
    <w:rsid w:val="069A4C39"/>
    <w:rsid w:val="069C2946"/>
    <w:rsid w:val="06BC3F63"/>
    <w:rsid w:val="06C47287"/>
    <w:rsid w:val="06C57571"/>
    <w:rsid w:val="06C82CE9"/>
    <w:rsid w:val="06C85C70"/>
    <w:rsid w:val="06CB53A2"/>
    <w:rsid w:val="06CC7F17"/>
    <w:rsid w:val="06D47129"/>
    <w:rsid w:val="06D51DF2"/>
    <w:rsid w:val="06D540BD"/>
    <w:rsid w:val="06DD4A4F"/>
    <w:rsid w:val="06DF742F"/>
    <w:rsid w:val="06E2152C"/>
    <w:rsid w:val="06EB6AE6"/>
    <w:rsid w:val="06F06CCA"/>
    <w:rsid w:val="06F80F48"/>
    <w:rsid w:val="06FD140F"/>
    <w:rsid w:val="07102FAC"/>
    <w:rsid w:val="07114315"/>
    <w:rsid w:val="07185C8C"/>
    <w:rsid w:val="071C7A7A"/>
    <w:rsid w:val="07267DF3"/>
    <w:rsid w:val="072F3FEE"/>
    <w:rsid w:val="07361743"/>
    <w:rsid w:val="07475560"/>
    <w:rsid w:val="07493AE1"/>
    <w:rsid w:val="07531C47"/>
    <w:rsid w:val="07540C6D"/>
    <w:rsid w:val="07564C7B"/>
    <w:rsid w:val="07577693"/>
    <w:rsid w:val="07587763"/>
    <w:rsid w:val="07652CDC"/>
    <w:rsid w:val="076B12D5"/>
    <w:rsid w:val="076F0055"/>
    <w:rsid w:val="07785367"/>
    <w:rsid w:val="077B1B62"/>
    <w:rsid w:val="077B42DB"/>
    <w:rsid w:val="07801512"/>
    <w:rsid w:val="078C4B01"/>
    <w:rsid w:val="078C76FF"/>
    <w:rsid w:val="07933C56"/>
    <w:rsid w:val="07995852"/>
    <w:rsid w:val="079C6D75"/>
    <w:rsid w:val="07A14DD3"/>
    <w:rsid w:val="07A16017"/>
    <w:rsid w:val="07A17EB0"/>
    <w:rsid w:val="07A622E7"/>
    <w:rsid w:val="07A728FC"/>
    <w:rsid w:val="07A87C9E"/>
    <w:rsid w:val="07AD18AB"/>
    <w:rsid w:val="07B12ED5"/>
    <w:rsid w:val="07BA58AB"/>
    <w:rsid w:val="07BD496E"/>
    <w:rsid w:val="07C27C2D"/>
    <w:rsid w:val="07C44B7F"/>
    <w:rsid w:val="07C72382"/>
    <w:rsid w:val="07D03F42"/>
    <w:rsid w:val="07D76910"/>
    <w:rsid w:val="07DA349D"/>
    <w:rsid w:val="07DD73FE"/>
    <w:rsid w:val="07E0544A"/>
    <w:rsid w:val="07E60435"/>
    <w:rsid w:val="07E62612"/>
    <w:rsid w:val="07E91EBE"/>
    <w:rsid w:val="07EB0DB4"/>
    <w:rsid w:val="07EE326E"/>
    <w:rsid w:val="07F32CB1"/>
    <w:rsid w:val="07F50FEA"/>
    <w:rsid w:val="07F74E97"/>
    <w:rsid w:val="07FC5C5C"/>
    <w:rsid w:val="07FD03C1"/>
    <w:rsid w:val="07FF3224"/>
    <w:rsid w:val="080C7811"/>
    <w:rsid w:val="08113FD6"/>
    <w:rsid w:val="081356D8"/>
    <w:rsid w:val="081D21BA"/>
    <w:rsid w:val="081E6A43"/>
    <w:rsid w:val="081F0407"/>
    <w:rsid w:val="08285C96"/>
    <w:rsid w:val="082A017B"/>
    <w:rsid w:val="08354360"/>
    <w:rsid w:val="08355DF5"/>
    <w:rsid w:val="083717D3"/>
    <w:rsid w:val="08435366"/>
    <w:rsid w:val="0847272F"/>
    <w:rsid w:val="08493F6E"/>
    <w:rsid w:val="084B0CBA"/>
    <w:rsid w:val="08533EBD"/>
    <w:rsid w:val="085352CF"/>
    <w:rsid w:val="08560BE4"/>
    <w:rsid w:val="085858F3"/>
    <w:rsid w:val="085B16A9"/>
    <w:rsid w:val="08652966"/>
    <w:rsid w:val="08667F32"/>
    <w:rsid w:val="0869177C"/>
    <w:rsid w:val="08707539"/>
    <w:rsid w:val="08765FDD"/>
    <w:rsid w:val="087662EB"/>
    <w:rsid w:val="087A6075"/>
    <w:rsid w:val="087E03ED"/>
    <w:rsid w:val="087E127C"/>
    <w:rsid w:val="0882399E"/>
    <w:rsid w:val="088C29F3"/>
    <w:rsid w:val="088E7F2B"/>
    <w:rsid w:val="08943BBD"/>
    <w:rsid w:val="089A6D1B"/>
    <w:rsid w:val="089D2408"/>
    <w:rsid w:val="08A94347"/>
    <w:rsid w:val="08B22855"/>
    <w:rsid w:val="08BE068C"/>
    <w:rsid w:val="08BF6B5E"/>
    <w:rsid w:val="08C6026F"/>
    <w:rsid w:val="08CA6194"/>
    <w:rsid w:val="08D74539"/>
    <w:rsid w:val="08D9668C"/>
    <w:rsid w:val="08E17D5A"/>
    <w:rsid w:val="08EA112E"/>
    <w:rsid w:val="08F03798"/>
    <w:rsid w:val="08FB5B88"/>
    <w:rsid w:val="0901007D"/>
    <w:rsid w:val="090A121B"/>
    <w:rsid w:val="09186E40"/>
    <w:rsid w:val="092170EA"/>
    <w:rsid w:val="09240590"/>
    <w:rsid w:val="092560CF"/>
    <w:rsid w:val="0927009D"/>
    <w:rsid w:val="09287204"/>
    <w:rsid w:val="092B38DE"/>
    <w:rsid w:val="092D63A9"/>
    <w:rsid w:val="093122F9"/>
    <w:rsid w:val="09354121"/>
    <w:rsid w:val="093D2C09"/>
    <w:rsid w:val="093F24AA"/>
    <w:rsid w:val="09416EF6"/>
    <w:rsid w:val="094950DB"/>
    <w:rsid w:val="094B4FF8"/>
    <w:rsid w:val="09583ACE"/>
    <w:rsid w:val="09596430"/>
    <w:rsid w:val="095C52C6"/>
    <w:rsid w:val="095E4C7B"/>
    <w:rsid w:val="095F3765"/>
    <w:rsid w:val="09680E4C"/>
    <w:rsid w:val="096B1C23"/>
    <w:rsid w:val="0972201F"/>
    <w:rsid w:val="09802472"/>
    <w:rsid w:val="09833252"/>
    <w:rsid w:val="098512F0"/>
    <w:rsid w:val="098F3C5C"/>
    <w:rsid w:val="0990520C"/>
    <w:rsid w:val="09911423"/>
    <w:rsid w:val="0991197C"/>
    <w:rsid w:val="099200A3"/>
    <w:rsid w:val="09977A27"/>
    <w:rsid w:val="09997079"/>
    <w:rsid w:val="09A27745"/>
    <w:rsid w:val="09A31206"/>
    <w:rsid w:val="09A37ECD"/>
    <w:rsid w:val="09A947E2"/>
    <w:rsid w:val="09A96E78"/>
    <w:rsid w:val="09B32BA5"/>
    <w:rsid w:val="09B8631D"/>
    <w:rsid w:val="09BA234B"/>
    <w:rsid w:val="09BD352A"/>
    <w:rsid w:val="09BE77B2"/>
    <w:rsid w:val="09C832A0"/>
    <w:rsid w:val="09C9687C"/>
    <w:rsid w:val="09CC01E9"/>
    <w:rsid w:val="09D24347"/>
    <w:rsid w:val="09D431A3"/>
    <w:rsid w:val="09D62349"/>
    <w:rsid w:val="09DD0C56"/>
    <w:rsid w:val="09DF2811"/>
    <w:rsid w:val="09E809DD"/>
    <w:rsid w:val="09E847A6"/>
    <w:rsid w:val="09F235DE"/>
    <w:rsid w:val="09F451DC"/>
    <w:rsid w:val="09F63C75"/>
    <w:rsid w:val="09F82311"/>
    <w:rsid w:val="09FB062C"/>
    <w:rsid w:val="09FB4300"/>
    <w:rsid w:val="0A1B2E66"/>
    <w:rsid w:val="0A1B71A1"/>
    <w:rsid w:val="0A1F3BEE"/>
    <w:rsid w:val="0A1F6B83"/>
    <w:rsid w:val="0A222B23"/>
    <w:rsid w:val="0A244BF4"/>
    <w:rsid w:val="0A2E2206"/>
    <w:rsid w:val="0A2F3E67"/>
    <w:rsid w:val="0A3D6DED"/>
    <w:rsid w:val="0A3E5963"/>
    <w:rsid w:val="0A505684"/>
    <w:rsid w:val="0A523E8F"/>
    <w:rsid w:val="0A537E86"/>
    <w:rsid w:val="0A5B5C82"/>
    <w:rsid w:val="0A62428A"/>
    <w:rsid w:val="0A637F34"/>
    <w:rsid w:val="0A6603B2"/>
    <w:rsid w:val="0A6703AD"/>
    <w:rsid w:val="0A6716CA"/>
    <w:rsid w:val="0A773AA3"/>
    <w:rsid w:val="0A784FD5"/>
    <w:rsid w:val="0A7C6B0A"/>
    <w:rsid w:val="0A8223DF"/>
    <w:rsid w:val="0A880D05"/>
    <w:rsid w:val="0A8A47A8"/>
    <w:rsid w:val="0A8E38AE"/>
    <w:rsid w:val="0A973216"/>
    <w:rsid w:val="0A9A3F3E"/>
    <w:rsid w:val="0A9E075E"/>
    <w:rsid w:val="0A9E4B51"/>
    <w:rsid w:val="0AA2396D"/>
    <w:rsid w:val="0AA2493D"/>
    <w:rsid w:val="0AA5138F"/>
    <w:rsid w:val="0AA53A61"/>
    <w:rsid w:val="0AA572B6"/>
    <w:rsid w:val="0AAB4ED0"/>
    <w:rsid w:val="0AAD3009"/>
    <w:rsid w:val="0AB30F2C"/>
    <w:rsid w:val="0AB51B1D"/>
    <w:rsid w:val="0AB82127"/>
    <w:rsid w:val="0ACF3E79"/>
    <w:rsid w:val="0AD65D69"/>
    <w:rsid w:val="0ADA2B6D"/>
    <w:rsid w:val="0ADE0D9A"/>
    <w:rsid w:val="0ADF0BAB"/>
    <w:rsid w:val="0AE70CEB"/>
    <w:rsid w:val="0AEF32A4"/>
    <w:rsid w:val="0AF5533F"/>
    <w:rsid w:val="0AF826D3"/>
    <w:rsid w:val="0AF974A3"/>
    <w:rsid w:val="0AFA2794"/>
    <w:rsid w:val="0B0424AD"/>
    <w:rsid w:val="0B0B4D4B"/>
    <w:rsid w:val="0B152C3B"/>
    <w:rsid w:val="0B1747C4"/>
    <w:rsid w:val="0B1748FF"/>
    <w:rsid w:val="0B193491"/>
    <w:rsid w:val="0B1E000F"/>
    <w:rsid w:val="0B1E020D"/>
    <w:rsid w:val="0B2558F7"/>
    <w:rsid w:val="0B2631BB"/>
    <w:rsid w:val="0B267169"/>
    <w:rsid w:val="0B2E6B81"/>
    <w:rsid w:val="0B2F4470"/>
    <w:rsid w:val="0B306D32"/>
    <w:rsid w:val="0B3578DE"/>
    <w:rsid w:val="0B3D2F5C"/>
    <w:rsid w:val="0B411320"/>
    <w:rsid w:val="0B431358"/>
    <w:rsid w:val="0B4373ED"/>
    <w:rsid w:val="0B4A747F"/>
    <w:rsid w:val="0B4F6E79"/>
    <w:rsid w:val="0B500D24"/>
    <w:rsid w:val="0B567B49"/>
    <w:rsid w:val="0B591F89"/>
    <w:rsid w:val="0B5A16FD"/>
    <w:rsid w:val="0B5F0F77"/>
    <w:rsid w:val="0B6242B6"/>
    <w:rsid w:val="0B713DDA"/>
    <w:rsid w:val="0B732536"/>
    <w:rsid w:val="0B771934"/>
    <w:rsid w:val="0B774E6F"/>
    <w:rsid w:val="0B8964E4"/>
    <w:rsid w:val="0B8D5ADB"/>
    <w:rsid w:val="0B8F172F"/>
    <w:rsid w:val="0B915112"/>
    <w:rsid w:val="0B95644D"/>
    <w:rsid w:val="0B9B3E40"/>
    <w:rsid w:val="0BA51A79"/>
    <w:rsid w:val="0BB3528A"/>
    <w:rsid w:val="0BB801B0"/>
    <w:rsid w:val="0BB91ED1"/>
    <w:rsid w:val="0BBD2303"/>
    <w:rsid w:val="0BBE6D9A"/>
    <w:rsid w:val="0BC25D56"/>
    <w:rsid w:val="0BCA0BFD"/>
    <w:rsid w:val="0BCA2C9C"/>
    <w:rsid w:val="0BCE6822"/>
    <w:rsid w:val="0BD62F56"/>
    <w:rsid w:val="0BE40E73"/>
    <w:rsid w:val="0BE66E32"/>
    <w:rsid w:val="0BE75438"/>
    <w:rsid w:val="0BED0A05"/>
    <w:rsid w:val="0BF71C18"/>
    <w:rsid w:val="0BF72091"/>
    <w:rsid w:val="0BF8513B"/>
    <w:rsid w:val="0BF97AFE"/>
    <w:rsid w:val="0BFD4544"/>
    <w:rsid w:val="0BFF02AC"/>
    <w:rsid w:val="0C081908"/>
    <w:rsid w:val="0C0D086A"/>
    <w:rsid w:val="0C0E16C3"/>
    <w:rsid w:val="0C0F7EB2"/>
    <w:rsid w:val="0C167F35"/>
    <w:rsid w:val="0C1723E4"/>
    <w:rsid w:val="0C1A590D"/>
    <w:rsid w:val="0C1B71F0"/>
    <w:rsid w:val="0C261A7B"/>
    <w:rsid w:val="0C2D610C"/>
    <w:rsid w:val="0C365A41"/>
    <w:rsid w:val="0C373325"/>
    <w:rsid w:val="0C4937F5"/>
    <w:rsid w:val="0C4C2D4B"/>
    <w:rsid w:val="0C5160DE"/>
    <w:rsid w:val="0C581905"/>
    <w:rsid w:val="0C591922"/>
    <w:rsid w:val="0C6035BF"/>
    <w:rsid w:val="0C636F79"/>
    <w:rsid w:val="0C663D64"/>
    <w:rsid w:val="0C67329A"/>
    <w:rsid w:val="0C7460DB"/>
    <w:rsid w:val="0C752338"/>
    <w:rsid w:val="0C76203E"/>
    <w:rsid w:val="0C774550"/>
    <w:rsid w:val="0C7B0904"/>
    <w:rsid w:val="0C7B79F2"/>
    <w:rsid w:val="0C7F49DB"/>
    <w:rsid w:val="0C80692C"/>
    <w:rsid w:val="0C822F2A"/>
    <w:rsid w:val="0C837E8C"/>
    <w:rsid w:val="0C846571"/>
    <w:rsid w:val="0C852105"/>
    <w:rsid w:val="0C8A5C3B"/>
    <w:rsid w:val="0C8F7B62"/>
    <w:rsid w:val="0C9934EC"/>
    <w:rsid w:val="0CA37C52"/>
    <w:rsid w:val="0CA5578A"/>
    <w:rsid w:val="0CA92DFC"/>
    <w:rsid w:val="0CB43205"/>
    <w:rsid w:val="0CB47615"/>
    <w:rsid w:val="0CBF08E4"/>
    <w:rsid w:val="0CC06C49"/>
    <w:rsid w:val="0CD44F74"/>
    <w:rsid w:val="0CD72A73"/>
    <w:rsid w:val="0CD81E0C"/>
    <w:rsid w:val="0CE34937"/>
    <w:rsid w:val="0CE35033"/>
    <w:rsid w:val="0CEA6B76"/>
    <w:rsid w:val="0CEE5465"/>
    <w:rsid w:val="0CEF17D5"/>
    <w:rsid w:val="0CF35946"/>
    <w:rsid w:val="0CFE229A"/>
    <w:rsid w:val="0D043110"/>
    <w:rsid w:val="0D045D48"/>
    <w:rsid w:val="0D080B6E"/>
    <w:rsid w:val="0D0B03F9"/>
    <w:rsid w:val="0D0B1C25"/>
    <w:rsid w:val="0D0C11E2"/>
    <w:rsid w:val="0D1F7FC5"/>
    <w:rsid w:val="0D205229"/>
    <w:rsid w:val="0D212758"/>
    <w:rsid w:val="0D215B6D"/>
    <w:rsid w:val="0D276747"/>
    <w:rsid w:val="0D2E5831"/>
    <w:rsid w:val="0D3D4FEA"/>
    <w:rsid w:val="0D3D781B"/>
    <w:rsid w:val="0D3F2C50"/>
    <w:rsid w:val="0D402C7B"/>
    <w:rsid w:val="0D4175C2"/>
    <w:rsid w:val="0D4337E2"/>
    <w:rsid w:val="0D447CD4"/>
    <w:rsid w:val="0D464116"/>
    <w:rsid w:val="0D484114"/>
    <w:rsid w:val="0D4C3365"/>
    <w:rsid w:val="0D4E21EA"/>
    <w:rsid w:val="0D4E54BC"/>
    <w:rsid w:val="0D5438B4"/>
    <w:rsid w:val="0D561A82"/>
    <w:rsid w:val="0D5D6E5E"/>
    <w:rsid w:val="0D5F213D"/>
    <w:rsid w:val="0D610D26"/>
    <w:rsid w:val="0D6577A5"/>
    <w:rsid w:val="0D67027C"/>
    <w:rsid w:val="0D7225D3"/>
    <w:rsid w:val="0D78768C"/>
    <w:rsid w:val="0D7B508D"/>
    <w:rsid w:val="0D8370C8"/>
    <w:rsid w:val="0D851E58"/>
    <w:rsid w:val="0D8877C8"/>
    <w:rsid w:val="0D8F6483"/>
    <w:rsid w:val="0D927757"/>
    <w:rsid w:val="0D93121B"/>
    <w:rsid w:val="0D9912A7"/>
    <w:rsid w:val="0D9D294F"/>
    <w:rsid w:val="0D9D5A33"/>
    <w:rsid w:val="0D9E1A17"/>
    <w:rsid w:val="0D9E541A"/>
    <w:rsid w:val="0D9F2398"/>
    <w:rsid w:val="0DA40099"/>
    <w:rsid w:val="0DA76EC0"/>
    <w:rsid w:val="0DA82722"/>
    <w:rsid w:val="0DB94F79"/>
    <w:rsid w:val="0DBA448C"/>
    <w:rsid w:val="0DBF7D80"/>
    <w:rsid w:val="0DCB46FE"/>
    <w:rsid w:val="0DD613C1"/>
    <w:rsid w:val="0DDC5D90"/>
    <w:rsid w:val="0DDC78CE"/>
    <w:rsid w:val="0DDC7DEA"/>
    <w:rsid w:val="0DDF4CC1"/>
    <w:rsid w:val="0DE465AF"/>
    <w:rsid w:val="0DE81A59"/>
    <w:rsid w:val="0DEA31E6"/>
    <w:rsid w:val="0DF038AD"/>
    <w:rsid w:val="0DFE1D99"/>
    <w:rsid w:val="0E0640B6"/>
    <w:rsid w:val="0E1304B4"/>
    <w:rsid w:val="0E18571A"/>
    <w:rsid w:val="0E277AAD"/>
    <w:rsid w:val="0E2B1400"/>
    <w:rsid w:val="0E2F31FB"/>
    <w:rsid w:val="0E2F35BD"/>
    <w:rsid w:val="0E31161D"/>
    <w:rsid w:val="0E312E20"/>
    <w:rsid w:val="0E3C2C8E"/>
    <w:rsid w:val="0E3C3B1B"/>
    <w:rsid w:val="0E3D6A5B"/>
    <w:rsid w:val="0E4278D6"/>
    <w:rsid w:val="0E440F70"/>
    <w:rsid w:val="0E455330"/>
    <w:rsid w:val="0E464F79"/>
    <w:rsid w:val="0E4F4329"/>
    <w:rsid w:val="0E5C4ACB"/>
    <w:rsid w:val="0E5E587F"/>
    <w:rsid w:val="0E624356"/>
    <w:rsid w:val="0E627833"/>
    <w:rsid w:val="0E6419AE"/>
    <w:rsid w:val="0E655F22"/>
    <w:rsid w:val="0E6A281F"/>
    <w:rsid w:val="0E6E0FCC"/>
    <w:rsid w:val="0E757D44"/>
    <w:rsid w:val="0E7B11B8"/>
    <w:rsid w:val="0E875814"/>
    <w:rsid w:val="0E893231"/>
    <w:rsid w:val="0E8A6064"/>
    <w:rsid w:val="0E8D3FE8"/>
    <w:rsid w:val="0E8F703E"/>
    <w:rsid w:val="0E911113"/>
    <w:rsid w:val="0E9B537B"/>
    <w:rsid w:val="0EAF071F"/>
    <w:rsid w:val="0EB63541"/>
    <w:rsid w:val="0EBD6E26"/>
    <w:rsid w:val="0EC00BDF"/>
    <w:rsid w:val="0EC35B70"/>
    <w:rsid w:val="0EC5321B"/>
    <w:rsid w:val="0EC674F6"/>
    <w:rsid w:val="0ECE3281"/>
    <w:rsid w:val="0ED35A62"/>
    <w:rsid w:val="0ED44A42"/>
    <w:rsid w:val="0EDB5BCD"/>
    <w:rsid w:val="0EDE70C7"/>
    <w:rsid w:val="0EDF1C47"/>
    <w:rsid w:val="0EE404F3"/>
    <w:rsid w:val="0EE407C0"/>
    <w:rsid w:val="0EE46314"/>
    <w:rsid w:val="0EE561FB"/>
    <w:rsid w:val="0EF2028D"/>
    <w:rsid w:val="0F0019D9"/>
    <w:rsid w:val="0F017DDB"/>
    <w:rsid w:val="0F102F66"/>
    <w:rsid w:val="0F126483"/>
    <w:rsid w:val="0F154D89"/>
    <w:rsid w:val="0F17509F"/>
    <w:rsid w:val="0F1A6B77"/>
    <w:rsid w:val="0F1C716C"/>
    <w:rsid w:val="0F270EC5"/>
    <w:rsid w:val="0F271F01"/>
    <w:rsid w:val="0F2C5ADC"/>
    <w:rsid w:val="0F33403A"/>
    <w:rsid w:val="0F34201B"/>
    <w:rsid w:val="0F372177"/>
    <w:rsid w:val="0F3D167C"/>
    <w:rsid w:val="0F3E1D48"/>
    <w:rsid w:val="0F41779E"/>
    <w:rsid w:val="0F42589C"/>
    <w:rsid w:val="0F4823A4"/>
    <w:rsid w:val="0F4E29AA"/>
    <w:rsid w:val="0F4F55E9"/>
    <w:rsid w:val="0F5130DC"/>
    <w:rsid w:val="0F543475"/>
    <w:rsid w:val="0F572D90"/>
    <w:rsid w:val="0F594441"/>
    <w:rsid w:val="0F5E0468"/>
    <w:rsid w:val="0F6602ED"/>
    <w:rsid w:val="0F6B7199"/>
    <w:rsid w:val="0F761E4C"/>
    <w:rsid w:val="0F7E1A6A"/>
    <w:rsid w:val="0F82078B"/>
    <w:rsid w:val="0F863BE1"/>
    <w:rsid w:val="0F866636"/>
    <w:rsid w:val="0F877EF0"/>
    <w:rsid w:val="0F896A8B"/>
    <w:rsid w:val="0F8B499E"/>
    <w:rsid w:val="0F8C75C3"/>
    <w:rsid w:val="0F8F6047"/>
    <w:rsid w:val="0F911D35"/>
    <w:rsid w:val="0F9A6D97"/>
    <w:rsid w:val="0F9B0555"/>
    <w:rsid w:val="0FA94926"/>
    <w:rsid w:val="0FA95583"/>
    <w:rsid w:val="0FAB76FD"/>
    <w:rsid w:val="0FAF4C19"/>
    <w:rsid w:val="0FB53A95"/>
    <w:rsid w:val="0FB63194"/>
    <w:rsid w:val="0FBA1DD0"/>
    <w:rsid w:val="0FBC3A07"/>
    <w:rsid w:val="0FBF363F"/>
    <w:rsid w:val="0FC1724E"/>
    <w:rsid w:val="0FC849FA"/>
    <w:rsid w:val="0FDD2B11"/>
    <w:rsid w:val="0FDE5D13"/>
    <w:rsid w:val="0FDF7725"/>
    <w:rsid w:val="0FE0040C"/>
    <w:rsid w:val="0FE36A04"/>
    <w:rsid w:val="0FE502AB"/>
    <w:rsid w:val="0FE61DA6"/>
    <w:rsid w:val="0FE84892"/>
    <w:rsid w:val="0FF01399"/>
    <w:rsid w:val="0FF35801"/>
    <w:rsid w:val="0FF4492D"/>
    <w:rsid w:val="0FFD0DB6"/>
    <w:rsid w:val="10037122"/>
    <w:rsid w:val="100F5C46"/>
    <w:rsid w:val="10156C34"/>
    <w:rsid w:val="101647AD"/>
    <w:rsid w:val="1017418F"/>
    <w:rsid w:val="10197F11"/>
    <w:rsid w:val="101C793A"/>
    <w:rsid w:val="102B0D13"/>
    <w:rsid w:val="102B31A7"/>
    <w:rsid w:val="102D6799"/>
    <w:rsid w:val="1030763E"/>
    <w:rsid w:val="10335126"/>
    <w:rsid w:val="10395998"/>
    <w:rsid w:val="103A2747"/>
    <w:rsid w:val="104318F0"/>
    <w:rsid w:val="10445EF9"/>
    <w:rsid w:val="104A5E05"/>
    <w:rsid w:val="104D5A87"/>
    <w:rsid w:val="105102CA"/>
    <w:rsid w:val="10520B27"/>
    <w:rsid w:val="105215D5"/>
    <w:rsid w:val="10537136"/>
    <w:rsid w:val="10634D5F"/>
    <w:rsid w:val="10646221"/>
    <w:rsid w:val="10684CD1"/>
    <w:rsid w:val="106B3987"/>
    <w:rsid w:val="10711BAA"/>
    <w:rsid w:val="107240FA"/>
    <w:rsid w:val="107835BF"/>
    <w:rsid w:val="107D575D"/>
    <w:rsid w:val="10847858"/>
    <w:rsid w:val="10866C13"/>
    <w:rsid w:val="108B0AD2"/>
    <w:rsid w:val="108B6A12"/>
    <w:rsid w:val="108E2E05"/>
    <w:rsid w:val="109259C7"/>
    <w:rsid w:val="109D31C7"/>
    <w:rsid w:val="10AD72DB"/>
    <w:rsid w:val="10B01231"/>
    <w:rsid w:val="10B039F3"/>
    <w:rsid w:val="10B63DDD"/>
    <w:rsid w:val="10BA0374"/>
    <w:rsid w:val="10BA0F7C"/>
    <w:rsid w:val="10BB44CA"/>
    <w:rsid w:val="10BB7AAC"/>
    <w:rsid w:val="10BD2826"/>
    <w:rsid w:val="10BF637E"/>
    <w:rsid w:val="10C941E4"/>
    <w:rsid w:val="10D577E9"/>
    <w:rsid w:val="10DB5A89"/>
    <w:rsid w:val="10E55C33"/>
    <w:rsid w:val="10E62E0A"/>
    <w:rsid w:val="10E911B7"/>
    <w:rsid w:val="10F80117"/>
    <w:rsid w:val="10FB12D0"/>
    <w:rsid w:val="10FB2CEE"/>
    <w:rsid w:val="10FD70D1"/>
    <w:rsid w:val="10FF73DF"/>
    <w:rsid w:val="110A7E53"/>
    <w:rsid w:val="110F58D1"/>
    <w:rsid w:val="11112F77"/>
    <w:rsid w:val="11121206"/>
    <w:rsid w:val="111437F5"/>
    <w:rsid w:val="11187C49"/>
    <w:rsid w:val="111B3F2D"/>
    <w:rsid w:val="111E7B59"/>
    <w:rsid w:val="11243AC8"/>
    <w:rsid w:val="112517AD"/>
    <w:rsid w:val="1127477A"/>
    <w:rsid w:val="11285A72"/>
    <w:rsid w:val="113A1210"/>
    <w:rsid w:val="11412235"/>
    <w:rsid w:val="1141475F"/>
    <w:rsid w:val="1146137C"/>
    <w:rsid w:val="114C028A"/>
    <w:rsid w:val="114E1A64"/>
    <w:rsid w:val="114E4E0B"/>
    <w:rsid w:val="115F5E79"/>
    <w:rsid w:val="1161376D"/>
    <w:rsid w:val="1161472C"/>
    <w:rsid w:val="11644329"/>
    <w:rsid w:val="11653B87"/>
    <w:rsid w:val="11692B6A"/>
    <w:rsid w:val="116D367E"/>
    <w:rsid w:val="11706D67"/>
    <w:rsid w:val="117549E5"/>
    <w:rsid w:val="118026FA"/>
    <w:rsid w:val="118332A9"/>
    <w:rsid w:val="118372DF"/>
    <w:rsid w:val="11842EB3"/>
    <w:rsid w:val="11857091"/>
    <w:rsid w:val="11892D9F"/>
    <w:rsid w:val="118A5B3D"/>
    <w:rsid w:val="118C2D01"/>
    <w:rsid w:val="11967B83"/>
    <w:rsid w:val="11A15CD7"/>
    <w:rsid w:val="11A640EF"/>
    <w:rsid w:val="11A679DF"/>
    <w:rsid w:val="11A80BF2"/>
    <w:rsid w:val="11A91739"/>
    <w:rsid w:val="11A95655"/>
    <w:rsid w:val="11AD7D42"/>
    <w:rsid w:val="11AE48B9"/>
    <w:rsid w:val="11B615B0"/>
    <w:rsid w:val="11B93168"/>
    <w:rsid w:val="11BB7416"/>
    <w:rsid w:val="11BF0927"/>
    <w:rsid w:val="11C10117"/>
    <w:rsid w:val="11C5196B"/>
    <w:rsid w:val="11C9124D"/>
    <w:rsid w:val="11D01086"/>
    <w:rsid w:val="11D056CC"/>
    <w:rsid w:val="11D15B4B"/>
    <w:rsid w:val="11D504E4"/>
    <w:rsid w:val="11DF0D89"/>
    <w:rsid w:val="11E340D6"/>
    <w:rsid w:val="11E72C64"/>
    <w:rsid w:val="11E9799E"/>
    <w:rsid w:val="11F04AA9"/>
    <w:rsid w:val="11F8310C"/>
    <w:rsid w:val="11FA3CC7"/>
    <w:rsid w:val="12003CF0"/>
    <w:rsid w:val="12026AFE"/>
    <w:rsid w:val="1206427E"/>
    <w:rsid w:val="120801FB"/>
    <w:rsid w:val="120E1ED0"/>
    <w:rsid w:val="121B7707"/>
    <w:rsid w:val="12235AF1"/>
    <w:rsid w:val="122C1DCB"/>
    <w:rsid w:val="12327254"/>
    <w:rsid w:val="12376972"/>
    <w:rsid w:val="123B7D29"/>
    <w:rsid w:val="12430778"/>
    <w:rsid w:val="1243398A"/>
    <w:rsid w:val="124C0060"/>
    <w:rsid w:val="12576324"/>
    <w:rsid w:val="125A0D98"/>
    <w:rsid w:val="125C7553"/>
    <w:rsid w:val="125E5054"/>
    <w:rsid w:val="127A7C2C"/>
    <w:rsid w:val="127E1FD2"/>
    <w:rsid w:val="127E4882"/>
    <w:rsid w:val="127E49FE"/>
    <w:rsid w:val="1283276C"/>
    <w:rsid w:val="128525BF"/>
    <w:rsid w:val="12866D2F"/>
    <w:rsid w:val="12873584"/>
    <w:rsid w:val="128B1188"/>
    <w:rsid w:val="129427FB"/>
    <w:rsid w:val="12974D17"/>
    <w:rsid w:val="1298732C"/>
    <w:rsid w:val="12A661AC"/>
    <w:rsid w:val="12A80DB1"/>
    <w:rsid w:val="12AC3634"/>
    <w:rsid w:val="12B61FAE"/>
    <w:rsid w:val="12B939F3"/>
    <w:rsid w:val="12BA5C9D"/>
    <w:rsid w:val="12BD1482"/>
    <w:rsid w:val="12C446FF"/>
    <w:rsid w:val="12E70527"/>
    <w:rsid w:val="12E85E6A"/>
    <w:rsid w:val="12E919D6"/>
    <w:rsid w:val="12EA22B7"/>
    <w:rsid w:val="12EB443C"/>
    <w:rsid w:val="12EC0660"/>
    <w:rsid w:val="12ED6A1E"/>
    <w:rsid w:val="12EE438D"/>
    <w:rsid w:val="12EE6ED2"/>
    <w:rsid w:val="12F21E5A"/>
    <w:rsid w:val="12F36390"/>
    <w:rsid w:val="12F46BA4"/>
    <w:rsid w:val="12F61B53"/>
    <w:rsid w:val="12F66F21"/>
    <w:rsid w:val="12FE4E95"/>
    <w:rsid w:val="13027CB4"/>
    <w:rsid w:val="13064137"/>
    <w:rsid w:val="130F072C"/>
    <w:rsid w:val="1312502C"/>
    <w:rsid w:val="13215C1C"/>
    <w:rsid w:val="13237FC1"/>
    <w:rsid w:val="1326382E"/>
    <w:rsid w:val="13273F22"/>
    <w:rsid w:val="13322C06"/>
    <w:rsid w:val="1336124B"/>
    <w:rsid w:val="133D6204"/>
    <w:rsid w:val="133F5A2A"/>
    <w:rsid w:val="1340126A"/>
    <w:rsid w:val="134264F0"/>
    <w:rsid w:val="134C627C"/>
    <w:rsid w:val="134F2135"/>
    <w:rsid w:val="135822E6"/>
    <w:rsid w:val="13681671"/>
    <w:rsid w:val="136B1092"/>
    <w:rsid w:val="136B3A1B"/>
    <w:rsid w:val="137412FC"/>
    <w:rsid w:val="137E1C52"/>
    <w:rsid w:val="137F048C"/>
    <w:rsid w:val="13810CBF"/>
    <w:rsid w:val="138134B0"/>
    <w:rsid w:val="138260CA"/>
    <w:rsid w:val="13831A52"/>
    <w:rsid w:val="1385096B"/>
    <w:rsid w:val="138C3122"/>
    <w:rsid w:val="138C7741"/>
    <w:rsid w:val="1397773C"/>
    <w:rsid w:val="139837B8"/>
    <w:rsid w:val="13AA52CB"/>
    <w:rsid w:val="13AD7336"/>
    <w:rsid w:val="13AF0820"/>
    <w:rsid w:val="13B54B88"/>
    <w:rsid w:val="13B8168A"/>
    <w:rsid w:val="13B93693"/>
    <w:rsid w:val="13BB39D3"/>
    <w:rsid w:val="13BD249A"/>
    <w:rsid w:val="13BE64FB"/>
    <w:rsid w:val="13C246F0"/>
    <w:rsid w:val="13C45800"/>
    <w:rsid w:val="13C90D1D"/>
    <w:rsid w:val="13D94B9C"/>
    <w:rsid w:val="13DF57D5"/>
    <w:rsid w:val="13E12BC6"/>
    <w:rsid w:val="13E65A77"/>
    <w:rsid w:val="13E745F2"/>
    <w:rsid w:val="13E85362"/>
    <w:rsid w:val="13EC2966"/>
    <w:rsid w:val="13F02C78"/>
    <w:rsid w:val="13F43654"/>
    <w:rsid w:val="13F66432"/>
    <w:rsid w:val="13FF6884"/>
    <w:rsid w:val="13FF7241"/>
    <w:rsid w:val="140B5258"/>
    <w:rsid w:val="140D4B72"/>
    <w:rsid w:val="1415611B"/>
    <w:rsid w:val="14191E50"/>
    <w:rsid w:val="141F570F"/>
    <w:rsid w:val="142C08F8"/>
    <w:rsid w:val="143053C0"/>
    <w:rsid w:val="14326598"/>
    <w:rsid w:val="1433756B"/>
    <w:rsid w:val="143B3106"/>
    <w:rsid w:val="144757E7"/>
    <w:rsid w:val="144F3EAA"/>
    <w:rsid w:val="145877F3"/>
    <w:rsid w:val="1462108B"/>
    <w:rsid w:val="14621AFF"/>
    <w:rsid w:val="14692F23"/>
    <w:rsid w:val="14776086"/>
    <w:rsid w:val="14786C53"/>
    <w:rsid w:val="148107D9"/>
    <w:rsid w:val="148315FC"/>
    <w:rsid w:val="14831E62"/>
    <w:rsid w:val="148B2687"/>
    <w:rsid w:val="14945EC6"/>
    <w:rsid w:val="149E2592"/>
    <w:rsid w:val="14A13422"/>
    <w:rsid w:val="14A25BE9"/>
    <w:rsid w:val="14A33EBF"/>
    <w:rsid w:val="14A46FEE"/>
    <w:rsid w:val="14A75B76"/>
    <w:rsid w:val="14AA2B1C"/>
    <w:rsid w:val="14AB62F5"/>
    <w:rsid w:val="14B82BEE"/>
    <w:rsid w:val="14BF4685"/>
    <w:rsid w:val="14CA2E6E"/>
    <w:rsid w:val="14D157D7"/>
    <w:rsid w:val="14D4409E"/>
    <w:rsid w:val="14D62E82"/>
    <w:rsid w:val="14D65F44"/>
    <w:rsid w:val="14D90011"/>
    <w:rsid w:val="14DA2032"/>
    <w:rsid w:val="14DC0117"/>
    <w:rsid w:val="14EB507E"/>
    <w:rsid w:val="14EC63B8"/>
    <w:rsid w:val="14F00CAD"/>
    <w:rsid w:val="14F25126"/>
    <w:rsid w:val="14F255BC"/>
    <w:rsid w:val="14FC061A"/>
    <w:rsid w:val="150B7F5D"/>
    <w:rsid w:val="150E6515"/>
    <w:rsid w:val="15122585"/>
    <w:rsid w:val="15130074"/>
    <w:rsid w:val="15164160"/>
    <w:rsid w:val="15222335"/>
    <w:rsid w:val="15224CFE"/>
    <w:rsid w:val="1529431C"/>
    <w:rsid w:val="152B5C38"/>
    <w:rsid w:val="152D3C5B"/>
    <w:rsid w:val="153D0B27"/>
    <w:rsid w:val="15454F90"/>
    <w:rsid w:val="154A2828"/>
    <w:rsid w:val="154B01AC"/>
    <w:rsid w:val="15575C0E"/>
    <w:rsid w:val="1558213E"/>
    <w:rsid w:val="15593942"/>
    <w:rsid w:val="15597928"/>
    <w:rsid w:val="1565597A"/>
    <w:rsid w:val="15666D50"/>
    <w:rsid w:val="1567292F"/>
    <w:rsid w:val="156D4644"/>
    <w:rsid w:val="15731CA1"/>
    <w:rsid w:val="1574679C"/>
    <w:rsid w:val="1576418A"/>
    <w:rsid w:val="157A188D"/>
    <w:rsid w:val="157A65C1"/>
    <w:rsid w:val="158511C9"/>
    <w:rsid w:val="15894793"/>
    <w:rsid w:val="15897C0B"/>
    <w:rsid w:val="15911FBB"/>
    <w:rsid w:val="15941246"/>
    <w:rsid w:val="15943E29"/>
    <w:rsid w:val="1594513E"/>
    <w:rsid w:val="15994BBF"/>
    <w:rsid w:val="159B2E40"/>
    <w:rsid w:val="159D542E"/>
    <w:rsid w:val="15AB192E"/>
    <w:rsid w:val="15B051F2"/>
    <w:rsid w:val="15B15EF8"/>
    <w:rsid w:val="15B3795A"/>
    <w:rsid w:val="15B60F86"/>
    <w:rsid w:val="15B729B2"/>
    <w:rsid w:val="15BB2733"/>
    <w:rsid w:val="15BD3A02"/>
    <w:rsid w:val="15BF40E0"/>
    <w:rsid w:val="15C2280E"/>
    <w:rsid w:val="15C4604A"/>
    <w:rsid w:val="15D85BFC"/>
    <w:rsid w:val="15D95EF0"/>
    <w:rsid w:val="15F8026A"/>
    <w:rsid w:val="15FC1A89"/>
    <w:rsid w:val="16056259"/>
    <w:rsid w:val="160F4982"/>
    <w:rsid w:val="16111BD2"/>
    <w:rsid w:val="1612381C"/>
    <w:rsid w:val="16147DA7"/>
    <w:rsid w:val="161E5C26"/>
    <w:rsid w:val="16250DA5"/>
    <w:rsid w:val="162737F9"/>
    <w:rsid w:val="163305FA"/>
    <w:rsid w:val="16355906"/>
    <w:rsid w:val="163E764E"/>
    <w:rsid w:val="164044B8"/>
    <w:rsid w:val="1645509B"/>
    <w:rsid w:val="1648745D"/>
    <w:rsid w:val="164F1939"/>
    <w:rsid w:val="165215EA"/>
    <w:rsid w:val="165871AE"/>
    <w:rsid w:val="16665539"/>
    <w:rsid w:val="166F00D7"/>
    <w:rsid w:val="16737450"/>
    <w:rsid w:val="16742258"/>
    <w:rsid w:val="16780D0F"/>
    <w:rsid w:val="167875B7"/>
    <w:rsid w:val="1679414B"/>
    <w:rsid w:val="167B53DF"/>
    <w:rsid w:val="1687197F"/>
    <w:rsid w:val="168D4DE8"/>
    <w:rsid w:val="169644D5"/>
    <w:rsid w:val="169E5573"/>
    <w:rsid w:val="16A16D2C"/>
    <w:rsid w:val="16B01952"/>
    <w:rsid w:val="16B65723"/>
    <w:rsid w:val="16C2612C"/>
    <w:rsid w:val="16C346A3"/>
    <w:rsid w:val="16C80222"/>
    <w:rsid w:val="16CA53A2"/>
    <w:rsid w:val="16CD7659"/>
    <w:rsid w:val="16CF36C8"/>
    <w:rsid w:val="16CF5228"/>
    <w:rsid w:val="16DA75D5"/>
    <w:rsid w:val="16DF66F1"/>
    <w:rsid w:val="16DF7C89"/>
    <w:rsid w:val="16E54748"/>
    <w:rsid w:val="16E95076"/>
    <w:rsid w:val="16EA7195"/>
    <w:rsid w:val="16F269BA"/>
    <w:rsid w:val="16F94B53"/>
    <w:rsid w:val="16FE0CB4"/>
    <w:rsid w:val="16FE344F"/>
    <w:rsid w:val="16FF0CFE"/>
    <w:rsid w:val="17045454"/>
    <w:rsid w:val="170658B3"/>
    <w:rsid w:val="171227AF"/>
    <w:rsid w:val="171A797F"/>
    <w:rsid w:val="171C44E9"/>
    <w:rsid w:val="171F7615"/>
    <w:rsid w:val="17245837"/>
    <w:rsid w:val="172721A7"/>
    <w:rsid w:val="172B6F8C"/>
    <w:rsid w:val="1737611E"/>
    <w:rsid w:val="173E227A"/>
    <w:rsid w:val="173E704B"/>
    <w:rsid w:val="1740180B"/>
    <w:rsid w:val="17474607"/>
    <w:rsid w:val="174B5E2A"/>
    <w:rsid w:val="174C2CDD"/>
    <w:rsid w:val="174E0CE8"/>
    <w:rsid w:val="174E5D05"/>
    <w:rsid w:val="17565AB0"/>
    <w:rsid w:val="17581A12"/>
    <w:rsid w:val="1764077F"/>
    <w:rsid w:val="17682F4E"/>
    <w:rsid w:val="176E4C95"/>
    <w:rsid w:val="17756E45"/>
    <w:rsid w:val="17776C13"/>
    <w:rsid w:val="1778225B"/>
    <w:rsid w:val="17791697"/>
    <w:rsid w:val="177A0C00"/>
    <w:rsid w:val="177C1F61"/>
    <w:rsid w:val="17843FEC"/>
    <w:rsid w:val="1787092E"/>
    <w:rsid w:val="178B4314"/>
    <w:rsid w:val="17933CD6"/>
    <w:rsid w:val="17991307"/>
    <w:rsid w:val="179C2717"/>
    <w:rsid w:val="179E59D5"/>
    <w:rsid w:val="17A175D8"/>
    <w:rsid w:val="17A86107"/>
    <w:rsid w:val="17AE7A30"/>
    <w:rsid w:val="17B02962"/>
    <w:rsid w:val="17B90642"/>
    <w:rsid w:val="17D16E9C"/>
    <w:rsid w:val="17D56B1F"/>
    <w:rsid w:val="17DE5BB2"/>
    <w:rsid w:val="17E51BD5"/>
    <w:rsid w:val="17E5505D"/>
    <w:rsid w:val="17EC5FBE"/>
    <w:rsid w:val="17F646CC"/>
    <w:rsid w:val="17F922E0"/>
    <w:rsid w:val="17FA429D"/>
    <w:rsid w:val="17FD3625"/>
    <w:rsid w:val="180813B2"/>
    <w:rsid w:val="180B73B0"/>
    <w:rsid w:val="1811097D"/>
    <w:rsid w:val="181268E8"/>
    <w:rsid w:val="181522BC"/>
    <w:rsid w:val="181A7F13"/>
    <w:rsid w:val="181C55BC"/>
    <w:rsid w:val="181C7020"/>
    <w:rsid w:val="182006DE"/>
    <w:rsid w:val="1823767D"/>
    <w:rsid w:val="18280EB0"/>
    <w:rsid w:val="18284907"/>
    <w:rsid w:val="182A5072"/>
    <w:rsid w:val="182E5ECA"/>
    <w:rsid w:val="18300134"/>
    <w:rsid w:val="18314D35"/>
    <w:rsid w:val="18385937"/>
    <w:rsid w:val="18397DC5"/>
    <w:rsid w:val="184217EF"/>
    <w:rsid w:val="184B0F80"/>
    <w:rsid w:val="18612E87"/>
    <w:rsid w:val="1865252B"/>
    <w:rsid w:val="186B2C11"/>
    <w:rsid w:val="186E25BA"/>
    <w:rsid w:val="1876177B"/>
    <w:rsid w:val="187A00AB"/>
    <w:rsid w:val="187A26F7"/>
    <w:rsid w:val="187A7605"/>
    <w:rsid w:val="188318EA"/>
    <w:rsid w:val="188472BB"/>
    <w:rsid w:val="18847AE7"/>
    <w:rsid w:val="188C6F8C"/>
    <w:rsid w:val="18910C1F"/>
    <w:rsid w:val="189312CF"/>
    <w:rsid w:val="18932858"/>
    <w:rsid w:val="18990494"/>
    <w:rsid w:val="189E643E"/>
    <w:rsid w:val="18A9433A"/>
    <w:rsid w:val="18B4518F"/>
    <w:rsid w:val="18B45E8A"/>
    <w:rsid w:val="18B51934"/>
    <w:rsid w:val="18B6694A"/>
    <w:rsid w:val="18B80550"/>
    <w:rsid w:val="18C30D41"/>
    <w:rsid w:val="18C803A5"/>
    <w:rsid w:val="18CA2D19"/>
    <w:rsid w:val="18D44CD3"/>
    <w:rsid w:val="18D53D93"/>
    <w:rsid w:val="18D603DD"/>
    <w:rsid w:val="18D63D6A"/>
    <w:rsid w:val="18D918E2"/>
    <w:rsid w:val="18DA72AC"/>
    <w:rsid w:val="18DC2A03"/>
    <w:rsid w:val="18DC5746"/>
    <w:rsid w:val="18E1396E"/>
    <w:rsid w:val="18E739EF"/>
    <w:rsid w:val="18ED3E49"/>
    <w:rsid w:val="18F24487"/>
    <w:rsid w:val="18F54644"/>
    <w:rsid w:val="18F73101"/>
    <w:rsid w:val="18F76256"/>
    <w:rsid w:val="18FF4409"/>
    <w:rsid w:val="19055210"/>
    <w:rsid w:val="190964E5"/>
    <w:rsid w:val="19102754"/>
    <w:rsid w:val="19106099"/>
    <w:rsid w:val="1918695E"/>
    <w:rsid w:val="191B2986"/>
    <w:rsid w:val="1920073B"/>
    <w:rsid w:val="1921682D"/>
    <w:rsid w:val="19232D64"/>
    <w:rsid w:val="192B1A75"/>
    <w:rsid w:val="192B3BDB"/>
    <w:rsid w:val="192B4B67"/>
    <w:rsid w:val="192B66FD"/>
    <w:rsid w:val="192F223D"/>
    <w:rsid w:val="19366504"/>
    <w:rsid w:val="19384358"/>
    <w:rsid w:val="193D4278"/>
    <w:rsid w:val="194146F5"/>
    <w:rsid w:val="194223AE"/>
    <w:rsid w:val="1946485A"/>
    <w:rsid w:val="19473463"/>
    <w:rsid w:val="1949411F"/>
    <w:rsid w:val="19521FD9"/>
    <w:rsid w:val="195648B0"/>
    <w:rsid w:val="19585F0D"/>
    <w:rsid w:val="195B3830"/>
    <w:rsid w:val="196028E0"/>
    <w:rsid w:val="19663149"/>
    <w:rsid w:val="196D7E61"/>
    <w:rsid w:val="1970731D"/>
    <w:rsid w:val="19711496"/>
    <w:rsid w:val="19761EF7"/>
    <w:rsid w:val="1983556D"/>
    <w:rsid w:val="1987247B"/>
    <w:rsid w:val="19886C94"/>
    <w:rsid w:val="198A26D1"/>
    <w:rsid w:val="198C0FE7"/>
    <w:rsid w:val="198E49EC"/>
    <w:rsid w:val="198F018B"/>
    <w:rsid w:val="199563F9"/>
    <w:rsid w:val="199E551C"/>
    <w:rsid w:val="19A237B8"/>
    <w:rsid w:val="19A32178"/>
    <w:rsid w:val="19A724DF"/>
    <w:rsid w:val="19A76C0D"/>
    <w:rsid w:val="19AA2296"/>
    <w:rsid w:val="19AD11AE"/>
    <w:rsid w:val="19B1371C"/>
    <w:rsid w:val="19B51316"/>
    <w:rsid w:val="19BA1F73"/>
    <w:rsid w:val="19BB6D21"/>
    <w:rsid w:val="19BE170A"/>
    <w:rsid w:val="19C44890"/>
    <w:rsid w:val="19C81E34"/>
    <w:rsid w:val="19CB1BEB"/>
    <w:rsid w:val="19CB6F60"/>
    <w:rsid w:val="19CB72D1"/>
    <w:rsid w:val="19D073A9"/>
    <w:rsid w:val="19D164E2"/>
    <w:rsid w:val="19D55D9C"/>
    <w:rsid w:val="19D57425"/>
    <w:rsid w:val="19D638E4"/>
    <w:rsid w:val="19E5270B"/>
    <w:rsid w:val="19EF475D"/>
    <w:rsid w:val="1A043324"/>
    <w:rsid w:val="1A095278"/>
    <w:rsid w:val="1A0D09AB"/>
    <w:rsid w:val="1A0D6C95"/>
    <w:rsid w:val="1A110CDF"/>
    <w:rsid w:val="1A143AA1"/>
    <w:rsid w:val="1A1500E6"/>
    <w:rsid w:val="1A1629CA"/>
    <w:rsid w:val="1A191DDF"/>
    <w:rsid w:val="1A1A1D9C"/>
    <w:rsid w:val="1A1B41D7"/>
    <w:rsid w:val="1A1B5813"/>
    <w:rsid w:val="1A2658A0"/>
    <w:rsid w:val="1A2C4681"/>
    <w:rsid w:val="1A301C9D"/>
    <w:rsid w:val="1A330D9F"/>
    <w:rsid w:val="1A3416DF"/>
    <w:rsid w:val="1A3604D0"/>
    <w:rsid w:val="1A37707F"/>
    <w:rsid w:val="1A42571E"/>
    <w:rsid w:val="1A42586E"/>
    <w:rsid w:val="1A4340DB"/>
    <w:rsid w:val="1A480DBE"/>
    <w:rsid w:val="1A5E45C2"/>
    <w:rsid w:val="1A610A48"/>
    <w:rsid w:val="1A645C86"/>
    <w:rsid w:val="1A682A1F"/>
    <w:rsid w:val="1A6D73AC"/>
    <w:rsid w:val="1A725DCB"/>
    <w:rsid w:val="1A7D4D56"/>
    <w:rsid w:val="1A952168"/>
    <w:rsid w:val="1A9A651B"/>
    <w:rsid w:val="1A9D1797"/>
    <w:rsid w:val="1A9F30F3"/>
    <w:rsid w:val="1AA3340A"/>
    <w:rsid w:val="1AA7215A"/>
    <w:rsid w:val="1AAE2591"/>
    <w:rsid w:val="1AB351FF"/>
    <w:rsid w:val="1AB6438F"/>
    <w:rsid w:val="1ABD450A"/>
    <w:rsid w:val="1AC82565"/>
    <w:rsid w:val="1ACA7D06"/>
    <w:rsid w:val="1ACB4B39"/>
    <w:rsid w:val="1ACC127B"/>
    <w:rsid w:val="1ADA76CE"/>
    <w:rsid w:val="1ADE1C97"/>
    <w:rsid w:val="1ADE4196"/>
    <w:rsid w:val="1AE06286"/>
    <w:rsid w:val="1AE33204"/>
    <w:rsid w:val="1AE57D43"/>
    <w:rsid w:val="1AE62A80"/>
    <w:rsid w:val="1AF0730E"/>
    <w:rsid w:val="1AF24534"/>
    <w:rsid w:val="1AF36FE7"/>
    <w:rsid w:val="1AF96B40"/>
    <w:rsid w:val="1B0025FC"/>
    <w:rsid w:val="1B0376A5"/>
    <w:rsid w:val="1B0604A0"/>
    <w:rsid w:val="1B067FEC"/>
    <w:rsid w:val="1B0E20D2"/>
    <w:rsid w:val="1B190CE7"/>
    <w:rsid w:val="1B19597F"/>
    <w:rsid w:val="1B275C3D"/>
    <w:rsid w:val="1B290395"/>
    <w:rsid w:val="1B2918BF"/>
    <w:rsid w:val="1B2A127A"/>
    <w:rsid w:val="1B2A18D8"/>
    <w:rsid w:val="1B2F4486"/>
    <w:rsid w:val="1B366546"/>
    <w:rsid w:val="1B427167"/>
    <w:rsid w:val="1B433890"/>
    <w:rsid w:val="1B456911"/>
    <w:rsid w:val="1B4E70D5"/>
    <w:rsid w:val="1B506542"/>
    <w:rsid w:val="1B507CCD"/>
    <w:rsid w:val="1B535470"/>
    <w:rsid w:val="1B58303C"/>
    <w:rsid w:val="1B5C16ED"/>
    <w:rsid w:val="1B5E5341"/>
    <w:rsid w:val="1B5F7091"/>
    <w:rsid w:val="1B6074F4"/>
    <w:rsid w:val="1B6A03F2"/>
    <w:rsid w:val="1B6A498E"/>
    <w:rsid w:val="1B6D18C9"/>
    <w:rsid w:val="1B6F1F93"/>
    <w:rsid w:val="1B6F211D"/>
    <w:rsid w:val="1B7128EF"/>
    <w:rsid w:val="1B745642"/>
    <w:rsid w:val="1B7948DF"/>
    <w:rsid w:val="1B7B5E1D"/>
    <w:rsid w:val="1B822156"/>
    <w:rsid w:val="1B8746D6"/>
    <w:rsid w:val="1B89534C"/>
    <w:rsid w:val="1B8A3325"/>
    <w:rsid w:val="1B912009"/>
    <w:rsid w:val="1B976D1D"/>
    <w:rsid w:val="1B9C493F"/>
    <w:rsid w:val="1B9E62EA"/>
    <w:rsid w:val="1BA32F92"/>
    <w:rsid w:val="1BA86369"/>
    <w:rsid w:val="1BAA14AA"/>
    <w:rsid w:val="1BAC6620"/>
    <w:rsid w:val="1BAE36AD"/>
    <w:rsid w:val="1BB05E75"/>
    <w:rsid w:val="1BB15162"/>
    <w:rsid w:val="1BB34966"/>
    <w:rsid w:val="1BB37D93"/>
    <w:rsid w:val="1BC06773"/>
    <w:rsid w:val="1BC476C3"/>
    <w:rsid w:val="1BC54DE7"/>
    <w:rsid w:val="1BC86522"/>
    <w:rsid w:val="1BCB2F1D"/>
    <w:rsid w:val="1BD02511"/>
    <w:rsid w:val="1BD05FD2"/>
    <w:rsid w:val="1BD4481D"/>
    <w:rsid w:val="1BDA07EC"/>
    <w:rsid w:val="1BDA276B"/>
    <w:rsid w:val="1BE1192A"/>
    <w:rsid w:val="1BEE7B4F"/>
    <w:rsid w:val="1BF066E8"/>
    <w:rsid w:val="1BF35A22"/>
    <w:rsid w:val="1BF671A9"/>
    <w:rsid w:val="1BFB5509"/>
    <w:rsid w:val="1BFD77A1"/>
    <w:rsid w:val="1C030F3F"/>
    <w:rsid w:val="1C0979C4"/>
    <w:rsid w:val="1C0D4FA5"/>
    <w:rsid w:val="1C0D7C74"/>
    <w:rsid w:val="1C181086"/>
    <w:rsid w:val="1C1D105D"/>
    <w:rsid w:val="1C28201C"/>
    <w:rsid w:val="1C317AF9"/>
    <w:rsid w:val="1C3326C0"/>
    <w:rsid w:val="1C341343"/>
    <w:rsid w:val="1C356F5A"/>
    <w:rsid w:val="1C3D5E2B"/>
    <w:rsid w:val="1C3E7A3E"/>
    <w:rsid w:val="1C44084E"/>
    <w:rsid w:val="1C445DD7"/>
    <w:rsid w:val="1C45505C"/>
    <w:rsid w:val="1C487387"/>
    <w:rsid w:val="1C4C5A92"/>
    <w:rsid w:val="1C4D7F0E"/>
    <w:rsid w:val="1C4E70F6"/>
    <w:rsid w:val="1C5219B5"/>
    <w:rsid w:val="1C5668D6"/>
    <w:rsid w:val="1C56765F"/>
    <w:rsid w:val="1C57407F"/>
    <w:rsid w:val="1C5B1E1E"/>
    <w:rsid w:val="1C5D6E36"/>
    <w:rsid w:val="1C612285"/>
    <w:rsid w:val="1C692814"/>
    <w:rsid w:val="1C6F22AA"/>
    <w:rsid w:val="1C7219E9"/>
    <w:rsid w:val="1C7D4EC2"/>
    <w:rsid w:val="1C827F6C"/>
    <w:rsid w:val="1C840A41"/>
    <w:rsid w:val="1C85060B"/>
    <w:rsid w:val="1C8635FF"/>
    <w:rsid w:val="1C87635D"/>
    <w:rsid w:val="1C8D2DFD"/>
    <w:rsid w:val="1C8D619B"/>
    <w:rsid w:val="1C9013C6"/>
    <w:rsid w:val="1C905447"/>
    <w:rsid w:val="1C920E1D"/>
    <w:rsid w:val="1C9243F3"/>
    <w:rsid w:val="1C9536ED"/>
    <w:rsid w:val="1C960F45"/>
    <w:rsid w:val="1C9F40CA"/>
    <w:rsid w:val="1CA114EB"/>
    <w:rsid w:val="1CA64563"/>
    <w:rsid w:val="1CA6788A"/>
    <w:rsid w:val="1CA7118A"/>
    <w:rsid w:val="1CA966DD"/>
    <w:rsid w:val="1CAF78D0"/>
    <w:rsid w:val="1CB453C5"/>
    <w:rsid w:val="1CB721B3"/>
    <w:rsid w:val="1CCC26CE"/>
    <w:rsid w:val="1CD430D2"/>
    <w:rsid w:val="1CD9549C"/>
    <w:rsid w:val="1CDB437C"/>
    <w:rsid w:val="1CE30E6F"/>
    <w:rsid w:val="1CF662E2"/>
    <w:rsid w:val="1CFA702C"/>
    <w:rsid w:val="1CFB0A72"/>
    <w:rsid w:val="1CFB5557"/>
    <w:rsid w:val="1D0541BB"/>
    <w:rsid w:val="1D0D33EE"/>
    <w:rsid w:val="1D127DA1"/>
    <w:rsid w:val="1D1922C3"/>
    <w:rsid w:val="1D19773E"/>
    <w:rsid w:val="1D1D0DE9"/>
    <w:rsid w:val="1D1D506C"/>
    <w:rsid w:val="1D1F2CCA"/>
    <w:rsid w:val="1D2024C5"/>
    <w:rsid w:val="1D270E36"/>
    <w:rsid w:val="1D2A2A2D"/>
    <w:rsid w:val="1D2B6AB1"/>
    <w:rsid w:val="1D332FC1"/>
    <w:rsid w:val="1D336FF5"/>
    <w:rsid w:val="1D3C6F03"/>
    <w:rsid w:val="1D4119C2"/>
    <w:rsid w:val="1D425C47"/>
    <w:rsid w:val="1D4D2648"/>
    <w:rsid w:val="1D5A51E2"/>
    <w:rsid w:val="1D5A582A"/>
    <w:rsid w:val="1D5B797A"/>
    <w:rsid w:val="1D5F2FE8"/>
    <w:rsid w:val="1D5F3EEF"/>
    <w:rsid w:val="1D642921"/>
    <w:rsid w:val="1D6C3EB6"/>
    <w:rsid w:val="1D733B67"/>
    <w:rsid w:val="1D752E05"/>
    <w:rsid w:val="1D79786B"/>
    <w:rsid w:val="1D7A3989"/>
    <w:rsid w:val="1D82202A"/>
    <w:rsid w:val="1D841A41"/>
    <w:rsid w:val="1D877ACA"/>
    <w:rsid w:val="1D8D312D"/>
    <w:rsid w:val="1D8F4CEC"/>
    <w:rsid w:val="1D9470E4"/>
    <w:rsid w:val="1D9F7375"/>
    <w:rsid w:val="1DA72F39"/>
    <w:rsid w:val="1DA74607"/>
    <w:rsid w:val="1DAF17E5"/>
    <w:rsid w:val="1DAF35C5"/>
    <w:rsid w:val="1DB32141"/>
    <w:rsid w:val="1DB651A1"/>
    <w:rsid w:val="1DBD73E2"/>
    <w:rsid w:val="1DC95992"/>
    <w:rsid w:val="1DCD7C0B"/>
    <w:rsid w:val="1DCF14B2"/>
    <w:rsid w:val="1DD521D6"/>
    <w:rsid w:val="1DD93C6F"/>
    <w:rsid w:val="1DDA231D"/>
    <w:rsid w:val="1DDC00FE"/>
    <w:rsid w:val="1DE33B52"/>
    <w:rsid w:val="1DE63BBF"/>
    <w:rsid w:val="1DE70DA4"/>
    <w:rsid w:val="1DEA0601"/>
    <w:rsid w:val="1DEA32AB"/>
    <w:rsid w:val="1DF023FA"/>
    <w:rsid w:val="1DF20F9B"/>
    <w:rsid w:val="1DF2107F"/>
    <w:rsid w:val="1DF52DC2"/>
    <w:rsid w:val="1DFA311C"/>
    <w:rsid w:val="1E031294"/>
    <w:rsid w:val="1E085F15"/>
    <w:rsid w:val="1E0C14C5"/>
    <w:rsid w:val="1E10521E"/>
    <w:rsid w:val="1E1171F4"/>
    <w:rsid w:val="1E153BE7"/>
    <w:rsid w:val="1E162720"/>
    <w:rsid w:val="1E1F4223"/>
    <w:rsid w:val="1E263151"/>
    <w:rsid w:val="1E2E0B2A"/>
    <w:rsid w:val="1E336892"/>
    <w:rsid w:val="1E3649B0"/>
    <w:rsid w:val="1E3F6641"/>
    <w:rsid w:val="1E402301"/>
    <w:rsid w:val="1E416CFA"/>
    <w:rsid w:val="1E417201"/>
    <w:rsid w:val="1E423380"/>
    <w:rsid w:val="1E430E48"/>
    <w:rsid w:val="1E4741BF"/>
    <w:rsid w:val="1E5A76AB"/>
    <w:rsid w:val="1E6D78B9"/>
    <w:rsid w:val="1E6E5F01"/>
    <w:rsid w:val="1E794A62"/>
    <w:rsid w:val="1E7F47AB"/>
    <w:rsid w:val="1E8964E3"/>
    <w:rsid w:val="1E920498"/>
    <w:rsid w:val="1E9553B0"/>
    <w:rsid w:val="1E9A245E"/>
    <w:rsid w:val="1E9A636F"/>
    <w:rsid w:val="1E9F0706"/>
    <w:rsid w:val="1EA23333"/>
    <w:rsid w:val="1EA627C7"/>
    <w:rsid w:val="1EAC7915"/>
    <w:rsid w:val="1EAD245D"/>
    <w:rsid w:val="1EB51813"/>
    <w:rsid w:val="1EBC656C"/>
    <w:rsid w:val="1EBF04D1"/>
    <w:rsid w:val="1EC26833"/>
    <w:rsid w:val="1EC26879"/>
    <w:rsid w:val="1EC43AB3"/>
    <w:rsid w:val="1EC47F97"/>
    <w:rsid w:val="1EC634FA"/>
    <w:rsid w:val="1EC74CA0"/>
    <w:rsid w:val="1EC9499E"/>
    <w:rsid w:val="1EC972D6"/>
    <w:rsid w:val="1ECA0B99"/>
    <w:rsid w:val="1ED61247"/>
    <w:rsid w:val="1EDB280F"/>
    <w:rsid w:val="1EE042F6"/>
    <w:rsid w:val="1EE11634"/>
    <w:rsid w:val="1EE31B3A"/>
    <w:rsid w:val="1EE35219"/>
    <w:rsid w:val="1EE75E29"/>
    <w:rsid w:val="1EE97D9A"/>
    <w:rsid w:val="1EED161F"/>
    <w:rsid w:val="1EED7765"/>
    <w:rsid w:val="1EF433B3"/>
    <w:rsid w:val="1F006AB9"/>
    <w:rsid w:val="1F010BC5"/>
    <w:rsid w:val="1F076B0C"/>
    <w:rsid w:val="1F087087"/>
    <w:rsid w:val="1F0B4E30"/>
    <w:rsid w:val="1F0D76E1"/>
    <w:rsid w:val="1F1076F1"/>
    <w:rsid w:val="1F1A5C59"/>
    <w:rsid w:val="1F1B0F42"/>
    <w:rsid w:val="1F1B144E"/>
    <w:rsid w:val="1F1D347D"/>
    <w:rsid w:val="1F234E25"/>
    <w:rsid w:val="1F23729A"/>
    <w:rsid w:val="1F263541"/>
    <w:rsid w:val="1F276690"/>
    <w:rsid w:val="1F2B17E5"/>
    <w:rsid w:val="1F2C4F33"/>
    <w:rsid w:val="1F2D70DD"/>
    <w:rsid w:val="1F34000E"/>
    <w:rsid w:val="1F3D7C87"/>
    <w:rsid w:val="1F4065F4"/>
    <w:rsid w:val="1F4744EB"/>
    <w:rsid w:val="1F4C563C"/>
    <w:rsid w:val="1F4E3A1D"/>
    <w:rsid w:val="1F57617C"/>
    <w:rsid w:val="1F5D78DE"/>
    <w:rsid w:val="1F60273D"/>
    <w:rsid w:val="1F6944D9"/>
    <w:rsid w:val="1F7F076C"/>
    <w:rsid w:val="1F8031F5"/>
    <w:rsid w:val="1F935AB8"/>
    <w:rsid w:val="1F97253C"/>
    <w:rsid w:val="1F9D2FB4"/>
    <w:rsid w:val="1FA14AAD"/>
    <w:rsid w:val="1FA8358C"/>
    <w:rsid w:val="1FB44341"/>
    <w:rsid w:val="1FB71E59"/>
    <w:rsid w:val="1FBC1C68"/>
    <w:rsid w:val="1FC2545E"/>
    <w:rsid w:val="1FC4427B"/>
    <w:rsid w:val="1FC63B1B"/>
    <w:rsid w:val="1FC74F40"/>
    <w:rsid w:val="1FCD304D"/>
    <w:rsid w:val="1FD35CEC"/>
    <w:rsid w:val="1FDD7436"/>
    <w:rsid w:val="1FDF713F"/>
    <w:rsid w:val="1FE033B4"/>
    <w:rsid w:val="1FE25F3B"/>
    <w:rsid w:val="1FE436C0"/>
    <w:rsid w:val="1FE57364"/>
    <w:rsid w:val="1FE7725A"/>
    <w:rsid w:val="1FEA1A42"/>
    <w:rsid w:val="1FEB40F4"/>
    <w:rsid w:val="1FEE1761"/>
    <w:rsid w:val="1FF2786A"/>
    <w:rsid w:val="1FFB65B7"/>
    <w:rsid w:val="200137F3"/>
    <w:rsid w:val="20044D6C"/>
    <w:rsid w:val="20063B66"/>
    <w:rsid w:val="20093E2C"/>
    <w:rsid w:val="200A097C"/>
    <w:rsid w:val="200F6D7C"/>
    <w:rsid w:val="2011115D"/>
    <w:rsid w:val="2013065A"/>
    <w:rsid w:val="2013225E"/>
    <w:rsid w:val="201B1DB3"/>
    <w:rsid w:val="20224231"/>
    <w:rsid w:val="20252249"/>
    <w:rsid w:val="20265770"/>
    <w:rsid w:val="20273874"/>
    <w:rsid w:val="202B0A1A"/>
    <w:rsid w:val="202C3DEC"/>
    <w:rsid w:val="20301826"/>
    <w:rsid w:val="203769BA"/>
    <w:rsid w:val="20393D1A"/>
    <w:rsid w:val="203E1C1A"/>
    <w:rsid w:val="203F34A9"/>
    <w:rsid w:val="20451E1E"/>
    <w:rsid w:val="20491FCA"/>
    <w:rsid w:val="204D0A3F"/>
    <w:rsid w:val="204F52F3"/>
    <w:rsid w:val="205116EE"/>
    <w:rsid w:val="20534EE1"/>
    <w:rsid w:val="205561ED"/>
    <w:rsid w:val="205B1244"/>
    <w:rsid w:val="205C0595"/>
    <w:rsid w:val="205F60A8"/>
    <w:rsid w:val="205F6373"/>
    <w:rsid w:val="206D5678"/>
    <w:rsid w:val="20710EEF"/>
    <w:rsid w:val="207A7C13"/>
    <w:rsid w:val="207B3883"/>
    <w:rsid w:val="20807FE9"/>
    <w:rsid w:val="20835E77"/>
    <w:rsid w:val="20892C84"/>
    <w:rsid w:val="208D4298"/>
    <w:rsid w:val="209030FC"/>
    <w:rsid w:val="209457E7"/>
    <w:rsid w:val="20951D8B"/>
    <w:rsid w:val="209A134F"/>
    <w:rsid w:val="209A241E"/>
    <w:rsid w:val="209B518D"/>
    <w:rsid w:val="20A0015D"/>
    <w:rsid w:val="20A0264E"/>
    <w:rsid w:val="20A13E28"/>
    <w:rsid w:val="20A169E9"/>
    <w:rsid w:val="20AB45F2"/>
    <w:rsid w:val="20B071DD"/>
    <w:rsid w:val="20B2499A"/>
    <w:rsid w:val="20B24E56"/>
    <w:rsid w:val="20B57B89"/>
    <w:rsid w:val="20BA303F"/>
    <w:rsid w:val="20BB70AF"/>
    <w:rsid w:val="20BF61B3"/>
    <w:rsid w:val="20C0508B"/>
    <w:rsid w:val="20C764AF"/>
    <w:rsid w:val="20C94297"/>
    <w:rsid w:val="20CA122F"/>
    <w:rsid w:val="20D321BD"/>
    <w:rsid w:val="20D6406E"/>
    <w:rsid w:val="20E45611"/>
    <w:rsid w:val="20E46B24"/>
    <w:rsid w:val="20E91A3D"/>
    <w:rsid w:val="20EC44C5"/>
    <w:rsid w:val="20EF492E"/>
    <w:rsid w:val="20F000F6"/>
    <w:rsid w:val="20F26690"/>
    <w:rsid w:val="20F56E0B"/>
    <w:rsid w:val="20F671A2"/>
    <w:rsid w:val="20FC789D"/>
    <w:rsid w:val="2102607F"/>
    <w:rsid w:val="2106609E"/>
    <w:rsid w:val="210800E2"/>
    <w:rsid w:val="21090124"/>
    <w:rsid w:val="21162623"/>
    <w:rsid w:val="21254172"/>
    <w:rsid w:val="2125514D"/>
    <w:rsid w:val="21294B78"/>
    <w:rsid w:val="21302E2A"/>
    <w:rsid w:val="21342CB8"/>
    <w:rsid w:val="213573C6"/>
    <w:rsid w:val="213B3CDE"/>
    <w:rsid w:val="21432C9B"/>
    <w:rsid w:val="214A72ED"/>
    <w:rsid w:val="215445A7"/>
    <w:rsid w:val="21547381"/>
    <w:rsid w:val="215601A2"/>
    <w:rsid w:val="216104CB"/>
    <w:rsid w:val="21611B2F"/>
    <w:rsid w:val="21650BC1"/>
    <w:rsid w:val="216631BC"/>
    <w:rsid w:val="21663559"/>
    <w:rsid w:val="21687B43"/>
    <w:rsid w:val="216B39B9"/>
    <w:rsid w:val="217118C2"/>
    <w:rsid w:val="217B4982"/>
    <w:rsid w:val="21815F25"/>
    <w:rsid w:val="21863889"/>
    <w:rsid w:val="218F51A2"/>
    <w:rsid w:val="218F629F"/>
    <w:rsid w:val="21955F0E"/>
    <w:rsid w:val="21992E21"/>
    <w:rsid w:val="219B5D46"/>
    <w:rsid w:val="219B7374"/>
    <w:rsid w:val="219E5E97"/>
    <w:rsid w:val="21A01419"/>
    <w:rsid w:val="21B21F90"/>
    <w:rsid w:val="21B775A6"/>
    <w:rsid w:val="21B90BE6"/>
    <w:rsid w:val="21BA4F11"/>
    <w:rsid w:val="21BD123A"/>
    <w:rsid w:val="21CD76C5"/>
    <w:rsid w:val="21CE7A53"/>
    <w:rsid w:val="21CF5ECF"/>
    <w:rsid w:val="21D31A0D"/>
    <w:rsid w:val="21D84DC1"/>
    <w:rsid w:val="21E1264E"/>
    <w:rsid w:val="21E44209"/>
    <w:rsid w:val="21EC41E9"/>
    <w:rsid w:val="21ED1D36"/>
    <w:rsid w:val="220210D8"/>
    <w:rsid w:val="22087F18"/>
    <w:rsid w:val="22156CA4"/>
    <w:rsid w:val="22194DAF"/>
    <w:rsid w:val="221A62A2"/>
    <w:rsid w:val="222175C5"/>
    <w:rsid w:val="2222476E"/>
    <w:rsid w:val="22261AD7"/>
    <w:rsid w:val="22276476"/>
    <w:rsid w:val="22287199"/>
    <w:rsid w:val="222C294D"/>
    <w:rsid w:val="222E040E"/>
    <w:rsid w:val="222F6B8C"/>
    <w:rsid w:val="223252BD"/>
    <w:rsid w:val="2233685E"/>
    <w:rsid w:val="22344C27"/>
    <w:rsid w:val="223571D9"/>
    <w:rsid w:val="22394825"/>
    <w:rsid w:val="22463572"/>
    <w:rsid w:val="224F3471"/>
    <w:rsid w:val="22577E5B"/>
    <w:rsid w:val="225B11C9"/>
    <w:rsid w:val="225D001A"/>
    <w:rsid w:val="225D6184"/>
    <w:rsid w:val="225E5A60"/>
    <w:rsid w:val="225F3872"/>
    <w:rsid w:val="22637400"/>
    <w:rsid w:val="226A2305"/>
    <w:rsid w:val="226D1D69"/>
    <w:rsid w:val="226F49D1"/>
    <w:rsid w:val="22717735"/>
    <w:rsid w:val="2279009F"/>
    <w:rsid w:val="227A25C0"/>
    <w:rsid w:val="227C4641"/>
    <w:rsid w:val="22802136"/>
    <w:rsid w:val="2281155A"/>
    <w:rsid w:val="228346D3"/>
    <w:rsid w:val="228C7903"/>
    <w:rsid w:val="228D0B2E"/>
    <w:rsid w:val="228F72F4"/>
    <w:rsid w:val="22994EE8"/>
    <w:rsid w:val="229B6095"/>
    <w:rsid w:val="22A72AFC"/>
    <w:rsid w:val="22A83F99"/>
    <w:rsid w:val="22AB5566"/>
    <w:rsid w:val="22AD15EF"/>
    <w:rsid w:val="22B13A09"/>
    <w:rsid w:val="22B44B0E"/>
    <w:rsid w:val="22B45D7D"/>
    <w:rsid w:val="22B97208"/>
    <w:rsid w:val="22C13BA1"/>
    <w:rsid w:val="22C62296"/>
    <w:rsid w:val="22CA05E2"/>
    <w:rsid w:val="22CB62AF"/>
    <w:rsid w:val="22D54ECE"/>
    <w:rsid w:val="22D5720D"/>
    <w:rsid w:val="22D900F2"/>
    <w:rsid w:val="22DC0ECE"/>
    <w:rsid w:val="22DE656A"/>
    <w:rsid w:val="22E11DFE"/>
    <w:rsid w:val="22E32213"/>
    <w:rsid w:val="22E50A04"/>
    <w:rsid w:val="22F76D87"/>
    <w:rsid w:val="22F8583A"/>
    <w:rsid w:val="22FD7CEA"/>
    <w:rsid w:val="230332A7"/>
    <w:rsid w:val="23035D5A"/>
    <w:rsid w:val="230A7F14"/>
    <w:rsid w:val="231060E2"/>
    <w:rsid w:val="231137D9"/>
    <w:rsid w:val="23125A1B"/>
    <w:rsid w:val="2314333F"/>
    <w:rsid w:val="23167C41"/>
    <w:rsid w:val="231948B8"/>
    <w:rsid w:val="231A595C"/>
    <w:rsid w:val="231B3980"/>
    <w:rsid w:val="2322360F"/>
    <w:rsid w:val="232A27A7"/>
    <w:rsid w:val="232D553A"/>
    <w:rsid w:val="233103C5"/>
    <w:rsid w:val="23322650"/>
    <w:rsid w:val="23341B46"/>
    <w:rsid w:val="23362882"/>
    <w:rsid w:val="233C11DD"/>
    <w:rsid w:val="233D6374"/>
    <w:rsid w:val="2345339B"/>
    <w:rsid w:val="2345787E"/>
    <w:rsid w:val="23466103"/>
    <w:rsid w:val="234966D0"/>
    <w:rsid w:val="234D2AD9"/>
    <w:rsid w:val="234E40A2"/>
    <w:rsid w:val="235340B7"/>
    <w:rsid w:val="23573A40"/>
    <w:rsid w:val="23581DA2"/>
    <w:rsid w:val="236209F0"/>
    <w:rsid w:val="23697A99"/>
    <w:rsid w:val="23755680"/>
    <w:rsid w:val="23780FDB"/>
    <w:rsid w:val="237E00F9"/>
    <w:rsid w:val="237E408F"/>
    <w:rsid w:val="23804DC8"/>
    <w:rsid w:val="23850BC8"/>
    <w:rsid w:val="238517D0"/>
    <w:rsid w:val="238A53B5"/>
    <w:rsid w:val="2390401D"/>
    <w:rsid w:val="239A0AB7"/>
    <w:rsid w:val="239B02AC"/>
    <w:rsid w:val="23A421B3"/>
    <w:rsid w:val="23A5741E"/>
    <w:rsid w:val="23B3039F"/>
    <w:rsid w:val="23B555C9"/>
    <w:rsid w:val="23C915A4"/>
    <w:rsid w:val="23D027BF"/>
    <w:rsid w:val="23D5348E"/>
    <w:rsid w:val="23D9098C"/>
    <w:rsid w:val="23DB7858"/>
    <w:rsid w:val="23E757B4"/>
    <w:rsid w:val="23EC7BBB"/>
    <w:rsid w:val="23F01ADD"/>
    <w:rsid w:val="23F60B34"/>
    <w:rsid w:val="240407ED"/>
    <w:rsid w:val="240945D4"/>
    <w:rsid w:val="24140066"/>
    <w:rsid w:val="241F421B"/>
    <w:rsid w:val="24250801"/>
    <w:rsid w:val="242C2443"/>
    <w:rsid w:val="242F18FA"/>
    <w:rsid w:val="24331FED"/>
    <w:rsid w:val="243354CF"/>
    <w:rsid w:val="24370E4E"/>
    <w:rsid w:val="24381098"/>
    <w:rsid w:val="2438605D"/>
    <w:rsid w:val="243A64E4"/>
    <w:rsid w:val="243C2EFB"/>
    <w:rsid w:val="244224B6"/>
    <w:rsid w:val="244A1952"/>
    <w:rsid w:val="244E7F48"/>
    <w:rsid w:val="244F614F"/>
    <w:rsid w:val="245703D7"/>
    <w:rsid w:val="245B5E85"/>
    <w:rsid w:val="246549D0"/>
    <w:rsid w:val="247108C5"/>
    <w:rsid w:val="24745D31"/>
    <w:rsid w:val="24746E5F"/>
    <w:rsid w:val="247B404C"/>
    <w:rsid w:val="247E43F2"/>
    <w:rsid w:val="24822F07"/>
    <w:rsid w:val="24836764"/>
    <w:rsid w:val="24883BEE"/>
    <w:rsid w:val="248C2345"/>
    <w:rsid w:val="248C6E72"/>
    <w:rsid w:val="249026B6"/>
    <w:rsid w:val="2490314A"/>
    <w:rsid w:val="24986429"/>
    <w:rsid w:val="24997C53"/>
    <w:rsid w:val="249A7CE7"/>
    <w:rsid w:val="24AB0F0C"/>
    <w:rsid w:val="24B3561E"/>
    <w:rsid w:val="24B64AAB"/>
    <w:rsid w:val="24B772B1"/>
    <w:rsid w:val="24B86004"/>
    <w:rsid w:val="24B95F36"/>
    <w:rsid w:val="24BD4FC9"/>
    <w:rsid w:val="24BE6E06"/>
    <w:rsid w:val="24C00F2F"/>
    <w:rsid w:val="24C85997"/>
    <w:rsid w:val="24C86084"/>
    <w:rsid w:val="24CB1D0C"/>
    <w:rsid w:val="24D00D0A"/>
    <w:rsid w:val="24D26AE1"/>
    <w:rsid w:val="24D3389F"/>
    <w:rsid w:val="24D50CCF"/>
    <w:rsid w:val="24D75EE1"/>
    <w:rsid w:val="24D94363"/>
    <w:rsid w:val="24E066ED"/>
    <w:rsid w:val="24E22EA4"/>
    <w:rsid w:val="24E64B2D"/>
    <w:rsid w:val="24EA085E"/>
    <w:rsid w:val="24EA5528"/>
    <w:rsid w:val="24ED792A"/>
    <w:rsid w:val="24F71478"/>
    <w:rsid w:val="24F95316"/>
    <w:rsid w:val="24FD5C2F"/>
    <w:rsid w:val="24FF23C2"/>
    <w:rsid w:val="250134F0"/>
    <w:rsid w:val="250544EE"/>
    <w:rsid w:val="250777F6"/>
    <w:rsid w:val="250B3984"/>
    <w:rsid w:val="25135CE1"/>
    <w:rsid w:val="251F5503"/>
    <w:rsid w:val="25241C3C"/>
    <w:rsid w:val="252554AC"/>
    <w:rsid w:val="25256C5B"/>
    <w:rsid w:val="2526770B"/>
    <w:rsid w:val="252E1B0C"/>
    <w:rsid w:val="252E57A1"/>
    <w:rsid w:val="253908BF"/>
    <w:rsid w:val="253C224B"/>
    <w:rsid w:val="2543033A"/>
    <w:rsid w:val="25495D80"/>
    <w:rsid w:val="254C539D"/>
    <w:rsid w:val="25574553"/>
    <w:rsid w:val="25594C49"/>
    <w:rsid w:val="256B0DD3"/>
    <w:rsid w:val="257002BF"/>
    <w:rsid w:val="25727102"/>
    <w:rsid w:val="25740676"/>
    <w:rsid w:val="25927BDC"/>
    <w:rsid w:val="25940FD1"/>
    <w:rsid w:val="25A03703"/>
    <w:rsid w:val="25A248B1"/>
    <w:rsid w:val="25AA40FE"/>
    <w:rsid w:val="25AA76F7"/>
    <w:rsid w:val="25AF4950"/>
    <w:rsid w:val="25B3093C"/>
    <w:rsid w:val="25B37B2D"/>
    <w:rsid w:val="25B8163E"/>
    <w:rsid w:val="25BE236B"/>
    <w:rsid w:val="25BE5B12"/>
    <w:rsid w:val="25BF4FC9"/>
    <w:rsid w:val="25BF70B9"/>
    <w:rsid w:val="25C50B8E"/>
    <w:rsid w:val="25C6377E"/>
    <w:rsid w:val="25C70290"/>
    <w:rsid w:val="25C93E78"/>
    <w:rsid w:val="25D36105"/>
    <w:rsid w:val="25D471BB"/>
    <w:rsid w:val="25D93189"/>
    <w:rsid w:val="25DD152C"/>
    <w:rsid w:val="25E2573B"/>
    <w:rsid w:val="25E85166"/>
    <w:rsid w:val="25EF03FA"/>
    <w:rsid w:val="25F936A2"/>
    <w:rsid w:val="25FB3D02"/>
    <w:rsid w:val="25FC14E2"/>
    <w:rsid w:val="25FC6CF0"/>
    <w:rsid w:val="260C49F6"/>
    <w:rsid w:val="26152148"/>
    <w:rsid w:val="26186C65"/>
    <w:rsid w:val="26302795"/>
    <w:rsid w:val="2632228C"/>
    <w:rsid w:val="263800E2"/>
    <w:rsid w:val="26390CE0"/>
    <w:rsid w:val="26506A2E"/>
    <w:rsid w:val="26510BE0"/>
    <w:rsid w:val="26547959"/>
    <w:rsid w:val="265710C7"/>
    <w:rsid w:val="265B041A"/>
    <w:rsid w:val="265B482B"/>
    <w:rsid w:val="26616D47"/>
    <w:rsid w:val="266753FF"/>
    <w:rsid w:val="266D4ECF"/>
    <w:rsid w:val="266E3F26"/>
    <w:rsid w:val="26707B14"/>
    <w:rsid w:val="26715AAF"/>
    <w:rsid w:val="26786ECE"/>
    <w:rsid w:val="267E6DB0"/>
    <w:rsid w:val="268154C0"/>
    <w:rsid w:val="268573C4"/>
    <w:rsid w:val="268F4DAB"/>
    <w:rsid w:val="26921B80"/>
    <w:rsid w:val="269509CD"/>
    <w:rsid w:val="26967F6B"/>
    <w:rsid w:val="2697387E"/>
    <w:rsid w:val="269A6B3F"/>
    <w:rsid w:val="269D3115"/>
    <w:rsid w:val="26A36FC8"/>
    <w:rsid w:val="26A406F3"/>
    <w:rsid w:val="26A61267"/>
    <w:rsid w:val="26A97EA7"/>
    <w:rsid w:val="26B52303"/>
    <w:rsid w:val="26B81D57"/>
    <w:rsid w:val="26BA27D3"/>
    <w:rsid w:val="26CA7E9F"/>
    <w:rsid w:val="26D0251D"/>
    <w:rsid w:val="26D674AA"/>
    <w:rsid w:val="26DC6B32"/>
    <w:rsid w:val="26F10DB3"/>
    <w:rsid w:val="26FE0D7B"/>
    <w:rsid w:val="26FE5B17"/>
    <w:rsid w:val="27067369"/>
    <w:rsid w:val="2708221F"/>
    <w:rsid w:val="270D5699"/>
    <w:rsid w:val="27107D48"/>
    <w:rsid w:val="271C0026"/>
    <w:rsid w:val="271F4D8B"/>
    <w:rsid w:val="2721032A"/>
    <w:rsid w:val="27241C32"/>
    <w:rsid w:val="27304541"/>
    <w:rsid w:val="2733598A"/>
    <w:rsid w:val="273C7794"/>
    <w:rsid w:val="27491C87"/>
    <w:rsid w:val="274E7F60"/>
    <w:rsid w:val="27544605"/>
    <w:rsid w:val="27594968"/>
    <w:rsid w:val="275A1928"/>
    <w:rsid w:val="275C6656"/>
    <w:rsid w:val="275F4846"/>
    <w:rsid w:val="27673A72"/>
    <w:rsid w:val="276F7AE8"/>
    <w:rsid w:val="27752A60"/>
    <w:rsid w:val="277A50B5"/>
    <w:rsid w:val="27860BB7"/>
    <w:rsid w:val="27907CF6"/>
    <w:rsid w:val="27952C67"/>
    <w:rsid w:val="279729EB"/>
    <w:rsid w:val="279C2342"/>
    <w:rsid w:val="279C284E"/>
    <w:rsid w:val="27A9315D"/>
    <w:rsid w:val="27BA20BB"/>
    <w:rsid w:val="27BD3C43"/>
    <w:rsid w:val="27BE7D3F"/>
    <w:rsid w:val="27BF021D"/>
    <w:rsid w:val="27C269E1"/>
    <w:rsid w:val="27C51756"/>
    <w:rsid w:val="27C87972"/>
    <w:rsid w:val="27CD0FD6"/>
    <w:rsid w:val="27CD3DB4"/>
    <w:rsid w:val="27CE4CD6"/>
    <w:rsid w:val="27D029CA"/>
    <w:rsid w:val="27DA60E5"/>
    <w:rsid w:val="27DE7702"/>
    <w:rsid w:val="27E46A3B"/>
    <w:rsid w:val="27E54E02"/>
    <w:rsid w:val="27ED1091"/>
    <w:rsid w:val="27F0070E"/>
    <w:rsid w:val="27F73622"/>
    <w:rsid w:val="27F97D8C"/>
    <w:rsid w:val="27FB539F"/>
    <w:rsid w:val="27FB66D2"/>
    <w:rsid w:val="28024849"/>
    <w:rsid w:val="2808136C"/>
    <w:rsid w:val="280A09FE"/>
    <w:rsid w:val="280C5159"/>
    <w:rsid w:val="281304F5"/>
    <w:rsid w:val="28162C53"/>
    <w:rsid w:val="281753DE"/>
    <w:rsid w:val="281B0B9D"/>
    <w:rsid w:val="282560C0"/>
    <w:rsid w:val="28286D3C"/>
    <w:rsid w:val="282B7A2C"/>
    <w:rsid w:val="282F4935"/>
    <w:rsid w:val="28373657"/>
    <w:rsid w:val="283F751E"/>
    <w:rsid w:val="28437D88"/>
    <w:rsid w:val="2850786F"/>
    <w:rsid w:val="285636E0"/>
    <w:rsid w:val="285E5BA0"/>
    <w:rsid w:val="28634558"/>
    <w:rsid w:val="286472C2"/>
    <w:rsid w:val="286A1541"/>
    <w:rsid w:val="286F119F"/>
    <w:rsid w:val="287156CC"/>
    <w:rsid w:val="28776541"/>
    <w:rsid w:val="28797435"/>
    <w:rsid w:val="287C4EA7"/>
    <w:rsid w:val="287D3B0F"/>
    <w:rsid w:val="287F74D5"/>
    <w:rsid w:val="28831F12"/>
    <w:rsid w:val="28835F4D"/>
    <w:rsid w:val="28887F24"/>
    <w:rsid w:val="288D6AD0"/>
    <w:rsid w:val="28924EA5"/>
    <w:rsid w:val="28951412"/>
    <w:rsid w:val="28997ED9"/>
    <w:rsid w:val="289F7F6F"/>
    <w:rsid w:val="28A24746"/>
    <w:rsid w:val="28A326B2"/>
    <w:rsid w:val="28A673FE"/>
    <w:rsid w:val="28AA62C6"/>
    <w:rsid w:val="28AD561F"/>
    <w:rsid w:val="28BA5D0C"/>
    <w:rsid w:val="28BD7CC3"/>
    <w:rsid w:val="28C5418E"/>
    <w:rsid w:val="28C866AB"/>
    <w:rsid w:val="28CE5E0D"/>
    <w:rsid w:val="28D33BFB"/>
    <w:rsid w:val="28D678E2"/>
    <w:rsid w:val="28D70B62"/>
    <w:rsid w:val="28EF7F37"/>
    <w:rsid w:val="28F153B6"/>
    <w:rsid w:val="28FD63C1"/>
    <w:rsid w:val="290077E6"/>
    <w:rsid w:val="29034E11"/>
    <w:rsid w:val="2907000D"/>
    <w:rsid w:val="290814C1"/>
    <w:rsid w:val="290E353F"/>
    <w:rsid w:val="290F4220"/>
    <w:rsid w:val="29154B30"/>
    <w:rsid w:val="291603CF"/>
    <w:rsid w:val="29183659"/>
    <w:rsid w:val="291942CD"/>
    <w:rsid w:val="291F520B"/>
    <w:rsid w:val="29211A46"/>
    <w:rsid w:val="292254B5"/>
    <w:rsid w:val="29362467"/>
    <w:rsid w:val="293A7869"/>
    <w:rsid w:val="293C2ED1"/>
    <w:rsid w:val="294461EF"/>
    <w:rsid w:val="29546C33"/>
    <w:rsid w:val="29596870"/>
    <w:rsid w:val="295B011B"/>
    <w:rsid w:val="295C7859"/>
    <w:rsid w:val="29602D62"/>
    <w:rsid w:val="29604D09"/>
    <w:rsid w:val="2969389C"/>
    <w:rsid w:val="296A68CA"/>
    <w:rsid w:val="296E334D"/>
    <w:rsid w:val="296F2B50"/>
    <w:rsid w:val="29705DC6"/>
    <w:rsid w:val="29730C55"/>
    <w:rsid w:val="297760BC"/>
    <w:rsid w:val="29840EF7"/>
    <w:rsid w:val="29855856"/>
    <w:rsid w:val="298C2EEF"/>
    <w:rsid w:val="29913F12"/>
    <w:rsid w:val="29966193"/>
    <w:rsid w:val="299A7F6D"/>
    <w:rsid w:val="299B730E"/>
    <w:rsid w:val="299E5666"/>
    <w:rsid w:val="299E62FE"/>
    <w:rsid w:val="299F116A"/>
    <w:rsid w:val="29A2348C"/>
    <w:rsid w:val="29A32971"/>
    <w:rsid w:val="29A85782"/>
    <w:rsid w:val="29B0520C"/>
    <w:rsid w:val="29B12A95"/>
    <w:rsid w:val="29B51C43"/>
    <w:rsid w:val="29B5470C"/>
    <w:rsid w:val="29B67A6A"/>
    <w:rsid w:val="29C132FA"/>
    <w:rsid w:val="29C56905"/>
    <w:rsid w:val="29CC1FA5"/>
    <w:rsid w:val="29D252D7"/>
    <w:rsid w:val="29D279AB"/>
    <w:rsid w:val="29D976F4"/>
    <w:rsid w:val="29DB1C8F"/>
    <w:rsid w:val="29DD3777"/>
    <w:rsid w:val="29DD4560"/>
    <w:rsid w:val="29DF5D30"/>
    <w:rsid w:val="29E214BC"/>
    <w:rsid w:val="29E241D6"/>
    <w:rsid w:val="29E53C3B"/>
    <w:rsid w:val="29E9763A"/>
    <w:rsid w:val="29F206FD"/>
    <w:rsid w:val="29F71334"/>
    <w:rsid w:val="2A000EC4"/>
    <w:rsid w:val="2A03768C"/>
    <w:rsid w:val="2A04154A"/>
    <w:rsid w:val="2A0441A9"/>
    <w:rsid w:val="2A06797B"/>
    <w:rsid w:val="2A077E4D"/>
    <w:rsid w:val="2A095BEE"/>
    <w:rsid w:val="2A0C6DE8"/>
    <w:rsid w:val="2A0D63A9"/>
    <w:rsid w:val="2A0E3452"/>
    <w:rsid w:val="2A145AC5"/>
    <w:rsid w:val="2A160F2B"/>
    <w:rsid w:val="2A1868E8"/>
    <w:rsid w:val="2A256D83"/>
    <w:rsid w:val="2A377C6B"/>
    <w:rsid w:val="2A387D93"/>
    <w:rsid w:val="2A422B3D"/>
    <w:rsid w:val="2A4648D6"/>
    <w:rsid w:val="2A4C29E9"/>
    <w:rsid w:val="2A4E0B39"/>
    <w:rsid w:val="2A64156E"/>
    <w:rsid w:val="2A677FBC"/>
    <w:rsid w:val="2A6B4ED7"/>
    <w:rsid w:val="2A7208D5"/>
    <w:rsid w:val="2A7631C0"/>
    <w:rsid w:val="2A797DE0"/>
    <w:rsid w:val="2A7A2B37"/>
    <w:rsid w:val="2A7B485E"/>
    <w:rsid w:val="2A8A5EDA"/>
    <w:rsid w:val="2A8E7966"/>
    <w:rsid w:val="2A902D4B"/>
    <w:rsid w:val="2A9722F4"/>
    <w:rsid w:val="2A987E25"/>
    <w:rsid w:val="2A9F69CF"/>
    <w:rsid w:val="2AAA1389"/>
    <w:rsid w:val="2AB131AF"/>
    <w:rsid w:val="2AB43F29"/>
    <w:rsid w:val="2AB520DB"/>
    <w:rsid w:val="2AC07D62"/>
    <w:rsid w:val="2AD54992"/>
    <w:rsid w:val="2AD67326"/>
    <w:rsid w:val="2AD94DAF"/>
    <w:rsid w:val="2ADE3C18"/>
    <w:rsid w:val="2AEF31D9"/>
    <w:rsid w:val="2B022C0A"/>
    <w:rsid w:val="2B035373"/>
    <w:rsid w:val="2B0A0435"/>
    <w:rsid w:val="2B106F96"/>
    <w:rsid w:val="2B171A28"/>
    <w:rsid w:val="2B1D0B2F"/>
    <w:rsid w:val="2B1D6796"/>
    <w:rsid w:val="2B205BC2"/>
    <w:rsid w:val="2B212874"/>
    <w:rsid w:val="2B27233C"/>
    <w:rsid w:val="2B2A562C"/>
    <w:rsid w:val="2B3722FD"/>
    <w:rsid w:val="2B4226BF"/>
    <w:rsid w:val="2B4476C1"/>
    <w:rsid w:val="2B4746EA"/>
    <w:rsid w:val="2B485941"/>
    <w:rsid w:val="2B4A5BC1"/>
    <w:rsid w:val="2B542CAE"/>
    <w:rsid w:val="2B5C76DC"/>
    <w:rsid w:val="2B61356A"/>
    <w:rsid w:val="2B681489"/>
    <w:rsid w:val="2B695F45"/>
    <w:rsid w:val="2B6B79F9"/>
    <w:rsid w:val="2B6C1D42"/>
    <w:rsid w:val="2B6D6C54"/>
    <w:rsid w:val="2B6F3920"/>
    <w:rsid w:val="2B82517B"/>
    <w:rsid w:val="2B8802A6"/>
    <w:rsid w:val="2B894F64"/>
    <w:rsid w:val="2B8E4B74"/>
    <w:rsid w:val="2B8F5872"/>
    <w:rsid w:val="2B97051B"/>
    <w:rsid w:val="2B9810BA"/>
    <w:rsid w:val="2B9A2DF1"/>
    <w:rsid w:val="2B9B6FCA"/>
    <w:rsid w:val="2BA02186"/>
    <w:rsid w:val="2BA8021C"/>
    <w:rsid w:val="2BA87514"/>
    <w:rsid w:val="2BB43D77"/>
    <w:rsid w:val="2BB517E7"/>
    <w:rsid w:val="2BC27537"/>
    <w:rsid w:val="2BC750B7"/>
    <w:rsid w:val="2BCD105B"/>
    <w:rsid w:val="2BCF0E3D"/>
    <w:rsid w:val="2BCF3297"/>
    <w:rsid w:val="2BD95C4E"/>
    <w:rsid w:val="2BEC4A8E"/>
    <w:rsid w:val="2BF1699A"/>
    <w:rsid w:val="2BF75E18"/>
    <w:rsid w:val="2BFC169C"/>
    <w:rsid w:val="2BFE2057"/>
    <w:rsid w:val="2BFE25DA"/>
    <w:rsid w:val="2C0C5DF9"/>
    <w:rsid w:val="2C0D6C8E"/>
    <w:rsid w:val="2C166B1B"/>
    <w:rsid w:val="2C1803B3"/>
    <w:rsid w:val="2C1D01F8"/>
    <w:rsid w:val="2C1F675E"/>
    <w:rsid w:val="2C2004FA"/>
    <w:rsid w:val="2C2178C6"/>
    <w:rsid w:val="2C2A5F06"/>
    <w:rsid w:val="2C2E34BE"/>
    <w:rsid w:val="2C330D70"/>
    <w:rsid w:val="2C341D42"/>
    <w:rsid w:val="2C372C87"/>
    <w:rsid w:val="2C3A5DDF"/>
    <w:rsid w:val="2C4B201B"/>
    <w:rsid w:val="2C523444"/>
    <w:rsid w:val="2C55387E"/>
    <w:rsid w:val="2C56553C"/>
    <w:rsid w:val="2C59438B"/>
    <w:rsid w:val="2C5D2F95"/>
    <w:rsid w:val="2C5E5F9A"/>
    <w:rsid w:val="2C69632D"/>
    <w:rsid w:val="2C6B32EF"/>
    <w:rsid w:val="2C6E1F07"/>
    <w:rsid w:val="2C7522A7"/>
    <w:rsid w:val="2C7C53FF"/>
    <w:rsid w:val="2C7E4551"/>
    <w:rsid w:val="2C833908"/>
    <w:rsid w:val="2C8505F1"/>
    <w:rsid w:val="2C8521CF"/>
    <w:rsid w:val="2C8A0D87"/>
    <w:rsid w:val="2C8C6046"/>
    <w:rsid w:val="2C9E091B"/>
    <w:rsid w:val="2CA46F82"/>
    <w:rsid w:val="2CAB7339"/>
    <w:rsid w:val="2CAC3C4D"/>
    <w:rsid w:val="2CAD6DA7"/>
    <w:rsid w:val="2CB012A2"/>
    <w:rsid w:val="2CB172D7"/>
    <w:rsid w:val="2CB46B1A"/>
    <w:rsid w:val="2CB81740"/>
    <w:rsid w:val="2CBB1D6E"/>
    <w:rsid w:val="2CC15F05"/>
    <w:rsid w:val="2CC20278"/>
    <w:rsid w:val="2CC613B8"/>
    <w:rsid w:val="2CC61BAA"/>
    <w:rsid w:val="2CD879A6"/>
    <w:rsid w:val="2CDD318E"/>
    <w:rsid w:val="2CEA4F56"/>
    <w:rsid w:val="2CEE1F72"/>
    <w:rsid w:val="2CF95B51"/>
    <w:rsid w:val="2CFE0A7B"/>
    <w:rsid w:val="2D003B99"/>
    <w:rsid w:val="2D0200F3"/>
    <w:rsid w:val="2D03796A"/>
    <w:rsid w:val="2D0452B4"/>
    <w:rsid w:val="2D1C3738"/>
    <w:rsid w:val="2D1D7AE2"/>
    <w:rsid w:val="2D1E4BED"/>
    <w:rsid w:val="2D2C716D"/>
    <w:rsid w:val="2D2E2390"/>
    <w:rsid w:val="2D3177E3"/>
    <w:rsid w:val="2D326E47"/>
    <w:rsid w:val="2D342948"/>
    <w:rsid w:val="2D356F52"/>
    <w:rsid w:val="2D3955C6"/>
    <w:rsid w:val="2D4C7FA5"/>
    <w:rsid w:val="2D4F65FE"/>
    <w:rsid w:val="2D652A81"/>
    <w:rsid w:val="2D6B6CBC"/>
    <w:rsid w:val="2D705968"/>
    <w:rsid w:val="2D7208FA"/>
    <w:rsid w:val="2D794F87"/>
    <w:rsid w:val="2D7B0030"/>
    <w:rsid w:val="2D7C17A1"/>
    <w:rsid w:val="2D7F68E2"/>
    <w:rsid w:val="2D801F31"/>
    <w:rsid w:val="2D847F15"/>
    <w:rsid w:val="2D852798"/>
    <w:rsid w:val="2D86540C"/>
    <w:rsid w:val="2D865C52"/>
    <w:rsid w:val="2D977E56"/>
    <w:rsid w:val="2D981B65"/>
    <w:rsid w:val="2D986971"/>
    <w:rsid w:val="2D99083A"/>
    <w:rsid w:val="2D9F2B7F"/>
    <w:rsid w:val="2D9F5750"/>
    <w:rsid w:val="2DA43C93"/>
    <w:rsid w:val="2DA81698"/>
    <w:rsid w:val="2DA949F1"/>
    <w:rsid w:val="2DB2607A"/>
    <w:rsid w:val="2DB766B5"/>
    <w:rsid w:val="2DBF0F34"/>
    <w:rsid w:val="2DC55768"/>
    <w:rsid w:val="2DD60BA0"/>
    <w:rsid w:val="2DDC7B60"/>
    <w:rsid w:val="2DE17DDB"/>
    <w:rsid w:val="2DE22E1A"/>
    <w:rsid w:val="2DE716CB"/>
    <w:rsid w:val="2DE863C4"/>
    <w:rsid w:val="2DE939A3"/>
    <w:rsid w:val="2DEB610D"/>
    <w:rsid w:val="2DF360E1"/>
    <w:rsid w:val="2DF60012"/>
    <w:rsid w:val="2E0F1C21"/>
    <w:rsid w:val="2E102584"/>
    <w:rsid w:val="2E107302"/>
    <w:rsid w:val="2E155DD0"/>
    <w:rsid w:val="2E1579B8"/>
    <w:rsid w:val="2E1B7CE4"/>
    <w:rsid w:val="2E2247A7"/>
    <w:rsid w:val="2E2A72A5"/>
    <w:rsid w:val="2E3048D3"/>
    <w:rsid w:val="2E32515E"/>
    <w:rsid w:val="2E3324F7"/>
    <w:rsid w:val="2E33554D"/>
    <w:rsid w:val="2E3763BA"/>
    <w:rsid w:val="2E39081F"/>
    <w:rsid w:val="2E3A370D"/>
    <w:rsid w:val="2E3E6872"/>
    <w:rsid w:val="2E3F23BF"/>
    <w:rsid w:val="2E4A2215"/>
    <w:rsid w:val="2E530342"/>
    <w:rsid w:val="2E570665"/>
    <w:rsid w:val="2E625B3F"/>
    <w:rsid w:val="2E76446D"/>
    <w:rsid w:val="2E867488"/>
    <w:rsid w:val="2E894D79"/>
    <w:rsid w:val="2E894F36"/>
    <w:rsid w:val="2E8F1FFA"/>
    <w:rsid w:val="2E927028"/>
    <w:rsid w:val="2E9C0EDF"/>
    <w:rsid w:val="2E9C2BA9"/>
    <w:rsid w:val="2E9F62E0"/>
    <w:rsid w:val="2EA317DC"/>
    <w:rsid w:val="2EA93D8D"/>
    <w:rsid w:val="2EAD4958"/>
    <w:rsid w:val="2EAE2EEB"/>
    <w:rsid w:val="2EB45E5E"/>
    <w:rsid w:val="2EBA726C"/>
    <w:rsid w:val="2EBB6857"/>
    <w:rsid w:val="2EBC7753"/>
    <w:rsid w:val="2EC50ADA"/>
    <w:rsid w:val="2ECB6AC5"/>
    <w:rsid w:val="2ED55001"/>
    <w:rsid w:val="2EDB0109"/>
    <w:rsid w:val="2EDD4106"/>
    <w:rsid w:val="2EE10C2B"/>
    <w:rsid w:val="2EE87C1F"/>
    <w:rsid w:val="2EEF1EC0"/>
    <w:rsid w:val="2EF2410F"/>
    <w:rsid w:val="2EF3140A"/>
    <w:rsid w:val="2EF56F05"/>
    <w:rsid w:val="2EF8798C"/>
    <w:rsid w:val="2EFB6C34"/>
    <w:rsid w:val="2F071A88"/>
    <w:rsid w:val="2F092FC3"/>
    <w:rsid w:val="2F0C7316"/>
    <w:rsid w:val="2F0F5D6F"/>
    <w:rsid w:val="2F14595E"/>
    <w:rsid w:val="2F1710F1"/>
    <w:rsid w:val="2F1721FC"/>
    <w:rsid w:val="2F1917B8"/>
    <w:rsid w:val="2F1A126E"/>
    <w:rsid w:val="2F1B290E"/>
    <w:rsid w:val="2F2B7A49"/>
    <w:rsid w:val="2F2C2A4B"/>
    <w:rsid w:val="2F2F19D6"/>
    <w:rsid w:val="2F383E52"/>
    <w:rsid w:val="2F400809"/>
    <w:rsid w:val="2F4442F7"/>
    <w:rsid w:val="2F506663"/>
    <w:rsid w:val="2F531D0E"/>
    <w:rsid w:val="2F5E3143"/>
    <w:rsid w:val="2F5F196B"/>
    <w:rsid w:val="2F641032"/>
    <w:rsid w:val="2F6A1957"/>
    <w:rsid w:val="2F6D0D33"/>
    <w:rsid w:val="2F6F164F"/>
    <w:rsid w:val="2F6F2596"/>
    <w:rsid w:val="2F712737"/>
    <w:rsid w:val="2F7155DB"/>
    <w:rsid w:val="2F7652CF"/>
    <w:rsid w:val="2F7A4E52"/>
    <w:rsid w:val="2F855132"/>
    <w:rsid w:val="2F8C78D5"/>
    <w:rsid w:val="2F8D2CEB"/>
    <w:rsid w:val="2F8D46D9"/>
    <w:rsid w:val="2F9137C7"/>
    <w:rsid w:val="2F92023B"/>
    <w:rsid w:val="2F923093"/>
    <w:rsid w:val="2F99064B"/>
    <w:rsid w:val="2FA40FED"/>
    <w:rsid w:val="2FAC66B5"/>
    <w:rsid w:val="2FAE4BB1"/>
    <w:rsid w:val="2FB87C34"/>
    <w:rsid w:val="2FC12178"/>
    <w:rsid w:val="2FCC1A36"/>
    <w:rsid w:val="2FCF6211"/>
    <w:rsid w:val="2FD35A0E"/>
    <w:rsid w:val="2FD60235"/>
    <w:rsid w:val="2FD92C95"/>
    <w:rsid w:val="2FE01BD2"/>
    <w:rsid w:val="2FE97120"/>
    <w:rsid w:val="2FEB38BD"/>
    <w:rsid w:val="2FF42016"/>
    <w:rsid w:val="30044DAF"/>
    <w:rsid w:val="30197008"/>
    <w:rsid w:val="302277D8"/>
    <w:rsid w:val="302B0180"/>
    <w:rsid w:val="302B46A3"/>
    <w:rsid w:val="30466B04"/>
    <w:rsid w:val="30493731"/>
    <w:rsid w:val="304E64A9"/>
    <w:rsid w:val="30513AB1"/>
    <w:rsid w:val="30545EB9"/>
    <w:rsid w:val="30551AA7"/>
    <w:rsid w:val="30605C34"/>
    <w:rsid w:val="30612B57"/>
    <w:rsid w:val="306565A2"/>
    <w:rsid w:val="30663090"/>
    <w:rsid w:val="306B0849"/>
    <w:rsid w:val="306E4777"/>
    <w:rsid w:val="306F1431"/>
    <w:rsid w:val="30701933"/>
    <w:rsid w:val="3076087D"/>
    <w:rsid w:val="30853FC1"/>
    <w:rsid w:val="308807D2"/>
    <w:rsid w:val="308A153A"/>
    <w:rsid w:val="308A510D"/>
    <w:rsid w:val="308E6607"/>
    <w:rsid w:val="308E7926"/>
    <w:rsid w:val="309C308A"/>
    <w:rsid w:val="30A93BFC"/>
    <w:rsid w:val="30AE2428"/>
    <w:rsid w:val="30B44CD4"/>
    <w:rsid w:val="30B713A4"/>
    <w:rsid w:val="30BA4901"/>
    <w:rsid w:val="30BB7134"/>
    <w:rsid w:val="30BC7526"/>
    <w:rsid w:val="30C4645C"/>
    <w:rsid w:val="30C81FD3"/>
    <w:rsid w:val="30D33544"/>
    <w:rsid w:val="30D536C6"/>
    <w:rsid w:val="30D755F7"/>
    <w:rsid w:val="30E56B5D"/>
    <w:rsid w:val="30E94198"/>
    <w:rsid w:val="30ED797E"/>
    <w:rsid w:val="30F32DFA"/>
    <w:rsid w:val="30F542F3"/>
    <w:rsid w:val="30F64D75"/>
    <w:rsid w:val="30F75F2A"/>
    <w:rsid w:val="30FF03F7"/>
    <w:rsid w:val="311264FB"/>
    <w:rsid w:val="31153AFB"/>
    <w:rsid w:val="31155DB3"/>
    <w:rsid w:val="31174D16"/>
    <w:rsid w:val="31211D61"/>
    <w:rsid w:val="31287BAA"/>
    <w:rsid w:val="31343313"/>
    <w:rsid w:val="3137595E"/>
    <w:rsid w:val="313E1A8B"/>
    <w:rsid w:val="313F7045"/>
    <w:rsid w:val="31450DE4"/>
    <w:rsid w:val="31450FFA"/>
    <w:rsid w:val="314557E4"/>
    <w:rsid w:val="31480AA7"/>
    <w:rsid w:val="31483AF5"/>
    <w:rsid w:val="314E30DD"/>
    <w:rsid w:val="314F1517"/>
    <w:rsid w:val="314F5DD7"/>
    <w:rsid w:val="315B787A"/>
    <w:rsid w:val="315D4B4E"/>
    <w:rsid w:val="31601F73"/>
    <w:rsid w:val="31613D2A"/>
    <w:rsid w:val="31634BB9"/>
    <w:rsid w:val="31673762"/>
    <w:rsid w:val="31692715"/>
    <w:rsid w:val="3171774A"/>
    <w:rsid w:val="31726000"/>
    <w:rsid w:val="31793872"/>
    <w:rsid w:val="3182394E"/>
    <w:rsid w:val="318810CD"/>
    <w:rsid w:val="319105FD"/>
    <w:rsid w:val="31952963"/>
    <w:rsid w:val="319657D9"/>
    <w:rsid w:val="319B59B2"/>
    <w:rsid w:val="31A14031"/>
    <w:rsid w:val="31A458FB"/>
    <w:rsid w:val="31A63A0B"/>
    <w:rsid w:val="31A97F8A"/>
    <w:rsid w:val="31BE3C6A"/>
    <w:rsid w:val="31C45A40"/>
    <w:rsid w:val="31C657E4"/>
    <w:rsid w:val="31DC12C9"/>
    <w:rsid w:val="31E27B81"/>
    <w:rsid w:val="31E30FEF"/>
    <w:rsid w:val="31E6254E"/>
    <w:rsid w:val="31E94BFF"/>
    <w:rsid w:val="31ED3779"/>
    <w:rsid w:val="31F62E9D"/>
    <w:rsid w:val="31F740E7"/>
    <w:rsid w:val="31FB7A2E"/>
    <w:rsid w:val="32011D9F"/>
    <w:rsid w:val="32045B15"/>
    <w:rsid w:val="32051790"/>
    <w:rsid w:val="320E0599"/>
    <w:rsid w:val="321A2D9F"/>
    <w:rsid w:val="321B0713"/>
    <w:rsid w:val="322125B3"/>
    <w:rsid w:val="32234520"/>
    <w:rsid w:val="322463C7"/>
    <w:rsid w:val="322714B2"/>
    <w:rsid w:val="32296BEB"/>
    <w:rsid w:val="322A0DBC"/>
    <w:rsid w:val="322A22A9"/>
    <w:rsid w:val="323325CA"/>
    <w:rsid w:val="32347CD7"/>
    <w:rsid w:val="323617C5"/>
    <w:rsid w:val="323912CE"/>
    <w:rsid w:val="3239198D"/>
    <w:rsid w:val="323A2647"/>
    <w:rsid w:val="323F4705"/>
    <w:rsid w:val="32430FAF"/>
    <w:rsid w:val="32435CA1"/>
    <w:rsid w:val="324451D2"/>
    <w:rsid w:val="324F4D6A"/>
    <w:rsid w:val="32516171"/>
    <w:rsid w:val="325219A4"/>
    <w:rsid w:val="325336A7"/>
    <w:rsid w:val="326377DF"/>
    <w:rsid w:val="326949DA"/>
    <w:rsid w:val="326D6FDD"/>
    <w:rsid w:val="32744DC8"/>
    <w:rsid w:val="32756F7C"/>
    <w:rsid w:val="327634B2"/>
    <w:rsid w:val="327A0523"/>
    <w:rsid w:val="327E4F35"/>
    <w:rsid w:val="32852D7A"/>
    <w:rsid w:val="32897941"/>
    <w:rsid w:val="328C5692"/>
    <w:rsid w:val="328D29CB"/>
    <w:rsid w:val="329516FD"/>
    <w:rsid w:val="32A001FB"/>
    <w:rsid w:val="32A4652B"/>
    <w:rsid w:val="32A5294A"/>
    <w:rsid w:val="32AD68A5"/>
    <w:rsid w:val="32B07DDA"/>
    <w:rsid w:val="32B23A19"/>
    <w:rsid w:val="32B81720"/>
    <w:rsid w:val="32B86EAA"/>
    <w:rsid w:val="32B94F5C"/>
    <w:rsid w:val="32BA0AF9"/>
    <w:rsid w:val="32C41C92"/>
    <w:rsid w:val="32C90D0C"/>
    <w:rsid w:val="32CC7765"/>
    <w:rsid w:val="32CF3F4E"/>
    <w:rsid w:val="32D1182B"/>
    <w:rsid w:val="32E12403"/>
    <w:rsid w:val="32E40512"/>
    <w:rsid w:val="32E922D1"/>
    <w:rsid w:val="32F52D14"/>
    <w:rsid w:val="33034F6E"/>
    <w:rsid w:val="33063D29"/>
    <w:rsid w:val="330E6CFB"/>
    <w:rsid w:val="33111152"/>
    <w:rsid w:val="3315268A"/>
    <w:rsid w:val="33183B86"/>
    <w:rsid w:val="3319011D"/>
    <w:rsid w:val="33225717"/>
    <w:rsid w:val="33232A68"/>
    <w:rsid w:val="33235D9A"/>
    <w:rsid w:val="332A30A6"/>
    <w:rsid w:val="333123BE"/>
    <w:rsid w:val="3335771A"/>
    <w:rsid w:val="33367CF4"/>
    <w:rsid w:val="333F4512"/>
    <w:rsid w:val="3347510D"/>
    <w:rsid w:val="33482483"/>
    <w:rsid w:val="33485938"/>
    <w:rsid w:val="334A5404"/>
    <w:rsid w:val="334D6AF1"/>
    <w:rsid w:val="3351557E"/>
    <w:rsid w:val="335211BC"/>
    <w:rsid w:val="33547BAC"/>
    <w:rsid w:val="335A6976"/>
    <w:rsid w:val="335D2AE1"/>
    <w:rsid w:val="335F4CB5"/>
    <w:rsid w:val="33604E3E"/>
    <w:rsid w:val="33657E5C"/>
    <w:rsid w:val="33673252"/>
    <w:rsid w:val="336F3C5B"/>
    <w:rsid w:val="33706F9B"/>
    <w:rsid w:val="33716461"/>
    <w:rsid w:val="33807A6E"/>
    <w:rsid w:val="338F4704"/>
    <w:rsid w:val="339A2014"/>
    <w:rsid w:val="339A3B67"/>
    <w:rsid w:val="339F7ED7"/>
    <w:rsid w:val="33A13A34"/>
    <w:rsid w:val="33A43B79"/>
    <w:rsid w:val="33BF43C5"/>
    <w:rsid w:val="33BF63EA"/>
    <w:rsid w:val="33C1559B"/>
    <w:rsid w:val="33C16825"/>
    <w:rsid w:val="33C55992"/>
    <w:rsid w:val="33C5690B"/>
    <w:rsid w:val="33CC66B0"/>
    <w:rsid w:val="33CD6BB5"/>
    <w:rsid w:val="33D2321B"/>
    <w:rsid w:val="33D57F65"/>
    <w:rsid w:val="33DA49BD"/>
    <w:rsid w:val="33DA64E2"/>
    <w:rsid w:val="33DA74A9"/>
    <w:rsid w:val="33DB08AA"/>
    <w:rsid w:val="33DE343D"/>
    <w:rsid w:val="33E10A46"/>
    <w:rsid w:val="33E22F68"/>
    <w:rsid w:val="33E7627E"/>
    <w:rsid w:val="33E82D1A"/>
    <w:rsid w:val="33F1276E"/>
    <w:rsid w:val="33F3095C"/>
    <w:rsid w:val="33F5188B"/>
    <w:rsid w:val="33FD1195"/>
    <w:rsid w:val="33FD3801"/>
    <w:rsid w:val="33FF4E22"/>
    <w:rsid w:val="340003A7"/>
    <w:rsid w:val="3407501B"/>
    <w:rsid w:val="34077E6F"/>
    <w:rsid w:val="340B42AC"/>
    <w:rsid w:val="340C7733"/>
    <w:rsid w:val="340F0D6C"/>
    <w:rsid w:val="341158A8"/>
    <w:rsid w:val="3413554B"/>
    <w:rsid w:val="3414294C"/>
    <w:rsid w:val="34173DC6"/>
    <w:rsid w:val="341804B1"/>
    <w:rsid w:val="341C36B2"/>
    <w:rsid w:val="341D118C"/>
    <w:rsid w:val="34255CC0"/>
    <w:rsid w:val="34312234"/>
    <w:rsid w:val="343A6E96"/>
    <w:rsid w:val="343D0FEB"/>
    <w:rsid w:val="34505E2F"/>
    <w:rsid w:val="345848AA"/>
    <w:rsid w:val="345A7FCD"/>
    <w:rsid w:val="345B4EFD"/>
    <w:rsid w:val="345C2010"/>
    <w:rsid w:val="34601F5B"/>
    <w:rsid w:val="34613BAE"/>
    <w:rsid w:val="34624AB8"/>
    <w:rsid w:val="34645B8C"/>
    <w:rsid w:val="346C59BE"/>
    <w:rsid w:val="347841D2"/>
    <w:rsid w:val="3478710F"/>
    <w:rsid w:val="34800111"/>
    <w:rsid w:val="3484525B"/>
    <w:rsid w:val="34935A3D"/>
    <w:rsid w:val="34947F07"/>
    <w:rsid w:val="349B587D"/>
    <w:rsid w:val="349F2E40"/>
    <w:rsid w:val="34A25326"/>
    <w:rsid w:val="34AB1F99"/>
    <w:rsid w:val="34AF3E07"/>
    <w:rsid w:val="34B25575"/>
    <w:rsid w:val="34B97A3C"/>
    <w:rsid w:val="34BB02B5"/>
    <w:rsid w:val="34C172DC"/>
    <w:rsid w:val="34C333C6"/>
    <w:rsid w:val="34C91D02"/>
    <w:rsid w:val="34CE7CAD"/>
    <w:rsid w:val="34CF034D"/>
    <w:rsid w:val="34D07C52"/>
    <w:rsid w:val="34D94C06"/>
    <w:rsid w:val="34F01253"/>
    <w:rsid w:val="34F16E81"/>
    <w:rsid w:val="34F43E5A"/>
    <w:rsid w:val="34F57AC4"/>
    <w:rsid w:val="34FA4643"/>
    <w:rsid w:val="3503045B"/>
    <w:rsid w:val="35052DF4"/>
    <w:rsid w:val="35081BEB"/>
    <w:rsid w:val="35110A1C"/>
    <w:rsid w:val="3512544D"/>
    <w:rsid w:val="351706B1"/>
    <w:rsid w:val="351D6E09"/>
    <w:rsid w:val="351F2854"/>
    <w:rsid w:val="352448F8"/>
    <w:rsid w:val="352871AA"/>
    <w:rsid w:val="352C25E6"/>
    <w:rsid w:val="352F15E9"/>
    <w:rsid w:val="353D00D0"/>
    <w:rsid w:val="3543150B"/>
    <w:rsid w:val="3543285D"/>
    <w:rsid w:val="35471E55"/>
    <w:rsid w:val="3548708B"/>
    <w:rsid w:val="354A5004"/>
    <w:rsid w:val="354D0DD9"/>
    <w:rsid w:val="35544886"/>
    <w:rsid w:val="3559282F"/>
    <w:rsid w:val="35623DE2"/>
    <w:rsid w:val="3569061A"/>
    <w:rsid w:val="356B6656"/>
    <w:rsid w:val="356C331B"/>
    <w:rsid w:val="35796061"/>
    <w:rsid w:val="3581059F"/>
    <w:rsid w:val="35853F07"/>
    <w:rsid w:val="35886242"/>
    <w:rsid w:val="358900D9"/>
    <w:rsid w:val="35941E04"/>
    <w:rsid w:val="359E6BFA"/>
    <w:rsid w:val="35A03566"/>
    <w:rsid w:val="35AC78A9"/>
    <w:rsid w:val="35AD4BE8"/>
    <w:rsid w:val="35AF168D"/>
    <w:rsid w:val="35B8788C"/>
    <w:rsid w:val="35B951A3"/>
    <w:rsid w:val="35B97AB3"/>
    <w:rsid w:val="35BC336C"/>
    <w:rsid w:val="35CA2D1D"/>
    <w:rsid w:val="35CF03BC"/>
    <w:rsid w:val="35D778CC"/>
    <w:rsid w:val="35D95074"/>
    <w:rsid w:val="35DB2450"/>
    <w:rsid w:val="35DE1794"/>
    <w:rsid w:val="35E30511"/>
    <w:rsid w:val="35EA21AE"/>
    <w:rsid w:val="35EA2ADE"/>
    <w:rsid w:val="35EB367F"/>
    <w:rsid w:val="35EE4874"/>
    <w:rsid w:val="35F33334"/>
    <w:rsid w:val="35F83D5C"/>
    <w:rsid w:val="36000E21"/>
    <w:rsid w:val="36072E27"/>
    <w:rsid w:val="36106530"/>
    <w:rsid w:val="3619735D"/>
    <w:rsid w:val="361B34BA"/>
    <w:rsid w:val="361C7DB5"/>
    <w:rsid w:val="361D0A37"/>
    <w:rsid w:val="361F0408"/>
    <w:rsid w:val="36290EFC"/>
    <w:rsid w:val="363149DF"/>
    <w:rsid w:val="363461EB"/>
    <w:rsid w:val="36363489"/>
    <w:rsid w:val="363E6F0A"/>
    <w:rsid w:val="36404C85"/>
    <w:rsid w:val="364158DB"/>
    <w:rsid w:val="364A49B1"/>
    <w:rsid w:val="364F3B7A"/>
    <w:rsid w:val="364F5F69"/>
    <w:rsid w:val="3650340D"/>
    <w:rsid w:val="36521089"/>
    <w:rsid w:val="365D1CCC"/>
    <w:rsid w:val="36635A89"/>
    <w:rsid w:val="36654905"/>
    <w:rsid w:val="366B144E"/>
    <w:rsid w:val="36786628"/>
    <w:rsid w:val="367A76DA"/>
    <w:rsid w:val="36895C86"/>
    <w:rsid w:val="368C0FDE"/>
    <w:rsid w:val="368E0E17"/>
    <w:rsid w:val="3691488A"/>
    <w:rsid w:val="36986A36"/>
    <w:rsid w:val="369B0224"/>
    <w:rsid w:val="36A543A6"/>
    <w:rsid w:val="36AC3A06"/>
    <w:rsid w:val="36AC62A0"/>
    <w:rsid w:val="36B211A6"/>
    <w:rsid w:val="36B63AB6"/>
    <w:rsid w:val="36C43E60"/>
    <w:rsid w:val="36CF0C5D"/>
    <w:rsid w:val="36DA63C9"/>
    <w:rsid w:val="36DC07D7"/>
    <w:rsid w:val="36DF4604"/>
    <w:rsid w:val="36E11DD5"/>
    <w:rsid w:val="36E326C5"/>
    <w:rsid w:val="36E744A9"/>
    <w:rsid w:val="36EB28E8"/>
    <w:rsid w:val="36EF7F51"/>
    <w:rsid w:val="36FC17C8"/>
    <w:rsid w:val="37001E71"/>
    <w:rsid w:val="37033390"/>
    <w:rsid w:val="370C042A"/>
    <w:rsid w:val="371B7113"/>
    <w:rsid w:val="37220A59"/>
    <w:rsid w:val="37221EBB"/>
    <w:rsid w:val="372B52EF"/>
    <w:rsid w:val="372C3BF3"/>
    <w:rsid w:val="3730169F"/>
    <w:rsid w:val="37340B48"/>
    <w:rsid w:val="373C06E0"/>
    <w:rsid w:val="374156D7"/>
    <w:rsid w:val="37445696"/>
    <w:rsid w:val="374A1E78"/>
    <w:rsid w:val="37534E7E"/>
    <w:rsid w:val="375A137A"/>
    <w:rsid w:val="375B742D"/>
    <w:rsid w:val="375F2962"/>
    <w:rsid w:val="376F3D71"/>
    <w:rsid w:val="377540FD"/>
    <w:rsid w:val="37766CB1"/>
    <w:rsid w:val="377C5C64"/>
    <w:rsid w:val="377F6537"/>
    <w:rsid w:val="37825DBA"/>
    <w:rsid w:val="379B2122"/>
    <w:rsid w:val="379E143D"/>
    <w:rsid w:val="37AE5D69"/>
    <w:rsid w:val="37AF44F5"/>
    <w:rsid w:val="37B36BD2"/>
    <w:rsid w:val="37C36F16"/>
    <w:rsid w:val="37CE0FCB"/>
    <w:rsid w:val="37D2379B"/>
    <w:rsid w:val="37D3395C"/>
    <w:rsid w:val="37D83D73"/>
    <w:rsid w:val="37DF05F9"/>
    <w:rsid w:val="37E00CA5"/>
    <w:rsid w:val="37ED1891"/>
    <w:rsid w:val="37F02C14"/>
    <w:rsid w:val="37F65E46"/>
    <w:rsid w:val="37FE75B9"/>
    <w:rsid w:val="3803154F"/>
    <w:rsid w:val="38045771"/>
    <w:rsid w:val="38050D7D"/>
    <w:rsid w:val="3807790F"/>
    <w:rsid w:val="38141401"/>
    <w:rsid w:val="381B0292"/>
    <w:rsid w:val="381B6325"/>
    <w:rsid w:val="38291188"/>
    <w:rsid w:val="382B7DF0"/>
    <w:rsid w:val="382E518C"/>
    <w:rsid w:val="38314EE5"/>
    <w:rsid w:val="3832740A"/>
    <w:rsid w:val="38350A87"/>
    <w:rsid w:val="383C00F5"/>
    <w:rsid w:val="384042E0"/>
    <w:rsid w:val="38416672"/>
    <w:rsid w:val="384365A8"/>
    <w:rsid w:val="38467662"/>
    <w:rsid w:val="385633D6"/>
    <w:rsid w:val="38596443"/>
    <w:rsid w:val="385E0823"/>
    <w:rsid w:val="386907B5"/>
    <w:rsid w:val="38691CEB"/>
    <w:rsid w:val="38792732"/>
    <w:rsid w:val="388C3BB8"/>
    <w:rsid w:val="38917095"/>
    <w:rsid w:val="389374EE"/>
    <w:rsid w:val="38937866"/>
    <w:rsid w:val="389C3EC3"/>
    <w:rsid w:val="389D1788"/>
    <w:rsid w:val="389F044A"/>
    <w:rsid w:val="38A6565E"/>
    <w:rsid w:val="38A76F94"/>
    <w:rsid w:val="38AE465B"/>
    <w:rsid w:val="38AE5731"/>
    <w:rsid w:val="38B179F1"/>
    <w:rsid w:val="38B92564"/>
    <w:rsid w:val="38C374D5"/>
    <w:rsid w:val="38C41D24"/>
    <w:rsid w:val="38C507B1"/>
    <w:rsid w:val="38C5483E"/>
    <w:rsid w:val="38C557C1"/>
    <w:rsid w:val="38C87D4A"/>
    <w:rsid w:val="38CA25EA"/>
    <w:rsid w:val="38D21850"/>
    <w:rsid w:val="38D54511"/>
    <w:rsid w:val="38DB5406"/>
    <w:rsid w:val="38E22189"/>
    <w:rsid w:val="38EC442C"/>
    <w:rsid w:val="38F51FDF"/>
    <w:rsid w:val="38F56935"/>
    <w:rsid w:val="38FA1D9D"/>
    <w:rsid w:val="38FC2B33"/>
    <w:rsid w:val="39005D0D"/>
    <w:rsid w:val="3901639B"/>
    <w:rsid w:val="39022951"/>
    <w:rsid w:val="39054ADE"/>
    <w:rsid w:val="39057086"/>
    <w:rsid w:val="39142971"/>
    <w:rsid w:val="391775D5"/>
    <w:rsid w:val="391F7338"/>
    <w:rsid w:val="39227139"/>
    <w:rsid w:val="393311BB"/>
    <w:rsid w:val="39353549"/>
    <w:rsid w:val="39373276"/>
    <w:rsid w:val="393D21E5"/>
    <w:rsid w:val="393F0B62"/>
    <w:rsid w:val="393F1CA2"/>
    <w:rsid w:val="39412C26"/>
    <w:rsid w:val="39413F1F"/>
    <w:rsid w:val="39416847"/>
    <w:rsid w:val="3949343C"/>
    <w:rsid w:val="394B7226"/>
    <w:rsid w:val="394E06BD"/>
    <w:rsid w:val="3954298B"/>
    <w:rsid w:val="395B52FD"/>
    <w:rsid w:val="395F3305"/>
    <w:rsid w:val="39600014"/>
    <w:rsid w:val="39696D4E"/>
    <w:rsid w:val="396C2D43"/>
    <w:rsid w:val="396D6C02"/>
    <w:rsid w:val="397101B2"/>
    <w:rsid w:val="39740E1C"/>
    <w:rsid w:val="397902D5"/>
    <w:rsid w:val="398F5B14"/>
    <w:rsid w:val="399D5693"/>
    <w:rsid w:val="39A04592"/>
    <w:rsid w:val="39A2638C"/>
    <w:rsid w:val="39AB4A8C"/>
    <w:rsid w:val="39AF30DA"/>
    <w:rsid w:val="39B01B7B"/>
    <w:rsid w:val="39B16A7E"/>
    <w:rsid w:val="39B60BD2"/>
    <w:rsid w:val="39B91FA6"/>
    <w:rsid w:val="39C32F07"/>
    <w:rsid w:val="39C64540"/>
    <w:rsid w:val="39C713EF"/>
    <w:rsid w:val="39C725A1"/>
    <w:rsid w:val="39D41EE1"/>
    <w:rsid w:val="39E117C0"/>
    <w:rsid w:val="39E15C65"/>
    <w:rsid w:val="39EC0F5A"/>
    <w:rsid w:val="39ED6F63"/>
    <w:rsid w:val="39FE1461"/>
    <w:rsid w:val="3A060D4E"/>
    <w:rsid w:val="3A072D45"/>
    <w:rsid w:val="3A0A4FF7"/>
    <w:rsid w:val="3A0D1336"/>
    <w:rsid w:val="3A150FAA"/>
    <w:rsid w:val="3A1B1969"/>
    <w:rsid w:val="3A1E3C90"/>
    <w:rsid w:val="3A1E7845"/>
    <w:rsid w:val="3A2241B5"/>
    <w:rsid w:val="3A242C7B"/>
    <w:rsid w:val="3A2C4F49"/>
    <w:rsid w:val="3A4006E7"/>
    <w:rsid w:val="3A4A19A3"/>
    <w:rsid w:val="3A4E7060"/>
    <w:rsid w:val="3A5706E2"/>
    <w:rsid w:val="3A5E2192"/>
    <w:rsid w:val="3A603839"/>
    <w:rsid w:val="3A617908"/>
    <w:rsid w:val="3A673183"/>
    <w:rsid w:val="3A6B0482"/>
    <w:rsid w:val="3A6C68DC"/>
    <w:rsid w:val="3A6E4FB7"/>
    <w:rsid w:val="3A757C19"/>
    <w:rsid w:val="3A7D3C9F"/>
    <w:rsid w:val="3A8213A4"/>
    <w:rsid w:val="3A91153A"/>
    <w:rsid w:val="3A91263E"/>
    <w:rsid w:val="3A953380"/>
    <w:rsid w:val="3A977876"/>
    <w:rsid w:val="3A9A440F"/>
    <w:rsid w:val="3A9E42EC"/>
    <w:rsid w:val="3AA0291B"/>
    <w:rsid w:val="3AA03DEC"/>
    <w:rsid w:val="3AA40373"/>
    <w:rsid w:val="3AAD1478"/>
    <w:rsid w:val="3AB00FF6"/>
    <w:rsid w:val="3AB357E7"/>
    <w:rsid w:val="3AB63916"/>
    <w:rsid w:val="3AB84281"/>
    <w:rsid w:val="3ABA544A"/>
    <w:rsid w:val="3ABC02B2"/>
    <w:rsid w:val="3ABF777F"/>
    <w:rsid w:val="3AC33A8D"/>
    <w:rsid w:val="3AC6020E"/>
    <w:rsid w:val="3ACC79E5"/>
    <w:rsid w:val="3ACE769E"/>
    <w:rsid w:val="3ACF05FC"/>
    <w:rsid w:val="3AD125B5"/>
    <w:rsid w:val="3AD66CD4"/>
    <w:rsid w:val="3ADE6063"/>
    <w:rsid w:val="3AE038BB"/>
    <w:rsid w:val="3AE930E3"/>
    <w:rsid w:val="3AEC7D1D"/>
    <w:rsid w:val="3AEF6948"/>
    <w:rsid w:val="3AF163CA"/>
    <w:rsid w:val="3B024110"/>
    <w:rsid w:val="3B0642EE"/>
    <w:rsid w:val="3B083446"/>
    <w:rsid w:val="3B17003B"/>
    <w:rsid w:val="3B186FCA"/>
    <w:rsid w:val="3B1A4E7B"/>
    <w:rsid w:val="3B1C605D"/>
    <w:rsid w:val="3B233F01"/>
    <w:rsid w:val="3B237CCE"/>
    <w:rsid w:val="3B2414AE"/>
    <w:rsid w:val="3B324A1D"/>
    <w:rsid w:val="3B333A29"/>
    <w:rsid w:val="3B336309"/>
    <w:rsid w:val="3B340114"/>
    <w:rsid w:val="3B383BA2"/>
    <w:rsid w:val="3B3A432D"/>
    <w:rsid w:val="3B3C2B26"/>
    <w:rsid w:val="3B3C6209"/>
    <w:rsid w:val="3B3D0F4E"/>
    <w:rsid w:val="3B4472A3"/>
    <w:rsid w:val="3B4638FD"/>
    <w:rsid w:val="3B476339"/>
    <w:rsid w:val="3B496BD6"/>
    <w:rsid w:val="3B57402D"/>
    <w:rsid w:val="3B640E4E"/>
    <w:rsid w:val="3B653EEB"/>
    <w:rsid w:val="3B6662D5"/>
    <w:rsid w:val="3B673DFD"/>
    <w:rsid w:val="3B694679"/>
    <w:rsid w:val="3B746390"/>
    <w:rsid w:val="3B7A6DF5"/>
    <w:rsid w:val="3B7E11BF"/>
    <w:rsid w:val="3B94338C"/>
    <w:rsid w:val="3B9942F7"/>
    <w:rsid w:val="3B9C6067"/>
    <w:rsid w:val="3B9D3300"/>
    <w:rsid w:val="3BA70815"/>
    <w:rsid w:val="3BAC5B4A"/>
    <w:rsid w:val="3BAD20A3"/>
    <w:rsid w:val="3BB30AE0"/>
    <w:rsid w:val="3BBD0C73"/>
    <w:rsid w:val="3BBD4EC5"/>
    <w:rsid w:val="3BBE146D"/>
    <w:rsid w:val="3BC313E3"/>
    <w:rsid w:val="3BC64837"/>
    <w:rsid w:val="3BCE61F5"/>
    <w:rsid w:val="3BD437B2"/>
    <w:rsid w:val="3BDD09B7"/>
    <w:rsid w:val="3BDD2781"/>
    <w:rsid w:val="3BE36637"/>
    <w:rsid w:val="3BE55FAE"/>
    <w:rsid w:val="3BE81CF3"/>
    <w:rsid w:val="3BED4F9B"/>
    <w:rsid w:val="3BF15E39"/>
    <w:rsid w:val="3BF15EFA"/>
    <w:rsid w:val="3BF637D5"/>
    <w:rsid w:val="3BF9351E"/>
    <w:rsid w:val="3C026D85"/>
    <w:rsid w:val="3C0368D6"/>
    <w:rsid w:val="3C042079"/>
    <w:rsid w:val="3C05663C"/>
    <w:rsid w:val="3C0C1B86"/>
    <w:rsid w:val="3C100D0C"/>
    <w:rsid w:val="3C113FED"/>
    <w:rsid w:val="3C152AFD"/>
    <w:rsid w:val="3C1622FC"/>
    <w:rsid w:val="3C1902BD"/>
    <w:rsid w:val="3C1973C5"/>
    <w:rsid w:val="3C292AB7"/>
    <w:rsid w:val="3C2B3215"/>
    <w:rsid w:val="3C2C52DB"/>
    <w:rsid w:val="3C2D6654"/>
    <w:rsid w:val="3C2F2BE2"/>
    <w:rsid w:val="3C2F4276"/>
    <w:rsid w:val="3C3A1F38"/>
    <w:rsid w:val="3C3D7CBF"/>
    <w:rsid w:val="3C41156D"/>
    <w:rsid w:val="3C446FD5"/>
    <w:rsid w:val="3C4642C9"/>
    <w:rsid w:val="3C492C45"/>
    <w:rsid w:val="3C4C5F3B"/>
    <w:rsid w:val="3C5C1D83"/>
    <w:rsid w:val="3C5D6758"/>
    <w:rsid w:val="3C677A0C"/>
    <w:rsid w:val="3C680893"/>
    <w:rsid w:val="3C692B9B"/>
    <w:rsid w:val="3C6A02DF"/>
    <w:rsid w:val="3C721F38"/>
    <w:rsid w:val="3C740EA1"/>
    <w:rsid w:val="3C7773CF"/>
    <w:rsid w:val="3C7D1220"/>
    <w:rsid w:val="3C8E2411"/>
    <w:rsid w:val="3C91561E"/>
    <w:rsid w:val="3C95565D"/>
    <w:rsid w:val="3CA272EE"/>
    <w:rsid w:val="3CA54A9E"/>
    <w:rsid w:val="3CA94F62"/>
    <w:rsid w:val="3CAB3230"/>
    <w:rsid w:val="3CAE47F8"/>
    <w:rsid w:val="3CBC19C7"/>
    <w:rsid w:val="3CBE4A5A"/>
    <w:rsid w:val="3CC84315"/>
    <w:rsid w:val="3CC94CF3"/>
    <w:rsid w:val="3CCB2887"/>
    <w:rsid w:val="3CCD244C"/>
    <w:rsid w:val="3CD72D9B"/>
    <w:rsid w:val="3CD85E12"/>
    <w:rsid w:val="3CD96D48"/>
    <w:rsid w:val="3CDE1A99"/>
    <w:rsid w:val="3CE16B00"/>
    <w:rsid w:val="3CEB7438"/>
    <w:rsid w:val="3CF37E95"/>
    <w:rsid w:val="3CF8500D"/>
    <w:rsid w:val="3CF95514"/>
    <w:rsid w:val="3CFE44B4"/>
    <w:rsid w:val="3D0428D5"/>
    <w:rsid w:val="3D0463D7"/>
    <w:rsid w:val="3D085988"/>
    <w:rsid w:val="3D0B237A"/>
    <w:rsid w:val="3D0C78FF"/>
    <w:rsid w:val="3D1577BC"/>
    <w:rsid w:val="3D1702FD"/>
    <w:rsid w:val="3D1A6BBD"/>
    <w:rsid w:val="3D1B675F"/>
    <w:rsid w:val="3D1F3C9F"/>
    <w:rsid w:val="3D22351F"/>
    <w:rsid w:val="3D2544E6"/>
    <w:rsid w:val="3D29315D"/>
    <w:rsid w:val="3D2C7CC4"/>
    <w:rsid w:val="3D2F14A3"/>
    <w:rsid w:val="3D3511F1"/>
    <w:rsid w:val="3D352C5A"/>
    <w:rsid w:val="3D363F4F"/>
    <w:rsid w:val="3D3B10F1"/>
    <w:rsid w:val="3D3D2244"/>
    <w:rsid w:val="3D4172F7"/>
    <w:rsid w:val="3D4B5C18"/>
    <w:rsid w:val="3D4C576B"/>
    <w:rsid w:val="3D57750B"/>
    <w:rsid w:val="3D644964"/>
    <w:rsid w:val="3D6668E0"/>
    <w:rsid w:val="3D690D44"/>
    <w:rsid w:val="3D6C370D"/>
    <w:rsid w:val="3D6E0F76"/>
    <w:rsid w:val="3D7260BA"/>
    <w:rsid w:val="3D787D88"/>
    <w:rsid w:val="3D7F5DA5"/>
    <w:rsid w:val="3D812C7C"/>
    <w:rsid w:val="3D8221FC"/>
    <w:rsid w:val="3D832291"/>
    <w:rsid w:val="3D837AAF"/>
    <w:rsid w:val="3D864C88"/>
    <w:rsid w:val="3D876B8E"/>
    <w:rsid w:val="3D8B2690"/>
    <w:rsid w:val="3D8E6BE8"/>
    <w:rsid w:val="3D907204"/>
    <w:rsid w:val="3D9720BD"/>
    <w:rsid w:val="3D9810AA"/>
    <w:rsid w:val="3D990E83"/>
    <w:rsid w:val="3DAB6C54"/>
    <w:rsid w:val="3DB262CC"/>
    <w:rsid w:val="3DB32D78"/>
    <w:rsid w:val="3DB83C4A"/>
    <w:rsid w:val="3DBD5157"/>
    <w:rsid w:val="3DCA6CA0"/>
    <w:rsid w:val="3DCD0608"/>
    <w:rsid w:val="3DCD3EA6"/>
    <w:rsid w:val="3DD26F8C"/>
    <w:rsid w:val="3DD309C4"/>
    <w:rsid w:val="3DDD69B6"/>
    <w:rsid w:val="3DDE5EF3"/>
    <w:rsid w:val="3DE9772C"/>
    <w:rsid w:val="3DED3FA3"/>
    <w:rsid w:val="3DEF54F1"/>
    <w:rsid w:val="3DF61630"/>
    <w:rsid w:val="3DFC7B2A"/>
    <w:rsid w:val="3DFD50C6"/>
    <w:rsid w:val="3E0346C5"/>
    <w:rsid w:val="3E0479DD"/>
    <w:rsid w:val="3E060137"/>
    <w:rsid w:val="3E1046D5"/>
    <w:rsid w:val="3E17736F"/>
    <w:rsid w:val="3E1D669E"/>
    <w:rsid w:val="3E200F1A"/>
    <w:rsid w:val="3E262BC5"/>
    <w:rsid w:val="3E293407"/>
    <w:rsid w:val="3E2B714D"/>
    <w:rsid w:val="3E2E5D47"/>
    <w:rsid w:val="3E35071B"/>
    <w:rsid w:val="3E4A15D7"/>
    <w:rsid w:val="3E4E3A56"/>
    <w:rsid w:val="3E5170B1"/>
    <w:rsid w:val="3E520A1C"/>
    <w:rsid w:val="3E574E5C"/>
    <w:rsid w:val="3E595453"/>
    <w:rsid w:val="3E5A7A90"/>
    <w:rsid w:val="3E5C4C2A"/>
    <w:rsid w:val="3E63625A"/>
    <w:rsid w:val="3E6F4D32"/>
    <w:rsid w:val="3E723961"/>
    <w:rsid w:val="3E7A2E84"/>
    <w:rsid w:val="3E817A0F"/>
    <w:rsid w:val="3E845D53"/>
    <w:rsid w:val="3E8717F8"/>
    <w:rsid w:val="3E8C0C42"/>
    <w:rsid w:val="3E8D047D"/>
    <w:rsid w:val="3E8F75B4"/>
    <w:rsid w:val="3E9307D0"/>
    <w:rsid w:val="3E9569AF"/>
    <w:rsid w:val="3E9C4B0B"/>
    <w:rsid w:val="3E9E4D89"/>
    <w:rsid w:val="3EA2487E"/>
    <w:rsid w:val="3EA57D98"/>
    <w:rsid w:val="3EB45618"/>
    <w:rsid w:val="3EB504D3"/>
    <w:rsid w:val="3EBE5F31"/>
    <w:rsid w:val="3EC66C20"/>
    <w:rsid w:val="3ED66CD4"/>
    <w:rsid w:val="3EDA02A8"/>
    <w:rsid w:val="3EDF433C"/>
    <w:rsid w:val="3EE053DC"/>
    <w:rsid w:val="3EE5509E"/>
    <w:rsid w:val="3EE5783B"/>
    <w:rsid w:val="3EF22A17"/>
    <w:rsid w:val="3EFB55C4"/>
    <w:rsid w:val="3F0261DC"/>
    <w:rsid w:val="3F052551"/>
    <w:rsid w:val="3F1A16E4"/>
    <w:rsid w:val="3F1D3B97"/>
    <w:rsid w:val="3F2810D5"/>
    <w:rsid w:val="3F314CA6"/>
    <w:rsid w:val="3F334784"/>
    <w:rsid w:val="3F3C1A1A"/>
    <w:rsid w:val="3F4320CE"/>
    <w:rsid w:val="3F464D6E"/>
    <w:rsid w:val="3F482509"/>
    <w:rsid w:val="3F4A2182"/>
    <w:rsid w:val="3F5322B5"/>
    <w:rsid w:val="3F5429EA"/>
    <w:rsid w:val="3F5846F5"/>
    <w:rsid w:val="3F5D12D6"/>
    <w:rsid w:val="3F60780E"/>
    <w:rsid w:val="3F6226E4"/>
    <w:rsid w:val="3F654B50"/>
    <w:rsid w:val="3F657786"/>
    <w:rsid w:val="3F6F0FEE"/>
    <w:rsid w:val="3F7378B4"/>
    <w:rsid w:val="3F751270"/>
    <w:rsid w:val="3F805DB0"/>
    <w:rsid w:val="3F84263A"/>
    <w:rsid w:val="3F924EAB"/>
    <w:rsid w:val="3F984CA1"/>
    <w:rsid w:val="3F993CE9"/>
    <w:rsid w:val="3F9E1F7F"/>
    <w:rsid w:val="3FAC085B"/>
    <w:rsid w:val="3FB23CC8"/>
    <w:rsid w:val="3FB3781A"/>
    <w:rsid w:val="3FB9356F"/>
    <w:rsid w:val="3FBE75A3"/>
    <w:rsid w:val="3FC51E98"/>
    <w:rsid w:val="3FC90B77"/>
    <w:rsid w:val="3FCA63C1"/>
    <w:rsid w:val="3FCB76CF"/>
    <w:rsid w:val="3FCF309B"/>
    <w:rsid w:val="3FD572C2"/>
    <w:rsid w:val="3FD805F9"/>
    <w:rsid w:val="3FE02F81"/>
    <w:rsid w:val="3FE13B5F"/>
    <w:rsid w:val="3FE37252"/>
    <w:rsid w:val="3FE5581F"/>
    <w:rsid w:val="3FF0711A"/>
    <w:rsid w:val="3FFA5BA0"/>
    <w:rsid w:val="3FFB0E0F"/>
    <w:rsid w:val="3FFF6F8E"/>
    <w:rsid w:val="4001060D"/>
    <w:rsid w:val="40066D7F"/>
    <w:rsid w:val="40137559"/>
    <w:rsid w:val="401D57A1"/>
    <w:rsid w:val="401E5577"/>
    <w:rsid w:val="401F33D4"/>
    <w:rsid w:val="402C1A6D"/>
    <w:rsid w:val="402C3E53"/>
    <w:rsid w:val="402D4BDA"/>
    <w:rsid w:val="40310EDD"/>
    <w:rsid w:val="403B1957"/>
    <w:rsid w:val="403B3B26"/>
    <w:rsid w:val="403C367B"/>
    <w:rsid w:val="40420302"/>
    <w:rsid w:val="4042163A"/>
    <w:rsid w:val="404C205F"/>
    <w:rsid w:val="405109C9"/>
    <w:rsid w:val="40632487"/>
    <w:rsid w:val="406E5D45"/>
    <w:rsid w:val="40703CD4"/>
    <w:rsid w:val="40716D3C"/>
    <w:rsid w:val="4072586E"/>
    <w:rsid w:val="407A13AE"/>
    <w:rsid w:val="40821194"/>
    <w:rsid w:val="408345E9"/>
    <w:rsid w:val="408B615A"/>
    <w:rsid w:val="409115DF"/>
    <w:rsid w:val="40940E39"/>
    <w:rsid w:val="40952354"/>
    <w:rsid w:val="4098058F"/>
    <w:rsid w:val="40990493"/>
    <w:rsid w:val="409C3142"/>
    <w:rsid w:val="40A951A4"/>
    <w:rsid w:val="40AF6F65"/>
    <w:rsid w:val="40B53123"/>
    <w:rsid w:val="40B62CE4"/>
    <w:rsid w:val="40B679F8"/>
    <w:rsid w:val="40BA7F24"/>
    <w:rsid w:val="40BC791C"/>
    <w:rsid w:val="40C837BF"/>
    <w:rsid w:val="40D17996"/>
    <w:rsid w:val="40E0437A"/>
    <w:rsid w:val="40E377C9"/>
    <w:rsid w:val="40E52A8C"/>
    <w:rsid w:val="40E75889"/>
    <w:rsid w:val="40E95D10"/>
    <w:rsid w:val="40EB11DB"/>
    <w:rsid w:val="40ED1AD4"/>
    <w:rsid w:val="40ED3F41"/>
    <w:rsid w:val="40EE2C26"/>
    <w:rsid w:val="40EE64A1"/>
    <w:rsid w:val="40F042DB"/>
    <w:rsid w:val="40F37D2C"/>
    <w:rsid w:val="40F94121"/>
    <w:rsid w:val="40FC450A"/>
    <w:rsid w:val="41007D1A"/>
    <w:rsid w:val="41027760"/>
    <w:rsid w:val="4105724B"/>
    <w:rsid w:val="410D218C"/>
    <w:rsid w:val="412639E9"/>
    <w:rsid w:val="4129074F"/>
    <w:rsid w:val="412966BF"/>
    <w:rsid w:val="412E0417"/>
    <w:rsid w:val="413019C1"/>
    <w:rsid w:val="41316E7A"/>
    <w:rsid w:val="41364AAA"/>
    <w:rsid w:val="41395334"/>
    <w:rsid w:val="413D4085"/>
    <w:rsid w:val="413F2552"/>
    <w:rsid w:val="41465D89"/>
    <w:rsid w:val="414729C9"/>
    <w:rsid w:val="4153160E"/>
    <w:rsid w:val="41544349"/>
    <w:rsid w:val="41570E28"/>
    <w:rsid w:val="416F228A"/>
    <w:rsid w:val="41710661"/>
    <w:rsid w:val="41710DB1"/>
    <w:rsid w:val="417254FE"/>
    <w:rsid w:val="417710A0"/>
    <w:rsid w:val="417928C8"/>
    <w:rsid w:val="41797CED"/>
    <w:rsid w:val="41846AAA"/>
    <w:rsid w:val="41892E70"/>
    <w:rsid w:val="418D78AA"/>
    <w:rsid w:val="418E75F4"/>
    <w:rsid w:val="41911BA7"/>
    <w:rsid w:val="419246A2"/>
    <w:rsid w:val="41970899"/>
    <w:rsid w:val="41987722"/>
    <w:rsid w:val="419D4005"/>
    <w:rsid w:val="419E1C19"/>
    <w:rsid w:val="419F6C2C"/>
    <w:rsid w:val="41BF081D"/>
    <w:rsid w:val="41BF0BC8"/>
    <w:rsid w:val="41C756C0"/>
    <w:rsid w:val="41CB0E21"/>
    <w:rsid w:val="41D002C2"/>
    <w:rsid w:val="41D13F92"/>
    <w:rsid w:val="41D573C8"/>
    <w:rsid w:val="41D57ABC"/>
    <w:rsid w:val="41DA2EA6"/>
    <w:rsid w:val="41DA583F"/>
    <w:rsid w:val="41DC7C08"/>
    <w:rsid w:val="41DE70F8"/>
    <w:rsid w:val="41E65A44"/>
    <w:rsid w:val="41F2674B"/>
    <w:rsid w:val="41F46AD3"/>
    <w:rsid w:val="41FD39E6"/>
    <w:rsid w:val="42001635"/>
    <w:rsid w:val="42066D71"/>
    <w:rsid w:val="420A54C1"/>
    <w:rsid w:val="42160139"/>
    <w:rsid w:val="42177E15"/>
    <w:rsid w:val="421C4CA9"/>
    <w:rsid w:val="4221725B"/>
    <w:rsid w:val="42332B94"/>
    <w:rsid w:val="42341DB5"/>
    <w:rsid w:val="423579ED"/>
    <w:rsid w:val="424106A8"/>
    <w:rsid w:val="424575AF"/>
    <w:rsid w:val="42474B55"/>
    <w:rsid w:val="424E41EB"/>
    <w:rsid w:val="42511EDC"/>
    <w:rsid w:val="42535316"/>
    <w:rsid w:val="42554FC5"/>
    <w:rsid w:val="425555D6"/>
    <w:rsid w:val="425B79EF"/>
    <w:rsid w:val="42613BAE"/>
    <w:rsid w:val="42634E95"/>
    <w:rsid w:val="426F2943"/>
    <w:rsid w:val="4270177C"/>
    <w:rsid w:val="427A1ACF"/>
    <w:rsid w:val="428310DB"/>
    <w:rsid w:val="4284569A"/>
    <w:rsid w:val="42892961"/>
    <w:rsid w:val="428E450C"/>
    <w:rsid w:val="42961B38"/>
    <w:rsid w:val="429951A7"/>
    <w:rsid w:val="429B623A"/>
    <w:rsid w:val="42A553AE"/>
    <w:rsid w:val="42A5666A"/>
    <w:rsid w:val="42AD7E24"/>
    <w:rsid w:val="42AE35B7"/>
    <w:rsid w:val="42B034EF"/>
    <w:rsid w:val="42B30766"/>
    <w:rsid w:val="42B44BCE"/>
    <w:rsid w:val="42BB54FB"/>
    <w:rsid w:val="42BF35DC"/>
    <w:rsid w:val="42CA3E41"/>
    <w:rsid w:val="42CC58B9"/>
    <w:rsid w:val="42CE7736"/>
    <w:rsid w:val="42D24F69"/>
    <w:rsid w:val="42D40B1E"/>
    <w:rsid w:val="42D50DDF"/>
    <w:rsid w:val="42D524EA"/>
    <w:rsid w:val="42D8409A"/>
    <w:rsid w:val="42D979F4"/>
    <w:rsid w:val="42DA4F1B"/>
    <w:rsid w:val="42DE2265"/>
    <w:rsid w:val="42F1648C"/>
    <w:rsid w:val="42F24B6C"/>
    <w:rsid w:val="42F4296F"/>
    <w:rsid w:val="42F52893"/>
    <w:rsid w:val="42F62C09"/>
    <w:rsid w:val="42F96FA6"/>
    <w:rsid w:val="42FC3754"/>
    <w:rsid w:val="43090B39"/>
    <w:rsid w:val="43095433"/>
    <w:rsid w:val="43100295"/>
    <w:rsid w:val="431343E0"/>
    <w:rsid w:val="43217892"/>
    <w:rsid w:val="432313FE"/>
    <w:rsid w:val="4326007E"/>
    <w:rsid w:val="43264497"/>
    <w:rsid w:val="43310472"/>
    <w:rsid w:val="433B36E1"/>
    <w:rsid w:val="433D545A"/>
    <w:rsid w:val="434673FB"/>
    <w:rsid w:val="434A4052"/>
    <w:rsid w:val="43517A7E"/>
    <w:rsid w:val="43570A2A"/>
    <w:rsid w:val="435A10E7"/>
    <w:rsid w:val="435F793F"/>
    <w:rsid w:val="435F7A77"/>
    <w:rsid w:val="436230D5"/>
    <w:rsid w:val="4364493E"/>
    <w:rsid w:val="4367075B"/>
    <w:rsid w:val="43685635"/>
    <w:rsid w:val="436D245E"/>
    <w:rsid w:val="4373600A"/>
    <w:rsid w:val="437B3125"/>
    <w:rsid w:val="437D0228"/>
    <w:rsid w:val="437E28AD"/>
    <w:rsid w:val="43815E5A"/>
    <w:rsid w:val="4389069F"/>
    <w:rsid w:val="43897F71"/>
    <w:rsid w:val="438B39AB"/>
    <w:rsid w:val="438D69AE"/>
    <w:rsid w:val="43987614"/>
    <w:rsid w:val="43A467AB"/>
    <w:rsid w:val="43B4431E"/>
    <w:rsid w:val="43B836CB"/>
    <w:rsid w:val="43BB5AB5"/>
    <w:rsid w:val="43C10B1A"/>
    <w:rsid w:val="43C15B08"/>
    <w:rsid w:val="43D01B20"/>
    <w:rsid w:val="43D13242"/>
    <w:rsid w:val="43D87ECD"/>
    <w:rsid w:val="43E32E4F"/>
    <w:rsid w:val="43E35FCE"/>
    <w:rsid w:val="43E44551"/>
    <w:rsid w:val="43EA5D5B"/>
    <w:rsid w:val="43EB37B1"/>
    <w:rsid w:val="43EE2C75"/>
    <w:rsid w:val="43EE5FF2"/>
    <w:rsid w:val="43EE6CC3"/>
    <w:rsid w:val="43FF713F"/>
    <w:rsid w:val="4403075F"/>
    <w:rsid w:val="44042609"/>
    <w:rsid w:val="44166C62"/>
    <w:rsid w:val="441A66FE"/>
    <w:rsid w:val="44231536"/>
    <w:rsid w:val="442601AA"/>
    <w:rsid w:val="44281A27"/>
    <w:rsid w:val="442D1003"/>
    <w:rsid w:val="4433644F"/>
    <w:rsid w:val="44342E68"/>
    <w:rsid w:val="443531A3"/>
    <w:rsid w:val="4439527A"/>
    <w:rsid w:val="443D60E0"/>
    <w:rsid w:val="443E13F7"/>
    <w:rsid w:val="443F40B2"/>
    <w:rsid w:val="44442831"/>
    <w:rsid w:val="444573EE"/>
    <w:rsid w:val="444F5EA4"/>
    <w:rsid w:val="44530A7D"/>
    <w:rsid w:val="4461354F"/>
    <w:rsid w:val="4464378F"/>
    <w:rsid w:val="446B5CF0"/>
    <w:rsid w:val="446D6590"/>
    <w:rsid w:val="44795795"/>
    <w:rsid w:val="447E6CD5"/>
    <w:rsid w:val="44821C6D"/>
    <w:rsid w:val="44892F03"/>
    <w:rsid w:val="44960078"/>
    <w:rsid w:val="449979F3"/>
    <w:rsid w:val="449B552F"/>
    <w:rsid w:val="449D0D2F"/>
    <w:rsid w:val="44A54F72"/>
    <w:rsid w:val="44AA0FDC"/>
    <w:rsid w:val="44AA6FD4"/>
    <w:rsid w:val="44AD2840"/>
    <w:rsid w:val="44B75372"/>
    <w:rsid w:val="44B82555"/>
    <w:rsid w:val="44BB68E0"/>
    <w:rsid w:val="44BD6849"/>
    <w:rsid w:val="44C01883"/>
    <w:rsid w:val="44C103B6"/>
    <w:rsid w:val="44C83B1E"/>
    <w:rsid w:val="44C93C29"/>
    <w:rsid w:val="44CE68C9"/>
    <w:rsid w:val="44D057F1"/>
    <w:rsid w:val="44D14331"/>
    <w:rsid w:val="44E25568"/>
    <w:rsid w:val="44E524C0"/>
    <w:rsid w:val="44EA047B"/>
    <w:rsid w:val="44EC3F9D"/>
    <w:rsid w:val="44EC7E5D"/>
    <w:rsid w:val="44ED3229"/>
    <w:rsid w:val="44EF335E"/>
    <w:rsid w:val="44F47607"/>
    <w:rsid w:val="44F9453D"/>
    <w:rsid w:val="44FD4716"/>
    <w:rsid w:val="44FE0A82"/>
    <w:rsid w:val="44FE1F71"/>
    <w:rsid w:val="44FF62B5"/>
    <w:rsid w:val="450B4F82"/>
    <w:rsid w:val="450D3C2D"/>
    <w:rsid w:val="450E6EAA"/>
    <w:rsid w:val="45174AB5"/>
    <w:rsid w:val="45185B96"/>
    <w:rsid w:val="451861BF"/>
    <w:rsid w:val="451B21FE"/>
    <w:rsid w:val="45241411"/>
    <w:rsid w:val="452A32BB"/>
    <w:rsid w:val="45312E21"/>
    <w:rsid w:val="45372BCE"/>
    <w:rsid w:val="45372FFE"/>
    <w:rsid w:val="453A291D"/>
    <w:rsid w:val="453B6A5A"/>
    <w:rsid w:val="454248E9"/>
    <w:rsid w:val="4548060A"/>
    <w:rsid w:val="454D032C"/>
    <w:rsid w:val="45534614"/>
    <w:rsid w:val="455635C1"/>
    <w:rsid w:val="455A0BC0"/>
    <w:rsid w:val="455A3071"/>
    <w:rsid w:val="455C465B"/>
    <w:rsid w:val="45637E33"/>
    <w:rsid w:val="456850F7"/>
    <w:rsid w:val="45694880"/>
    <w:rsid w:val="456C246A"/>
    <w:rsid w:val="456F74AF"/>
    <w:rsid w:val="457112DF"/>
    <w:rsid w:val="457337E9"/>
    <w:rsid w:val="45765A2B"/>
    <w:rsid w:val="457910AE"/>
    <w:rsid w:val="457C18C4"/>
    <w:rsid w:val="457C63C8"/>
    <w:rsid w:val="457D7E4D"/>
    <w:rsid w:val="45830BBF"/>
    <w:rsid w:val="45833136"/>
    <w:rsid w:val="45872DDD"/>
    <w:rsid w:val="458F6368"/>
    <w:rsid w:val="45941075"/>
    <w:rsid w:val="459777A2"/>
    <w:rsid w:val="45985CDB"/>
    <w:rsid w:val="45A249FE"/>
    <w:rsid w:val="45AC25F4"/>
    <w:rsid w:val="45B50A11"/>
    <w:rsid w:val="45B5559F"/>
    <w:rsid w:val="45C269DE"/>
    <w:rsid w:val="45CA698B"/>
    <w:rsid w:val="45CF3AE2"/>
    <w:rsid w:val="45D11646"/>
    <w:rsid w:val="45DE130F"/>
    <w:rsid w:val="45E274D2"/>
    <w:rsid w:val="45E3082D"/>
    <w:rsid w:val="45E35E3F"/>
    <w:rsid w:val="45E4676C"/>
    <w:rsid w:val="45E513A8"/>
    <w:rsid w:val="45E93679"/>
    <w:rsid w:val="45ED0796"/>
    <w:rsid w:val="45F87B69"/>
    <w:rsid w:val="46017457"/>
    <w:rsid w:val="46102306"/>
    <w:rsid w:val="46116E2E"/>
    <w:rsid w:val="46155D32"/>
    <w:rsid w:val="461850B6"/>
    <w:rsid w:val="4620785E"/>
    <w:rsid w:val="4626397B"/>
    <w:rsid w:val="46290A66"/>
    <w:rsid w:val="462C0152"/>
    <w:rsid w:val="462F1873"/>
    <w:rsid w:val="462F21F4"/>
    <w:rsid w:val="46300547"/>
    <w:rsid w:val="46315148"/>
    <w:rsid w:val="463C76A6"/>
    <w:rsid w:val="464A71B3"/>
    <w:rsid w:val="464C5602"/>
    <w:rsid w:val="464E065C"/>
    <w:rsid w:val="46555436"/>
    <w:rsid w:val="465A6D7E"/>
    <w:rsid w:val="465C4A9B"/>
    <w:rsid w:val="465F0292"/>
    <w:rsid w:val="466434E5"/>
    <w:rsid w:val="46652921"/>
    <w:rsid w:val="466A6A54"/>
    <w:rsid w:val="466E0916"/>
    <w:rsid w:val="46736BF6"/>
    <w:rsid w:val="46740AEF"/>
    <w:rsid w:val="4674348C"/>
    <w:rsid w:val="46797332"/>
    <w:rsid w:val="46797640"/>
    <w:rsid w:val="467A2FAC"/>
    <w:rsid w:val="467E2DD5"/>
    <w:rsid w:val="46837B2A"/>
    <w:rsid w:val="4693391D"/>
    <w:rsid w:val="469878A3"/>
    <w:rsid w:val="469A13B5"/>
    <w:rsid w:val="469B4777"/>
    <w:rsid w:val="469E2056"/>
    <w:rsid w:val="46A50B18"/>
    <w:rsid w:val="46A97A76"/>
    <w:rsid w:val="46B40F22"/>
    <w:rsid w:val="46BA1796"/>
    <w:rsid w:val="46BC06B4"/>
    <w:rsid w:val="46C10A14"/>
    <w:rsid w:val="46C6334B"/>
    <w:rsid w:val="46CA635B"/>
    <w:rsid w:val="46CE793B"/>
    <w:rsid w:val="46CF5848"/>
    <w:rsid w:val="46D26841"/>
    <w:rsid w:val="46D848A8"/>
    <w:rsid w:val="46E35E17"/>
    <w:rsid w:val="46E435E1"/>
    <w:rsid w:val="46EF68E1"/>
    <w:rsid w:val="46F351FB"/>
    <w:rsid w:val="46F62916"/>
    <w:rsid w:val="46F90B4E"/>
    <w:rsid w:val="46F90C3F"/>
    <w:rsid w:val="46FA6F53"/>
    <w:rsid w:val="47000EA7"/>
    <w:rsid w:val="4713474B"/>
    <w:rsid w:val="47134D1D"/>
    <w:rsid w:val="47154A6D"/>
    <w:rsid w:val="47165669"/>
    <w:rsid w:val="471B2DEC"/>
    <w:rsid w:val="471B378F"/>
    <w:rsid w:val="471C4C30"/>
    <w:rsid w:val="47201510"/>
    <w:rsid w:val="47390CD0"/>
    <w:rsid w:val="473E28FE"/>
    <w:rsid w:val="473F4968"/>
    <w:rsid w:val="474078BB"/>
    <w:rsid w:val="474A5225"/>
    <w:rsid w:val="474C0A2E"/>
    <w:rsid w:val="474E0E6D"/>
    <w:rsid w:val="474F69BD"/>
    <w:rsid w:val="47537E15"/>
    <w:rsid w:val="475B1DA2"/>
    <w:rsid w:val="476D02AE"/>
    <w:rsid w:val="4773082E"/>
    <w:rsid w:val="4773225B"/>
    <w:rsid w:val="47745A64"/>
    <w:rsid w:val="47746FF8"/>
    <w:rsid w:val="47835758"/>
    <w:rsid w:val="47852074"/>
    <w:rsid w:val="47877830"/>
    <w:rsid w:val="47883F89"/>
    <w:rsid w:val="47895CCD"/>
    <w:rsid w:val="478A6353"/>
    <w:rsid w:val="479901DB"/>
    <w:rsid w:val="479A15A7"/>
    <w:rsid w:val="47A037AE"/>
    <w:rsid w:val="47A1302A"/>
    <w:rsid w:val="47A5469B"/>
    <w:rsid w:val="47A57ABA"/>
    <w:rsid w:val="47A804A7"/>
    <w:rsid w:val="47AE5E39"/>
    <w:rsid w:val="47B726CC"/>
    <w:rsid w:val="47BB0EFE"/>
    <w:rsid w:val="47C159E0"/>
    <w:rsid w:val="47C473AC"/>
    <w:rsid w:val="47C72457"/>
    <w:rsid w:val="47CD4BDB"/>
    <w:rsid w:val="47CE210F"/>
    <w:rsid w:val="47D81145"/>
    <w:rsid w:val="47D95744"/>
    <w:rsid w:val="47DF35AF"/>
    <w:rsid w:val="47E03C59"/>
    <w:rsid w:val="47E723BC"/>
    <w:rsid w:val="47EB0242"/>
    <w:rsid w:val="47EB5366"/>
    <w:rsid w:val="47F0380B"/>
    <w:rsid w:val="47F15824"/>
    <w:rsid w:val="47F424C9"/>
    <w:rsid w:val="47F54CE2"/>
    <w:rsid w:val="47FC487D"/>
    <w:rsid w:val="47FD258F"/>
    <w:rsid w:val="48015E95"/>
    <w:rsid w:val="480349F4"/>
    <w:rsid w:val="48064476"/>
    <w:rsid w:val="480F26C6"/>
    <w:rsid w:val="481B337E"/>
    <w:rsid w:val="481C1525"/>
    <w:rsid w:val="481D548F"/>
    <w:rsid w:val="481E7E73"/>
    <w:rsid w:val="48230A2B"/>
    <w:rsid w:val="48250710"/>
    <w:rsid w:val="48287A02"/>
    <w:rsid w:val="482A333E"/>
    <w:rsid w:val="482D15EC"/>
    <w:rsid w:val="482E0C67"/>
    <w:rsid w:val="482E2A68"/>
    <w:rsid w:val="48300854"/>
    <w:rsid w:val="48341601"/>
    <w:rsid w:val="483459B4"/>
    <w:rsid w:val="483814E0"/>
    <w:rsid w:val="483A4BC4"/>
    <w:rsid w:val="483A6AA9"/>
    <w:rsid w:val="483F2A7A"/>
    <w:rsid w:val="48441B7C"/>
    <w:rsid w:val="484912CF"/>
    <w:rsid w:val="484B571F"/>
    <w:rsid w:val="485164C3"/>
    <w:rsid w:val="48576437"/>
    <w:rsid w:val="485C5FC1"/>
    <w:rsid w:val="48647CC2"/>
    <w:rsid w:val="48651873"/>
    <w:rsid w:val="48664270"/>
    <w:rsid w:val="486B369D"/>
    <w:rsid w:val="486B5177"/>
    <w:rsid w:val="486E5637"/>
    <w:rsid w:val="486F3526"/>
    <w:rsid w:val="486F53CC"/>
    <w:rsid w:val="48701938"/>
    <w:rsid w:val="48716A42"/>
    <w:rsid w:val="48721C68"/>
    <w:rsid w:val="4873455F"/>
    <w:rsid w:val="48751ED0"/>
    <w:rsid w:val="487576DF"/>
    <w:rsid w:val="487B040E"/>
    <w:rsid w:val="488522DA"/>
    <w:rsid w:val="48875EE7"/>
    <w:rsid w:val="488A3304"/>
    <w:rsid w:val="489C407B"/>
    <w:rsid w:val="489E31EF"/>
    <w:rsid w:val="489F5899"/>
    <w:rsid w:val="48A8789D"/>
    <w:rsid w:val="48AD3FD6"/>
    <w:rsid w:val="48B71E9E"/>
    <w:rsid w:val="48C13548"/>
    <w:rsid w:val="48C64822"/>
    <w:rsid w:val="48D016EC"/>
    <w:rsid w:val="48DB4D35"/>
    <w:rsid w:val="48DC3A4B"/>
    <w:rsid w:val="48E21531"/>
    <w:rsid w:val="48E3072F"/>
    <w:rsid w:val="48E666F2"/>
    <w:rsid w:val="48E93166"/>
    <w:rsid w:val="48EE418F"/>
    <w:rsid w:val="48F140DA"/>
    <w:rsid w:val="48F21F1D"/>
    <w:rsid w:val="48F743B8"/>
    <w:rsid w:val="48F75698"/>
    <w:rsid w:val="48FD591C"/>
    <w:rsid w:val="490321B2"/>
    <w:rsid w:val="490A4454"/>
    <w:rsid w:val="490D4A82"/>
    <w:rsid w:val="490F4D1C"/>
    <w:rsid w:val="491B602C"/>
    <w:rsid w:val="491C7535"/>
    <w:rsid w:val="491E4D03"/>
    <w:rsid w:val="49227202"/>
    <w:rsid w:val="4923296D"/>
    <w:rsid w:val="49265F18"/>
    <w:rsid w:val="49331198"/>
    <w:rsid w:val="493F21DC"/>
    <w:rsid w:val="49413982"/>
    <w:rsid w:val="49416DB9"/>
    <w:rsid w:val="494B0F0E"/>
    <w:rsid w:val="495E2C24"/>
    <w:rsid w:val="49646DC9"/>
    <w:rsid w:val="496715B6"/>
    <w:rsid w:val="49725B5F"/>
    <w:rsid w:val="49746A29"/>
    <w:rsid w:val="497D7C21"/>
    <w:rsid w:val="49851ECA"/>
    <w:rsid w:val="49883BBA"/>
    <w:rsid w:val="498A0850"/>
    <w:rsid w:val="498C0CBF"/>
    <w:rsid w:val="498C31E0"/>
    <w:rsid w:val="49912075"/>
    <w:rsid w:val="499C4F87"/>
    <w:rsid w:val="499E1F0D"/>
    <w:rsid w:val="499E4661"/>
    <w:rsid w:val="49A80D1B"/>
    <w:rsid w:val="49AC7B4E"/>
    <w:rsid w:val="49AD65A1"/>
    <w:rsid w:val="49AE4EB6"/>
    <w:rsid w:val="49B31F1B"/>
    <w:rsid w:val="49B401B2"/>
    <w:rsid w:val="49B43BFD"/>
    <w:rsid w:val="49B76DDE"/>
    <w:rsid w:val="49B81A94"/>
    <w:rsid w:val="49B86E3D"/>
    <w:rsid w:val="49BA52D8"/>
    <w:rsid w:val="49BB072B"/>
    <w:rsid w:val="49C17BA4"/>
    <w:rsid w:val="49CF4620"/>
    <w:rsid w:val="49D3787B"/>
    <w:rsid w:val="49D87739"/>
    <w:rsid w:val="49D9642F"/>
    <w:rsid w:val="49DA6159"/>
    <w:rsid w:val="49DB1818"/>
    <w:rsid w:val="49E27E66"/>
    <w:rsid w:val="49E67141"/>
    <w:rsid w:val="49EE6DD6"/>
    <w:rsid w:val="49EF1AA2"/>
    <w:rsid w:val="49F20035"/>
    <w:rsid w:val="49F51B77"/>
    <w:rsid w:val="49F542E5"/>
    <w:rsid w:val="49FF7513"/>
    <w:rsid w:val="4A031641"/>
    <w:rsid w:val="4A036A25"/>
    <w:rsid w:val="4A115CDD"/>
    <w:rsid w:val="4A1549EE"/>
    <w:rsid w:val="4A154ABD"/>
    <w:rsid w:val="4A173227"/>
    <w:rsid w:val="4A180FC9"/>
    <w:rsid w:val="4A1C09AF"/>
    <w:rsid w:val="4A1E560C"/>
    <w:rsid w:val="4A221838"/>
    <w:rsid w:val="4A255DA9"/>
    <w:rsid w:val="4A2607E1"/>
    <w:rsid w:val="4A261756"/>
    <w:rsid w:val="4A2924AD"/>
    <w:rsid w:val="4A2A6E94"/>
    <w:rsid w:val="4A2D66A7"/>
    <w:rsid w:val="4A33330B"/>
    <w:rsid w:val="4A344B08"/>
    <w:rsid w:val="4A38422D"/>
    <w:rsid w:val="4A3D4DC5"/>
    <w:rsid w:val="4A4B4F63"/>
    <w:rsid w:val="4A5524E6"/>
    <w:rsid w:val="4A58186C"/>
    <w:rsid w:val="4A5941C1"/>
    <w:rsid w:val="4A6162AA"/>
    <w:rsid w:val="4A692497"/>
    <w:rsid w:val="4A726F88"/>
    <w:rsid w:val="4A790559"/>
    <w:rsid w:val="4A7C1C22"/>
    <w:rsid w:val="4A7E0C3D"/>
    <w:rsid w:val="4A803675"/>
    <w:rsid w:val="4A813970"/>
    <w:rsid w:val="4A844800"/>
    <w:rsid w:val="4A847B59"/>
    <w:rsid w:val="4A900EE9"/>
    <w:rsid w:val="4A907779"/>
    <w:rsid w:val="4A91181A"/>
    <w:rsid w:val="4A940209"/>
    <w:rsid w:val="4A9C3A51"/>
    <w:rsid w:val="4A9C7F8C"/>
    <w:rsid w:val="4A9E4668"/>
    <w:rsid w:val="4AA178F2"/>
    <w:rsid w:val="4AA31E3E"/>
    <w:rsid w:val="4AA35BC8"/>
    <w:rsid w:val="4AA37A5F"/>
    <w:rsid w:val="4AA64B49"/>
    <w:rsid w:val="4AAF34F7"/>
    <w:rsid w:val="4AB4088B"/>
    <w:rsid w:val="4AB455E4"/>
    <w:rsid w:val="4ABD146A"/>
    <w:rsid w:val="4AC27D46"/>
    <w:rsid w:val="4AC410AE"/>
    <w:rsid w:val="4AC7183B"/>
    <w:rsid w:val="4ACC30B2"/>
    <w:rsid w:val="4ACE2F10"/>
    <w:rsid w:val="4AD435F0"/>
    <w:rsid w:val="4AD65896"/>
    <w:rsid w:val="4AD9740B"/>
    <w:rsid w:val="4ADC3B98"/>
    <w:rsid w:val="4ADE0991"/>
    <w:rsid w:val="4AE2543B"/>
    <w:rsid w:val="4AE56137"/>
    <w:rsid w:val="4AE57BF4"/>
    <w:rsid w:val="4AED3EBD"/>
    <w:rsid w:val="4AFA28B4"/>
    <w:rsid w:val="4AFF7BCC"/>
    <w:rsid w:val="4B076E40"/>
    <w:rsid w:val="4B0B1F1B"/>
    <w:rsid w:val="4B18146F"/>
    <w:rsid w:val="4B1A0C06"/>
    <w:rsid w:val="4B1A4FC4"/>
    <w:rsid w:val="4B1C67F8"/>
    <w:rsid w:val="4B323E07"/>
    <w:rsid w:val="4B350405"/>
    <w:rsid w:val="4B3E3264"/>
    <w:rsid w:val="4B4465D8"/>
    <w:rsid w:val="4B4A18F9"/>
    <w:rsid w:val="4B4D5955"/>
    <w:rsid w:val="4B4D758C"/>
    <w:rsid w:val="4B543333"/>
    <w:rsid w:val="4B56284F"/>
    <w:rsid w:val="4B5A2BD7"/>
    <w:rsid w:val="4B5E5A0B"/>
    <w:rsid w:val="4B620749"/>
    <w:rsid w:val="4B746FDD"/>
    <w:rsid w:val="4B7553B7"/>
    <w:rsid w:val="4B7659DD"/>
    <w:rsid w:val="4B816749"/>
    <w:rsid w:val="4B870E15"/>
    <w:rsid w:val="4B954893"/>
    <w:rsid w:val="4B9560F1"/>
    <w:rsid w:val="4BA73411"/>
    <w:rsid w:val="4BAB1883"/>
    <w:rsid w:val="4BAC4DF3"/>
    <w:rsid w:val="4BAE67D5"/>
    <w:rsid w:val="4BB7222C"/>
    <w:rsid w:val="4BCE4ADE"/>
    <w:rsid w:val="4BD024BB"/>
    <w:rsid w:val="4BD06EC7"/>
    <w:rsid w:val="4BD615F9"/>
    <w:rsid w:val="4BD85619"/>
    <w:rsid w:val="4BDD672F"/>
    <w:rsid w:val="4BE76C87"/>
    <w:rsid w:val="4BE84502"/>
    <w:rsid w:val="4BEA21E0"/>
    <w:rsid w:val="4BEB1349"/>
    <w:rsid w:val="4BEC23BF"/>
    <w:rsid w:val="4BEE72D7"/>
    <w:rsid w:val="4BF9496C"/>
    <w:rsid w:val="4BFC2800"/>
    <w:rsid w:val="4BFC4A0F"/>
    <w:rsid w:val="4C017A9C"/>
    <w:rsid w:val="4C0465E8"/>
    <w:rsid w:val="4C103F38"/>
    <w:rsid w:val="4C15709F"/>
    <w:rsid w:val="4C1628F5"/>
    <w:rsid w:val="4C1E093C"/>
    <w:rsid w:val="4C24524E"/>
    <w:rsid w:val="4C265252"/>
    <w:rsid w:val="4C28779E"/>
    <w:rsid w:val="4C2D5440"/>
    <w:rsid w:val="4C2F5AD1"/>
    <w:rsid w:val="4C306F1B"/>
    <w:rsid w:val="4C454230"/>
    <w:rsid w:val="4C467CC0"/>
    <w:rsid w:val="4C496470"/>
    <w:rsid w:val="4C532C93"/>
    <w:rsid w:val="4C534062"/>
    <w:rsid w:val="4C543D3E"/>
    <w:rsid w:val="4C566BE3"/>
    <w:rsid w:val="4C5D34C4"/>
    <w:rsid w:val="4C5F4BCA"/>
    <w:rsid w:val="4C652BD8"/>
    <w:rsid w:val="4C67298B"/>
    <w:rsid w:val="4C6833C6"/>
    <w:rsid w:val="4C6A5014"/>
    <w:rsid w:val="4C6F3F97"/>
    <w:rsid w:val="4C705D7C"/>
    <w:rsid w:val="4C7572A4"/>
    <w:rsid w:val="4C79634D"/>
    <w:rsid w:val="4C797935"/>
    <w:rsid w:val="4C7B1DB6"/>
    <w:rsid w:val="4C7E658C"/>
    <w:rsid w:val="4C7F0C92"/>
    <w:rsid w:val="4C7F431D"/>
    <w:rsid w:val="4C7F6F26"/>
    <w:rsid w:val="4C8C738E"/>
    <w:rsid w:val="4C8F78E6"/>
    <w:rsid w:val="4C901334"/>
    <w:rsid w:val="4C983B9A"/>
    <w:rsid w:val="4C9B60E3"/>
    <w:rsid w:val="4CA547CE"/>
    <w:rsid w:val="4CA87341"/>
    <w:rsid w:val="4CA9359B"/>
    <w:rsid w:val="4CBB1E58"/>
    <w:rsid w:val="4CBC1AE9"/>
    <w:rsid w:val="4CBD3F11"/>
    <w:rsid w:val="4CC411EB"/>
    <w:rsid w:val="4CC819E2"/>
    <w:rsid w:val="4CCF4699"/>
    <w:rsid w:val="4CD17D21"/>
    <w:rsid w:val="4CD5624F"/>
    <w:rsid w:val="4CD62F38"/>
    <w:rsid w:val="4CD671E9"/>
    <w:rsid w:val="4CD77D0B"/>
    <w:rsid w:val="4CD97F1D"/>
    <w:rsid w:val="4CDE0517"/>
    <w:rsid w:val="4CDF0C56"/>
    <w:rsid w:val="4CDF1081"/>
    <w:rsid w:val="4CEF3C0F"/>
    <w:rsid w:val="4CF205CA"/>
    <w:rsid w:val="4CF5334B"/>
    <w:rsid w:val="4CF716AE"/>
    <w:rsid w:val="4D0452A3"/>
    <w:rsid w:val="4D063826"/>
    <w:rsid w:val="4D1618CB"/>
    <w:rsid w:val="4D173B14"/>
    <w:rsid w:val="4D184C77"/>
    <w:rsid w:val="4D190D47"/>
    <w:rsid w:val="4D1D0390"/>
    <w:rsid w:val="4D1D5ABE"/>
    <w:rsid w:val="4D2059C0"/>
    <w:rsid w:val="4D2666C6"/>
    <w:rsid w:val="4D2B19A5"/>
    <w:rsid w:val="4D2E6F22"/>
    <w:rsid w:val="4D325169"/>
    <w:rsid w:val="4D3449CD"/>
    <w:rsid w:val="4D3D6872"/>
    <w:rsid w:val="4D4349FA"/>
    <w:rsid w:val="4D4B7978"/>
    <w:rsid w:val="4D4E4F4A"/>
    <w:rsid w:val="4D4F4FB5"/>
    <w:rsid w:val="4D526F38"/>
    <w:rsid w:val="4D595B61"/>
    <w:rsid w:val="4D6130B4"/>
    <w:rsid w:val="4D614E60"/>
    <w:rsid w:val="4D664DB2"/>
    <w:rsid w:val="4D691495"/>
    <w:rsid w:val="4D6B2B90"/>
    <w:rsid w:val="4D750C45"/>
    <w:rsid w:val="4D776D9D"/>
    <w:rsid w:val="4D7D0ECE"/>
    <w:rsid w:val="4D853895"/>
    <w:rsid w:val="4D8D4A5E"/>
    <w:rsid w:val="4D973C9A"/>
    <w:rsid w:val="4D9D3C57"/>
    <w:rsid w:val="4DAF545F"/>
    <w:rsid w:val="4DB21AC1"/>
    <w:rsid w:val="4DB27070"/>
    <w:rsid w:val="4DB30355"/>
    <w:rsid w:val="4DBA527B"/>
    <w:rsid w:val="4DC37BBB"/>
    <w:rsid w:val="4DCC29F3"/>
    <w:rsid w:val="4DD45C29"/>
    <w:rsid w:val="4DD47F0A"/>
    <w:rsid w:val="4DD574BC"/>
    <w:rsid w:val="4DD923EE"/>
    <w:rsid w:val="4DE12232"/>
    <w:rsid w:val="4DF52FE2"/>
    <w:rsid w:val="4E014423"/>
    <w:rsid w:val="4E030FDC"/>
    <w:rsid w:val="4E043366"/>
    <w:rsid w:val="4E081161"/>
    <w:rsid w:val="4E0A5246"/>
    <w:rsid w:val="4E0B0377"/>
    <w:rsid w:val="4E0B348E"/>
    <w:rsid w:val="4E0B6C0F"/>
    <w:rsid w:val="4E0C4526"/>
    <w:rsid w:val="4E0F107A"/>
    <w:rsid w:val="4E155BBF"/>
    <w:rsid w:val="4E206658"/>
    <w:rsid w:val="4E280689"/>
    <w:rsid w:val="4E2B77EE"/>
    <w:rsid w:val="4E2E05F8"/>
    <w:rsid w:val="4E317418"/>
    <w:rsid w:val="4E365FBC"/>
    <w:rsid w:val="4E395D5A"/>
    <w:rsid w:val="4E3B4704"/>
    <w:rsid w:val="4E3C1E10"/>
    <w:rsid w:val="4E3D5829"/>
    <w:rsid w:val="4E3F66B7"/>
    <w:rsid w:val="4E445F86"/>
    <w:rsid w:val="4E452A0D"/>
    <w:rsid w:val="4E4968F4"/>
    <w:rsid w:val="4E4A0A6B"/>
    <w:rsid w:val="4E4D7B6F"/>
    <w:rsid w:val="4E5006A4"/>
    <w:rsid w:val="4E501B6A"/>
    <w:rsid w:val="4E510777"/>
    <w:rsid w:val="4E646387"/>
    <w:rsid w:val="4E672FD1"/>
    <w:rsid w:val="4E6D593E"/>
    <w:rsid w:val="4E75079F"/>
    <w:rsid w:val="4E780034"/>
    <w:rsid w:val="4E7855F9"/>
    <w:rsid w:val="4E7879B7"/>
    <w:rsid w:val="4E7B702B"/>
    <w:rsid w:val="4E7C3B79"/>
    <w:rsid w:val="4E7C6DB0"/>
    <w:rsid w:val="4E7D58B1"/>
    <w:rsid w:val="4E7E4742"/>
    <w:rsid w:val="4E8352BC"/>
    <w:rsid w:val="4E913154"/>
    <w:rsid w:val="4E9E3A4D"/>
    <w:rsid w:val="4EA03B2A"/>
    <w:rsid w:val="4EA05558"/>
    <w:rsid w:val="4EA5671A"/>
    <w:rsid w:val="4EA64D40"/>
    <w:rsid w:val="4EA65A18"/>
    <w:rsid w:val="4EA7581A"/>
    <w:rsid w:val="4EA80F32"/>
    <w:rsid w:val="4EA8386C"/>
    <w:rsid w:val="4EAA60C6"/>
    <w:rsid w:val="4EAB0A88"/>
    <w:rsid w:val="4EB45241"/>
    <w:rsid w:val="4EBD4330"/>
    <w:rsid w:val="4EC37633"/>
    <w:rsid w:val="4EC8263E"/>
    <w:rsid w:val="4ECE32FD"/>
    <w:rsid w:val="4ED60203"/>
    <w:rsid w:val="4EDA54DC"/>
    <w:rsid w:val="4EDB0FB5"/>
    <w:rsid w:val="4EDF0EAE"/>
    <w:rsid w:val="4EF04FB7"/>
    <w:rsid w:val="4EF409C5"/>
    <w:rsid w:val="4EFE032C"/>
    <w:rsid w:val="4F02113E"/>
    <w:rsid w:val="4F055EB7"/>
    <w:rsid w:val="4F0938CA"/>
    <w:rsid w:val="4F0D7E2E"/>
    <w:rsid w:val="4F0F54FD"/>
    <w:rsid w:val="4F1226FE"/>
    <w:rsid w:val="4F1811C2"/>
    <w:rsid w:val="4F1A4FE4"/>
    <w:rsid w:val="4F1C0541"/>
    <w:rsid w:val="4F1D3522"/>
    <w:rsid w:val="4F1E08AB"/>
    <w:rsid w:val="4F2840D1"/>
    <w:rsid w:val="4F293883"/>
    <w:rsid w:val="4F2A079C"/>
    <w:rsid w:val="4F2A5DAD"/>
    <w:rsid w:val="4F3015BC"/>
    <w:rsid w:val="4F304A85"/>
    <w:rsid w:val="4F304C76"/>
    <w:rsid w:val="4F372795"/>
    <w:rsid w:val="4F391883"/>
    <w:rsid w:val="4F3C5B2C"/>
    <w:rsid w:val="4F3C7955"/>
    <w:rsid w:val="4F442BDB"/>
    <w:rsid w:val="4F4B0904"/>
    <w:rsid w:val="4F4C1E2A"/>
    <w:rsid w:val="4F4D2814"/>
    <w:rsid w:val="4F4F02E3"/>
    <w:rsid w:val="4F4F7962"/>
    <w:rsid w:val="4F5376BC"/>
    <w:rsid w:val="4F566A46"/>
    <w:rsid w:val="4F5D12FD"/>
    <w:rsid w:val="4F676880"/>
    <w:rsid w:val="4F691BA5"/>
    <w:rsid w:val="4F712966"/>
    <w:rsid w:val="4F7853A8"/>
    <w:rsid w:val="4F7C6E94"/>
    <w:rsid w:val="4F7F33E7"/>
    <w:rsid w:val="4F820BB7"/>
    <w:rsid w:val="4F8938FE"/>
    <w:rsid w:val="4F8A0872"/>
    <w:rsid w:val="4F8C734D"/>
    <w:rsid w:val="4F8C7F32"/>
    <w:rsid w:val="4F8D0E0E"/>
    <w:rsid w:val="4F8D775D"/>
    <w:rsid w:val="4F8E4A2D"/>
    <w:rsid w:val="4F916313"/>
    <w:rsid w:val="4F952C15"/>
    <w:rsid w:val="4F9B2D46"/>
    <w:rsid w:val="4FA00B71"/>
    <w:rsid w:val="4FA809C7"/>
    <w:rsid w:val="4FAA157A"/>
    <w:rsid w:val="4FAB2DF7"/>
    <w:rsid w:val="4FB47319"/>
    <w:rsid w:val="4FB620CD"/>
    <w:rsid w:val="4FBF5A86"/>
    <w:rsid w:val="4FC05331"/>
    <w:rsid w:val="4FC11AA9"/>
    <w:rsid w:val="4FC706C6"/>
    <w:rsid w:val="4FC76BA3"/>
    <w:rsid w:val="4FCB40F0"/>
    <w:rsid w:val="4FCE50B9"/>
    <w:rsid w:val="4FD50796"/>
    <w:rsid w:val="4FD63CC1"/>
    <w:rsid w:val="4FDC19AF"/>
    <w:rsid w:val="4FE15952"/>
    <w:rsid w:val="4FE949D0"/>
    <w:rsid w:val="4FF03A55"/>
    <w:rsid w:val="4FF0473B"/>
    <w:rsid w:val="4FF354A5"/>
    <w:rsid w:val="500276B4"/>
    <w:rsid w:val="50034DE9"/>
    <w:rsid w:val="501745BE"/>
    <w:rsid w:val="501E23E5"/>
    <w:rsid w:val="50200EFE"/>
    <w:rsid w:val="50225B8D"/>
    <w:rsid w:val="50254626"/>
    <w:rsid w:val="502666E4"/>
    <w:rsid w:val="502668B3"/>
    <w:rsid w:val="50346D8B"/>
    <w:rsid w:val="50446606"/>
    <w:rsid w:val="504C357D"/>
    <w:rsid w:val="505A7AD5"/>
    <w:rsid w:val="50651C46"/>
    <w:rsid w:val="506C45ED"/>
    <w:rsid w:val="506F79F7"/>
    <w:rsid w:val="507D081D"/>
    <w:rsid w:val="5082064D"/>
    <w:rsid w:val="50831B21"/>
    <w:rsid w:val="50880B9C"/>
    <w:rsid w:val="508D2BCF"/>
    <w:rsid w:val="508E02CB"/>
    <w:rsid w:val="50911159"/>
    <w:rsid w:val="509455B2"/>
    <w:rsid w:val="50964F61"/>
    <w:rsid w:val="509B5DF0"/>
    <w:rsid w:val="50A92B4E"/>
    <w:rsid w:val="50B51D16"/>
    <w:rsid w:val="50B66E40"/>
    <w:rsid w:val="50BB078F"/>
    <w:rsid w:val="50BD0CCE"/>
    <w:rsid w:val="50C109C8"/>
    <w:rsid w:val="50C264EB"/>
    <w:rsid w:val="50C3126F"/>
    <w:rsid w:val="50CD26F6"/>
    <w:rsid w:val="50DD2F8F"/>
    <w:rsid w:val="50DE7A5B"/>
    <w:rsid w:val="50E02B9D"/>
    <w:rsid w:val="50E26790"/>
    <w:rsid w:val="50E847F6"/>
    <w:rsid w:val="50E853E0"/>
    <w:rsid w:val="50E90870"/>
    <w:rsid w:val="50EA1FA3"/>
    <w:rsid w:val="50F53F3C"/>
    <w:rsid w:val="50F6072F"/>
    <w:rsid w:val="50F949C9"/>
    <w:rsid w:val="50FA60FD"/>
    <w:rsid w:val="51034FBF"/>
    <w:rsid w:val="5106005A"/>
    <w:rsid w:val="510600D3"/>
    <w:rsid w:val="51076E21"/>
    <w:rsid w:val="51086536"/>
    <w:rsid w:val="510C666B"/>
    <w:rsid w:val="512854A5"/>
    <w:rsid w:val="51297CC1"/>
    <w:rsid w:val="51356915"/>
    <w:rsid w:val="51364473"/>
    <w:rsid w:val="513A05C0"/>
    <w:rsid w:val="513A178D"/>
    <w:rsid w:val="51410039"/>
    <w:rsid w:val="5142102A"/>
    <w:rsid w:val="51436935"/>
    <w:rsid w:val="51455390"/>
    <w:rsid w:val="514812CC"/>
    <w:rsid w:val="514C3FA3"/>
    <w:rsid w:val="51520E39"/>
    <w:rsid w:val="51547EF1"/>
    <w:rsid w:val="515673DE"/>
    <w:rsid w:val="51587C2E"/>
    <w:rsid w:val="51663A76"/>
    <w:rsid w:val="516F4DE8"/>
    <w:rsid w:val="51720A18"/>
    <w:rsid w:val="51763661"/>
    <w:rsid w:val="5177042C"/>
    <w:rsid w:val="51815408"/>
    <w:rsid w:val="518336CA"/>
    <w:rsid w:val="51873D3C"/>
    <w:rsid w:val="518A4B2F"/>
    <w:rsid w:val="518C230D"/>
    <w:rsid w:val="518F1CAE"/>
    <w:rsid w:val="519C7CC3"/>
    <w:rsid w:val="51A73EEA"/>
    <w:rsid w:val="51AD28CB"/>
    <w:rsid w:val="51B71DCD"/>
    <w:rsid w:val="51BB2DA2"/>
    <w:rsid w:val="51C844F0"/>
    <w:rsid w:val="51CB7F02"/>
    <w:rsid w:val="51D6762E"/>
    <w:rsid w:val="51DB1F26"/>
    <w:rsid w:val="51DB2C81"/>
    <w:rsid w:val="51DB2D2A"/>
    <w:rsid w:val="51E02D03"/>
    <w:rsid w:val="51E656F1"/>
    <w:rsid w:val="51ED160A"/>
    <w:rsid w:val="51F67D9C"/>
    <w:rsid w:val="51F716E6"/>
    <w:rsid w:val="51FA4599"/>
    <w:rsid w:val="52022BA5"/>
    <w:rsid w:val="520D1219"/>
    <w:rsid w:val="521325D1"/>
    <w:rsid w:val="521343D4"/>
    <w:rsid w:val="52153ACC"/>
    <w:rsid w:val="521C157C"/>
    <w:rsid w:val="521D7C90"/>
    <w:rsid w:val="52221F86"/>
    <w:rsid w:val="5224435B"/>
    <w:rsid w:val="522E5BB9"/>
    <w:rsid w:val="523E714B"/>
    <w:rsid w:val="52401A9F"/>
    <w:rsid w:val="52405C63"/>
    <w:rsid w:val="5243412D"/>
    <w:rsid w:val="524C4160"/>
    <w:rsid w:val="52510D18"/>
    <w:rsid w:val="52547D84"/>
    <w:rsid w:val="52565F0F"/>
    <w:rsid w:val="526062F3"/>
    <w:rsid w:val="52620707"/>
    <w:rsid w:val="52633362"/>
    <w:rsid w:val="52662882"/>
    <w:rsid w:val="52674A16"/>
    <w:rsid w:val="526805E5"/>
    <w:rsid w:val="526B630E"/>
    <w:rsid w:val="526E0D46"/>
    <w:rsid w:val="526E2651"/>
    <w:rsid w:val="526F7D6A"/>
    <w:rsid w:val="527675C1"/>
    <w:rsid w:val="527734F6"/>
    <w:rsid w:val="52774165"/>
    <w:rsid w:val="527B5B6F"/>
    <w:rsid w:val="528254DB"/>
    <w:rsid w:val="528279EC"/>
    <w:rsid w:val="528615AF"/>
    <w:rsid w:val="52872D2B"/>
    <w:rsid w:val="52873767"/>
    <w:rsid w:val="528F6B9A"/>
    <w:rsid w:val="5299454A"/>
    <w:rsid w:val="529A5200"/>
    <w:rsid w:val="529F595C"/>
    <w:rsid w:val="52A44867"/>
    <w:rsid w:val="52A52529"/>
    <w:rsid w:val="52A701EF"/>
    <w:rsid w:val="52AB3FDA"/>
    <w:rsid w:val="52AC2A8E"/>
    <w:rsid w:val="52AE13C1"/>
    <w:rsid w:val="52B15206"/>
    <w:rsid w:val="52B76A40"/>
    <w:rsid w:val="52BD1FF2"/>
    <w:rsid w:val="52C8143C"/>
    <w:rsid w:val="52C85A9E"/>
    <w:rsid w:val="52CC4362"/>
    <w:rsid w:val="52CE7644"/>
    <w:rsid w:val="52CF37EB"/>
    <w:rsid w:val="52D02FBF"/>
    <w:rsid w:val="52D578C5"/>
    <w:rsid w:val="52DD687D"/>
    <w:rsid w:val="52DF2154"/>
    <w:rsid w:val="52E141CF"/>
    <w:rsid w:val="52E24CAF"/>
    <w:rsid w:val="52E41401"/>
    <w:rsid w:val="52E42AE7"/>
    <w:rsid w:val="52E8264B"/>
    <w:rsid w:val="52EE449B"/>
    <w:rsid w:val="52F1429D"/>
    <w:rsid w:val="53020DAB"/>
    <w:rsid w:val="530817C8"/>
    <w:rsid w:val="53094219"/>
    <w:rsid w:val="530B4A9D"/>
    <w:rsid w:val="530F089A"/>
    <w:rsid w:val="53114C37"/>
    <w:rsid w:val="53134620"/>
    <w:rsid w:val="53137539"/>
    <w:rsid w:val="531D6290"/>
    <w:rsid w:val="531F79FE"/>
    <w:rsid w:val="53217C25"/>
    <w:rsid w:val="532F43C4"/>
    <w:rsid w:val="532F774F"/>
    <w:rsid w:val="533F729A"/>
    <w:rsid w:val="53442C41"/>
    <w:rsid w:val="534478A7"/>
    <w:rsid w:val="53483668"/>
    <w:rsid w:val="53535246"/>
    <w:rsid w:val="53590540"/>
    <w:rsid w:val="535C23F8"/>
    <w:rsid w:val="535E1AC0"/>
    <w:rsid w:val="535E35A4"/>
    <w:rsid w:val="536461B0"/>
    <w:rsid w:val="536B0113"/>
    <w:rsid w:val="537160C6"/>
    <w:rsid w:val="537B68EE"/>
    <w:rsid w:val="537E5CB2"/>
    <w:rsid w:val="53812C67"/>
    <w:rsid w:val="538152B0"/>
    <w:rsid w:val="538803B8"/>
    <w:rsid w:val="53887BD8"/>
    <w:rsid w:val="538B3434"/>
    <w:rsid w:val="538C0D38"/>
    <w:rsid w:val="538C33B5"/>
    <w:rsid w:val="538D16B0"/>
    <w:rsid w:val="538D4848"/>
    <w:rsid w:val="53955C71"/>
    <w:rsid w:val="539C52FD"/>
    <w:rsid w:val="539D509D"/>
    <w:rsid w:val="53A0689F"/>
    <w:rsid w:val="53A41EA1"/>
    <w:rsid w:val="53AF5AFE"/>
    <w:rsid w:val="53AF686E"/>
    <w:rsid w:val="53B305D5"/>
    <w:rsid w:val="53B75EE6"/>
    <w:rsid w:val="53C80953"/>
    <w:rsid w:val="53CE400E"/>
    <w:rsid w:val="53D23363"/>
    <w:rsid w:val="53E14B31"/>
    <w:rsid w:val="53E76EAD"/>
    <w:rsid w:val="53EA2C2A"/>
    <w:rsid w:val="53ED5B8E"/>
    <w:rsid w:val="53EF549C"/>
    <w:rsid w:val="53FC05C8"/>
    <w:rsid w:val="5407744F"/>
    <w:rsid w:val="54090F58"/>
    <w:rsid w:val="540E3875"/>
    <w:rsid w:val="54104F3F"/>
    <w:rsid w:val="54132E3B"/>
    <w:rsid w:val="5416787E"/>
    <w:rsid w:val="541A0860"/>
    <w:rsid w:val="54207D54"/>
    <w:rsid w:val="54225360"/>
    <w:rsid w:val="54235C48"/>
    <w:rsid w:val="542558A4"/>
    <w:rsid w:val="54260372"/>
    <w:rsid w:val="542E6792"/>
    <w:rsid w:val="5435403B"/>
    <w:rsid w:val="54420E5A"/>
    <w:rsid w:val="544A74A0"/>
    <w:rsid w:val="544C715F"/>
    <w:rsid w:val="544D3C2F"/>
    <w:rsid w:val="54501653"/>
    <w:rsid w:val="54641AA0"/>
    <w:rsid w:val="54672F1C"/>
    <w:rsid w:val="54693095"/>
    <w:rsid w:val="546C435F"/>
    <w:rsid w:val="546D1D86"/>
    <w:rsid w:val="547331E3"/>
    <w:rsid w:val="547A09A2"/>
    <w:rsid w:val="547A6ADE"/>
    <w:rsid w:val="547F5310"/>
    <w:rsid w:val="548E0C8A"/>
    <w:rsid w:val="549E34E2"/>
    <w:rsid w:val="549E3C10"/>
    <w:rsid w:val="54A005CA"/>
    <w:rsid w:val="54A33B15"/>
    <w:rsid w:val="54A53C7C"/>
    <w:rsid w:val="54A75584"/>
    <w:rsid w:val="54B0201E"/>
    <w:rsid w:val="54B34D0B"/>
    <w:rsid w:val="54B70811"/>
    <w:rsid w:val="54B85CA8"/>
    <w:rsid w:val="54B94ED0"/>
    <w:rsid w:val="54BA3477"/>
    <w:rsid w:val="54C31361"/>
    <w:rsid w:val="54CD4DCE"/>
    <w:rsid w:val="54D448C7"/>
    <w:rsid w:val="54D91324"/>
    <w:rsid w:val="54E237CC"/>
    <w:rsid w:val="54EC7E0A"/>
    <w:rsid w:val="54ED5C6E"/>
    <w:rsid w:val="54EE246B"/>
    <w:rsid w:val="54F87FB0"/>
    <w:rsid w:val="54F96B12"/>
    <w:rsid w:val="54FF31AC"/>
    <w:rsid w:val="550470E4"/>
    <w:rsid w:val="550E464E"/>
    <w:rsid w:val="55120B5A"/>
    <w:rsid w:val="55124CB3"/>
    <w:rsid w:val="5513251F"/>
    <w:rsid w:val="55237C45"/>
    <w:rsid w:val="55251236"/>
    <w:rsid w:val="55276EBD"/>
    <w:rsid w:val="552A071B"/>
    <w:rsid w:val="552C50CB"/>
    <w:rsid w:val="552F06E6"/>
    <w:rsid w:val="5530638B"/>
    <w:rsid w:val="553C4CED"/>
    <w:rsid w:val="554335F8"/>
    <w:rsid w:val="554D0CDC"/>
    <w:rsid w:val="554E3BA6"/>
    <w:rsid w:val="5555421A"/>
    <w:rsid w:val="555D5251"/>
    <w:rsid w:val="55605AA4"/>
    <w:rsid w:val="55636005"/>
    <w:rsid w:val="556701AA"/>
    <w:rsid w:val="55684C3C"/>
    <w:rsid w:val="556D053F"/>
    <w:rsid w:val="55700DF3"/>
    <w:rsid w:val="55730DF9"/>
    <w:rsid w:val="557A232A"/>
    <w:rsid w:val="557A68D6"/>
    <w:rsid w:val="557F20EB"/>
    <w:rsid w:val="55806DCC"/>
    <w:rsid w:val="55814A8A"/>
    <w:rsid w:val="55826EC9"/>
    <w:rsid w:val="5584357B"/>
    <w:rsid w:val="55867624"/>
    <w:rsid w:val="5590612C"/>
    <w:rsid w:val="559244DB"/>
    <w:rsid w:val="55955D25"/>
    <w:rsid w:val="559D231C"/>
    <w:rsid w:val="559F77F2"/>
    <w:rsid w:val="55A137FC"/>
    <w:rsid w:val="55A42982"/>
    <w:rsid w:val="55A81940"/>
    <w:rsid w:val="55B1502C"/>
    <w:rsid w:val="55B24899"/>
    <w:rsid w:val="55B93FE0"/>
    <w:rsid w:val="55B9466F"/>
    <w:rsid w:val="55BA364C"/>
    <w:rsid w:val="55C21CA3"/>
    <w:rsid w:val="55C47645"/>
    <w:rsid w:val="55D8048F"/>
    <w:rsid w:val="55E2080A"/>
    <w:rsid w:val="55E80994"/>
    <w:rsid w:val="55E82413"/>
    <w:rsid w:val="55E953A5"/>
    <w:rsid w:val="55F36930"/>
    <w:rsid w:val="55F46E32"/>
    <w:rsid w:val="55F74C26"/>
    <w:rsid w:val="55FA4799"/>
    <w:rsid w:val="55FC54B3"/>
    <w:rsid w:val="55FD29A9"/>
    <w:rsid w:val="5608571B"/>
    <w:rsid w:val="560F6C28"/>
    <w:rsid w:val="56121CE0"/>
    <w:rsid w:val="5612422B"/>
    <w:rsid w:val="56202B6F"/>
    <w:rsid w:val="56232F9F"/>
    <w:rsid w:val="563C494B"/>
    <w:rsid w:val="563F5C44"/>
    <w:rsid w:val="5640136D"/>
    <w:rsid w:val="564412C1"/>
    <w:rsid w:val="56444BCC"/>
    <w:rsid w:val="56470816"/>
    <w:rsid w:val="56473E8E"/>
    <w:rsid w:val="56487F15"/>
    <w:rsid w:val="565256C3"/>
    <w:rsid w:val="565D3D4B"/>
    <w:rsid w:val="56617140"/>
    <w:rsid w:val="56696B81"/>
    <w:rsid w:val="56732102"/>
    <w:rsid w:val="567445BB"/>
    <w:rsid w:val="5675052D"/>
    <w:rsid w:val="56790E35"/>
    <w:rsid w:val="567F7B22"/>
    <w:rsid w:val="567F7C77"/>
    <w:rsid w:val="5680531D"/>
    <w:rsid w:val="568C10D7"/>
    <w:rsid w:val="568F04A5"/>
    <w:rsid w:val="56942F7A"/>
    <w:rsid w:val="56946698"/>
    <w:rsid w:val="569678DF"/>
    <w:rsid w:val="569702E1"/>
    <w:rsid w:val="5697795E"/>
    <w:rsid w:val="56995C02"/>
    <w:rsid w:val="569D2BEC"/>
    <w:rsid w:val="56A064F7"/>
    <w:rsid w:val="56A22106"/>
    <w:rsid w:val="56A52450"/>
    <w:rsid w:val="56A6596C"/>
    <w:rsid w:val="56AA44AB"/>
    <w:rsid w:val="56AA60D3"/>
    <w:rsid w:val="56B0100E"/>
    <w:rsid w:val="56B268E2"/>
    <w:rsid w:val="56BC784E"/>
    <w:rsid w:val="56BD23C0"/>
    <w:rsid w:val="56BD59C7"/>
    <w:rsid w:val="56C823E5"/>
    <w:rsid w:val="56CF6501"/>
    <w:rsid w:val="56D37D42"/>
    <w:rsid w:val="56D84CF7"/>
    <w:rsid w:val="56D919ED"/>
    <w:rsid w:val="56E65008"/>
    <w:rsid w:val="56E769A8"/>
    <w:rsid w:val="56EF3E82"/>
    <w:rsid w:val="56EF4635"/>
    <w:rsid w:val="56F36FA8"/>
    <w:rsid w:val="56F429E7"/>
    <w:rsid w:val="56F53F39"/>
    <w:rsid w:val="56F9699E"/>
    <w:rsid w:val="56FC6675"/>
    <w:rsid w:val="56FF5E67"/>
    <w:rsid w:val="570C1F5A"/>
    <w:rsid w:val="570F6AC7"/>
    <w:rsid w:val="57143605"/>
    <w:rsid w:val="571F4394"/>
    <w:rsid w:val="57200224"/>
    <w:rsid w:val="57232CAC"/>
    <w:rsid w:val="57236A65"/>
    <w:rsid w:val="57275875"/>
    <w:rsid w:val="572A406E"/>
    <w:rsid w:val="573139C3"/>
    <w:rsid w:val="57320BDC"/>
    <w:rsid w:val="5733175D"/>
    <w:rsid w:val="57354BDC"/>
    <w:rsid w:val="57355DCA"/>
    <w:rsid w:val="57382E0C"/>
    <w:rsid w:val="573F3009"/>
    <w:rsid w:val="57442417"/>
    <w:rsid w:val="57474542"/>
    <w:rsid w:val="574B4DB5"/>
    <w:rsid w:val="574C3028"/>
    <w:rsid w:val="57581204"/>
    <w:rsid w:val="575B56E9"/>
    <w:rsid w:val="5761698E"/>
    <w:rsid w:val="57685A6A"/>
    <w:rsid w:val="5773005E"/>
    <w:rsid w:val="577B3021"/>
    <w:rsid w:val="57820EF7"/>
    <w:rsid w:val="57830668"/>
    <w:rsid w:val="57865A32"/>
    <w:rsid w:val="57977CAB"/>
    <w:rsid w:val="579A3030"/>
    <w:rsid w:val="57A12BC9"/>
    <w:rsid w:val="57A16762"/>
    <w:rsid w:val="57A75F3B"/>
    <w:rsid w:val="57A87A1F"/>
    <w:rsid w:val="57AE1CD3"/>
    <w:rsid w:val="57B05737"/>
    <w:rsid w:val="57B173B3"/>
    <w:rsid w:val="57B27B5F"/>
    <w:rsid w:val="57B376E3"/>
    <w:rsid w:val="57B60C62"/>
    <w:rsid w:val="57B720E9"/>
    <w:rsid w:val="57C248C3"/>
    <w:rsid w:val="57C40176"/>
    <w:rsid w:val="57C44721"/>
    <w:rsid w:val="57C664C0"/>
    <w:rsid w:val="57CA5481"/>
    <w:rsid w:val="57CB32EB"/>
    <w:rsid w:val="57CD7B57"/>
    <w:rsid w:val="57CE1EB2"/>
    <w:rsid w:val="57D07A67"/>
    <w:rsid w:val="57D32E25"/>
    <w:rsid w:val="57E152A7"/>
    <w:rsid w:val="57E36716"/>
    <w:rsid w:val="57E6295C"/>
    <w:rsid w:val="57E760E4"/>
    <w:rsid w:val="57EC48B0"/>
    <w:rsid w:val="57F04F69"/>
    <w:rsid w:val="57FB6A1A"/>
    <w:rsid w:val="57FF353F"/>
    <w:rsid w:val="58050F2F"/>
    <w:rsid w:val="5807631C"/>
    <w:rsid w:val="58096A24"/>
    <w:rsid w:val="58103D68"/>
    <w:rsid w:val="58145456"/>
    <w:rsid w:val="58145E78"/>
    <w:rsid w:val="581674D9"/>
    <w:rsid w:val="58236000"/>
    <w:rsid w:val="582858F4"/>
    <w:rsid w:val="58300D4F"/>
    <w:rsid w:val="58302C27"/>
    <w:rsid w:val="583D6CD9"/>
    <w:rsid w:val="58404824"/>
    <w:rsid w:val="58505E87"/>
    <w:rsid w:val="5852630B"/>
    <w:rsid w:val="5853079F"/>
    <w:rsid w:val="585723A1"/>
    <w:rsid w:val="58590E73"/>
    <w:rsid w:val="585A1E15"/>
    <w:rsid w:val="585C6EFA"/>
    <w:rsid w:val="586126BC"/>
    <w:rsid w:val="58624768"/>
    <w:rsid w:val="586279D6"/>
    <w:rsid w:val="58634673"/>
    <w:rsid w:val="58683ECC"/>
    <w:rsid w:val="586A2407"/>
    <w:rsid w:val="586B6A1C"/>
    <w:rsid w:val="58704C1B"/>
    <w:rsid w:val="587622C8"/>
    <w:rsid w:val="5885275F"/>
    <w:rsid w:val="58857C82"/>
    <w:rsid w:val="589525B4"/>
    <w:rsid w:val="58972D17"/>
    <w:rsid w:val="58981B2A"/>
    <w:rsid w:val="589A1198"/>
    <w:rsid w:val="589B6E7A"/>
    <w:rsid w:val="58A00F64"/>
    <w:rsid w:val="58A05B78"/>
    <w:rsid w:val="58A616DC"/>
    <w:rsid w:val="58A91752"/>
    <w:rsid w:val="58AD7349"/>
    <w:rsid w:val="58AF549E"/>
    <w:rsid w:val="58B07F26"/>
    <w:rsid w:val="58B202C5"/>
    <w:rsid w:val="58B32A2B"/>
    <w:rsid w:val="58B90F78"/>
    <w:rsid w:val="58B9593B"/>
    <w:rsid w:val="58BD7A6F"/>
    <w:rsid w:val="58C34597"/>
    <w:rsid w:val="58D0759C"/>
    <w:rsid w:val="58D158EE"/>
    <w:rsid w:val="58D639EE"/>
    <w:rsid w:val="58D824C6"/>
    <w:rsid w:val="58DB3756"/>
    <w:rsid w:val="58DC7CF0"/>
    <w:rsid w:val="58E24845"/>
    <w:rsid w:val="58E714D8"/>
    <w:rsid w:val="58ED5ED3"/>
    <w:rsid w:val="58F110CC"/>
    <w:rsid w:val="58F42280"/>
    <w:rsid w:val="58F8022F"/>
    <w:rsid w:val="59004091"/>
    <w:rsid w:val="590216E0"/>
    <w:rsid w:val="590B1892"/>
    <w:rsid w:val="590C55D4"/>
    <w:rsid w:val="590C77C0"/>
    <w:rsid w:val="591301F4"/>
    <w:rsid w:val="591B344F"/>
    <w:rsid w:val="592476B2"/>
    <w:rsid w:val="592911B4"/>
    <w:rsid w:val="592C1DCD"/>
    <w:rsid w:val="593A6187"/>
    <w:rsid w:val="593B5CDC"/>
    <w:rsid w:val="593D3A54"/>
    <w:rsid w:val="593D3FDD"/>
    <w:rsid w:val="593E2276"/>
    <w:rsid w:val="59446EE5"/>
    <w:rsid w:val="594E004B"/>
    <w:rsid w:val="5953273E"/>
    <w:rsid w:val="595C7713"/>
    <w:rsid w:val="595E7736"/>
    <w:rsid w:val="596358CB"/>
    <w:rsid w:val="596556AC"/>
    <w:rsid w:val="59677652"/>
    <w:rsid w:val="596916CF"/>
    <w:rsid w:val="5972570E"/>
    <w:rsid w:val="59756743"/>
    <w:rsid w:val="597A2641"/>
    <w:rsid w:val="597B5020"/>
    <w:rsid w:val="59837D16"/>
    <w:rsid w:val="598C27B1"/>
    <w:rsid w:val="598F5A40"/>
    <w:rsid w:val="5990695A"/>
    <w:rsid w:val="5995733F"/>
    <w:rsid w:val="599640A8"/>
    <w:rsid w:val="59966A73"/>
    <w:rsid w:val="59986FA8"/>
    <w:rsid w:val="599C5E3A"/>
    <w:rsid w:val="599D0E4C"/>
    <w:rsid w:val="59A1687F"/>
    <w:rsid w:val="59A605AC"/>
    <w:rsid w:val="59B245F8"/>
    <w:rsid w:val="59B26863"/>
    <w:rsid w:val="59B4064A"/>
    <w:rsid w:val="59BB4519"/>
    <w:rsid w:val="59BC62AD"/>
    <w:rsid w:val="59BC7E91"/>
    <w:rsid w:val="59BD4835"/>
    <w:rsid w:val="59CA155B"/>
    <w:rsid w:val="59CA35D0"/>
    <w:rsid w:val="59CD083D"/>
    <w:rsid w:val="59CE17A2"/>
    <w:rsid w:val="59D33E61"/>
    <w:rsid w:val="59D618F7"/>
    <w:rsid w:val="59D65680"/>
    <w:rsid w:val="59DA2873"/>
    <w:rsid w:val="59DC37F2"/>
    <w:rsid w:val="59EF15E6"/>
    <w:rsid w:val="59F02B49"/>
    <w:rsid w:val="59F5250F"/>
    <w:rsid w:val="59FC05F4"/>
    <w:rsid w:val="5A037FC4"/>
    <w:rsid w:val="5A082F43"/>
    <w:rsid w:val="5A0879FA"/>
    <w:rsid w:val="5A0C23C5"/>
    <w:rsid w:val="5A184192"/>
    <w:rsid w:val="5A1A3C75"/>
    <w:rsid w:val="5A2D1F33"/>
    <w:rsid w:val="5A2F6FA0"/>
    <w:rsid w:val="5A341855"/>
    <w:rsid w:val="5A386AF9"/>
    <w:rsid w:val="5A387B71"/>
    <w:rsid w:val="5A4A5D7F"/>
    <w:rsid w:val="5A4C1705"/>
    <w:rsid w:val="5A4C4150"/>
    <w:rsid w:val="5A522649"/>
    <w:rsid w:val="5A593D42"/>
    <w:rsid w:val="5A5B1D33"/>
    <w:rsid w:val="5A5F4091"/>
    <w:rsid w:val="5A5F6545"/>
    <w:rsid w:val="5A6D2ABE"/>
    <w:rsid w:val="5A79167C"/>
    <w:rsid w:val="5A7B1E11"/>
    <w:rsid w:val="5A7B23F2"/>
    <w:rsid w:val="5A7E1F34"/>
    <w:rsid w:val="5A802C11"/>
    <w:rsid w:val="5A89734F"/>
    <w:rsid w:val="5A8D267D"/>
    <w:rsid w:val="5A9A3FF5"/>
    <w:rsid w:val="5A9B2115"/>
    <w:rsid w:val="5AA42ADD"/>
    <w:rsid w:val="5AA767FA"/>
    <w:rsid w:val="5AAD4638"/>
    <w:rsid w:val="5AB0705D"/>
    <w:rsid w:val="5AB618BA"/>
    <w:rsid w:val="5AB6234A"/>
    <w:rsid w:val="5ABC058F"/>
    <w:rsid w:val="5ABC138C"/>
    <w:rsid w:val="5AC56A12"/>
    <w:rsid w:val="5ACE419A"/>
    <w:rsid w:val="5ACF4C4C"/>
    <w:rsid w:val="5AD37F2F"/>
    <w:rsid w:val="5AD551E0"/>
    <w:rsid w:val="5ADA31FF"/>
    <w:rsid w:val="5ADD0172"/>
    <w:rsid w:val="5AE12B48"/>
    <w:rsid w:val="5AE34BFB"/>
    <w:rsid w:val="5AE7127C"/>
    <w:rsid w:val="5AEE58AD"/>
    <w:rsid w:val="5AF60D23"/>
    <w:rsid w:val="5AF92039"/>
    <w:rsid w:val="5AF96E4F"/>
    <w:rsid w:val="5B084B2A"/>
    <w:rsid w:val="5B0B4F98"/>
    <w:rsid w:val="5B250EEA"/>
    <w:rsid w:val="5B2818A2"/>
    <w:rsid w:val="5B2A5020"/>
    <w:rsid w:val="5B3479D6"/>
    <w:rsid w:val="5B3D6AE4"/>
    <w:rsid w:val="5B3E2247"/>
    <w:rsid w:val="5B434F34"/>
    <w:rsid w:val="5B447E20"/>
    <w:rsid w:val="5B482999"/>
    <w:rsid w:val="5B543DDC"/>
    <w:rsid w:val="5B573366"/>
    <w:rsid w:val="5B5B42FD"/>
    <w:rsid w:val="5B5D5FAC"/>
    <w:rsid w:val="5B5E2A5B"/>
    <w:rsid w:val="5B602918"/>
    <w:rsid w:val="5B611116"/>
    <w:rsid w:val="5B637E38"/>
    <w:rsid w:val="5B6674B2"/>
    <w:rsid w:val="5B6C0F64"/>
    <w:rsid w:val="5B6C6798"/>
    <w:rsid w:val="5B6E2703"/>
    <w:rsid w:val="5B704CF5"/>
    <w:rsid w:val="5B7070AA"/>
    <w:rsid w:val="5B755373"/>
    <w:rsid w:val="5B787B13"/>
    <w:rsid w:val="5B7B0CE9"/>
    <w:rsid w:val="5B7F43C9"/>
    <w:rsid w:val="5B9164E8"/>
    <w:rsid w:val="5B9B3118"/>
    <w:rsid w:val="5BA4286F"/>
    <w:rsid w:val="5BA65B31"/>
    <w:rsid w:val="5BA94644"/>
    <w:rsid w:val="5BB265DE"/>
    <w:rsid w:val="5BB816D6"/>
    <w:rsid w:val="5BB85B19"/>
    <w:rsid w:val="5BC1128B"/>
    <w:rsid w:val="5BC20D38"/>
    <w:rsid w:val="5BC914F4"/>
    <w:rsid w:val="5BD61F6B"/>
    <w:rsid w:val="5BD81679"/>
    <w:rsid w:val="5BD828F3"/>
    <w:rsid w:val="5BDD25D5"/>
    <w:rsid w:val="5BE14DFA"/>
    <w:rsid w:val="5BE20CC5"/>
    <w:rsid w:val="5BED4ABD"/>
    <w:rsid w:val="5BFB158B"/>
    <w:rsid w:val="5BFB1FA6"/>
    <w:rsid w:val="5BFB2CE5"/>
    <w:rsid w:val="5BFD1C23"/>
    <w:rsid w:val="5C006EDA"/>
    <w:rsid w:val="5C067D34"/>
    <w:rsid w:val="5C153A2C"/>
    <w:rsid w:val="5C17569F"/>
    <w:rsid w:val="5C175B20"/>
    <w:rsid w:val="5C184E57"/>
    <w:rsid w:val="5C1D0B2F"/>
    <w:rsid w:val="5C234E2D"/>
    <w:rsid w:val="5C2501B7"/>
    <w:rsid w:val="5C321E17"/>
    <w:rsid w:val="5C333CDF"/>
    <w:rsid w:val="5C3F5EFC"/>
    <w:rsid w:val="5C43361E"/>
    <w:rsid w:val="5C4873AD"/>
    <w:rsid w:val="5C4B7A61"/>
    <w:rsid w:val="5C4B7CDC"/>
    <w:rsid w:val="5C5C3C76"/>
    <w:rsid w:val="5C5C71B9"/>
    <w:rsid w:val="5C5E18C5"/>
    <w:rsid w:val="5C5E6099"/>
    <w:rsid w:val="5C5F0123"/>
    <w:rsid w:val="5C615135"/>
    <w:rsid w:val="5C6467FD"/>
    <w:rsid w:val="5C651682"/>
    <w:rsid w:val="5C654A61"/>
    <w:rsid w:val="5C6A70E1"/>
    <w:rsid w:val="5C6E6B1E"/>
    <w:rsid w:val="5C840857"/>
    <w:rsid w:val="5C845868"/>
    <w:rsid w:val="5C887DCC"/>
    <w:rsid w:val="5C8A2BDB"/>
    <w:rsid w:val="5C8A4A69"/>
    <w:rsid w:val="5C8B2632"/>
    <w:rsid w:val="5C8C72B9"/>
    <w:rsid w:val="5C923431"/>
    <w:rsid w:val="5C924704"/>
    <w:rsid w:val="5C9737BF"/>
    <w:rsid w:val="5C9A41C6"/>
    <w:rsid w:val="5CA2368E"/>
    <w:rsid w:val="5CA24161"/>
    <w:rsid w:val="5CA5217D"/>
    <w:rsid w:val="5CA62139"/>
    <w:rsid w:val="5CAA32E6"/>
    <w:rsid w:val="5CAD620E"/>
    <w:rsid w:val="5CB201BF"/>
    <w:rsid w:val="5CB95D93"/>
    <w:rsid w:val="5CB96ADB"/>
    <w:rsid w:val="5CD32686"/>
    <w:rsid w:val="5CD51F28"/>
    <w:rsid w:val="5CD72BA7"/>
    <w:rsid w:val="5CDE2289"/>
    <w:rsid w:val="5CE17790"/>
    <w:rsid w:val="5CE9287D"/>
    <w:rsid w:val="5CEF4C91"/>
    <w:rsid w:val="5CEF5685"/>
    <w:rsid w:val="5CF307FF"/>
    <w:rsid w:val="5CF5329B"/>
    <w:rsid w:val="5CF73D08"/>
    <w:rsid w:val="5CFA001F"/>
    <w:rsid w:val="5D017473"/>
    <w:rsid w:val="5D043438"/>
    <w:rsid w:val="5D085365"/>
    <w:rsid w:val="5D0A7784"/>
    <w:rsid w:val="5D1A24E8"/>
    <w:rsid w:val="5D1B4614"/>
    <w:rsid w:val="5D20785F"/>
    <w:rsid w:val="5D247EA1"/>
    <w:rsid w:val="5D2539D5"/>
    <w:rsid w:val="5D317DA3"/>
    <w:rsid w:val="5D35652B"/>
    <w:rsid w:val="5D43796D"/>
    <w:rsid w:val="5D4B28B8"/>
    <w:rsid w:val="5D4E1152"/>
    <w:rsid w:val="5D4F4F5E"/>
    <w:rsid w:val="5D506B44"/>
    <w:rsid w:val="5D5076CC"/>
    <w:rsid w:val="5D5D50D7"/>
    <w:rsid w:val="5D5D59AF"/>
    <w:rsid w:val="5D5F1B9D"/>
    <w:rsid w:val="5D6C0DA8"/>
    <w:rsid w:val="5D7046F5"/>
    <w:rsid w:val="5D7A32DC"/>
    <w:rsid w:val="5D81117E"/>
    <w:rsid w:val="5D8339ED"/>
    <w:rsid w:val="5D893036"/>
    <w:rsid w:val="5D8F54DC"/>
    <w:rsid w:val="5D8F5514"/>
    <w:rsid w:val="5D9A01D1"/>
    <w:rsid w:val="5D9B4F43"/>
    <w:rsid w:val="5DA41F8B"/>
    <w:rsid w:val="5DA52566"/>
    <w:rsid w:val="5DAA5656"/>
    <w:rsid w:val="5DB07C84"/>
    <w:rsid w:val="5DBA778C"/>
    <w:rsid w:val="5DBD4ED5"/>
    <w:rsid w:val="5DC157F2"/>
    <w:rsid w:val="5DC4244A"/>
    <w:rsid w:val="5DC846AF"/>
    <w:rsid w:val="5DCB419D"/>
    <w:rsid w:val="5DD32E74"/>
    <w:rsid w:val="5DDB2D30"/>
    <w:rsid w:val="5DDF69D3"/>
    <w:rsid w:val="5DDF76F6"/>
    <w:rsid w:val="5DE22317"/>
    <w:rsid w:val="5DE402AA"/>
    <w:rsid w:val="5DE72468"/>
    <w:rsid w:val="5DE77EE6"/>
    <w:rsid w:val="5DEE05FB"/>
    <w:rsid w:val="5DF47EBC"/>
    <w:rsid w:val="5E0746A4"/>
    <w:rsid w:val="5E0D12A0"/>
    <w:rsid w:val="5E0F4A04"/>
    <w:rsid w:val="5E1F6069"/>
    <w:rsid w:val="5E201BF3"/>
    <w:rsid w:val="5E20786E"/>
    <w:rsid w:val="5E235DF8"/>
    <w:rsid w:val="5E25456D"/>
    <w:rsid w:val="5E2A019C"/>
    <w:rsid w:val="5E2D71D9"/>
    <w:rsid w:val="5E316AD5"/>
    <w:rsid w:val="5E380BB6"/>
    <w:rsid w:val="5E3D204C"/>
    <w:rsid w:val="5E3D3A94"/>
    <w:rsid w:val="5E41105C"/>
    <w:rsid w:val="5E422BF5"/>
    <w:rsid w:val="5E42378E"/>
    <w:rsid w:val="5E4534F3"/>
    <w:rsid w:val="5E564EBD"/>
    <w:rsid w:val="5E597F73"/>
    <w:rsid w:val="5E5D77E4"/>
    <w:rsid w:val="5E686E28"/>
    <w:rsid w:val="5E702007"/>
    <w:rsid w:val="5E76084E"/>
    <w:rsid w:val="5E784E7C"/>
    <w:rsid w:val="5E815115"/>
    <w:rsid w:val="5E823172"/>
    <w:rsid w:val="5E871D04"/>
    <w:rsid w:val="5E877B12"/>
    <w:rsid w:val="5E8C60D1"/>
    <w:rsid w:val="5E8E0B2B"/>
    <w:rsid w:val="5E920C4C"/>
    <w:rsid w:val="5E925359"/>
    <w:rsid w:val="5E9558EE"/>
    <w:rsid w:val="5E955A4B"/>
    <w:rsid w:val="5E994593"/>
    <w:rsid w:val="5E9D38EF"/>
    <w:rsid w:val="5EAF1C02"/>
    <w:rsid w:val="5EB15740"/>
    <w:rsid w:val="5EB15C2E"/>
    <w:rsid w:val="5EBE54F9"/>
    <w:rsid w:val="5EC1190A"/>
    <w:rsid w:val="5ECA39B0"/>
    <w:rsid w:val="5ECC6CEA"/>
    <w:rsid w:val="5ECD004F"/>
    <w:rsid w:val="5EE85514"/>
    <w:rsid w:val="5EEB5ECD"/>
    <w:rsid w:val="5EEC7C04"/>
    <w:rsid w:val="5EF122C5"/>
    <w:rsid w:val="5F060220"/>
    <w:rsid w:val="5F065DC6"/>
    <w:rsid w:val="5F0954A6"/>
    <w:rsid w:val="5F0B5DC7"/>
    <w:rsid w:val="5F0F28A6"/>
    <w:rsid w:val="5F0F3F92"/>
    <w:rsid w:val="5F122747"/>
    <w:rsid w:val="5F144561"/>
    <w:rsid w:val="5F151884"/>
    <w:rsid w:val="5F163FBD"/>
    <w:rsid w:val="5F1A1A3B"/>
    <w:rsid w:val="5F1D63B5"/>
    <w:rsid w:val="5F2761BB"/>
    <w:rsid w:val="5F286D9D"/>
    <w:rsid w:val="5F2F1C34"/>
    <w:rsid w:val="5F335FEB"/>
    <w:rsid w:val="5F3B6491"/>
    <w:rsid w:val="5F3C7410"/>
    <w:rsid w:val="5F4C06A4"/>
    <w:rsid w:val="5F4E2E84"/>
    <w:rsid w:val="5F4F788C"/>
    <w:rsid w:val="5F522859"/>
    <w:rsid w:val="5F5F21B1"/>
    <w:rsid w:val="5F6045DD"/>
    <w:rsid w:val="5F641786"/>
    <w:rsid w:val="5F682B2A"/>
    <w:rsid w:val="5F710834"/>
    <w:rsid w:val="5F724433"/>
    <w:rsid w:val="5F78118F"/>
    <w:rsid w:val="5F790F78"/>
    <w:rsid w:val="5F7C224F"/>
    <w:rsid w:val="5F8475FA"/>
    <w:rsid w:val="5F856F2D"/>
    <w:rsid w:val="5F877EE8"/>
    <w:rsid w:val="5F895AA5"/>
    <w:rsid w:val="5F8F05EB"/>
    <w:rsid w:val="5F923E6B"/>
    <w:rsid w:val="5F941281"/>
    <w:rsid w:val="5F994446"/>
    <w:rsid w:val="5F9C19F3"/>
    <w:rsid w:val="5F9C3461"/>
    <w:rsid w:val="5FA14755"/>
    <w:rsid w:val="5FA52252"/>
    <w:rsid w:val="5FA95B21"/>
    <w:rsid w:val="5FAB0767"/>
    <w:rsid w:val="5FAB5E42"/>
    <w:rsid w:val="5FAE4851"/>
    <w:rsid w:val="5FAE5BC0"/>
    <w:rsid w:val="5FB205D9"/>
    <w:rsid w:val="5FBE29B9"/>
    <w:rsid w:val="5FBF79E5"/>
    <w:rsid w:val="5FCF6AA1"/>
    <w:rsid w:val="5FD214D1"/>
    <w:rsid w:val="5FD46A7E"/>
    <w:rsid w:val="5FD8265D"/>
    <w:rsid w:val="5FD90DD9"/>
    <w:rsid w:val="5FD915FD"/>
    <w:rsid w:val="5FE27EA5"/>
    <w:rsid w:val="5FE76E16"/>
    <w:rsid w:val="5FEA264A"/>
    <w:rsid w:val="5FEC4148"/>
    <w:rsid w:val="5FEC6DD8"/>
    <w:rsid w:val="5FF35E12"/>
    <w:rsid w:val="5FFE7D2A"/>
    <w:rsid w:val="600050A5"/>
    <w:rsid w:val="600302EF"/>
    <w:rsid w:val="600625C5"/>
    <w:rsid w:val="600E7B45"/>
    <w:rsid w:val="6011649B"/>
    <w:rsid w:val="60160EAE"/>
    <w:rsid w:val="60175F09"/>
    <w:rsid w:val="601B6A5E"/>
    <w:rsid w:val="601C794E"/>
    <w:rsid w:val="60200785"/>
    <w:rsid w:val="602014FD"/>
    <w:rsid w:val="60340F29"/>
    <w:rsid w:val="60385510"/>
    <w:rsid w:val="60394B86"/>
    <w:rsid w:val="603D1492"/>
    <w:rsid w:val="603D1C15"/>
    <w:rsid w:val="60415A17"/>
    <w:rsid w:val="60427C9B"/>
    <w:rsid w:val="60576279"/>
    <w:rsid w:val="60597864"/>
    <w:rsid w:val="60631E26"/>
    <w:rsid w:val="60635CA5"/>
    <w:rsid w:val="606A5924"/>
    <w:rsid w:val="60724902"/>
    <w:rsid w:val="60744017"/>
    <w:rsid w:val="60751D72"/>
    <w:rsid w:val="607D7B29"/>
    <w:rsid w:val="6080398A"/>
    <w:rsid w:val="608F18EE"/>
    <w:rsid w:val="608F7E4A"/>
    <w:rsid w:val="609469AF"/>
    <w:rsid w:val="609A0388"/>
    <w:rsid w:val="609D3411"/>
    <w:rsid w:val="609D723B"/>
    <w:rsid w:val="60B36E4B"/>
    <w:rsid w:val="60B80752"/>
    <w:rsid w:val="60B94478"/>
    <w:rsid w:val="60B94677"/>
    <w:rsid w:val="60BC59A0"/>
    <w:rsid w:val="60C20875"/>
    <w:rsid w:val="60C30725"/>
    <w:rsid w:val="60C51780"/>
    <w:rsid w:val="60C70EB2"/>
    <w:rsid w:val="60D2441C"/>
    <w:rsid w:val="60D318E0"/>
    <w:rsid w:val="60D523E3"/>
    <w:rsid w:val="60D5372D"/>
    <w:rsid w:val="60D56998"/>
    <w:rsid w:val="60D6057A"/>
    <w:rsid w:val="60D811C3"/>
    <w:rsid w:val="60DC5D56"/>
    <w:rsid w:val="60E4104E"/>
    <w:rsid w:val="60E47405"/>
    <w:rsid w:val="60E73551"/>
    <w:rsid w:val="60E92E3A"/>
    <w:rsid w:val="60ED52AC"/>
    <w:rsid w:val="60EE5F3E"/>
    <w:rsid w:val="60F228D4"/>
    <w:rsid w:val="60F332BE"/>
    <w:rsid w:val="60F63624"/>
    <w:rsid w:val="6101409B"/>
    <w:rsid w:val="6102197F"/>
    <w:rsid w:val="610743F1"/>
    <w:rsid w:val="61113A15"/>
    <w:rsid w:val="611220D9"/>
    <w:rsid w:val="61165036"/>
    <w:rsid w:val="611847FA"/>
    <w:rsid w:val="6119792B"/>
    <w:rsid w:val="611A7A46"/>
    <w:rsid w:val="61203CE2"/>
    <w:rsid w:val="61210291"/>
    <w:rsid w:val="612702F8"/>
    <w:rsid w:val="6131571D"/>
    <w:rsid w:val="61322968"/>
    <w:rsid w:val="61324E87"/>
    <w:rsid w:val="6132553D"/>
    <w:rsid w:val="61374757"/>
    <w:rsid w:val="613E5D22"/>
    <w:rsid w:val="61413EE9"/>
    <w:rsid w:val="61456838"/>
    <w:rsid w:val="615009AF"/>
    <w:rsid w:val="615224DD"/>
    <w:rsid w:val="61567C2D"/>
    <w:rsid w:val="61585115"/>
    <w:rsid w:val="615A4FD9"/>
    <w:rsid w:val="615E3F95"/>
    <w:rsid w:val="615F33E3"/>
    <w:rsid w:val="61603D4F"/>
    <w:rsid w:val="617120D8"/>
    <w:rsid w:val="61723B0A"/>
    <w:rsid w:val="61750275"/>
    <w:rsid w:val="617659C2"/>
    <w:rsid w:val="61770289"/>
    <w:rsid w:val="61775CBE"/>
    <w:rsid w:val="617D25CF"/>
    <w:rsid w:val="617F11DD"/>
    <w:rsid w:val="61805969"/>
    <w:rsid w:val="61813B22"/>
    <w:rsid w:val="618F1CBD"/>
    <w:rsid w:val="61983CA6"/>
    <w:rsid w:val="61A209F1"/>
    <w:rsid w:val="61A93CFD"/>
    <w:rsid w:val="61AD57EA"/>
    <w:rsid w:val="61AF1C4E"/>
    <w:rsid w:val="61AF33E2"/>
    <w:rsid w:val="61B42E4E"/>
    <w:rsid w:val="61B54B8E"/>
    <w:rsid w:val="61B62595"/>
    <w:rsid w:val="61BC463E"/>
    <w:rsid w:val="61BD2788"/>
    <w:rsid w:val="61C86597"/>
    <w:rsid w:val="61CC7466"/>
    <w:rsid w:val="61D46C85"/>
    <w:rsid w:val="61D85E7C"/>
    <w:rsid w:val="61DF0797"/>
    <w:rsid w:val="61E37AC9"/>
    <w:rsid w:val="61E51CD0"/>
    <w:rsid w:val="61EF3967"/>
    <w:rsid w:val="61F52115"/>
    <w:rsid w:val="61FA5AD2"/>
    <w:rsid w:val="61FE3D74"/>
    <w:rsid w:val="61FF00F5"/>
    <w:rsid w:val="61FF5576"/>
    <w:rsid w:val="620109FD"/>
    <w:rsid w:val="620375A6"/>
    <w:rsid w:val="620504B5"/>
    <w:rsid w:val="62102F09"/>
    <w:rsid w:val="6210305F"/>
    <w:rsid w:val="62145131"/>
    <w:rsid w:val="62152197"/>
    <w:rsid w:val="62165C57"/>
    <w:rsid w:val="621854A4"/>
    <w:rsid w:val="622B1153"/>
    <w:rsid w:val="622E4D31"/>
    <w:rsid w:val="622E4EAE"/>
    <w:rsid w:val="62382718"/>
    <w:rsid w:val="62385DBC"/>
    <w:rsid w:val="623B75AA"/>
    <w:rsid w:val="62425553"/>
    <w:rsid w:val="62493757"/>
    <w:rsid w:val="624D329D"/>
    <w:rsid w:val="624E3C6D"/>
    <w:rsid w:val="62530C1D"/>
    <w:rsid w:val="62546490"/>
    <w:rsid w:val="62554BA6"/>
    <w:rsid w:val="62575557"/>
    <w:rsid w:val="625A725D"/>
    <w:rsid w:val="625F1B56"/>
    <w:rsid w:val="625F2497"/>
    <w:rsid w:val="626C0F96"/>
    <w:rsid w:val="626C25CF"/>
    <w:rsid w:val="627F252A"/>
    <w:rsid w:val="62970423"/>
    <w:rsid w:val="629A7C20"/>
    <w:rsid w:val="62A035EB"/>
    <w:rsid w:val="62A706BB"/>
    <w:rsid w:val="62AC0AD7"/>
    <w:rsid w:val="62B64AD0"/>
    <w:rsid w:val="62BA0D83"/>
    <w:rsid w:val="62BC18A8"/>
    <w:rsid w:val="62C605B5"/>
    <w:rsid w:val="62C84E03"/>
    <w:rsid w:val="62CD364D"/>
    <w:rsid w:val="62CD56D5"/>
    <w:rsid w:val="62D1493F"/>
    <w:rsid w:val="62D637A3"/>
    <w:rsid w:val="62D8192B"/>
    <w:rsid w:val="62DB44C3"/>
    <w:rsid w:val="62DD0D83"/>
    <w:rsid w:val="62E24CAA"/>
    <w:rsid w:val="62EC7C61"/>
    <w:rsid w:val="62EE5D5E"/>
    <w:rsid w:val="62EE66DF"/>
    <w:rsid w:val="62F1589E"/>
    <w:rsid w:val="62F50C0A"/>
    <w:rsid w:val="62F51325"/>
    <w:rsid w:val="62FB79B7"/>
    <w:rsid w:val="63015868"/>
    <w:rsid w:val="63041E0F"/>
    <w:rsid w:val="63093F53"/>
    <w:rsid w:val="630E4FED"/>
    <w:rsid w:val="630E5F57"/>
    <w:rsid w:val="631408D0"/>
    <w:rsid w:val="63205A3F"/>
    <w:rsid w:val="632D2AD5"/>
    <w:rsid w:val="63310AF9"/>
    <w:rsid w:val="63316EBD"/>
    <w:rsid w:val="63380B19"/>
    <w:rsid w:val="633B3C58"/>
    <w:rsid w:val="633C49AD"/>
    <w:rsid w:val="633E55B4"/>
    <w:rsid w:val="63404846"/>
    <w:rsid w:val="63562FA6"/>
    <w:rsid w:val="63572904"/>
    <w:rsid w:val="635941C6"/>
    <w:rsid w:val="635A71B3"/>
    <w:rsid w:val="635F54D7"/>
    <w:rsid w:val="635F6F94"/>
    <w:rsid w:val="63677712"/>
    <w:rsid w:val="636949B8"/>
    <w:rsid w:val="636E7781"/>
    <w:rsid w:val="63715905"/>
    <w:rsid w:val="63731AF4"/>
    <w:rsid w:val="637A26D0"/>
    <w:rsid w:val="6382628B"/>
    <w:rsid w:val="638700DD"/>
    <w:rsid w:val="638768DF"/>
    <w:rsid w:val="638C34DA"/>
    <w:rsid w:val="638E78DE"/>
    <w:rsid w:val="63980224"/>
    <w:rsid w:val="63981B0A"/>
    <w:rsid w:val="639E44A2"/>
    <w:rsid w:val="63AB09D1"/>
    <w:rsid w:val="63AC4A87"/>
    <w:rsid w:val="63AF1B13"/>
    <w:rsid w:val="63B13889"/>
    <w:rsid w:val="63B205D6"/>
    <w:rsid w:val="63B60F77"/>
    <w:rsid w:val="63BA5121"/>
    <w:rsid w:val="63BF5FBD"/>
    <w:rsid w:val="63BF75CB"/>
    <w:rsid w:val="63C640A2"/>
    <w:rsid w:val="63C777E6"/>
    <w:rsid w:val="63C96324"/>
    <w:rsid w:val="63CD12A8"/>
    <w:rsid w:val="63D3632E"/>
    <w:rsid w:val="63D57455"/>
    <w:rsid w:val="63D929E2"/>
    <w:rsid w:val="63E01164"/>
    <w:rsid w:val="63E06651"/>
    <w:rsid w:val="63E139B9"/>
    <w:rsid w:val="63E4501D"/>
    <w:rsid w:val="63E54A38"/>
    <w:rsid w:val="63E93D67"/>
    <w:rsid w:val="63EC3AEC"/>
    <w:rsid w:val="63F76848"/>
    <w:rsid w:val="63F85A9B"/>
    <w:rsid w:val="64001A33"/>
    <w:rsid w:val="640C1105"/>
    <w:rsid w:val="64195D84"/>
    <w:rsid w:val="641B08E5"/>
    <w:rsid w:val="6426015E"/>
    <w:rsid w:val="642728C2"/>
    <w:rsid w:val="64315E63"/>
    <w:rsid w:val="64345883"/>
    <w:rsid w:val="643A6466"/>
    <w:rsid w:val="643C383F"/>
    <w:rsid w:val="643D4626"/>
    <w:rsid w:val="644478EC"/>
    <w:rsid w:val="644917E9"/>
    <w:rsid w:val="6449313E"/>
    <w:rsid w:val="64584E77"/>
    <w:rsid w:val="64590ED1"/>
    <w:rsid w:val="645A64A7"/>
    <w:rsid w:val="645C7527"/>
    <w:rsid w:val="646023C5"/>
    <w:rsid w:val="64612AA7"/>
    <w:rsid w:val="646235A1"/>
    <w:rsid w:val="646334E2"/>
    <w:rsid w:val="647E5EAE"/>
    <w:rsid w:val="648010F8"/>
    <w:rsid w:val="6482202C"/>
    <w:rsid w:val="648449E5"/>
    <w:rsid w:val="64867159"/>
    <w:rsid w:val="64877A82"/>
    <w:rsid w:val="64891643"/>
    <w:rsid w:val="648C3BB4"/>
    <w:rsid w:val="649002F3"/>
    <w:rsid w:val="649C4976"/>
    <w:rsid w:val="649C5708"/>
    <w:rsid w:val="649D1CA2"/>
    <w:rsid w:val="649F47E0"/>
    <w:rsid w:val="64A244E4"/>
    <w:rsid w:val="64A652D9"/>
    <w:rsid w:val="64AB1027"/>
    <w:rsid w:val="64B420E6"/>
    <w:rsid w:val="64BB5F6C"/>
    <w:rsid w:val="64BF5ED0"/>
    <w:rsid w:val="64C400D5"/>
    <w:rsid w:val="64C55890"/>
    <w:rsid w:val="64C56820"/>
    <w:rsid w:val="64CA167F"/>
    <w:rsid w:val="64CB05BB"/>
    <w:rsid w:val="64D40E6E"/>
    <w:rsid w:val="64E2160C"/>
    <w:rsid w:val="64E32D05"/>
    <w:rsid w:val="64E34A5F"/>
    <w:rsid w:val="64EA1102"/>
    <w:rsid w:val="64F75D8E"/>
    <w:rsid w:val="64FC5D58"/>
    <w:rsid w:val="64FE36DF"/>
    <w:rsid w:val="64FE61E4"/>
    <w:rsid w:val="64FF17D3"/>
    <w:rsid w:val="650521A0"/>
    <w:rsid w:val="65083014"/>
    <w:rsid w:val="650D7979"/>
    <w:rsid w:val="65143155"/>
    <w:rsid w:val="651955F6"/>
    <w:rsid w:val="6519621F"/>
    <w:rsid w:val="651B1CEA"/>
    <w:rsid w:val="651B1CF9"/>
    <w:rsid w:val="65202812"/>
    <w:rsid w:val="65275DE2"/>
    <w:rsid w:val="652A0F07"/>
    <w:rsid w:val="652B4AA9"/>
    <w:rsid w:val="65303533"/>
    <w:rsid w:val="653C34A3"/>
    <w:rsid w:val="653C62EF"/>
    <w:rsid w:val="653E2869"/>
    <w:rsid w:val="6540532A"/>
    <w:rsid w:val="655B398A"/>
    <w:rsid w:val="656E164B"/>
    <w:rsid w:val="657A55EC"/>
    <w:rsid w:val="657B304D"/>
    <w:rsid w:val="65925B55"/>
    <w:rsid w:val="659D15BB"/>
    <w:rsid w:val="65BA4202"/>
    <w:rsid w:val="65C3354A"/>
    <w:rsid w:val="65D51444"/>
    <w:rsid w:val="65D65D27"/>
    <w:rsid w:val="65DF4330"/>
    <w:rsid w:val="65E24C81"/>
    <w:rsid w:val="65E3675B"/>
    <w:rsid w:val="65E52ED6"/>
    <w:rsid w:val="65E96492"/>
    <w:rsid w:val="65EC6C03"/>
    <w:rsid w:val="65ED03AB"/>
    <w:rsid w:val="65EE45F5"/>
    <w:rsid w:val="65EF2913"/>
    <w:rsid w:val="65F0331F"/>
    <w:rsid w:val="65F116B0"/>
    <w:rsid w:val="65F20A9E"/>
    <w:rsid w:val="65F57762"/>
    <w:rsid w:val="65F91046"/>
    <w:rsid w:val="65FD0974"/>
    <w:rsid w:val="65FF54B0"/>
    <w:rsid w:val="6604157C"/>
    <w:rsid w:val="66067717"/>
    <w:rsid w:val="660B2CDA"/>
    <w:rsid w:val="66164454"/>
    <w:rsid w:val="66171DFF"/>
    <w:rsid w:val="661D62B0"/>
    <w:rsid w:val="661F753B"/>
    <w:rsid w:val="66270D57"/>
    <w:rsid w:val="66370794"/>
    <w:rsid w:val="663E691A"/>
    <w:rsid w:val="663F353E"/>
    <w:rsid w:val="664C0042"/>
    <w:rsid w:val="664C0897"/>
    <w:rsid w:val="66521A25"/>
    <w:rsid w:val="665A45F9"/>
    <w:rsid w:val="665C497F"/>
    <w:rsid w:val="66626B71"/>
    <w:rsid w:val="66643E27"/>
    <w:rsid w:val="66673E72"/>
    <w:rsid w:val="667030DA"/>
    <w:rsid w:val="66730674"/>
    <w:rsid w:val="66751B01"/>
    <w:rsid w:val="667715F8"/>
    <w:rsid w:val="667969DC"/>
    <w:rsid w:val="667A39D9"/>
    <w:rsid w:val="667A55E7"/>
    <w:rsid w:val="667A57E0"/>
    <w:rsid w:val="66824780"/>
    <w:rsid w:val="66872AAC"/>
    <w:rsid w:val="668A2A85"/>
    <w:rsid w:val="668D402C"/>
    <w:rsid w:val="669B10A8"/>
    <w:rsid w:val="66A63938"/>
    <w:rsid w:val="66AE7E8F"/>
    <w:rsid w:val="66B34162"/>
    <w:rsid w:val="66BB3DC1"/>
    <w:rsid w:val="66BB6F7C"/>
    <w:rsid w:val="66C14E44"/>
    <w:rsid w:val="66C178A0"/>
    <w:rsid w:val="66C27B96"/>
    <w:rsid w:val="66C76FCF"/>
    <w:rsid w:val="66C87604"/>
    <w:rsid w:val="66CC4D74"/>
    <w:rsid w:val="66CF0868"/>
    <w:rsid w:val="66D06876"/>
    <w:rsid w:val="66D13933"/>
    <w:rsid w:val="66D147DD"/>
    <w:rsid w:val="66D4064A"/>
    <w:rsid w:val="66DA71A4"/>
    <w:rsid w:val="66DE1428"/>
    <w:rsid w:val="66E17B94"/>
    <w:rsid w:val="66E26D22"/>
    <w:rsid w:val="66E64984"/>
    <w:rsid w:val="66EA6F9A"/>
    <w:rsid w:val="66EB394E"/>
    <w:rsid w:val="67006E56"/>
    <w:rsid w:val="67041760"/>
    <w:rsid w:val="67043888"/>
    <w:rsid w:val="67065E1C"/>
    <w:rsid w:val="670B581D"/>
    <w:rsid w:val="670E4CA8"/>
    <w:rsid w:val="671070A3"/>
    <w:rsid w:val="6712320F"/>
    <w:rsid w:val="671B516B"/>
    <w:rsid w:val="672049F7"/>
    <w:rsid w:val="672A1647"/>
    <w:rsid w:val="672C0519"/>
    <w:rsid w:val="672C331F"/>
    <w:rsid w:val="672D5F92"/>
    <w:rsid w:val="673073EE"/>
    <w:rsid w:val="673B1D91"/>
    <w:rsid w:val="673F088A"/>
    <w:rsid w:val="67475151"/>
    <w:rsid w:val="67482BA2"/>
    <w:rsid w:val="674B0229"/>
    <w:rsid w:val="674E14E4"/>
    <w:rsid w:val="67584A19"/>
    <w:rsid w:val="67584A61"/>
    <w:rsid w:val="675F40EF"/>
    <w:rsid w:val="6766750D"/>
    <w:rsid w:val="676C2FC0"/>
    <w:rsid w:val="676D1924"/>
    <w:rsid w:val="67702DA6"/>
    <w:rsid w:val="67767C31"/>
    <w:rsid w:val="6780598A"/>
    <w:rsid w:val="67823BE6"/>
    <w:rsid w:val="67854BE1"/>
    <w:rsid w:val="678B0F62"/>
    <w:rsid w:val="678C4636"/>
    <w:rsid w:val="679468FE"/>
    <w:rsid w:val="67A00AD2"/>
    <w:rsid w:val="67A225F0"/>
    <w:rsid w:val="67A50015"/>
    <w:rsid w:val="67A74AAD"/>
    <w:rsid w:val="67AB2CB5"/>
    <w:rsid w:val="67AE18B3"/>
    <w:rsid w:val="67AF4221"/>
    <w:rsid w:val="67B120EF"/>
    <w:rsid w:val="67B262D3"/>
    <w:rsid w:val="67B273F1"/>
    <w:rsid w:val="67B63000"/>
    <w:rsid w:val="67BA6B38"/>
    <w:rsid w:val="67BA7176"/>
    <w:rsid w:val="67BD7340"/>
    <w:rsid w:val="67BE2C1A"/>
    <w:rsid w:val="67C214A3"/>
    <w:rsid w:val="67C31A73"/>
    <w:rsid w:val="67C45FDE"/>
    <w:rsid w:val="67C73B61"/>
    <w:rsid w:val="67C754EF"/>
    <w:rsid w:val="67C76BAD"/>
    <w:rsid w:val="67D06635"/>
    <w:rsid w:val="67D10670"/>
    <w:rsid w:val="67D15B2D"/>
    <w:rsid w:val="67DD6A4A"/>
    <w:rsid w:val="67EA7782"/>
    <w:rsid w:val="67EF2E80"/>
    <w:rsid w:val="67F75D56"/>
    <w:rsid w:val="67F813BC"/>
    <w:rsid w:val="68041F61"/>
    <w:rsid w:val="68063593"/>
    <w:rsid w:val="68077DAD"/>
    <w:rsid w:val="680969E1"/>
    <w:rsid w:val="680C1D08"/>
    <w:rsid w:val="680C559B"/>
    <w:rsid w:val="680E7E3C"/>
    <w:rsid w:val="681F70F8"/>
    <w:rsid w:val="68237184"/>
    <w:rsid w:val="68260737"/>
    <w:rsid w:val="682F080A"/>
    <w:rsid w:val="68352EC8"/>
    <w:rsid w:val="683558F8"/>
    <w:rsid w:val="68367637"/>
    <w:rsid w:val="683D0609"/>
    <w:rsid w:val="683D3B65"/>
    <w:rsid w:val="684066F7"/>
    <w:rsid w:val="68451C14"/>
    <w:rsid w:val="6845308E"/>
    <w:rsid w:val="684850CD"/>
    <w:rsid w:val="684E52D0"/>
    <w:rsid w:val="685021DA"/>
    <w:rsid w:val="68506A65"/>
    <w:rsid w:val="68507254"/>
    <w:rsid w:val="68511473"/>
    <w:rsid w:val="68532021"/>
    <w:rsid w:val="6855102F"/>
    <w:rsid w:val="685655D3"/>
    <w:rsid w:val="685E01D3"/>
    <w:rsid w:val="68610DC4"/>
    <w:rsid w:val="686673FB"/>
    <w:rsid w:val="68694612"/>
    <w:rsid w:val="686B5E16"/>
    <w:rsid w:val="686C1FCE"/>
    <w:rsid w:val="686F67A2"/>
    <w:rsid w:val="68767479"/>
    <w:rsid w:val="68773B23"/>
    <w:rsid w:val="687E3688"/>
    <w:rsid w:val="687F365A"/>
    <w:rsid w:val="688771D5"/>
    <w:rsid w:val="688B0B7F"/>
    <w:rsid w:val="688B5E3A"/>
    <w:rsid w:val="68903F7E"/>
    <w:rsid w:val="68962BC6"/>
    <w:rsid w:val="689960D0"/>
    <w:rsid w:val="689D58D7"/>
    <w:rsid w:val="68A0589F"/>
    <w:rsid w:val="68A2301F"/>
    <w:rsid w:val="68A676F3"/>
    <w:rsid w:val="68A72957"/>
    <w:rsid w:val="68B45A84"/>
    <w:rsid w:val="68B8099B"/>
    <w:rsid w:val="68BB31AC"/>
    <w:rsid w:val="68C048AD"/>
    <w:rsid w:val="68C531FD"/>
    <w:rsid w:val="68C620D0"/>
    <w:rsid w:val="68CC6550"/>
    <w:rsid w:val="68D35DEF"/>
    <w:rsid w:val="68D64A54"/>
    <w:rsid w:val="68D711DE"/>
    <w:rsid w:val="68DA372E"/>
    <w:rsid w:val="68DB3376"/>
    <w:rsid w:val="68E64D04"/>
    <w:rsid w:val="68E95EED"/>
    <w:rsid w:val="68EA4341"/>
    <w:rsid w:val="68EF23A6"/>
    <w:rsid w:val="68FF1621"/>
    <w:rsid w:val="69036041"/>
    <w:rsid w:val="690560BB"/>
    <w:rsid w:val="69096CB5"/>
    <w:rsid w:val="690D2948"/>
    <w:rsid w:val="69105448"/>
    <w:rsid w:val="691624E2"/>
    <w:rsid w:val="69177797"/>
    <w:rsid w:val="692D07CF"/>
    <w:rsid w:val="692E0CCE"/>
    <w:rsid w:val="692E3F36"/>
    <w:rsid w:val="694E40F2"/>
    <w:rsid w:val="695C3F11"/>
    <w:rsid w:val="69605A13"/>
    <w:rsid w:val="696137CB"/>
    <w:rsid w:val="69665305"/>
    <w:rsid w:val="696A32E2"/>
    <w:rsid w:val="696E3726"/>
    <w:rsid w:val="69764463"/>
    <w:rsid w:val="69767EE2"/>
    <w:rsid w:val="6977194D"/>
    <w:rsid w:val="69803EE1"/>
    <w:rsid w:val="69867CE5"/>
    <w:rsid w:val="69942BCD"/>
    <w:rsid w:val="6995481C"/>
    <w:rsid w:val="69960B52"/>
    <w:rsid w:val="69A02BB1"/>
    <w:rsid w:val="69A3350F"/>
    <w:rsid w:val="69AC19AE"/>
    <w:rsid w:val="69B25BD9"/>
    <w:rsid w:val="69B60504"/>
    <w:rsid w:val="69B82E9C"/>
    <w:rsid w:val="69B92025"/>
    <w:rsid w:val="69C0586A"/>
    <w:rsid w:val="69C07797"/>
    <w:rsid w:val="69C40850"/>
    <w:rsid w:val="69C470E1"/>
    <w:rsid w:val="69CF44F5"/>
    <w:rsid w:val="69DB15E1"/>
    <w:rsid w:val="69E21BBF"/>
    <w:rsid w:val="69E31828"/>
    <w:rsid w:val="69E454E7"/>
    <w:rsid w:val="69E72912"/>
    <w:rsid w:val="69E80FE8"/>
    <w:rsid w:val="69EB484A"/>
    <w:rsid w:val="69EC57EB"/>
    <w:rsid w:val="69EF681F"/>
    <w:rsid w:val="69F55726"/>
    <w:rsid w:val="69F71D27"/>
    <w:rsid w:val="69F826A6"/>
    <w:rsid w:val="69F83488"/>
    <w:rsid w:val="69FC0F82"/>
    <w:rsid w:val="6A113AFF"/>
    <w:rsid w:val="6A160933"/>
    <w:rsid w:val="6A170BF2"/>
    <w:rsid w:val="6A1C3788"/>
    <w:rsid w:val="6A1D717D"/>
    <w:rsid w:val="6A1E2BC0"/>
    <w:rsid w:val="6A1E40D7"/>
    <w:rsid w:val="6A212467"/>
    <w:rsid w:val="6A220892"/>
    <w:rsid w:val="6A242C88"/>
    <w:rsid w:val="6A245164"/>
    <w:rsid w:val="6A277167"/>
    <w:rsid w:val="6A2B065D"/>
    <w:rsid w:val="6A336EED"/>
    <w:rsid w:val="6A3C64BD"/>
    <w:rsid w:val="6A4830F4"/>
    <w:rsid w:val="6A4E5CD9"/>
    <w:rsid w:val="6A5E146A"/>
    <w:rsid w:val="6A636D3F"/>
    <w:rsid w:val="6A662B7E"/>
    <w:rsid w:val="6A7242C0"/>
    <w:rsid w:val="6A787461"/>
    <w:rsid w:val="6A892E6E"/>
    <w:rsid w:val="6A8A5DB6"/>
    <w:rsid w:val="6A8B3DF7"/>
    <w:rsid w:val="6A984BB1"/>
    <w:rsid w:val="6A9960B7"/>
    <w:rsid w:val="6A9A6FB6"/>
    <w:rsid w:val="6A9A796E"/>
    <w:rsid w:val="6A9B76B9"/>
    <w:rsid w:val="6A9D3FAC"/>
    <w:rsid w:val="6AA61489"/>
    <w:rsid w:val="6AAB1EFF"/>
    <w:rsid w:val="6AAE01B8"/>
    <w:rsid w:val="6AAF7D0B"/>
    <w:rsid w:val="6AB2433B"/>
    <w:rsid w:val="6ABD45CE"/>
    <w:rsid w:val="6ABE3D9B"/>
    <w:rsid w:val="6ABF3958"/>
    <w:rsid w:val="6AC3133F"/>
    <w:rsid w:val="6AC60FC3"/>
    <w:rsid w:val="6ACC1CF9"/>
    <w:rsid w:val="6ACD2D03"/>
    <w:rsid w:val="6AD1093B"/>
    <w:rsid w:val="6AD17C04"/>
    <w:rsid w:val="6AD2149D"/>
    <w:rsid w:val="6AD312EB"/>
    <w:rsid w:val="6ADD3582"/>
    <w:rsid w:val="6ADD5731"/>
    <w:rsid w:val="6AE93403"/>
    <w:rsid w:val="6AE953E8"/>
    <w:rsid w:val="6AEB24C5"/>
    <w:rsid w:val="6AEB7A32"/>
    <w:rsid w:val="6AF02908"/>
    <w:rsid w:val="6AF37645"/>
    <w:rsid w:val="6AF85548"/>
    <w:rsid w:val="6AFC0BBF"/>
    <w:rsid w:val="6AFE3566"/>
    <w:rsid w:val="6AFF282C"/>
    <w:rsid w:val="6AFF77FB"/>
    <w:rsid w:val="6B020C70"/>
    <w:rsid w:val="6B035BF5"/>
    <w:rsid w:val="6B04626A"/>
    <w:rsid w:val="6B104B3E"/>
    <w:rsid w:val="6B146C50"/>
    <w:rsid w:val="6B193FA6"/>
    <w:rsid w:val="6B1D508C"/>
    <w:rsid w:val="6B226291"/>
    <w:rsid w:val="6B2402FC"/>
    <w:rsid w:val="6B3A33EB"/>
    <w:rsid w:val="6B3B29FC"/>
    <w:rsid w:val="6B410552"/>
    <w:rsid w:val="6B461D16"/>
    <w:rsid w:val="6B474A5E"/>
    <w:rsid w:val="6B4B5ECF"/>
    <w:rsid w:val="6B56077A"/>
    <w:rsid w:val="6B5626B0"/>
    <w:rsid w:val="6B623212"/>
    <w:rsid w:val="6B6310E3"/>
    <w:rsid w:val="6B6449D7"/>
    <w:rsid w:val="6B6C0BF4"/>
    <w:rsid w:val="6B6F48AB"/>
    <w:rsid w:val="6B7B2B56"/>
    <w:rsid w:val="6B7C18D2"/>
    <w:rsid w:val="6B7F35C0"/>
    <w:rsid w:val="6B89111D"/>
    <w:rsid w:val="6B893A7B"/>
    <w:rsid w:val="6B925EC7"/>
    <w:rsid w:val="6B975E46"/>
    <w:rsid w:val="6B981D46"/>
    <w:rsid w:val="6B990B2F"/>
    <w:rsid w:val="6B9E6A90"/>
    <w:rsid w:val="6BA66FA6"/>
    <w:rsid w:val="6BA76318"/>
    <w:rsid w:val="6BA7799C"/>
    <w:rsid w:val="6BBB3CE9"/>
    <w:rsid w:val="6BBC6F57"/>
    <w:rsid w:val="6BBF03AA"/>
    <w:rsid w:val="6BC70FC6"/>
    <w:rsid w:val="6BD11B3E"/>
    <w:rsid w:val="6BD70E02"/>
    <w:rsid w:val="6BD723FD"/>
    <w:rsid w:val="6BDB1AB6"/>
    <w:rsid w:val="6BE1766C"/>
    <w:rsid w:val="6BED5730"/>
    <w:rsid w:val="6BEE5EE7"/>
    <w:rsid w:val="6BF412A7"/>
    <w:rsid w:val="6BF61B34"/>
    <w:rsid w:val="6C00183A"/>
    <w:rsid w:val="6C005217"/>
    <w:rsid w:val="6C0323C3"/>
    <w:rsid w:val="6C046024"/>
    <w:rsid w:val="6C0B69AC"/>
    <w:rsid w:val="6C143D9A"/>
    <w:rsid w:val="6C175582"/>
    <w:rsid w:val="6C1A5F45"/>
    <w:rsid w:val="6C1D2AD2"/>
    <w:rsid w:val="6C262795"/>
    <w:rsid w:val="6C282485"/>
    <w:rsid w:val="6C297FD5"/>
    <w:rsid w:val="6C2C7AED"/>
    <w:rsid w:val="6C2F23D5"/>
    <w:rsid w:val="6C393DF3"/>
    <w:rsid w:val="6C442522"/>
    <w:rsid w:val="6C4652A4"/>
    <w:rsid w:val="6C4D13E6"/>
    <w:rsid w:val="6C512BA0"/>
    <w:rsid w:val="6C615BBA"/>
    <w:rsid w:val="6C62162B"/>
    <w:rsid w:val="6C6360E2"/>
    <w:rsid w:val="6C69138B"/>
    <w:rsid w:val="6C6C6CD9"/>
    <w:rsid w:val="6C7431D5"/>
    <w:rsid w:val="6C751067"/>
    <w:rsid w:val="6C765F8F"/>
    <w:rsid w:val="6C845569"/>
    <w:rsid w:val="6C872674"/>
    <w:rsid w:val="6C992D0F"/>
    <w:rsid w:val="6CA24941"/>
    <w:rsid w:val="6CA33261"/>
    <w:rsid w:val="6CA759A3"/>
    <w:rsid w:val="6CAE26E5"/>
    <w:rsid w:val="6CB30BC9"/>
    <w:rsid w:val="6CB93EB0"/>
    <w:rsid w:val="6CBA1147"/>
    <w:rsid w:val="6CC04CA6"/>
    <w:rsid w:val="6CC373EF"/>
    <w:rsid w:val="6CC45D95"/>
    <w:rsid w:val="6CC951B3"/>
    <w:rsid w:val="6CCC0F4F"/>
    <w:rsid w:val="6CD00F1E"/>
    <w:rsid w:val="6CDA1AEC"/>
    <w:rsid w:val="6CE06982"/>
    <w:rsid w:val="6CE36E64"/>
    <w:rsid w:val="6CE40BC8"/>
    <w:rsid w:val="6CE645BD"/>
    <w:rsid w:val="6CEC69D3"/>
    <w:rsid w:val="6CF2698F"/>
    <w:rsid w:val="6CF6754A"/>
    <w:rsid w:val="6CFB0806"/>
    <w:rsid w:val="6D016817"/>
    <w:rsid w:val="6D037E49"/>
    <w:rsid w:val="6D082518"/>
    <w:rsid w:val="6D0B5EFD"/>
    <w:rsid w:val="6D0D6D5C"/>
    <w:rsid w:val="6D203178"/>
    <w:rsid w:val="6D21122F"/>
    <w:rsid w:val="6D230DE6"/>
    <w:rsid w:val="6D2410E7"/>
    <w:rsid w:val="6D265F6D"/>
    <w:rsid w:val="6D291E1E"/>
    <w:rsid w:val="6D295A24"/>
    <w:rsid w:val="6D343C6B"/>
    <w:rsid w:val="6D346742"/>
    <w:rsid w:val="6D383D4B"/>
    <w:rsid w:val="6D434094"/>
    <w:rsid w:val="6D4663A4"/>
    <w:rsid w:val="6D477F2A"/>
    <w:rsid w:val="6D4C4F18"/>
    <w:rsid w:val="6D515A2C"/>
    <w:rsid w:val="6D535778"/>
    <w:rsid w:val="6D566671"/>
    <w:rsid w:val="6D56775D"/>
    <w:rsid w:val="6D567A09"/>
    <w:rsid w:val="6D5C7E0E"/>
    <w:rsid w:val="6D5F3F18"/>
    <w:rsid w:val="6D6870AA"/>
    <w:rsid w:val="6D6E5954"/>
    <w:rsid w:val="6D6F516A"/>
    <w:rsid w:val="6D71259E"/>
    <w:rsid w:val="6D716F09"/>
    <w:rsid w:val="6D7316F8"/>
    <w:rsid w:val="6D736A4D"/>
    <w:rsid w:val="6D7461C9"/>
    <w:rsid w:val="6D747F81"/>
    <w:rsid w:val="6D796150"/>
    <w:rsid w:val="6D7B3CF2"/>
    <w:rsid w:val="6D7B55A9"/>
    <w:rsid w:val="6D7C12A3"/>
    <w:rsid w:val="6D7C2B08"/>
    <w:rsid w:val="6D8208CE"/>
    <w:rsid w:val="6D873B12"/>
    <w:rsid w:val="6D8A5754"/>
    <w:rsid w:val="6D8A589C"/>
    <w:rsid w:val="6D9070FE"/>
    <w:rsid w:val="6D920F6F"/>
    <w:rsid w:val="6D93172D"/>
    <w:rsid w:val="6D9B4F2C"/>
    <w:rsid w:val="6D9E0690"/>
    <w:rsid w:val="6D9E47A6"/>
    <w:rsid w:val="6DA065AC"/>
    <w:rsid w:val="6DA13ED5"/>
    <w:rsid w:val="6DA44B01"/>
    <w:rsid w:val="6DA705FD"/>
    <w:rsid w:val="6DAF30F3"/>
    <w:rsid w:val="6DB33D2C"/>
    <w:rsid w:val="6DB85756"/>
    <w:rsid w:val="6DBA34EA"/>
    <w:rsid w:val="6DCF0125"/>
    <w:rsid w:val="6DD522C0"/>
    <w:rsid w:val="6DD921DD"/>
    <w:rsid w:val="6DDA0483"/>
    <w:rsid w:val="6DDA7663"/>
    <w:rsid w:val="6DDD2E26"/>
    <w:rsid w:val="6DDE5041"/>
    <w:rsid w:val="6DE334A4"/>
    <w:rsid w:val="6DE72E33"/>
    <w:rsid w:val="6DEA64EB"/>
    <w:rsid w:val="6DED08EF"/>
    <w:rsid w:val="6DF37F2D"/>
    <w:rsid w:val="6DF87346"/>
    <w:rsid w:val="6DFA1753"/>
    <w:rsid w:val="6DFC0CF6"/>
    <w:rsid w:val="6E024858"/>
    <w:rsid w:val="6E091A69"/>
    <w:rsid w:val="6E0A7A2A"/>
    <w:rsid w:val="6E0B3C9D"/>
    <w:rsid w:val="6E0E1C76"/>
    <w:rsid w:val="6E115657"/>
    <w:rsid w:val="6E1159EC"/>
    <w:rsid w:val="6E123BD2"/>
    <w:rsid w:val="6E156BEA"/>
    <w:rsid w:val="6E1574C1"/>
    <w:rsid w:val="6E1B6D98"/>
    <w:rsid w:val="6E1D31AE"/>
    <w:rsid w:val="6E1F6484"/>
    <w:rsid w:val="6E205011"/>
    <w:rsid w:val="6E211CAA"/>
    <w:rsid w:val="6E215E81"/>
    <w:rsid w:val="6E243F1D"/>
    <w:rsid w:val="6E2E31AF"/>
    <w:rsid w:val="6E2F0304"/>
    <w:rsid w:val="6E2F7D74"/>
    <w:rsid w:val="6E305E14"/>
    <w:rsid w:val="6E307D6D"/>
    <w:rsid w:val="6E354D4D"/>
    <w:rsid w:val="6E433447"/>
    <w:rsid w:val="6E44385B"/>
    <w:rsid w:val="6E4E3CEA"/>
    <w:rsid w:val="6E4F0728"/>
    <w:rsid w:val="6E50460A"/>
    <w:rsid w:val="6E566C9C"/>
    <w:rsid w:val="6E5A4C7A"/>
    <w:rsid w:val="6E61384F"/>
    <w:rsid w:val="6E634D78"/>
    <w:rsid w:val="6E6402F0"/>
    <w:rsid w:val="6E6A11A0"/>
    <w:rsid w:val="6E6A3F14"/>
    <w:rsid w:val="6E6C31C0"/>
    <w:rsid w:val="6E6E4E96"/>
    <w:rsid w:val="6E70781B"/>
    <w:rsid w:val="6E7336FF"/>
    <w:rsid w:val="6E763F9C"/>
    <w:rsid w:val="6E7A3DB7"/>
    <w:rsid w:val="6E7A7C20"/>
    <w:rsid w:val="6E820FE2"/>
    <w:rsid w:val="6E824F78"/>
    <w:rsid w:val="6E843A4D"/>
    <w:rsid w:val="6E8C5D3D"/>
    <w:rsid w:val="6E962875"/>
    <w:rsid w:val="6E9709B9"/>
    <w:rsid w:val="6E973BC9"/>
    <w:rsid w:val="6E975C67"/>
    <w:rsid w:val="6E997818"/>
    <w:rsid w:val="6E9B6962"/>
    <w:rsid w:val="6EB15A1D"/>
    <w:rsid w:val="6EB67288"/>
    <w:rsid w:val="6EBB02A7"/>
    <w:rsid w:val="6EBC299A"/>
    <w:rsid w:val="6EC55961"/>
    <w:rsid w:val="6EC66FD2"/>
    <w:rsid w:val="6EC708B3"/>
    <w:rsid w:val="6EC73AED"/>
    <w:rsid w:val="6ECA6886"/>
    <w:rsid w:val="6ECC4739"/>
    <w:rsid w:val="6ECC4A37"/>
    <w:rsid w:val="6ED52885"/>
    <w:rsid w:val="6ED930E6"/>
    <w:rsid w:val="6ED97212"/>
    <w:rsid w:val="6EDC1722"/>
    <w:rsid w:val="6EE75CED"/>
    <w:rsid w:val="6EEA7ED6"/>
    <w:rsid w:val="6EED5381"/>
    <w:rsid w:val="6EEF3093"/>
    <w:rsid w:val="6EF24125"/>
    <w:rsid w:val="6EFB27E4"/>
    <w:rsid w:val="6F050C4B"/>
    <w:rsid w:val="6F0715A8"/>
    <w:rsid w:val="6F0B5800"/>
    <w:rsid w:val="6F0C1362"/>
    <w:rsid w:val="6F0C64D0"/>
    <w:rsid w:val="6F1224E2"/>
    <w:rsid w:val="6F1406EB"/>
    <w:rsid w:val="6F174C86"/>
    <w:rsid w:val="6F257CBA"/>
    <w:rsid w:val="6F2A2045"/>
    <w:rsid w:val="6F2A740D"/>
    <w:rsid w:val="6F2E1533"/>
    <w:rsid w:val="6F2F0BFB"/>
    <w:rsid w:val="6F301804"/>
    <w:rsid w:val="6F343EDF"/>
    <w:rsid w:val="6F346277"/>
    <w:rsid w:val="6F3B3678"/>
    <w:rsid w:val="6F402F66"/>
    <w:rsid w:val="6F4320B2"/>
    <w:rsid w:val="6F441AC9"/>
    <w:rsid w:val="6F4826BF"/>
    <w:rsid w:val="6F502EAB"/>
    <w:rsid w:val="6F576BEC"/>
    <w:rsid w:val="6F5C315C"/>
    <w:rsid w:val="6F5D2E81"/>
    <w:rsid w:val="6F5E193C"/>
    <w:rsid w:val="6F6151CC"/>
    <w:rsid w:val="6F653282"/>
    <w:rsid w:val="6F6606CA"/>
    <w:rsid w:val="6F6B2614"/>
    <w:rsid w:val="6F79000F"/>
    <w:rsid w:val="6F7C7982"/>
    <w:rsid w:val="6F8140FF"/>
    <w:rsid w:val="6F9B77D2"/>
    <w:rsid w:val="6F9C4DA5"/>
    <w:rsid w:val="6FA31088"/>
    <w:rsid w:val="6FA57BA4"/>
    <w:rsid w:val="6FA73452"/>
    <w:rsid w:val="6FAC4128"/>
    <w:rsid w:val="6FAD7E16"/>
    <w:rsid w:val="6FAE5792"/>
    <w:rsid w:val="6FB41815"/>
    <w:rsid w:val="6FB50952"/>
    <w:rsid w:val="6FBF0D01"/>
    <w:rsid w:val="6FC77082"/>
    <w:rsid w:val="6FC951DB"/>
    <w:rsid w:val="6FCB5ACF"/>
    <w:rsid w:val="6FD239CA"/>
    <w:rsid w:val="6FD53085"/>
    <w:rsid w:val="6FD66487"/>
    <w:rsid w:val="6FD673B0"/>
    <w:rsid w:val="6FD9102D"/>
    <w:rsid w:val="6FDB3904"/>
    <w:rsid w:val="6FE20208"/>
    <w:rsid w:val="6FE633D6"/>
    <w:rsid w:val="6FF00D9D"/>
    <w:rsid w:val="6FF139BD"/>
    <w:rsid w:val="6FF87498"/>
    <w:rsid w:val="6FF973E0"/>
    <w:rsid w:val="70033397"/>
    <w:rsid w:val="700371FD"/>
    <w:rsid w:val="70040D6A"/>
    <w:rsid w:val="700645FD"/>
    <w:rsid w:val="70073FE4"/>
    <w:rsid w:val="7010648D"/>
    <w:rsid w:val="70111FD2"/>
    <w:rsid w:val="70170FAF"/>
    <w:rsid w:val="701A3615"/>
    <w:rsid w:val="701C0D51"/>
    <w:rsid w:val="701D7023"/>
    <w:rsid w:val="701E4B81"/>
    <w:rsid w:val="70270FB5"/>
    <w:rsid w:val="70275F85"/>
    <w:rsid w:val="7029337C"/>
    <w:rsid w:val="70302C79"/>
    <w:rsid w:val="703053A4"/>
    <w:rsid w:val="70334A4D"/>
    <w:rsid w:val="7034599D"/>
    <w:rsid w:val="7038628B"/>
    <w:rsid w:val="703C08C7"/>
    <w:rsid w:val="703D5758"/>
    <w:rsid w:val="704C48F4"/>
    <w:rsid w:val="704C67B8"/>
    <w:rsid w:val="704C6F96"/>
    <w:rsid w:val="706671F5"/>
    <w:rsid w:val="70670625"/>
    <w:rsid w:val="706B2718"/>
    <w:rsid w:val="706D16A4"/>
    <w:rsid w:val="706E2DE1"/>
    <w:rsid w:val="707F58E5"/>
    <w:rsid w:val="708321BD"/>
    <w:rsid w:val="70845DE4"/>
    <w:rsid w:val="70874FE1"/>
    <w:rsid w:val="708F1C95"/>
    <w:rsid w:val="70902C23"/>
    <w:rsid w:val="709330DF"/>
    <w:rsid w:val="70944AF4"/>
    <w:rsid w:val="70973BAC"/>
    <w:rsid w:val="7098424D"/>
    <w:rsid w:val="70A11AEC"/>
    <w:rsid w:val="70B052A0"/>
    <w:rsid w:val="70B52A63"/>
    <w:rsid w:val="70B948AB"/>
    <w:rsid w:val="70C13C77"/>
    <w:rsid w:val="70C82EEA"/>
    <w:rsid w:val="70CC5906"/>
    <w:rsid w:val="70D06AE6"/>
    <w:rsid w:val="70E102B5"/>
    <w:rsid w:val="70E66F80"/>
    <w:rsid w:val="70E76B23"/>
    <w:rsid w:val="70E851FA"/>
    <w:rsid w:val="70EC0D86"/>
    <w:rsid w:val="70F340D9"/>
    <w:rsid w:val="70F41192"/>
    <w:rsid w:val="70F47071"/>
    <w:rsid w:val="70F96187"/>
    <w:rsid w:val="71124BC1"/>
    <w:rsid w:val="71147F96"/>
    <w:rsid w:val="711643F1"/>
    <w:rsid w:val="711D2CC4"/>
    <w:rsid w:val="71230039"/>
    <w:rsid w:val="71242D4C"/>
    <w:rsid w:val="712C1F7A"/>
    <w:rsid w:val="71307D6C"/>
    <w:rsid w:val="713261AD"/>
    <w:rsid w:val="713D3A13"/>
    <w:rsid w:val="7150452D"/>
    <w:rsid w:val="71547BBD"/>
    <w:rsid w:val="71597668"/>
    <w:rsid w:val="715B155E"/>
    <w:rsid w:val="715B1A1D"/>
    <w:rsid w:val="71623C9D"/>
    <w:rsid w:val="71627C1F"/>
    <w:rsid w:val="716A4FDE"/>
    <w:rsid w:val="716B03AA"/>
    <w:rsid w:val="716F5EEA"/>
    <w:rsid w:val="71700A02"/>
    <w:rsid w:val="717148E8"/>
    <w:rsid w:val="7175326B"/>
    <w:rsid w:val="7175459A"/>
    <w:rsid w:val="71764903"/>
    <w:rsid w:val="718228D2"/>
    <w:rsid w:val="71855C20"/>
    <w:rsid w:val="71865ED9"/>
    <w:rsid w:val="71900DB4"/>
    <w:rsid w:val="71904925"/>
    <w:rsid w:val="7194632B"/>
    <w:rsid w:val="719A6E3D"/>
    <w:rsid w:val="719B059D"/>
    <w:rsid w:val="719C5D4C"/>
    <w:rsid w:val="71A0520A"/>
    <w:rsid w:val="71A33761"/>
    <w:rsid w:val="71AF54F8"/>
    <w:rsid w:val="71B644B5"/>
    <w:rsid w:val="71BD0AC2"/>
    <w:rsid w:val="71BE4EFC"/>
    <w:rsid w:val="71C15AD2"/>
    <w:rsid w:val="71C94AED"/>
    <w:rsid w:val="71CA2042"/>
    <w:rsid w:val="71CC112A"/>
    <w:rsid w:val="71D21CE8"/>
    <w:rsid w:val="71D32462"/>
    <w:rsid w:val="71D51D1A"/>
    <w:rsid w:val="71D51D95"/>
    <w:rsid w:val="71D87FBB"/>
    <w:rsid w:val="71DC68B5"/>
    <w:rsid w:val="71E559E8"/>
    <w:rsid w:val="71ED024C"/>
    <w:rsid w:val="71F93535"/>
    <w:rsid w:val="71FD47BB"/>
    <w:rsid w:val="71FE3456"/>
    <w:rsid w:val="720A3722"/>
    <w:rsid w:val="720C6B86"/>
    <w:rsid w:val="720F5F2E"/>
    <w:rsid w:val="72103178"/>
    <w:rsid w:val="721174C5"/>
    <w:rsid w:val="72162E6C"/>
    <w:rsid w:val="72190BAF"/>
    <w:rsid w:val="72237AF2"/>
    <w:rsid w:val="72241EA9"/>
    <w:rsid w:val="7224763A"/>
    <w:rsid w:val="722737E1"/>
    <w:rsid w:val="722E6162"/>
    <w:rsid w:val="72360F53"/>
    <w:rsid w:val="723773E0"/>
    <w:rsid w:val="723D1B77"/>
    <w:rsid w:val="72401B2B"/>
    <w:rsid w:val="72425BE8"/>
    <w:rsid w:val="7243679A"/>
    <w:rsid w:val="72462C5C"/>
    <w:rsid w:val="72482186"/>
    <w:rsid w:val="72492311"/>
    <w:rsid w:val="724F6D45"/>
    <w:rsid w:val="72551D3D"/>
    <w:rsid w:val="725D3A89"/>
    <w:rsid w:val="725F2B68"/>
    <w:rsid w:val="72640661"/>
    <w:rsid w:val="726646DA"/>
    <w:rsid w:val="72671673"/>
    <w:rsid w:val="726811A1"/>
    <w:rsid w:val="726F27C5"/>
    <w:rsid w:val="726F2D51"/>
    <w:rsid w:val="72713CF5"/>
    <w:rsid w:val="727261CA"/>
    <w:rsid w:val="72744EB0"/>
    <w:rsid w:val="727B2487"/>
    <w:rsid w:val="727E1038"/>
    <w:rsid w:val="72881DDD"/>
    <w:rsid w:val="728C7095"/>
    <w:rsid w:val="72A52463"/>
    <w:rsid w:val="72AA4A27"/>
    <w:rsid w:val="72AF1F69"/>
    <w:rsid w:val="72B6481C"/>
    <w:rsid w:val="72BA02B0"/>
    <w:rsid w:val="72BF26BB"/>
    <w:rsid w:val="72C946EC"/>
    <w:rsid w:val="72CA7668"/>
    <w:rsid w:val="72CB0B88"/>
    <w:rsid w:val="72D75BB2"/>
    <w:rsid w:val="72D90CED"/>
    <w:rsid w:val="72E117C4"/>
    <w:rsid w:val="72E51F5D"/>
    <w:rsid w:val="72EE7FCB"/>
    <w:rsid w:val="72F068F0"/>
    <w:rsid w:val="72F07CAD"/>
    <w:rsid w:val="72F16BDE"/>
    <w:rsid w:val="72F23351"/>
    <w:rsid w:val="72F712C2"/>
    <w:rsid w:val="72F92020"/>
    <w:rsid w:val="72FB4A21"/>
    <w:rsid w:val="72FD204A"/>
    <w:rsid w:val="72FF14CB"/>
    <w:rsid w:val="72FF1998"/>
    <w:rsid w:val="730074A7"/>
    <w:rsid w:val="730158FA"/>
    <w:rsid w:val="730779F7"/>
    <w:rsid w:val="73087125"/>
    <w:rsid w:val="730D0CE9"/>
    <w:rsid w:val="73152333"/>
    <w:rsid w:val="731545C1"/>
    <w:rsid w:val="731578D4"/>
    <w:rsid w:val="731E09E9"/>
    <w:rsid w:val="7324483F"/>
    <w:rsid w:val="732B4131"/>
    <w:rsid w:val="732D760E"/>
    <w:rsid w:val="733548D8"/>
    <w:rsid w:val="73377560"/>
    <w:rsid w:val="733F6A81"/>
    <w:rsid w:val="73457583"/>
    <w:rsid w:val="734F6887"/>
    <w:rsid w:val="735355CE"/>
    <w:rsid w:val="73565B5C"/>
    <w:rsid w:val="7361701C"/>
    <w:rsid w:val="73653373"/>
    <w:rsid w:val="73681B47"/>
    <w:rsid w:val="73691E41"/>
    <w:rsid w:val="73695F2B"/>
    <w:rsid w:val="736A3E45"/>
    <w:rsid w:val="736B6B41"/>
    <w:rsid w:val="736E63A4"/>
    <w:rsid w:val="73723A9C"/>
    <w:rsid w:val="73727B82"/>
    <w:rsid w:val="73762F9B"/>
    <w:rsid w:val="737E2B1C"/>
    <w:rsid w:val="7381488C"/>
    <w:rsid w:val="73842FF3"/>
    <w:rsid w:val="738517D6"/>
    <w:rsid w:val="7388702B"/>
    <w:rsid w:val="738A23EC"/>
    <w:rsid w:val="7396122F"/>
    <w:rsid w:val="739767D1"/>
    <w:rsid w:val="73A82C88"/>
    <w:rsid w:val="73AB19C3"/>
    <w:rsid w:val="73AD01A7"/>
    <w:rsid w:val="73AF13C0"/>
    <w:rsid w:val="73B90180"/>
    <w:rsid w:val="73BC0D1E"/>
    <w:rsid w:val="73C83168"/>
    <w:rsid w:val="73CA6B28"/>
    <w:rsid w:val="73CD1554"/>
    <w:rsid w:val="73D716EC"/>
    <w:rsid w:val="73DA30F2"/>
    <w:rsid w:val="73DC20B8"/>
    <w:rsid w:val="73EC6E66"/>
    <w:rsid w:val="73ED3F69"/>
    <w:rsid w:val="73EE2C4F"/>
    <w:rsid w:val="73EF197D"/>
    <w:rsid w:val="73F22FAC"/>
    <w:rsid w:val="73FD6145"/>
    <w:rsid w:val="73FE1DC0"/>
    <w:rsid w:val="73FE7D29"/>
    <w:rsid w:val="740E53D7"/>
    <w:rsid w:val="7410266F"/>
    <w:rsid w:val="7417739F"/>
    <w:rsid w:val="741A057B"/>
    <w:rsid w:val="74234DEF"/>
    <w:rsid w:val="742B33E1"/>
    <w:rsid w:val="742D192A"/>
    <w:rsid w:val="742D3653"/>
    <w:rsid w:val="743555F8"/>
    <w:rsid w:val="743C1389"/>
    <w:rsid w:val="743E68DE"/>
    <w:rsid w:val="74405421"/>
    <w:rsid w:val="744510B9"/>
    <w:rsid w:val="74485812"/>
    <w:rsid w:val="74487902"/>
    <w:rsid w:val="744E754A"/>
    <w:rsid w:val="74547A63"/>
    <w:rsid w:val="74547CC1"/>
    <w:rsid w:val="745513C6"/>
    <w:rsid w:val="74581C59"/>
    <w:rsid w:val="74605B8D"/>
    <w:rsid w:val="74627D5E"/>
    <w:rsid w:val="74632F54"/>
    <w:rsid w:val="747527F5"/>
    <w:rsid w:val="74785588"/>
    <w:rsid w:val="747B0872"/>
    <w:rsid w:val="747D2F54"/>
    <w:rsid w:val="7481290C"/>
    <w:rsid w:val="74864485"/>
    <w:rsid w:val="748B3A7F"/>
    <w:rsid w:val="74907FE7"/>
    <w:rsid w:val="74936E85"/>
    <w:rsid w:val="74950043"/>
    <w:rsid w:val="74951A98"/>
    <w:rsid w:val="7495597C"/>
    <w:rsid w:val="74A13258"/>
    <w:rsid w:val="74A6572F"/>
    <w:rsid w:val="74AA12EB"/>
    <w:rsid w:val="74AB7E03"/>
    <w:rsid w:val="74B30756"/>
    <w:rsid w:val="74B70341"/>
    <w:rsid w:val="74C25ECF"/>
    <w:rsid w:val="74C670E0"/>
    <w:rsid w:val="74D35D26"/>
    <w:rsid w:val="74D74AAC"/>
    <w:rsid w:val="74D8263E"/>
    <w:rsid w:val="74DE61A4"/>
    <w:rsid w:val="74EA0645"/>
    <w:rsid w:val="74EF41C4"/>
    <w:rsid w:val="74F01D6A"/>
    <w:rsid w:val="74F25F46"/>
    <w:rsid w:val="74F67BBC"/>
    <w:rsid w:val="74F87F12"/>
    <w:rsid w:val="75025C3C"/>
    <w:rsid w:val="750308B9"/>
    <w:rsid w:val="7508430F"/>
    <w:rsid w:val="750956FD"/>
    <w:rsid w:val="750A48D7"/>
    <w:rsid w:val="75110224"/>
    <w:rsid w:val="75164241"/>
    <w:rsid w:val="751A5524"/>
    <w:rsid w:val="751C18FA"/>
    <w:rsid w:val="752003AA"/>
    <w:rsid w:val="7521463A"/>
    <w:rsid w:val="75294222"/>
    <w:rsid w:val="75317494"/>
    <w:rsid w:val="75332FC7"/>
    <w:rsid w:val="75340414"/>
    <w:rsid w:val="7539603D"/>
    <w:rsid w:val="753D2767"/>
    <w:rsid w:val="75432881"/>
    <w:rsid w:val="75440CB5"/>
    <w:rsid w:val="75455F9D"/>
    <w:rsid w:val="7550267C"/>
    <w:rsid w:val="75527C6A"/>
    <w:rsid w:val="75581F51"/>
    <w:rsid w:val="75647A29"/>
    <w:rsid w:val="75674562"/>
    <w:rsid w:val="756B57E7"/>
    <w:rsid w:val="75776826"/>
    <w:rsid w:val="75784C2C"/>
    <w:rsid w:val="757D420E"/>
    <w:rsid w:val="75916F9A"/>
    <w:rsid w:val="75920FDE"/>
    <w:rsid w:val="759A4DA5"/>
    <w:rsid w:val="759A5FB7"/>
    <w:rsid w:val="759B3ED7"/>
    <w:rsid w:val="75A11A27"/>
    <w:rsid w:val="75A45B2F"/>
    <w:rsid w:val="75A744C5"/>
    <w:rsid w:val="75AA3440"/>
    <w:rsid w:val="75B419B6"/>
    <w:rsid w:val="75B46ABC"/>
    <w:rsid w:val="75B67BC1"/>
    <w:rsid w:val="75B7112B"/>
    <w:rsid w:val="75B72278"/>
    <w:rsid w:val="75B77378"/>
    <w:rsid w:val="75B97938"/>
    <w:rsid w:val="75BB43F2"/>
    <w:rsid w:val="75BC05FC"/>
    <w:rsid w:val="75BE1E0A"/>
    <w:rsid w:val="75C07405"/>
    <w:rsid w:val="75C478AA"/>
    <w:rsid w:val="75C62E8E"/>
    <w:rsid w:val="75C92157"/>
    <w:rsid w:val="75D13F0B"/>
    <w:rsid w:val="75D906A8"/>
    <w:rsid w:val="75DE2E31"/>
    <w:rsid w:val="75E07C20"/>
    <w:rsid w:val="75E73DA2"/>
    <w:rsid w:val="75E74749"/>
    <w:rsid w:val="75E7780C"/>
    <w:rsid w:val="75EA3C3A"/>
    <w:rsid w:val="75F07127"/>
    <w:rsid w:val="75F23E97"/>
    <w:rsid w:val="76024DF9"/>
    <w:rsid w:val="760641A9"/>
    <w:rsid w:val="760651D6"/>
    <w:rsid w:val="761043B1"/>
    <w:rsid w:val="76130C61"/>
    <w:rsid w:val="762360B4"/>
    <w:rsid w:val="762652CD"/>
    <w:rsid w:val="76304F88"/>
    <w:rsid w:val="76312B52"/>
    <w:rsid w:val="763642E7"/>
    <w:rsid w:val="763924EA"/>
    <w:rsid w:val="764C5AA0"/>
    <w:rsid w:val="764C6831"/>
    <w:rsid w:val="765726F8"/>
    <w:rsid w:val="765A276F"/>
    <w:rsid w:val="766612AE"/>
    <w:rsid w:val="76693888"/>
    <w:rsid w:val="766B0480"/>
    <w:rsid w:val="766F105B"/>
    <w:rsid w:val="766F5561"/>
    <w:rsid w:val="76700695"/>
    <w:rsid w:val="767162CE"/>
    <w:rsid w:val="76792697"/>
    <w:rsid w:val="767A3717"/>
    <w:rsid w:val="767B190E"/>
    <w:rsid w:val="767E09D3"/>
    <w:rsid w:val="767E6D53"/>
    <w:rsid w:val="767F6C32"/>
    <w:rsid w:val="76815947"/>
    <w:rsid w:val="76836F85"/>
    <w:rsid w:val="76850190"/>
    <w:rsid w:val="768D614A"/>
    <w:rsid w:val="769145C0"/>
    <w:rsid w:val="76992B8D"/>
    <w:rsid w:val="769B1466"/>
    <w:rsid w:val="769C2DCB"/>
    <w:rsid w:val="769C57F3"/>
    <w:rsid w:val="76A337A0"/>
    <w:rsid w:val="76A57247"/>
    <w:rsid w:val="76A72DDC"/>
    <w:rsid w:val="76A8688E"/>
    <w:rsid w:val="76AE1653"/>
    <w:rsid w:val="76B8156D"/>
    <w:rsid w:val="76B842FF"/>
    <w:rsid w:val="76B954B2"/>
    <w:rsid w:val="76BE699B"/>
    <w:rsid w:val="76BF593C"/>
    <w:rsid w:val="76C30976"/>
    <w:rsid w:val="76C423DE"/>
    <w:rsid w:val="76C5382F"/>
    <w:rsid w:val="76C96F16"/>
    <w:rsid w:val="76CE15A0"/>
    <w:rsid w:val="76D70418"/>
    <w:rsid w:val="76D72564"/>
    <w:rsid w:val="76DD759C"/>
    <w:rsid w:val="76E27E82"/>
    <w:rsid w:val="76E819F1"/>
    <w:rsid w:val="76E8258F"/>
    <w:rsid w:val="76ED03A2"/>
    <w:rsid w:val="76F94D7B"/>
    <w:rsid w:val="76FC469D"/>
    <w:rsid w:val="76FD3994"/>
    <w:rsid w:val="770333EE"/>
    <w:rsid w:val="77061AB3"/>
    <w:rsid w:val="770677A1"/>
    <w:rsid w:val="77085978"/>
    <w:rsid w:val="770A0B11"/>
    <w:rsid w:val="770A2D50"/>
    <w:rsid w:val="77102AF2"/>
    <w:rsid w:val="77194952"/>
    <w:rsid w:val="772061B7"/>
    <w:rsid w:val="77207A51"/>
    <w:rsid w:val="77214A4F"/>
    <w:rsid w:val="772308F0"/>
    <w:rsid w:val="77266D2D"/>
    <w:rsid w:val="772A76EC"/>
    <w:rsid w:val="773235F4"/>
    <w:rsid w:val="77353D02"/>
    <w:rsid w:val="77423CB2"/>
    <w:rsid w:val="774730AE"/>
    <w:rsid w:val="77477292"/>
    <w:rsid w:val="77477B39"/>
    <w:rsid w:val="776765F8"/>
    <w:rsid w:val="776900B3"/>
    <w:rsid w:val="77704046"/>
    <w:rsid w:val="777470D5"/>
    <w:rsid w:val="77764476"/>
    <w:rsid w:val="777C6195"/>
    <w:rsid w:val="777E2CD7"/>
    <w:rsid w:val="77854F22"/>
    <w:rsid w:val="778937BE"/>
    <w:rsid w:val="778B0B39"/>
    <w:rsid w:val="779242BC"/>
    <w:rsid w:val="77925D09"/>
    <w:rsid w:val="77976C5E"/>
    <w:rsid w:val="77987937"/>
    <w:rsid w:val="779E245E"/>
    <w:rsid w:val="77A10467"/>
    <w:rsid w:val="77A44FF7"/>
    <w:rsid w:val="77A61D74"/>
    <w:rsid w:val="77B21253"/>
    <w:rsid w:val="77BA36CE"/>
    <w:rsid w:val="77C41493"/>
    <w:rsid w:val="77C877A4"/>
    <w:rsid w:val="77CC0661"/>
    <w:rsid w:val="77D811E0"/>
    <w:rsid w:val="77D925F2"/>
    <w:rsid w:val="77E1492B"/>
    <w:rsid w:val="77E50B36"/>
    <w:rsid w:val="77E73196"/>
    <w:rsid w:val="77E96936"/>
    <w:rsid w:val="77F352E5"/>
    <w:rsid w:val="77F60CA5"/>
    <w:rsid w:val="77FA64F0"/>
    <w:rsid w:val="77FC30C9"/>
    <w:rsid w:val="7804257F"/>
    <w:rsid w:val="780D2802"/>
    <w:rsid w:val="78150F07"/>
    <w:rsid w:val="78165D77"/>
    <w:rsid w:val="781957B8"/>
    <w:rsid w:val="7820399D"/>
    <w:rsid w:val="78215203"/>
    <w:rsid w:val="782A69ED"/>
    <w:rsid w:val="78306263"/>
    <w:rsid w:val="78342321"/>
    <w:rsid w:val="78361CB9"/>
    <w:rsid w:val="783F1171"/>
    <w:rsid w:val="784045EB"/>
    <w:rsid w:val="78413283"/>
    <w:rsid w:val="78424AF9"/>
    <w:rsid w:val="7842651D"/>
    <w:rsid w:val="78426EDB"/>
    <w:rsid w:val="784D4C13"/>
    <w:rsid w:val="784E14D3"/>
    <w:rsid w:val="78500B60"/>
    <w:rsid w:val="78524F9F"/>
    <w:rsid w:val="7855400C"/>
    <w:rsid w:val="785619A8"/>
    <w:rsid w:val="785658D3"/>
    <w:rsid w:val="785A53F4"/>
    <w:rsid w:val="786D27E8"/>
    <w:rsid w:val="786F0F55"/>
    <w:rsid w:val="786F3DE1"/>
    <w:rsid w:val="78741147"/>
    <w:rsid w:val="78792256"/>
    <w:rsid w:val="787F3AFB"/>
    <w:rsid w:val="7882260A"/>
    <w:rsid w:val="78882413"/>
    <w:rsid w:val="78913DE2"/>
    <w:rsid w:val="78965490"/>
    <w:rsid w:val="78992F7E"/>
    <w:rsid w:val="789C66AA"/>
    <w:rsid w:val="78A235D4"/>
    <w:rsid w:val="78AE1980"/>
    <w:rsid w:val="78BA2233"/>
    <w:rsid w:val="78BC5B13"/>
    <w:rsid w:val="78BE0AE7"/>
    <w:rsid w:val="78C07F99"/>
    <w:rsid w:val="78C264D6"/>
    <w:rsid w:val="78C942C6"/>
    <w:rsid w:val="78CA5C2B"/>
    <w:rsid w:val="78CB10A1"/>
    <w:rsid w:val="78D348B3"/>
    <w:rsid w:val="78DE6305"/>
    <w:rsid w:val="78E14C60"/>
    <w:rsid w:val="78E25290"/>
    <w:rsid w:val="78EB613C"/>
    <w:rsid w:val="78F02DB9"/>
    <w:rsid w:val="78F1598C"/>
    <w:rsid w:val="78F42C66"/>
    <w:rsid w:val="78F57B39"/>
    <w:rsid w:val="78F85EF1"/>
    <w:rsid w:val="78FA64A5"/>
    <w:rsid w:val="78FE7148"/>
    <w:rsid w:val="79013E4C"/>
    <w:rsid w:val="79047C06"/>
    <w:rsid w:val="79093F10"/>
    <w:rsid w:val="790A5BD1"/>
    <w:rsid w:val="790B5F3E"/>
    <w:rsid w:val="7910507C"/>
    <w:rsid w:val="79142CFD"/>
    <w:rsid w:val="79165553"/>
    <w:rsid w:val="791961B7"/>
    <w:rsid w:val="79247A83"/>
    <w:rsid w:val="792874DF"/>
    <w:rsid w:val="7931289E"/>
    <w:rsid w:val="79323E60"/>
    <w:rsid w:val="793261B8"/>
    <w:rsid w:val="79350143"/>
    <w:rsid w:val="7936597D"/>
    <w:rsid w:val="793C500C"/>
    <w:rsid w:val="79432252"/>
    <w:rsid w:val="794F0D65"/>
    <w:rsid w:val="794F2D46"/>
    <w:rsid w:val="795335E0"/>
    <w:rsid w:val="7954539C"/>
    <w:rsid w:val="79561F3E"/>
    <w:rsid w:val="795A6F26"/>
    <w:rsid w:val="795E716B"/>
    <w:rsid w:val="79635AAB"/>
    <w:rsid w:val="796371F0"/>
    <w:rsid w:val="79677604"/>
    <w:rsid w:val="796A76A2"/>
    <w:rsid w:val="796D0A50"/>
    <w:rsid w:val="79722009"/>
    <w:rsid w:val="79735F72"/>
    <w:rsid w:val="79745FE6"/>
    <w:rsid w:val="797710C2"/>
    <w:rsid w:val="797F1212"/>
    <w:rsid w:val="797F52F4"/>
    <w:rsid w:val="79885F34"/>
    <w:rsid w:val="799308C6"/>
    <w:rsid w:val="799A7A08"/>
    <w:rsid w:val="79A13760"/>
    <w:rsid w:val="79AC63D3"/>
    <w:rsid w:val="79B231AF"/>
    <w:rsid w:val="79B27CF5"/>
    <w:rsid w:val="79B51C2B"/>
    <w:rsid w:val="79BA4E3F"/>
    <w:rsid w:val="79BF0FAF"/>
    <w:rsid w:val="79C530AB"/>
    <w:rsid w:val="79CE1CCA"/>
    <w:rsid w:val="79CE6BFB"/>
    <w:rsid w:val="79D65EE7"/>
    <w:rsid w:val="79E75DE0"/>
    <w:rsid w:val="79EB4D24"/>
    <w:rsid w:val="79EC7DF3"/>
    <w:rsid w:val="79EF27D9"/>
    <w:rsid w:val="79EF3075"/>
    <w:rsid w:val="79F01A13"/>
    <w:rsid w:val="7A046E89"/>
    <w:rsid w:val="7A093AE9"/>
    <w:rsid w:val="7A0D16CE"/>
    <w:rsid w:val="7A1C23C8"/>
    <w:rsid w:val="7A231F5B"/>
    <w:rsid w:val="7A273880"/>
    <w:rsid w:val="7A2D22D9"/>
    <w:rsid w:val="7A3A19C7"/>
    <w:rsid w:val="7A3A5B7A"/>
    <w:rsid w:val="7A3C5267"/>
    <w:rsid w:val="7A3E5F13"/>
    <w:rsid w:val="7A4B4300"/>
    <w:rsid w:val="7A4F2534"/>
    <w:rsid w:val="7A59743D"/>
    <w:rsid w:val="7A5C20C7"/>
    <w:rsid w:val="7A5D7EAB"/>
    <w:rsid w:val="7A5E4C5B"/>
    <w:rsid w:val="7A600A29"/>
    <w:rsid w:val="7A6306DC"/>
    <w:rsid w:val="7A731333"/>
    <w:rsid w:val="7A772F4D"/>
    <w:rsid w:val="7A7A6603"/>
    <w:rsid w:val="7A7B1F11"/>
    <w:rsid w:val="7A7D7413"/>
    <w:rsid w:val="7A7F313A"/>
    <w:rsid w:val="7A895966"/>
    <w:rsid w:val="7A8D1779"/>
    <w:rsid w:val="7A944EF5"/>
    <w:rsid w:val="7AA0118B"/>
    <w:rsid w:val="7AA9039C"/>
    <w:rsid w:val="7AAC1778"/>
    <w:rsid w:val="7AAC2F8D"/>
    <w:rsid w:val="7AB059DB"/>
    <w:rsid w:val="7AB40249"/>
    <w:rsid w:val="7AB4283D"/>
    <w:rsid w:val="7AB53305"/>
    <w:rsid w:val="7AB82C6B"/>
    <w:rsid w:val="7AB95251"/>
    <w:rsid w:val="7ABF04CC"/>
    <w:rsid w:val="7AC03394"/>
    <w:rsid w:val="7AC05C41"/>
    <w:rsid w:val="7AC4023C"/>
    <w:rsid w:val="7AC668D7"/>
    <w:rsid w:val="7AD3117F"/>
    <w:rsid w:val="7AD820B1"/>
    <w:rsid w:val="7ADA43F1"/>
    <w:rsid w:val="7ADC1681"/>
    <w:rsid w:val="7AE6777C"/>
    <w:rsid w:val="7AEA18FA"/>
    <w:rsid w:val="7AEB3737"/>
    <w:rsid w:val="7AFC210C"/>
    <w:rsid w:val="7B007080"/>
    <w:rsid w:val="7B025CE4"/>
    <w:rsid w:val="7B0446EF"/>
    <w:rsid w:val="7B074C1D"/>
    <w:rsid w:val="7B0A6FB7"/>
    <w:rsid w:val="7B106053"/>
    <w:rsid w:val="7B10780F"/>
    <w:rsid w:val="7B124D96"/>
    <w:rsid w:val="7B154C3C"/>
    <w:rsid w:val="7B1D3807"/>
    <w:rsid w:val="7B286DF9"/>
    <w:rsid w:val="7B2C4121"/>
    <w:rsid w:val="7B2C64B3"/>
    <w:rsid w:val="7B2E57A7"/>
    <w:rsid w:val="7B30309E"/>
    <w:rsid w:val="7B32670A"/>
    <w:rsid w:val="7B3F02DA"/>
    <w:rsid w:val="7B471964"/>
    <w:rsid w:val="7B4C220D"/>
    <w:rsid w:val="7B4D18EC"/>
    <w:rsid w:val="7B516ADE"/>
    <w:rsid w:val="7B5B6911"/>
    <w:rsid w:val="7B5D1A2F"/>
    <w:rsid w:val="7B6151D6"/>
    <w:rsid w:val="7B644EF6"/>
    <w:rsid w:val="7B6A70D5"/>
    <w:rsid w:val="7B6E1E0A"/>
    <w:rsid w:val="7B6F7EBF"/>
    <w:rsid w:val="7B766B3E"/>
    <w:rsid w:val="7B777873"/>
    <w:rsid w:val="7B7A0A24"/>
    <w:rsid w:val="7B8C2AD3"/>
    <w:rsid w:val="7B8C30AB"/>
    <w:rsid w:val="7B8F3801"/>
    <w:rsid w:val="7B9C10E6"/>
    <w:rsid w:val="7B9C3C93"/>
    <w:rsid w:val="7B9D0A8D"/>
    <w:rsid w:val="7BAD4152"/>
    <w:rsid w:val="7BB550C3"/>
    <w:rsid w:val="7BB72FC8"/>
    <w:rsid w:val="7BBC3425"/>
    <w:rsid w:val="7BC22E6D"/>
    <w:rsid w:val="7BC2458A"/>
    <w:rsid w:val="7BC517E5"/>
    <w:rsid w:val="7BC73A45"/>
    <w:rsid w:val="7BCF05B5"/>
    <w:rsid w:val="7BD64022"/>
    <w:rsid w:val="7BDE0809"/>
    <w:rsid w:val="7BE712D9"/>
    <w:rsid w:val="7BE736ED"/>
    <w:rsid w:val="7BF46ECB"/>
    <w:rsid w:val="7BF93E92"/>
    <w:rsid w:val="7C09711A"/>
    <w:rsid w:val="7C11425A"/>
    <w:rsid w:val="7C124FC4"/>
    <w:rsid w:val="7C143521"/>
    <w:rsid w:val="7C155FF4"/>
    <w:rsid w:val="7C1A1728"/>
    <w:rsid w:val="7C1D4DB6"/>
    <w:rsid w:val="7C213AB3"/>
    <w:rsid w:val="7C222819"/>
    <w:rsid w:val="7C26045E"/>
    <w:rsid w:val="7C2856AF"/>
    <w:rsid w:val="7C2C00D5"/>
    <w:rsid w:val="7C344FCC"/>
    <w:rsid w:val="7C356FAB"/>
    <w:rsid w:val="7C36048C"/>
    <w:rsid w:val="7C364FAA"/>
    <w:rsid w:val="7C4667FD"/>
    <w:rsid w:val="7C4841EE"/>
    <w:rsid w:val="7C4A0222"/>
    <w:rsid w:val="7C4B6AD5"/>
    <w:rsid w:val="7C502A4A"/>
    <w:rsid w:val="7C526900"/>
    <w:rsid w:val="7C55564F"/>
    <w:rsid w:val="7C5A6D9A"/>
    <w:rsid w:val="7C5F3AEA"/>
    <w:rsid w:val="7C60301D"/>
    <w:rsid w:val="7C606BC1"/>
    <w:rsid w:val="7C692DAE"/>
    <w:rsid w:val="7C6A2A3F"/>
    <w:rsid w:val="7C6D1229"/>
    <w:rsid w:val="7C7B6B17"/>
    <w:rsid w:val="7C843DB5"/>
    <w:rsid w:val="7C852C78"/>
    <w:rsid w:val="7C8F116C"/>
    <w:rsid w:val="7C8F280F"/>
    <w:rsid w:val="7C930E85"/>
    <w:rsid w:val="7C9806D3"/>
    <w:rsid w:val="7C9B3CDB"/>
    <w:rsid w:val="7C9D705B"/>
    <w:rsid w:val="7CA315B5"/>
    <w:rsid w:val="7CA3216E"/>
    <w:rsid w:val="7CA75BC9"/>
    <w:rsid w:val="7CAC5150"/>
    <w:rsid w:val="7CAC5A9E"/>
    <w:rsid w:val="7CAE639B"/>
    <w:rsid w:val="7CB151E2"/>
    <w:rsid w:val="7CB54D37"/>
    <w:rsid w:val="7CB73EED"/>
    <w:rsid w:val="7CB91BCA"/>
    <w:rsid w:val="7CBA4B21"/>
    <w:rsid w:val="7CBE1D4D"/>
    <w:rsid w:val="7CBE2000"/>
    <w:rsid w:val="7CBF597C"/>
    <w:rsid w:val="7CBF7019"/>
    <w:rsid w:val="7CC535E7"/>
    <w:rsid w:val="7CC70842"/>
    <w:rsid w:val="7CC72B6B"/>
    <w:rsid w:val="7CCA5351"/>
    <w:rsid w:val="7CD1174E"/>
    <w:rsid w:val="7CD3116D"/>
    <w:rsid w:val="7CD76D58"/>
    <w:rsid w:val="7CDA1638"/>
    <w:rsid w:val="7CE2239A"/>
    <w:rsid w:val="7CE55ADC"/>
    <w:rsid w:val="7CE57EE1"/>
    <w:rsid w:val="7CEA59A9"/>
    <w:rsid w:val="7CEC480A"/>
    <w:rsid w:val="7CED34FD"/>
    <w:rsid w:val="7CEE1879"/>
    <w:rsid w:val="7CF5336E"/>
    <w:rsid w:val="7CFA69F4"/>
    <w:rsid w:val="7CFD0F7C"/>
    <w:rsid w:val="7D0213AC"/>
    <w:rsid w:val="7D0B5909"/>
    <w:rsid w:val="7D0E73A5"/>
    <w:rsid w:val="7D156A3E"/>
    <w:rsid w:val="7D1639E3"/>
    <w:rsid w:val="7D191EFA"/>
    <w:rsid w:val="7D193478"/>
    <w:rsid w:val="7D1A157F"/>
    <w:rsid w:val="7D21390C"/>
    <w:rsid w:val="7D344DF2"/>
    <w:rsid w:val="7D356026"/>
    <w:rsid w:val="7D367AA0"/>
    <w:rsid w:val="7D39119A"/>
    <w:rsid w:val="7D391C69"/>
    <w:rsid w:val="7D3E44D4"/>
    <w:rsid w:val="7D4323B6"/>
    <w:rsid w:val="7D4A6D01"/>
    <w:rsid w:val="7D4E6179"/>
    <w:rsid w:val="7D576E92"/>
    <w:rsid w:val="7D6775A8"/>
    <w:rsid w:val="7D6974D0"/>
    <w:rsid w:val="7D6C471B"/>
    <w:rsid w:val="7D701074"/>
    <w:rsid w:val="7D705CF6"/>
    <w:rsid w:val="7D706737"/>
    <w:rsid w:val="7D7139C2"/>
    <w:rsid w:val="7D78250C"/>
    <w:rsid w:val="7D793ABB"/>
    <w:rsid w:val="7D7B6042"/>
    <w:rsid w:val="7D7D1877"/>
    <w:rsid w:val="7D821011"/>
    <w:rsid w:val="7D835128"/>
    <w:rsid w:val="7D8357A1"/>
    <w:rsid w:val="7D841F68"/>
    <w:rsid w:val="7D87086C"/>
    <w:rsid w:val="7D885B2A"/>
    <w:rsid w:val="7D8D61E4"/>
    <w:rsid w:val="7D8D649A"/>
    <w:rsid w:val="7D937F76"/>
    <w:rsid w:val="7D9B49FC"/>
    <w:rsid w:val="7D9F2193"/>
    <w:rsid w:val="7D9F49FF"/>
    <w:rsid w:val="7DB93051"/>
    <w:rsid w:val="7DC63107"/>
    <w:rsid w:val="7DC95C56"/>
    <w:rsid w:val="7DCA5A8A"/>
    <w:rsid w:val="7DD024AE"/>
    <w:rsid w:val="7DD12B13"/>
    <w:rsid w:val="7DDB6FD9"/>
    <w:rsid w:val="7DDD53C0"/>
    <w:rsid w:val="7DDF27AC"/>
    <w:rsid w:val="7DE22609"/>
    <w:rsid w:val="7DE23675"/>
    <w:rsid w:val="7DE35B49"/>
    <w:rsid w:val="7DEA3C0F"/>
    <w:rsid w:val="7DF10FD8"/>
    <w:rsid w:val="7DF118FB"/>
    <w:rsid w:val="7DF17D0E"/>
    <w:rsid w:val="7DF24F1B"/>
    <w:rsid w:val="7DF331FB"/>
    <w:rsid w:val="7DF56C5D"/>
    <w:rsid w:val="7DF95A8F"/>
    <w:rsid w:val="7DFC7157"/>
    <w:rsid w:val="7E01129A"/>
    <w:rsid w:val="7E021579"/>
    <w:rsid w:val="7E170260"/>
    <w:rsid w:val="7E186A3F"/>
    <w:rsid w:val="7E1E27C5"/>
    <w:rsid w:val="7E220B3E"/>
    <w:rsid w:val="7E3473C1"/>
    <w:rsid w:val="7E3777ED"/>
    <w:rsid w:val="7E3B4822"/>
    <w:rsid w:val="7E404199"/>
    <w:rsid w:val="7E4A2DD2"/>
    <w:rsid w:val="7E4C1374"/>
    <w:rsid w:val="7E591FF9"/>
    <w:rsid w:val="7E59211C"/>
    <w:rsid w:val="7E5944EA"/>
    <w:rsid w:val="7E60791D"/>
    <w:rsid w:val="7E633165"/>
    <w:rsid w:val="7E651EC8"/>
    <w:rsid w:val="7E6A514E"/>
    <w:rsid w:val="7E6A5249"/>
    <w:rsid w:val="7E6A673D"/>
    <w:rsid w:val="7E6D53BD"/>
    <w:rsid w:val="7E6E53FE"/>
    <w:rsid w:val="7E73029D"/>
    <w:rsid w:val="7E764E90"/>
    <w:rsid w:val="7E7E0305"/>
    <w:rsid w:val="7E8109B5"/>
    <w:rsid w:val="7E821C17"/>
    <w:rsid w:val="7E823224"/>
    <w:rsid w:val="7E861B90"/>
    <w:rsid w:val="7E8B4A05"/>
    <w:rsid w:val="7E8F7937"/>
    <w:rsid w:val="7E9078D2"/>
    <w:rsid w:val="7E9111B4"/>
    <w:rsid w:val="7E982E11"/>
    <w:rsid w:val="7EA653D6"/>
    <w:rsid w:val="7EA86DB0"/>
    <w:rsid w:val="7EB17C58"/>
    <w:rsid w:val="7EB647C8"/>
    <w:rsid w:val="7EB937AF"/>
    <w:rsid w:val="7EBD761D"/>
    <w:rsid w:val="7EBE0B02"/>
    <w:rsid w:val="7EC4548D"/>
    <w:rsid w:val="7EC57DE0"/>
    <w:rsid w:val="7EC74C8C"/>
    <w:rsid w:val="7ECE282B"/>
    <w:rsid w:val="7ED015B2"/>
    <w:rsid w:val="7EDF66BD"/>
    <w:rsid w:val="7EEB2675"/>
    <w:rsid w:val="7EEE78D4"/>
    <w:rsid w:val="7EF5665D"/>
    <w:rsid w:val="7EFB3ED2"/>
    <w:rsid w:val="7EFE3B82"/>
    <w:rsid w:val="7F0A68EE"/>
    <w:rsid w:val="7F0C164E"/>
    <w:rsid w:val="7F163802"/>
    <w:rsid w:val="7F1A73EB"/>
    <w:rsid w:val="7F1D7E40"/>
    <w:rsid w:val="7F2606F4"/>
    <w:rsid w:val="7F276BD8"/>
    <w:rsid w:val="7F282F41"/>
    <w:rsid w:val="7F2A37E6"/>
    <w:rsid w:val="7F2F59D6"/>
    <w:rsid w:val="7F4335C0"/>
    <w:rsid w:val="7F505A0D"/>
    <w:rsid w:val="7F540770"/>
    <w:rsid w:val="7F547CCA"/>
    <w:rsid w:val="7F5B73D1"/>
    <w:rsid w:val="7F61049C"/>
    <w:rsid w:val="7F6745B0"/>
    <w:rsid w:val="7F687206"/>
    <w:rsid w:val="7F6D1A5A"/>
    <w:rsid w:val="7F6F6FC5"/>
    <w:rsid w:val="7F71467F"/>
    <w:rsid w:val="7F730D53"/>
    <w:rsid w:val="7F755BB9"/>
    <w:rsid w:val="7F7A4F32"/>
    <w:rsid w:val="7F7C6F98"/>
    <w:rsid w:val="7F7F0FC3"/>
    <w:rsid w:val="7F861C12"/>
    <w:rsid w:val="7F8A2A47"/>
    <w:rsid w:val="7F8C0C87"/>
    <w:rsid w:val="7F92023F"/>
    <w:rsid w:val="7F9674D9"/>
    <w:rsid w:val="7F97378A"/>
    <w:rsid w:val="7F9750AA"/>
    <w:rsid w:val="7F981659"/>
    <w:rsid w:val="7F9D742A"/>
    <w:rsid w:val="7F9E707F"/>
    <w:rsid w:val="7FA02E16"/>
    <w:rsid w:val="7FAF5683"/>
    <w:rsid w:val="7FB94EB1"/>
    <w:rsid w:val="7FC27F40"/>
    <w:rsid w:val="7FC41D8A"/>
    <w:rsid w:val="7FC572D8"/>
    <w:rsid w:val="7FD0384F"/>
    <w:rsid w:val="7FD72227"/>
    <w:rsid w:val="7FDA4822"/>
    <w:rsid w:val="7FE11F93"/>
    <w:rsid w:val="7FE8509E"/>
    <w:rsid w:val="7FE909BC"/>
    <w:rsid w:val="7FE94C07"/>
    <w:rsid w:val="7FEE5111"/>
    <w:rsid w:val="7FF32CE5"/>
    <w:rsid w:val="7FFE5C82"/>
    <w:rsid w:val="7FFF55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Times New Roman"/>
      <w:kern w:val="2"/>
      <w:sz w:val="21"/>
      <w:szCs w:val="24"/>
      <w:lang w:val="en-US" w:eastAsia="zh-CN" w:bidi="ar-SA"/>
    </w:rPr>
  </w:style>
  <w:style w:type="paragraph" w:styleId="2">
    <w:name w:val="heading 1"/>
    <w:basedOn w:val="1"/>
    <w:next w:val="1"/>
    <w:link w:val="74"/>
    <w:qFormat/>
    <w:uiPriority w:val="0"/>
    <w:pPr>
      <w:keepNext/>
      <w:keepLines/>
      <w:spacing w:before="340" w:after="330" w:line="576" w:lineRule="auto"/>
      <w:outlineLvl w:val="0"/>
    </w:pPr>
    <w:rPr>
      <w:rFonts w:eastAsia="宋体"/>
      <w:b/>
      <w:bCs/>
      <w:kern w:val="44"/>
      <w:sz w:val="44"/>
      <w:szCs w:val="44"/>
    </w:rPr>
  </w:style>
  <w:style w:type="paragraph" w:styleId="3">
    <w:name w:val="heading 2"/>
    <w:basedOn w:val="1"/>
    <w:next w:val="1"/>
    <w:link w:val="7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80"/>
    <w:qFormat/>
    <w:uiPriority w:val="0"/>
    <w:pPr>
      <w:keepNext/>
      <w:keepLines/>
      <w:autoSpaceDE w:val="0"/>
      <w:autoSpaceDN w:val="0"/>
      <w:adjustRightInd w:val="0"/>
      <w:spacing w:before="360" w:after="120"/>
      <w:jc w:val="left"/>
      <w:outlineLvl w:val="2"/>
    </w:pPr>
    <w:rPr>
      <w:rFonts w:ascii="宋体" w:eastAsia="宋体" w:cs="宋体"/>
      <w:b/>
      <w:sz w:val="24"/>
      <w:szCs w:val="20"/>
      <w:u w:val="single"/>
    </w:rPr>
  </w:style>
  <w:style w:type="paragraph" w:styleId="5">
    <w:name w:val="heading 4"/>
    <w:basedOn w:val="1"/>
    <w:next w:val="1"/>
    <w:link w:val="103"/>
    <w:qFormat/>
    <w:uiPriority w:val="0"/>
    <w:pPr>
      <w:pBdr>
        <w:bottom w:val="single" w:color="B8CCE4" w:sz="4" w:space="2"/>
      </w:pBdr>
      <w:spacing w:before="200" w:after="80"/>
      <w:outlineLvl w:val="3"/>
    </w:pPr>
    <w:rPr>
      <w:rFonts w:ascii="Cambria" w:hAnsi="Cambria" w:eastAsia="宋体" w:cs="宋体"/>
      <w:i/>
      <w:iCs/>
      <w:color w:val="4F81BD"/>
      <w:sz w:val="24"/>
    </w:rPr>
  </w:style>
  <w:style w:type="paragraph" w:styleId="6">
    <w:name w:val="heading 5"/>
    <w:basedOn w:val="1"/>
    <w:next w:val="1"/>
    <w:link w:val="118"/>
    <w:qFormat/>
    <w:uiPriority w:val="0"/>
    <w:pPr>
      <w:spacing w:before="200" w:after="80"/>
      <w:outlineLvl w:val="4"/>
    </w:pPr>
    <w:rPr>
      <w:rFonts w:ascii="Cambria" w:hAnsi="Cambria" w:eastAsia="宋体" w:cs="宋体"/>
      <w:color w:val="4F81BD"/>
    </w:rPr>
  </w:style>
  <w:style w:type="paragraph" w:styleId="7">
    <w:name w:val="heading 6"/>
    <w:basedOn w:val="1"/>
    <w:next w:val="1"/>
    <w:link w:val="100"/>
    <w:qFormat/>
    <w:uiPriority w:val="0"/>
    <w:pPr>
      <w:spacing w:before="280" w:after="100"/>
      <w:outlineLvl w:val="5"/>
    </w:pPr>
    <w:rPr>
      <w:rFonts w:ascii="Cambria" w:hAnsi="Cambria" w:eastAsia="宋体" w:cs="宋体"/>
      <w:i/>
      <w:iCs/>
      <w:color w:val="4F81BD"/>
    </w:rPr>
  </w:style>
  <w:style w:type="paragraph" w:styleId="8">
    <w:name w:val="heading 7"/>
    <w:basedOn w:val="1"/>
    <w:next w:val="1"/>
    <w:link w:val="110"/>
    <w:qFormat/>
    <w:uiPriority w:val="0"/>
    <w:pPr>
      <w:spacing w:before="320" w:after="100"/>
      <w:outlineLvl w:val="6"/>
    </w:pPr>
    <w:rPr>
      <w:rFonts w:ascii="Cambria" w:hAnsi="Cambria" w:eastAsia="宋体"/>
      <w:b/>
      <w:bCs/>
      <w:color w:val="9BBB59"/>
      <w:szCs w:val="20"/>
    </w:rPr>
  </w:style>
  <w:style w:type="paragraph" w:styleId="9">
    <w:name w:val="heading 8"/>
    <w:basedOn w:val="1"/>
    <w:next w:val="1"/>
    <w:link w:val="126"/>
    <w:qFormat/>
    <w:uiPriority w:val="0"/>
    <w:pPr>
      <w:spacing w:before="320" w:after="100"/>
      <w:outlineLvl w:val="7"/>
    </w:pPr>
    <w:rPr>
      <w:rFonts w:ascii="Cambria" w:hAnsi="Cambria" w:eastAsia="宋体"/>
      <w:b/>
      <w:bCs/>
      <w:i/>
      <w:iCs/>
      <w:color w:val="9BBB59"/>
      <w:szCs w:val="20"/>
    </w:rPr>
  </w:style>
  <w:style w:type="paragraph" w:styleId="10">
    <w:name w:val="heading 9"/>
    <w:basedOn w:val="1"/>
    <w:next w:val="1"/>
    <w:link w:val="90"/>
    <w:qFormat/>
    <w:uiPriority w:val="0"/>
    <w:pPr>
      <w:spacing w:before="320" w:after="100"/>
      <w:outlineLvl w:val="8"/>
    </w:pPr>
    <w:rPr>
      <w:rFonts w:ascii="Cambria" w:hAnsi="Cambria" w:eastAsia="宋体"/>
      <w:i/>
      <w:iCs/>
      <w:color w:val="9BBB59"/>
      <w:szCs w:val="20"/>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400" w:leftChars="400" w:hanging="200" w:hangingChars="200"/>
    </w:pPr>
  </w:style>
  <w:style w:type="paragraph" w:styleId="12">
    <w:name w:val="toc 7"/>
    <w:basedOn w:val="1"/>
    <w:next w:val="1"/>
    <w:qFormat/>
    <w:uiPriority w:val="0"/>
    <w:pPr>
      <w:ind w:left="1200" w:leftChars="1200"/>
    </w:pPr>
  </w:style>
  <w:style w:type="paragraph" w:styleId="13">
    <w:name w:val="List Number 2"/>
    <w:basedOn w:val="1"/>
    <w:qFormat/>
    <w:uiPriority w:val="0"/>
    <w:pPr>
      <w:widowControl/>
      <w:tabs>
        <w:tab w:val="left" w:pos="1680"/>
      </w:tabs>
      <w:ind w:left="1680" w:hanging="420"/>
      <w:jc w:val="left"/>
    </w:pPr>
    <w:rPr>
      <w:kern w:val="0"/>
      <w:sz w:val="24"/>
      <w:szCs w:val="20"/>
    </w:rPr>
  </w:style>
  <w:style w:type="paragraph" w:styleId="14">
    <w:name w:val="index 8"/>
    <w:basedOn w:val="1"/>
    <w:next w:val="1"/>
    <w:qFormat/>
    <w:uiPriority w:val="0"/>
    <w:pPr>
      <w:spacing w:line="276" w:lineRule="auto"/>
      <w:jc w:val="left"/>
    </w:pPr>
    <w:rPr>
      <w:rFonts w:ascii="宋体"/>
      <w:color w:val="FF0000"/>
      <w:szCs w:val="21"/>
    </w:rPr>
  </w:style>
  <w:style w:type="paragraph" w:styleId="15">
    <w:name w:val="List Number"/>
    <w:basedOn w:val="1"/>
    <w:qFormat/>
    <w:uiPriority w:val="0"/>
    <w:pPr>
      <w:widowControl/>
      <w:numPr>
        <w:ilvl w:val="0"/>
        <w:numId w:val="1"/>
      </w:numPr>
      <w:tabs>
        <w:tab w:val="left" w:pos="454"/>
        <w:tab w:val="left" w:pos="720"/>
      </w:tabs>
      <w:spacing w:afterLines="50"/>
      <w:jc w:val="left"/>
    </w:pPr>
    <w:rPr>
      <w:kern w:val="0"/>
      <w:sz w:val="24"/>
      <w:szCs w:val="20"/>
    </w:rPr>
  </w:style>
  <w:style w:type="paragraph" w:styleId="16">
    <w:name w:val="Normal Indent"/>
    <w:basedOn w:val="1"/>
    <w:link w:val="86"/>
    <w:qFormat/>
    <w:uiPriority w:val="0"/>
    <w:pPr>
      <w:ind w:firstLine="420"/>
    </w:pPr>
    <w:rPr>
      <w:rFonts w:eastAsia="宋体"/>
      <w:szCs w:val="20"/>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index 5"/>
    <w:basedOn w:val="1"/>
    <w:next w:val="1"/>
    <w:unhideWhenUsed/>
    <w:qFormat/>
    <w:uiPriority w:val="99"/>
    <w:pPr>
      <w:ind w:left="800" w:leftChars="800"/>
    </w:pPr>
  </w:style>
  <w:style w:type="paragraph" w:styleId="19">
    <w:name w:val="Document Map"/>
    <w:basedOn w:val="1"/>
    <w:next w:val="14"/>
    <w:link w:val="127"/>
    <w:qFormat/>
    <w:uiPriority w:val="0"/>
    <w:pPr>
      <w:shd w:val="clear" w:color="auto" w:fill="000080"/>
    </w:pPr>
    <w:rPr>
      <w:rFonts w:ascii="宋体" w:hAnsi="宋体" w:eastAsia="宋体"/>
    </w:rPr>
  </w:style>
  <w:style w:type="paragraph" w:styleId="20">
    <w:name w:val="annotation text"/>
    <w:basedOn w:val="1"/>
    <w:next w:val="16"/>
    <w:link w:val="128"/>
    <w:qFormat/>
    <w:uiPriority w:val="0"/>
    <w:pPr>
      <w:jc w:val="left"/>
    </w:pPr>
    <w:rPr>
      <w:rFonts w:ascii="宋体" w:hAnsi="宋体" w:eastAsia="宋体"/>
    </w:rPr>
  </w:style>
  <w:style w:type="paragraph" w:styleId="21">
    <w:name w:val="Body Text 3"/>
    <w:basedOn w:val="1"/>
    <w:qFormat/>
    <w:uiPriority w:val="0"/>
    <w:pPr>
      <w:snapToGrid w:val="0"/>
      <w:spacing w:before="50" w:after="50"/>
    </w:pPr>
    <w:rPr>
      <w:rFonts w:hAnsi="宋体" w:eastAsia="仿宋_GB2312"/>
      <w:b/>
      <w:bCs/>
      <w:sz w:val="24"/>
      <w:szCs w:val="20"/>
    </w:rPr>
  </w:style>
  <w:style w:type="paragraph" w:styleId="22">
    <w:name w:val="Body Text"/>
    <w:basedOn w:val="1"/>
    <w:next w:val="1"/>
    <w:link w:val="77"/>
    <w:qFormat/>
    <w:uiPriority w:val="0"/>
    <w:pPr>
      <w:spacing w:after="120"/>
    </w:pPr>
    <w:rPr>
      <w:rFonts w:ascii="宋体" w:hAnsi="宋体" w:eastAsia="宋体"/>
      <w:sz w:val="28"/>
    </w:rPr>
  </w:style>
  <w:style w:type="paragraph" w:styleId="23">
    <w:name w:val="Body Text Indent"/>
    <w:basedOn w:val="1"/>
    <w:next w:val="19"/>
    <w:link w:val="98"/>
    <w:qFormat/>
    <w:uiPriority w:val="0"/>
    <w:pPr>
      <w:spacing w:line="200" w:lineRule="exact"/>
      <w:ind w:firstLine="301"/>
    </w:pPr>
    <w:rPr>
      <w:rFonts w:ascii="宋体" w:hAnsi="Courier New" w:eastAsia="宋体"/>
      <w:spacing w:val="-4"/>
      <w:sz w:val="18"/>
      <w:szCs w:val="20"/>
    </w:rPr>
  </w:style>
  <w:style w:type="paragraph" w:styleId="24">
    <w:name w:val="List Number 3"/>
    <w:basedOn w:val="1"/>
    <w:qFormat/>
    <w:uiPriority w:val="0"/>
    <w:pPr>
      <w:numPr>
        <w:ilvl w:val="0"/>
        <w:numId w:val="2"/>
      </w:numPr>
    </w:pPr>
  </w:style>
  <w:style w:type="paragraph" w:styleId="25">
    <w:name w:val="List 2"/>
    <w:basedOn w:val="1"/>
    <w:qFormat/>
    <w:uiPriority w:val="0"/>
    <w:pPr>
      <w:ind w:left="100" w:leftChars="200" w:hanging="200" w:hangingChars="200"/>
    </w:pPr>
    <w:rPr>
      <w:sz w:val="28"/>
    </w:rPr>
  </w:style>
  <w:style w:type="paragraph" w:styleId="26">
    <w:name w:val="Block Text"/>
    <w:basedOn w:val="1"/>
    <w:next w:val="20"/>
    <w:qFormat/>
    <w:uiPriority w:val="0"/>
    <w:pPr>
      <w:adjustRightInd w:val="0"/>
      <w:ind w:left="420" w:right="33"/>
      <w:jc w:val="left"/>
    </w:pPr>
    <w:rPr>
      <w:kern w:val="0"/>
      <w:sz w:val="24"/>
      <w:szCs w:val="20"/>
    </w:rPr>
  </w:style>
  <w:style w:type="paragraph" w:styleId="27">
    <w:name w:val="toc 5"/>
    <w:basedOn w:val="1"/>
    <w:next w:val="1"/>
    <w:qFormat/>
    <w:uiPriority w:val="0"/>
    <w:pPr>
      <w:ind w:left="800" w:leftChars="800"/>
    </w:pPr>
  </w:style>
  <w:style w:type="paragraph" w:styleId="28">
    <w:name w:val="toc 3"/>
    <w:basedOn w:val="1"/>
    <w:next w:val="1"/>
    <w:qFormat/>
    <w:uiPriority w:val="0"/>
    <w:pPr>
      <w:spacing w:line="400" w:lineRule="exact"/>
      <w:ind w:left="400" w:leftChars="400"/>
    </w:pPr>
    <w:rPr>
      <w:rFonts w:ascii="Arial" w:hAnsi="Arial"/>
    </w:rPr>
  </w:style>
  <w:style w:type="paragraph" w:styleId="29">
    <w:name w:val="Plain Text"/>
    <w:basedOn w:val="1"/>
    <w:next w:val="22"/>
    <w:link w:val="131"/>
    <w:qFormat/>
    <w:uiPriority w:val="0"/>
    <w:pPr>
      <w:spacing w:beforeLines="50" w:afterLines="50" w:line="400" w:lineRule="exact"/>
    </w:pPr>
    <w:rPr>
      <w:rFonts w:ascii="宋体" w:hAnsi="Courier New" w:eastAsia="宋体"/>
      <w:sz w:val="24"/>
    </w:rPr>
  </w:style>
  <w:style w:type="paragraph" w:styleId="30">
    <w:name w:val="List Bullet 5"/>
    <w:basedOn w:val="1"/>
    <w:next w:val="26"/>
    <w:qFormat/>
    <w:uiPriority w:val="0"/>
    <w:pPr>
      <w:numPr>
        <w:ilvl w:val="0"/>
        <w:numId w:val="3"/>
      </w:numPr>
    </w:pPr>
  </w:style>
  <w:style w:type="paragraph" w:styleId="31">
    <w:name w:val="List Number 4"/>
    <w:basedOn w:val="1"/>
    <w:qFormat/>
    <w:uiPriority w:val="0"/>
    <w:pPr>
      <w:widowControl/>
      <w:tabs>
        <w:tab w:val="left" w:pos="1531"/>
      </w:tabs>
      <w:ind w:left="1531" w:hanging="397"/>
      <w:jc w:val="left"/>
    </w:pPr>
    <w:rPr>
      <w:kern w:val="0"/>
      <w:sz w:val="24"/>
      <w:szCs w:val="20"/>
    </w:rPr>
  </w:style>
  <w:style w:type="paragraph" w:styleId="32">
    <w:name w:val="toc 8"/>
    <w:basedOn w:val="1"/>
    <w:next w:val="1"/>
    <w:qFormat/>
    <w:uiPriority w:val="0"/>
    <w:pPr>
      <w:ind w:left="1400" w:leftChars="1400"/>
    </w:pPr>
  </w:style>
  <w:style w:type="paragraph" w:styleId="33">
    <w:name w:val="Date"/>
    <w:basedOn w:val="1"/>
    <w:next w:val="1"/>
    <w:link w:val="102"/>
    <w:qFormat/>
    <w:uiPriority w:val="0"/>
    <w:pPr>
      <w:ind w:left="2500" w:leftChars="2500"/>
    </w:pPr>
    <w:rPr>
      <w:rFonts w:ascii="楷体_GB2312" w:eastAsia="楷体_GB2312"/>
      <w:sz w:val="32"/>
      <w:szCs w:val="20"/>
    </w:rPr>
  </w:style>
  <w:style w:type="paragraph" w:styleId="34">
    <w:name w:val="Body Text Indent 2"/>
    <w:basedOn w:val="1"/>
    <w:link w:val="81"/>
    <w:qFormat/>
    <w:uiPriority w:val="0"/>
    <w:pPr>
      <w:snapToGrid w:val="0"/>
      <w:ind w:firstLine="542" w:firstLineChars="225"/>
    </w:pPr>
    <w:rPr>
      <w:rFonts w:ascii="仿宋_GB2312" w:hAnsi="宋体" w:eastAsia="宋体" w:cs="Arial"/>
      <w:b/>
      <w:bCs/>
      <w:color w:val="000000"/>
      <w:sz w:val="24"/>
    </w:rPr>
  </w:style>
  <w:style w:type="paragraph" w:styleId="35">
    <w:name w:val="Balloon Text"/>
    <w:basedOn w:val="1"/>
    <w:next w:val="30"/>
    <w:link w:val="75"/>
    <w:qFormat/>
    <w:uiPriority w:val="0"/>
    <w:rPr>
      <w:rFonts w:ascii="宋体" w:hAnsi="宋体" w:eastAsia="宋体"/>
      <w:sz w:val="18"/>
      <w:szCs w:val="18"/>
    </w:rPr>
  </w:style>
  <w:style w:type="paragraph" w:styleId="36">
    <w:name w:val="footer"/>
    <w:basedOn w:val="1"/>
    <w:link w:val="91"/>
    <w:qFormat/>
    <w:uiPriority w:val="0"/>
    <w:pPr>
      <w:tabs>
        <w:tab w:val="center" w:pos="4153"/>
        <w:tab w:val="right" w:pos="8306"/>
      </w:tabs>
      <w:snapToGrid w:val="0"/>
      <w:jc w:val="left"/>
    </w:pPr>
    <w:rPr>
      <w:rFonts w:ascii="黑体" w:eastAsia="黑体"/>
      <w:snapToGrid w:val="0"/>
      <w:sz w:val="18"/>
      <w:szCs w:val="18"/>
    </w:rPr>
  </w:style>
  <w:style w:type="paragraph" w:styleId="37">
    <w:name w:val="envelope return"/>
    <w:basedOn w:val="1"/>
    <w:qFormat/>
    <w:uiPriority w:val="0"/>
    <w:pPr>
      <w:snapToGrid w:val="0"/>
    </w:pPr>
    <w:rPr>
      <w:rFonts w:ascii="Arial" w:hAnsi="Arial"/>
    </w:rPr>
  </w:style>
  <w:style w:type="paragraph" w:styleId="38">
    <w:name w:val="header"/>
    <w:basedOn w:val="1"/>
    <w:link w:val="115"/>
    <w:qFormat/>
    <w:uiPriority w:val="0"/>
    <w:pPr>
      <w:pBdr>
        <w:bottom w:val="single" w:color="auto" w:sz="6" w:space="1"/>
      </w:pBdr>
      <w:tabs>
        <w:tab w:val="center" w:pos="4153"/>
        <w:tab w:val="right" w:pos="8306"/>
      </w:tabs>
      <w:snapToGrid w:val="0"/>
      <w:jc w:val="center"/>
    </w:pPr>
    <w:rPr>
      <w:rFonts w:ascii="仿宋_GB2312" w:eastAsia="仿宋_GB2312"/>
      <w:sz w:val="18"/>
      <w:szCs w:val="20"/>
    </w:rPr>
  </w:style>
  <w:style w:type="paragraph" w:styleId="39">
    <w:name w:val="toc 1"/>
    <w:basedOn w:val="1"/>
    <w:next w:val="1"/>
    <w:qFormat/>
    <w:uiPriority w:val="0"/>
    <w:pPr>
      <w:tabs>
        <w:tab w:val="right" w:leader="dot" w:pos="8296"/>
      </w:tabs>
      <w:jc w:val="left"/>
    </w:pPr>
    <w:rPr>
      <w:rFonts w:ascii="宋体" w:hAnsi="宋体" w:eastAsia="宋体"/>
      <w:b/>
      <w:sz w:val="32"/>
    </w:rPr>
  </w:style>
  <w:style w:type="paragraph" w:styleId="40">
    <w:name w:val="toc 4"/>
    <w:basedOn w:val="1"/>
    <w:next w:val="1"/>
    <w:qFormat/>
    <w:uiPriority w:val="0"/>
    <w:pPr>
      <w:ind w:left="600" w:leftChars="600"/>
    </w:pPr>
  </w:style>
  <w:style w:type="paragraph" w:styleId="41">
    <w:name w:val="index heading"/>
    <w:basedOn w:val="1"/>
    <w:next w:val="35"/>
    <w:qFormat/>
    <w:uiPriority w:val="0"/>
    <w:pPr>
      <w:spacing w:line="240" w:lineRule="auto"/>
      <w:ind w:firstLine="0" w:firstLineChars="0"/>
    </w:pPr>
    <w:rPr>
      <w:rFonts w:ascii="Arial" w:hAnsi="Arial" w:eastAsia="宋体" w:cs="Arial"/>
      <w:b/>
      <w:bCs/>
      <w:szCs w:val="22"/>
    </w:rPr>
  </w:style>
  <w:style w:type="paragraph" w:styleId="42">
    <w:name w:val="Subtitle"/>
    <w:basedOn w:val="1"/>
    <w:next w:val="1"/>
    <w:link w:val="133"/>
    <w:qFormat/>
    <w:uiPriority w:val="0"/>
    <w:pPr>
      <w:spacing w:before="200" w:after="900"/>
      <w:jc w:val="right"/>
    </w:pPr>
    <w:rPr>
      <w:rFonts w:ascii="宋体" w:hAnsi="宋体" w:eastAsia="宋体"/>
      <w:i/>
      <w:iCs/>
      <w:sz w:val="24"/>
    </w:rPr>
  </w:style>
  <w:style w:type="paragraph" w:styleId="43">
    <w:name w:val="List"/>
    <w:basedOn w:val="1"/>
    <w:next w:val="1"/>
    <w:qFormat/>
    <w:uiPriority w:val="0"/>
    <w:pPr>
      <w:ind w:left="200" w:hanging="200" w:hangingChars="200"/>
    </w:pPr>
    <w:rPr>
      <w:sz w:val="28"/>
    </w:rPr>
  </w:style>
  <w:style w:type="paragraph" w:styleId="44">
    <w:name w:val="toc 6"/>
    <w:basedOn w:val="1"/>
    <w:next w:val="1"/>
    <w:qFormat/>
    <w:uiPriority w:val="0"/>
    <w:pPr>
      <w:ind w:left="1000" w:leftChars="1000"/>
    </w:pPr>
  </w:style>
  <w:style w:type="paragraph" w:styleId="45">
    <w:name w:val="Body Text Indent 3"/>
    <w:basedOn w:val="1"/>
    <w:next w:val="41"/>
    <w:link w:val="92"/>
    <w:qFormat/>
    <w:uiPriority w:val="0"/>
    <w:pPr>
      <w:snapToGrid w:val="0"/>
      <w:ind w:firstLine="480" w:firstLineChars="200"/>
      <w:jc w:val="left"/>
    </w:pPr>
    <w:rPr>
      <w:rFonts w:ascii="仿宋_GB2312" w:hAnsi="宋体" w:eastAsia="仿宋_GB2312"/>
      <w:color w:val="000000"/>
      <w:sz w:val="24"/>
    </w:rPr>
  </w:style>
  <w:style w:type="paragraph" w:styleId="46">
    <w:name w:val="table of figures"/>
    <w:basedOn w:val="1"/>
    <w:next w:val="1"/>
    <w:qFormat/>
    <w:uiPriority w:val="0"/>
    <w:pPr>
      <w:adjustRightInd w:val="0"/>
      <w:snapToGrid w:val="0"/>
      <w:spacing w:line="440" w:lineRule="exact"/>
    </w:pPr>
    <w:rPr>
      <w:rFonts w:ascii="Arial" w:hAnsi="Arial" w:eastAsia="黑体"/>
      <w:sz w:val="24"/>
      <w:szCs w:val="20"/>
    </w:rPr>
  </w:style>
  <w:style w:type="paragraph" w:styleId="47">
    <w:name w:val="toc 2"/>
    <w:basedOn w:val="1"/>
    <w:next w:val="1"/>
    <w:qFormat/>
    <w:uiPriority w:val="0"/>
    <w:pPr>
      <w:spacing w:line="400" w:lineRule="exact"/>
      <w:ind w:left="200" w:leftChars="200"/>
    </w:pPr>
    <w:rPr>
      <w:rFonts w:ascii="Arial" w:hAnsi="Arial"/>
    </w:rPr>
  </w:style>
  <w:style w:type="paragraph" w:styleId="48">
    <w:name w:val="toc 9"/>
    <w:basedOn w:val="1"/>
    <w:next w:val="1"/>
    <w:qFormat/>
    <w:uiPriority w:val="0"/>
    <w:pPr>
      <w:ind w:left="1600" w:leftChars="1600"/>
    </w:pPr>
  </w:style>
  <w:style w:type="paragraph" w:styleId="49">
    <w:name w:val="Body Text 2"/>
    <w:basedOn w:val="1"/>
    <w:link w:val="136"/>
    <w:qFormat/>
    <w:uiPriority w:val="0"/>
    <w:pPr>
      <w:widowControl/>
      <w:snapToGrid w:val="0"/>
      <w:spacing w:before="50" w:afterLines="50" w:line="400" w:lineRule="exact"/>
      <w:jc w:val="left"/>
    </w:pPr>
    <w:rPr>
      <w:rFonts w:ascii="宋体" w:hAnsi="宋体" w:eastAsia="宋体"/>
      <w:color w:val="000000"/>
      <w:sz w:val="24"/>
    </w:rPr>
  </w:style>
  <w:style w:type="paragraph" w:styleId="50">
    <w:name w:val="Normal (Web)"/>
    <w:basedOn w:val="1"/>
    <w:next w:val="47"/>
    <w:qFormat/>
    <w:uiPriority w:val="0"/>
    <w:pPr>
      <w:widowControl/>
      <w:spacing w:before="100" w:beforeAutospacing="1" w:after="100" w:afterAutospacing="1"/>
      <w:jc w:val="left"/>
    </w:pPr>
    <w:rPr>
      <w:rFonts w:ascii="宋体" w:hAnsi="宋体"/>
      <w:kern w:val="0"/>
      <w:sz w:val="24"/>
    </w:rPr>
  </w:style>
  <w:style w:type="paragraph" w:styleId="51">
    <w:name w:val="index 1"/>
    <w:basedOn w:val="1"/>
    <w:next w:val="1"/>
    <w:qFormat/>
    <w:uiPriority w:val="0"/>
    <w:pPr>
      <w:widowControl/>
      <w:spacing w:line="360" w:lineRule="auto"/>
      <w:jc w:val="center"/>
    </w:pPr>
    <w:rPr>
      <w:rFonts w:ascii="Arial" w:hAnsi="Arial" w:cs="Arial"/>
      <w:kern w:val="0"/>
      <w:sz w:val="24"/>
    </w:rPr>
  </w:style>
  <w:style w:type="paragraph" w:styleId="52">
    <w:name w:val="Title"/>
    <w:basedOn w:val="1"/>
    <w:next w:val="1"/>
    <w:link w:val="99"/>
    <w:qFormat/>
    <w:uiPriority w:val="0"/>
    <w:pPr>
      <w:pBdr>
        <w:top w:val="single" w:color="A7BFDE" w:sz="8" w:space="10"/>
        <w:bottom w:val="single" w:color="9BBB59" w:sz="24" w:space="15"/>
      </w:pBdr>
      <w:jc w:val="center"/>
    </w:pPr>
    <w:rPr>
      <w:rFonts w:ascii="宋体" w:hAnsi="Courier New" w:eastAsia="宋体" w:cs="Courier New"/>
      <w:szCs w:val="21"/>
    </w:rPr>
  </w:style>
  <w:style w:type="paragraph" w:styleId="53">
    <w:name w:val="annotation subject"/>
    <w:basedOn w:val="20"/>
    <w:next w:val="20"/>
    <w:link w:val="83"/>
    <w:qFormat/>
    <w:uiPriority w:val="0"/>
    <w:rPr>
      <w:b/>
      <w:bCs/>
    </w:rPr>
  </w:style>
  <w:style w:type="paragraph" w:styleId="54">
    <w:name w:val="Body Text First Indent"/>
    <w:basedOn w:val="22"/>
    <w:next w:val="55"/>
    <w:qFormat/>
    <w:uiPriority w:val="0"/>
    <w:pPr>
      <w:ind w:firstLine="420" w:firstLineChars="100"/>
    </w:pPr>
    <w:rPr>
      <w:sz w:val="21"/>
    </w:rPr>
  </w:style>
  <w:style w:type="paragraph" w:styleId="55">
    <w:name w:val="Body Text First Indent 2"/>
    <w:basedOn w:val="23"/>
    <w:next w:val="56"/>
    <w:qFormat/>
    <w:uiPriority w:val="0"/>
    <w:pPr>
      <w:ind w:firstLine="420" w:firstLineChars="200"/>
    </w:pPr>
    <w:rPr>
      <w:rFonts w:ascii="Times New Roman" w:hAnsi="Times New Roman" w:eastAsia="宋体" w:cs="Times New Roman"/>
    </w:rPr>
  </w:style>
  <w:style w:type="paragraph" w:customStyle="1" w:styleId="56">
    <w:name w:val="xl53"/>
    <w:basedOn w:val="57"/>
    <w:qFormat/>
    <w:uiPriority w:val="0"/>
    <w:pPr>
      <w:widowControl/>
      <w:pBdr>
        <w:left w:val="single" w:color="auto" w:sz="4" w:space="0"/>
        <w:bottom w:val="single" w:color="auto" w:sz="4" w:space="0"/>
      </w:pBdr>
      <w:shd w:val="clear" w:color="auto" w:fill="FFFFFF"/>
      <w:spacing w:before="100" w:beforeAutospacing="1" w:after="100" w:afterAutospacing="1"/>
      <w:jc w:val="center"/>
    </w:pPr>
    <w:rPr>
      <w:rFonts w:ascii="Arial Unicode MS" w:hAnsi="Arial Unicode MS"/>
      <w:b/>
      <w:bCs/>
      <w:color w:val="000000"/>
      <w:kern w:val="0"/>
      <w:sz w:val="18"/>
      <w:szCs w:val="18"/>
    </w:rPr>
  </w:style>
  <w:style w:type="paragraph" w:customStyle="1" w:styleId="57">
    <w:name w:val="正文_6_0"/>
    <w:next w:val="5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首行缩进 2_0"/>
    <w:basedOn w:val="59"/>
    <w:next w:val="56"/>
    <w:unhideWhenUsed/>
    <w:qFormat/>
    <w:uiPriority w:val="99"/>
    <w:pPr>
      <w:ind w:firstLine="420" w:firstLineChars="200"/>
    </w:pPr>
    <w:rPr>
      <w:rFonts w:ascii="Calibri" w:hAnsi="Calibri" w:eastAsia="宋体"/>
    </w:rPr>
  </w:style>
  <w:style w:type="paragraph" w:customStyle="1" w:styleId="59">
    <w:name w:val="正文文本缩进_1"/>
    <w:basedOn w:val="57"/>
    <w:unhideWhenUsed/>
    <w:qFormat/>
    <w:uiPriority w:val="0"/>
    <w:pPr>
      <w:spacing w:before="240" w:line="360" w:lineRule="auto"/>
      <w:ind w:firstLine="552" w:firstLineChars="263"/>
    </w:pPr>
    <w:rPr>
      <w:rFonts w:ascii="宋体" w:hAnsi="宋体"/>
      <w:szCs w:val="20"/>
    </w:rPr>
  </w:style>
  <w:style w:type="table" w:styleId="61">
    <w:name w:val="Table Grid"/>
    <w:basedOn w:val="60"/>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3">
    <w:name w:val="Strong"/>
    <w:qFormat/>
    <w:uiPriority w:val="0"/>
    <w:rPr>
      <w:rFonts w:eastAsia="宋体"/>
      <w:b/>
      <w:bCs/>
      <w:spacing w:val="0"/>
      <w:kern w:val="2"/>
      <w:sz w:val="21"/>
      <w:lang w:val="en-US" w:eastAsia="zh-CN" w:bidi="ar-SA"/>
    </w:rPr>
  </w:style>
  <w:style w:type="character" w:styleId="64">
    <w:name w:val="page number"/>
    <w:basedOn w:val="62"/>
    <w:qFormat/>
    <w:uiPriority w:val="0"/>
  </w:style>
  <w:style w:type="character" w:styleId="65">
    <w:name w:val="FollowedHyperlink"/>
    <w:qFormat/>
    <w:uiPriority w:val="0"/>
    <w:rPr>
      <w:rFonts w:eastAsia="宋体"/>
      <w:color w:val="800080"/>
      <w:kern w:val="2"/>
      <w:sz w:val="21"/>
      <w:u w:val="single"/>
      <w:lang w:val="en-US" w:eastAsia="zh-CN" w:bidi="ar-SA"/>
    </w:rPr>
  </w:style>
  <w:style w:type="character" w:styleId="66">
    <w:name w:val="Emphasis"/>
    <w:qFormat/>
    <w:uiPriority w:val="0"/>
    <w:rPr>
      <w:b/>
      <w:bCs/>
      <w:i/>
      <w:iCs/>
      <w:color w:val="5A5A5A"/>
    </w:rPr>
  </w:style>
  <w:style w:type="character" w:styleId="67">
    <w:name w:val="Hyperlink"/>
    <w:qFormat/>
    <w:uiPriority w:val="0"/>
    <w:rPr>
      <w:rFonts w:eastAsia="宋体"/>
      <w:color w:val="0000FF"/>
      <w:kern w:val="2"/>
      <w:sz w:val="21"/>
      <w:u w:val="single"/>
      <w:lang w:val="en-US" w:eastAsia="zh-CN" w:bidi="ar-SA"/>
    </w:rPr>
  </w:style>
  <w:style w:type="character" w:styleId="68">
    <w:name w:val="annotation reference"/>
    <w:qFormat/>
    <w:uiPriority w:val="0"/>
    <w:rPr>
      <w:rFonts w:eastAsia="宋体"/>
      <w:kern w:val="2"/>
      <w:sz w:val="21"/>
      <w:szCs w:val="21"/>
      <w:lang w:val="en-US" w:eastAsia="zh-CN" w:bidi="ar-SA"/>
    </w:rPr>
  </w:style>
  <w:style w:type="paragraph" w:customStyle="1" w:styleId="69">
    <w:name w:val="样式 正文文本缩进 + 首行缩进:  2 字符 行距: 1.5 倍行距"/>
    <w:basedOn w:val="23"/>
    <w:qFormat/>
    <w:uiPriority w:val="0"/>
    <w:pPr>
      <w:spacing w:before="156" w:line="360" w:lineRule="auto"/>
      <w:ind w:firstLine="482" w:firstLineChars="200"/>
    </w:pPr>
    <w:rPr>
      <w:rFonts w:cs="宋体"/>
      <w:b/>
    </w:rPr>
  </w:style>
  <w:style w:type="paragraph" w:customStyle="1" w:styleId="70">
    <w:name w:val="自动更正"/>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71">
    <w:name w:val="标题 2 字符"/>
    <w:link w:val="3"/>
    <w:qFormat/>
    <w:uiPriority w:val="0"/>
    <w:rPr>
      <w:rFonts w:ascii="Arial" w:hAnsi="Arial" w:eastAsia="黑体"/>
      <w:b/>
      <w:bCs/>
      <w:kern w:val="2"/>
      <w:sz w:val="32"/>
      <w:szCs w:val="32"/>
      <w:lang w:val="en-US" w:eastAsia="zh-CN" w:bidi="ar-SA"/>
    </w:rPr>
  </w:style>
  <w:style w:type="character" w:customStyle="1" w:styleId="72">
    <w:name w:val="无间隔 字符"/>
    <w:link w:val="73"/>
    <w:qFormat/>
    <w:uiPriority w:val="0"/>
    <w:rPr>
      <w:rFonts w:ascii="宋体" w:hAnsi="宋体" w:eastAsia="宋体"/>
      <w:kern w:val="2"/>
      <w:sz w:val="21"/>
      <w:szCs w:val="24"/>
      <w:lang w:val="en-US" w:eastAsia="zh-CN" w:bidi="ar-SA"/>
    </w:rPr>
  </w:style>
  <w:style w:type="paragraph" w:styleId="73">
    <w:name w:val="No Spacing"/>
    <w:basedOn w:val="1"/>
    <w:link w:val="72"/>
    <w:qFormat/>
    <w:uiPriority w:val="0"/>
    <w:rPr>
      <w:rFonts w:ascii="宋体" w:hAnsi="宋体" w:eastAsia="宋体"/>
    </w:rPr>
  </w:style>
  <w:style w:type="character" w:customStyle="1" w:styleId="74">
    <w:name w:val="标题 1 字符"/>
    <w:link w:val="2"/>
    <w:qFormat/>
    <w:uiPriority w:val="0"/>
    <w:rPr>
      <w:rFonts w:eastAsia="宋体"/>
      <w:b/>
      <w:bCs/>
      <w:kern w:val="44"/>
      <w:sz w:val="44"/>
      <w:szCs w:val="44"/>
      <w:lang w:val="en-US" w:eastAsia="zh-CN" w:bidi="ar-SA"/>
    </w:rPr>
  </w:style>
  <w:style w:type="character" w:customStyle="1" w:styleId="75">
    <w:name w:val="批注框文本 字符"/>
    <w:link w:val="35"/>
    <w:qFormat/>
    <w:uiPriority w:val="0"/>
    <w:rPr>
      <w:rFonts w:ascii="宋体" w:hAnsi="宋体" w:eastAsia="宋体"/>
      <w:kern w:val="2"/>
      <w:sz w:val="18"/>
      <w:szCs w:val="18"/>
      <w:lang w:val="en-US" w:eastAsia="zh-CN" w:bidi="ar-SA"/>
    </w:rPr>
  </w:style>
  <w:style w:type="character" w:customStyle="1" w:styleId="76">
    <w:name w:val="style5"/>
    <w:qFormat/>
    <w:uiPriority w:val="0"/>
    <w:rPr>
      <w:rFonts w:eastAsia="宋体"/>
      <w:kern w:val="2"/>
      <w:sz w:val="21"/>
      <w:lang w:val="en-US" w:eastAsia="zh-CN" w:bidi="ar-SA"/>
    </w:rPr>
  </w:style>
  <w:style w:type="character" w:customStyle="1" w:styleId="77">
    <w:name w:val="正文文本 字符"/>
    <w:link w:val="22"/>
    <w:qFormat/>
    <w:uiPriority w:val="0"/>
    <w:rPr>
      <w:rFonts w:ascii="宋体" w:hAnsi="宋体" w:eastAsia="宋体"/>
      <w:kern w:val="2"/>
      <w:sz w:val="28"/>
      <w:szCs w:val="24"/>
      <w:lang w:val="en-US" w:eastAsia="zh-CN" w:bidi="ar-SA"/>
    </w:rPr>
  </w:style>
  <w:style w:type="character" w:customStyle="1" w:styleId="78">
    <w:name w:val="明显参考1"/>
    <w:qFormat/>
    <w:uiPriority w:val="0"/>
    <w:rPr>
      <w:rFonts w:eastAsia="宋体"/>
      <w:b/>
      <w:bCs/>
      <w:color w:val="76923C"/>
      <w:kern w:val="2"/>
      <w:sz w:val="21"/>
      <w:u w:val="single" w:color="9BBB59"/>
      <w:lang w:val="en-US" w:eastAsia="zh-CN" w:bidi="ar-SA"/>
    </w:rPr>
  </w:style>
  <w:style w:type="character" w:customStyle="1" w:styleId="79">
    <w:name w:val="Char Char"/>
    <w:qFormat/>
    <w:uiPriority w:val="0"/>
    <w:rPr>
      <w:kern w:val="2"/>
      <w:sz w:val="24"/>
    </w:rPr>
  </w:style>
  <w:style w:type="character" w:customStyle="1" w:styleId="80">
    <w:name w:val="标题 3 字符"/>
    <w:link w:val="4"/>
    <w:qFormat/>
    <w:uiPriority w:val="0"/>
    <w:rPr>
      <w:rFonts w:ascii="宋体" w:eastAsia="宋体" w:cs="宋体"/>
      <w:b/>
      <w:kern w:val="2"/>
      <w:sz w:val="24"/>
      <w:u w:val="single"/>
      <w:lang w:val="en-US" w:eastAsia="zh-CN" w:bidi="ar-SA"/>
    </w:rPr>
  </w:style>
  <w:style w:type="character" w:customStyle="1" w:styleId="81">
    <w:name w:val="正文文本缩进 2 字符"/>
    <w:link w:val="34"/>
    <w:qFormat/>
    <w:uiPriority w:val="0"/>
    <w:rPr>
      <w:rFonts w:ascii="仿宋_GB2312" w:hAnsi="宋体" w:eastAsia="宋体" w:cs="Arial"/>
      <w:b/>
      <w:bCs/>
      <w:color w:val="000000"/>
      <w:kern w:val="2"/>
      <w:sz w:val="24"/>
      <w:szCs w:val="24"/>
      <w:lang w:val="en-US" w:eastAsia="zh-CN" w:bidi="ar-SA"/>
    </w:rPr>
  </w:style>
  <w:style w:type="character" w:customStyle="1" w:styleId="82">
    <w:name w:val="pro_name_title"/>
    <w:qFormat/>
    <w:uiPriority w:val="0"/>
    <w:rPr>
      <w:rFonts w:eastAsia="宋体"/>
      <w:kern w:val="2"/>
      <w:sz w:val="21"/>
      <w:lang w:val="en-US" w:eastAsia="zh-CN" w:bidi="ar-SA"/>
    </w:rPr>
  </w:style>
  <w:style w:type="character" w:customStyle="1" w:styleId="83">
    <w:name w:val="批注主题 字符"/>
    <w:link w:val="53"/>
    <w:qFormat/>
    <w:uiPriority w:val="0"/>
    <w:rPr>
      <w:rFonts w:ascii="宋体" w:hAnsi="宋体" w:eastAsia="宋体"/>
      <w:b/>
      <w:bCs/>
      <w:kern w:val="2"/>
      <w:sz w:val="21"/>
      <w:szCs w:val="24"/>
      <w:lang w:val="en-US" w:eastAsia="zh-CN" w:bidi="ar-SA"/>
    </w:rPr>
  </w:style>
  <w:style w:type="character" w:customStyle="1" w:styleId="84">
    <w:name w:val="chinaname1"/>
    <w:qFormat/>
    <w:uiPriority w:val="0"/>
    <w:rPr>
      <w:rFonts w:eastAsia="宋体"/>
      <w:kern w:val="2"/>
      <w:sz w:val="21"/>
      <w:lang w:val="en-US" w:eastAsia="zh-CN" w:bidi="ar-SA"/>
    </w:rPr>
  </w:style>
  <w:style w:type="character" w:customStyle="1" w:styleId="85">
    <w:name w:val="Char Char11"/>
    <w:qFormat/>
    <w:uiPriority w:val="0"/>
    <w:rPr>
      <w:rFonts w:ascii="宋体" w:hAnsi="Courier New" w:eastAsia="宋体"/>
      <w:spacing w:val="-4"/>
      <w:kern w:val="2"/>
      <w:sz w:val="18"/>
      <w:lang w:val="en-US" w:eastAsia="zh-CN" w:bidi="ar-SA"/>
    </w:rPr>
  </w:style>
  <w:style w:type="character" w:customStyle="1" w:styleId="86">
    <w:name w:val="正文缩进 字符"/>
    <w:link w:val="16"/>
    <w:qFormat/>
    <w:uiPriority w:val="0"/>
    <w:rPr>
      <w:rFonts w:eastAsia="宋体"/>
      <w:kern w:val="2"/>
      <w:sz w:val="21"/>
      <w:lang w:val="en-US" w:eastAsia="zh-CN" w:bidi="ar-SA"/>
    </w:rPr>
  </w:style>
  <w:style w:type="character" w:customStyle="1" w:styleId="87">
    <w:name w:val="small"/>
    <w:qFormat/>
    <w:uiPriority w:val="0"/>
    <w:rPr>
      <w:rFonts w:eastAsia="宋体"/>
      <w:kern w:val="2"/>
      <w:sz w:val="21"/>
      <w:lang w:val="en-US" w:eastAsia="zh-CN" w:bidi="ar-SA"/>
    </w:rPr>
  </w:style>
  <w:style w:type="character" w:customStyle="1" w:styleId="88">
    <w:name w:val="wordbreaknormal"/>
    <w:qFormat/>
    <w:uiPriority w:val="0"/>
    <w:rPr>
      <w:rFonts w:eastAsia="宋体"/>
      <w:kern w:val="2"/>
      <w:sz w:val="21"/>
      <w:lang w:val="en-US" w:eastAsia="zh-CN" w:bidi="ar-SA"/>
    </w:rPr>
  </w:style>
  <w:style w:type="character" w:customStyle="1" w:styleId="89">
    <w:name w:val="font11"/>
    <w:qFormat/>
    <w:uiPriority w:val="0"/>
    <w:rPr>
      <w:rFonts w:hint="default" w:ascii="Times New Roman" w:hAnsi="Times New Roman" w:cs="Times New Roman"/>
      <w:color w:val="000000"/>
      <w:sz w:val="22"/>
      <w:szCs w:val="22"/>
      <w:u w:val="none"/>
    </w:rPr>
  </w:style>
  <w:style w:type="character" w:customStyle="1" w:styleId="90">
    <w:name w:val="标题 9 字符"/>
    <w:link w:val="10"/>
    <w:qFormat/>
    <w:uiPriority w:val="0"/>
    <w:rPr>
      <w:rFonts w:ascii="Cambria" w:hAnsi="Cambria" w:eastAsia="宋体"/>
      <w:i/>
      <w:iCs/>
      <w:color w:val="9BBB59"/>
      <w:kern w:val="2"/>
      <w:sz w:val="21"/>
      <w:lang w:val="en-US" w:eastAsia="zh-CN" w:bidi="ar-SA"/>
    </w:rPr>
  </w:style>
  <w:style w:type="character" w:customStyle="1" w:styleId="91">
    <w:name w:val="页脚 字符"/>
    <w:link w:val="36"/>
    <w:qFormat/>
    <w:uiPriority w:val="0"/>
    <w:rPr>
      <w:rFonts w:ascii="黑体" w:eastAsia="黑体"/>
      <w:snapToGrid w:val="0"/>
      <w:kern w:val="2"/>
      <w:sz w:val="18"/>
      <w:szCs w:val="18"/>
      <w:lang w:val="en-US" w:eastAsia="zh-CN" w:bidi="ar-SA"/>
    </w:rPr>
  </w:style>
  <w:style w:type="character" w:customStyle="1" w:styleId="92">
    <w:name w:val="正文文本缩进 3 字符"/>
    <w:link w:val="45"/>
    <w:qFormat/>
    <w:uiPriority w:val="0"/>
    <w:rPr>
      <w:rFonts w:ascii="仿宋_GB2312" w:hAnsi="宋体" w:eastAsia="仿宋_GB2312"/>
      <w:color w:val="000000"/>
      <w:kern w:val="2"/>
      <w:sz w:val="24"/>
      <w:szCs w:val="24"/>
      <w:lang w:val="en-US" w:eastAsia="zh-CN" w:bidi="ar-SA"/>
    </w:rPr>
  </w:style>
  <w:style w:type="character" w:customStyle="1" w:styleId="93">
    <w:name w:val="h Char Char"/>
    <w:qFormat/>
    <w:uiPriority w:val="0"/>
    <w:rPr>
      <w:rFonts w:ascii="Calibri" w:hAnsi="Calibri" w:eastAsia="宋体" w:cs="Times New Roman"/>
      <w:sz w:val="18"/>
      <w:szCs w:val="18"/>
    </w:rPr>
  </w:style>
  <w:style w:type="character" w:customStyle="1" w:styleId="94">
    <w:name w:val="font01"/>
    <w:qFormat/>
    <w:uiPriority w:val="0"/>
    <w:rPr>
      <w:rFonts w:hint="eastAsia" w:ascii="宋体" w:hAnsi="宋体" w:eastAsia="宋体" w:cs="宋体"/>
      <w:color w:val="000000"/>
      <w:sz w:val="22"/>
      <w:szCs w:val="22"/>
      <w:u w:val="none"/>
    </w:rPr>
  </w:style>
  <w:style w:type="character" w:customStyle="1" w:styleId="95">
    <w:name w:val="lineheigh201"/>
    <w:qFormat/>
    <w:uiPriority w:val="0"/>
    <w:rPr>
      <w:rFonts w:eastAsia="宋体"/>
      <w:kern w:val="2"/>
      <w:sz w:val="21"/>
      <w:lang w:val="en-US" w:eastAsia="zh-CN" w:bidi="ar-SA"/>
    </w:rPr>
  </w:style>
  <w:style w:type="character" w:customStyle="1" w:styleId="96">
    <w:name w:val="kleintab"/>
    <w:qFormat/>
    <w:uiPriority w:val="0"/>
    <w:rPr>
      <w:rFonts w:eastAsia="宋体"/>
      <w:kern w:val="2"/>
      <w:sz w:val="21"/>
      <w:lang w:val="en-US" w:eastAsia="zh-CN" w:bidi="ar-SA"/>
    </w:rPr>
  </w:style>
  <w:style w:type="character" w:customStyle="1" w:styleId="97">
    <w:name w:val="font31"/>
    <w:qFormat/>
    <w:uiPriority w:val="0"/>
    <w:rPr>
      <w:rFonts w:hint="default" w:ascii="Times New Roman" w:hAnsi="Times New Roman" w:cs="Times New Roman"/>
      <w:color w:val="000000"/>
      <w:sz w:val="22"/>
      <w:szCs w:val="22"/>
      <w:u w:val="none"/>
    </w:rPr>
  </w:style>
  <w:style w:type="character" w:customStyle="1" w:styleId="98">
    <w:name w:val="正文文本缩进 字符"/>
    <w:link w:val="23"/>
    <w:qFormat/>
    <w:uiPriority w:val="0"/>
    <w:rPr>
      <w:rFonts w:ascii="宋体" w:hAnsi="Courier New" w:eastAsia="宋体"/>
      <w:spacing w:val="-4"/>
      <w:kern w:val="2"/>
      <w:sz w:val="18"/>
      <w:lang w:val="en-US" w:eastAsia="zh-CN" w:bidi="ar-SA"/>
    </w:rPr>
  </w:style>
  <w:style w:type="character" w:customStyle="1" w:styleId="99">
    <w:name w:val="标题 字符"/>
    <w:link w:val="52"/>
    <w:qFormat/>
    <w:uiPriority w:val="0"/>
    <w:rPr>
      <w:rFonts w:ascii="宋体" w:hAnsi="Courier New" w:eastAsia="宋体" w:cs="Courier New"/>
      <w:kern w:val="2"/>
      <w:sz w:val="21"/>
      <w:szCs w:val="21"/>
      <w:lang w:val="en-US" w:eastAsia="zh-CN" w:bidi="ar-SA"/>
    </w:rPr>
  </w:style>
  <w:style w:type="character" w:customStyle="1" w:styleId="100">
    <w:name w:val="标题 6 字符"/>
    <w:link w:val="7"/>
    <w:qFormat/>
    <w:uiPriority w:val="0"/>
    <w:rPr>
      <w:rFonts w:ascii="Cambria" w:hAnsi="Cambria" w:eastAsia="宋体" w:cs="宋体"/>
      <w:i/>
      <w:iCs/>
      <w:color w:val="4F81BD"/>
      <w:kern w:val="2"/>
      <w:sz w:val="21"/>
      <w:szCs w:val="24"/>
      <w:lang w:val="en-US" w:eastAsia="zh-CN" w:bidi="ar-SA"/>
    </w:rPr>
  </w:style>
  <w:style w:type="character" w:customStyle="1" w:styleId="101">
    <w:name w:val="style42"/>
    <w:qFormat/>
    <w:uiPriority w:val="0"/>
    <w:rPr>
      <w:color w:val="000000"/>
    </w:rPr>
  </w:style>
  <w:style w:type="character" w:customStyle="1" w:styleId="102">
    <w:name w:val="日期 字符"/>
    <w:link w:val="33"/>
    <w:qFormat/>
    <w:uiPriority w:val="0"/>
    <w:rPr>
      <w:rFonts w:ascii="楷体_GB2312" w:eastAsia="楷体_GB2312"/>
      <w:kern w:val="2"/>
      <w:sz w:val="32"/>
      <w:lang w:val="en-US" w:eastAsia="zh-CN" w:bidi="ar-SA"/>
    </w:rPr>
  </w:style>
  <w:style w:type="character" w:customStyle="1" w:styleId="103">
    <w:name w:val="标题 4 字符"/>
    <w:link w:val="5"/>
    <w:qFormat/>
    <w:uiPriority w:val="0"/>
    <w:rPr>
      <w:rFonts w:ascii="Cambria" w:hAnsi="Cambria" w:eastAsia="宋体" w:cs="宋体"/>
      <w:i/>
      <w:iCs/>
      <w:color w:val="4F81BD"/>
      <w:kern w:val="2"/>
      <w:sz w:val="24"/>
      <w:szCs w:val="24"/>
      <w:lang w:val="en-US" w:eastAsia="zh-CN" w:bidi="ar-SA"/>
    </w:rPr>
  </w:style>
  <w:style w:type="character" w:customStyle="1" w:styleId="104">
    <w:name w:val="内文 Char Char"/>
    <w:link w:val="105"/>
    <w:qFormat/>
    <w:uiPriority w:val="0"/>
    <w:rPr>
      <w:rFonts w:ascii="Arial" w:hAnsi="Arial" w:cs="Arial"/>
      <w:kern w:val="2"/>
      <w:sz w:val="21"/>
      <w:szCs w:val="22"/>
      <w:lang w:val="en-US" w:eastAsia="zh-CN" w:bidi="ar-SA"/>
    </w:rPr>
  </w:style>
  <w:style w:type="paragraph" w:customStyle="1" w:styleId="105">
    <w:name w:val="内文"/>
    <w:link w:val="104"/>
    <w:qFormat/>
    <w:uiPriority w:val="0"/>
    <w:pPr>
      <w:adjustRightInd w:val="0"/>
      <w:snapToGrid w:val="0"/>
      <w:spacing w:line="400" w:lineRule="exact"/>
      <w:ind w:firstLine="200" w:firstLineChars="200"/>
      <w:jc w:val="both"/>
    </w:pPr>
    <w:rPr>
      <w:rFonts w:ascii="Arial" w:hAnsi="Arial" w:eastAsia="微软雅黑" w:cs="Arial"/>
      <w:kern w:val="2"/>
      <w:sz w:val="21"/>
      <w:szCs w:val="22"/>
      <w:lang w:val="en-US" w:eastAsia="zh-CN" w:bidi="ar-SA"/>
    </w:rPr>
  </w:style>
  <w:style w:type="character" w:customStyle="1" w:styleId="106">
    <w:name w:val="shouchang1"/>
    <w:qFormat/>
    <w:uiPriority w:val="0"/>
    <w:rPr>
      <w:rFonts w:eastAsia="宋体"/>
      <w:color w:val="000000"/>
      <w:kern w:val="2"/>
      <w:sz w:val="12"/>
      <w:szCs w:val="12"/>
      <w:u w:val="none"/>
      <w:lang w:val="en-US" w:eastAsia="zh-CN" w:bidi="ar-SA"/>
    </w:rPr>
  </w:style>
  <w:style w:type="character" w:customStyle="1" w:styleId="107">
    <w:name w:val="H3 Char"/>
    <w:qFormat/>
    <w:uiPriority w:val="0"/>
    <w:rPr>
      <w:rFonts w:hint="default" w:ascii="Arial" w:hAnsi="Arial" w:eastAsia="宋体" w:cs="Arial"/>
      <w:b/>
      <w:kern w:val="2"/>
      <w:sz w:val="21"/>
      <w:lang w:val="en-US" w:eastAsia="zh-CN" w:bidi="ar-SA"/>
    </w:rPr>
  </w:style>
  <w:style w:type="character" w:customStyle="1" w:styleId="108">
    <w:name w:val="huei12b"/>
    <w:qFormat/>
    <w:uiPriority w:val="0"/>
    <w:rPr>
      <w:rFonts w:eastAsia="宋体"/>
      <w:kern w:val="2"/>
      <w:sz w:val="21"/>
      <w:lang w:val="en-US" w:eastAsia="zh-CN" w:bidi="ar-SA"/>
    </w:rPr>
  </w:style>
  <w:style w:type="character" w:customStyle="1" w:styleId="109">
    <w:name w:val="个人答复风格"/>
    <w:qFormat/>
    <w:uiPriority w:val="0"/>
    <w:rPr>
      <w:rFonts w:hint="default" w:ascii="Arial" w:hAnsi="Arial" w:eastAsia="宋体" w:cs="Arial"/>
      <w:color w:val="auto"/>
      <w:kern w:val="2"/>
      <w:sz w:val="20"/>
      <w:lang w:val="en-US" w:eastAsia="zh-CN" w:bidi="ar-SA"/>
    </w:rPr>
  </w:style>
  <w:style w:type="character" w:customStyle="1" w:styleId="110">
    <w:name w:val="标题 7 字符"/>
    <w:link w:val="8"/>
    <w:qFormat/>
    <w:uiPriority w:val="0"/>
    <w:rPr>
      <w:rFonts w:ascii="Cambria" w:hAnsi="Cambria" w:eastAsia="宋体"/>
      <w:b/>
      <w:bCs/>
      <w:color w:val="9BBB59"/>
      <w:kern w:val="2"/>
      <w:sz w:val="21"/>
      <w:lang w:val="en-US" w:eastAsia="zh-CN" w:bidi="ar-SA"/>
    </w:rPr>
  </w:style>
  <w:style w:type="character" w:customStyle="1" w:styleId="111">
    <w:name w:val="不明显参考1"/>
    <w:qFormat/>
    <w:uiPriority w:val="0"/>
    <w:rPr>
      <w:color w:val="auto"/>
      <w:u w:val="single" w:color="9BBB59"/>
    </w:rPr>
  </w:style>
  <w:style w:type="character" w:customStyle="1" w:styleId="112">
    <w:name w:val="明显引用 字符"/>
    <w:link w:val="113"/>
    <w:qFormat/>
    <w:uiPriority w:val="0"/>
    <w:rPr>
      <w:rFonts w:ascii="Cambria" w:hAnsi="Cambria" w:eastAsia="宋体"/>
      <w:i/>
      <w:iCs/>
      <w:color w:val="FFFFFF"/>
      <w:kern w:val="2"/>
      <w:sz w:val="24"/>
      <w:szCs w:val="24"/>
      <w:lang w:val="en-US" w:eastAsia="zh-CN" w:bidi="ar-SA"/>
    </w:rPr>
  </w:style>
  <w:style w:type="paragraph" w:styleId="113">
    <w:name w:val="Intense Quote"/>
    <w:basedOn w:val="1"/>
    <w:next w:val="1"/>
    <w:link w:val="112"/>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eastAsia="宋体"/>
      <w:i/>
      <w:iCs/>
      <w:color w:val="FFFFFF"/>
      <w:sz w:val="24"/>
    </w:rPr>
  </w:style>
  <w:style w:type="character" w:customStyle="1" w:styleId="114">
    <w:name w:val="书籍标题1"/>
    <w:qFormat/>
    <w:uiPriority w:val="0"/>
    <w:rPr>
      <w:rFonts w:hint="default" w:ascii="Cambria" w:hAnsi="Cambria" w:eastAsia="宋体" w:cs="Times New Roman"/>
      <w:b/>
      <w:bCs/>
      <w:i/>
      <w:iCs/>
      <w:color w:val="auto"/>
      <w:kern w:val="2"/>
      <w:sz w:val="21"/>
      <w:lang w:val="en-US" w:eastAsia="zh-CN" w:bidi="ar-SA"/>
    </w:rPr>
  </w:style>
  <w:style w:type="character" w:customStyle="1" w:styleId="115">
    <w:name w:val="页眉 字符"/>
    <w:link w:val="38"/>
    <w:qFormat/>
    <w:uiPriority w:val="0"/>
    <w:rPr>
      <w:rFonts w:ascii="仿宋_GB2312" w:eastAsia="仿宋_GB2312"/>
      <w:kern w:val="2"/>
      <w:sz w:val="18"/>
      <w:lang w:val="en-US" w:eastAsia="zh-CN" w:bidi="ar-SA"/>
    </w:rPr>
  </w:style>
  <w:style w:type="character" w:customStyle="1" w:styleId="116">
    <w:name w:val="font21"/>
    <w:qFormat/>
    <w:uiPriority w:val="0"/>
    <w:rPr>
      <w:rFonts w:hint="default" w:ascii="Times New Roman" w:hAnsi="Times New Roman" w:cs="Times New Roman"/>
      <w:color w:val="000000"/>
      <w:sz w:val="22"/>
      <w:szCs w:val="22"/>
      <w:u w:val="none"/>
    </w:rPr>
  </w:style>
  <w:style w:type="character" w:customStyle="1" w:styleId="117">
    <w:name w:val="unnamed51"/>
    <w:qFormat/>
    <w:uiPriority w:val="0"/>
    <w:rPr>
      <w:rFonts w:eastAsia="宋体"/>
      <w:kern w:val="2"/>
      <w:sz w:val="22"/>
      <w:szCs w:val="22"/>
      <w:lang w:val="en-US" w:eastAsia="zh-CN" w:bidi="ar-SA"/>
    </w:rPr>
  </w:style>
  <w:style w:type="character" w:customStyle="1" w:styleId="118">
    <w:name w:val="标题 5 字符"/>
    <w:link w:val="6"/>
    <w:qFormat/>
    <w:uiPriority w:val="0"/>
    <w:rPr>
      <w:rFonts w:ascii="Cambria" w:hAnsi="Cambria" w:eastAsia="宋体" w:cs="宋体"/>
      <w:color w:val="4F81BD"/>
      <w:kern w:val="2"/>
      <w:sz w:val="21"/>
      <w:szCs w:val="24"/>
      <w:lang w:val="en-US" w:eastAsia="zh-CN" w:bidi="ar-SA"/>
    </w:rPr>
  </w:style>
  <w:style w:type="character" w:customStyle="1" w:styleId="119">
    <w:name w:val="Char Char12"/>
    <w:qFormat/>
    <w:uiPriority w:val="0"/>
    <w:rPr>
      <w:rFonts w:eastAsia="黑体"/>
      <w:snapToGrid w:val="0"/>
      <w:sz w:val="18"/>
      <w:szCs w:val="18"/>
      <w:lang w:val="en-US" w:eastAsia="zh-CN" w:bidi="ar-SA"/>
    </w:rPr>
  </w:style>
  <w:style w:type="character" w:customStyle="1" w:styleId="120">
    <w:name w:val="p1481"/>
    <w:qFormat/>
    <w:uiPriority w:val="0"/>
    <w:rPr>
      <w:rFonts w:eastAsia="宋体"/>
      <w:kern w:val="2"/>
      <w:sz w:val="21"/>
      <w:lang w:val="en-US" w:eastAsia="zh-CN" w:bidi="ar-SA"/>
    </w:rPr>
  </w:style>
  <w:style w:type="character" w:customStyle="1" w:styleId="121">
    <w:name w:val="fl b titlelinkcolor titlename"/>
    <w:qFormat/>
    <w:uiPriority w:val="0"/>
    <w:rPr>
      <w:rFonts w:eastAsia="宋体"/>
      <w:kern w:val="2"/>
      <w:sz w:val="21"/>
      <w:lang w:val="en-US" w:eastAsia="zh-CN" w:bidi="ar-SA"/>
    </w:rPr>
  </w:style>
  <w:style w:type="character" w:customStyle="1" w:styleId="122">
    <w:name w:val="e"/>
    <w:qFormat/>
    <w:uiPriority w:val="0"/>
    <w:rPr>
      <w:rFonts w:eastAsia="宋体"/>
      <w:kern w:val="2"/>
      <w:sz w:val="21"/>
      <w:lang w:val="en-US" w:eastAsia="zh-CN" w:bidi="ar-SA"/>
    </w:rPr>
  </w:style>
  <w:style w:type="character" w:customStyle="1" w:styleId="123">
    <w:name w:val="明显强调1"/>
    <w:qFormat/>
    <w:uiPriority w:val="0"/>
    <w:rPr>
      <w:b/>
      <w:bCs/>
      <w:i/>
      <w:iCs/>
      <w:color w:val="4F81BD"/>
      <w:sz w:val="22"/>
      <w:szCs w:val="22"/>
    </w:rPr>
  </w:style>
  <w:style w:type="character" w:customStyle="1" w:styleId="124">
    <w:name w:val="引用 字符"/>
    <w:link w:val="125"/>
    <w:qFormat/>
    <w:uiPriority w:val="0"/>
    <w:rPr>
      <w:rFonts w:ascii="Cambria" w:hAnsi="Cambria" w:eastAsia="宋体"/>
      <w:i/>
      <w:iCs/>
      <w:color w:val="5A5A5A"/>
      <w:kern w:val="2"/>
      <w:sz w:val="21"/>
      <w:szCs w:val="24"/>
      <w:lang w:val="en-US" w:eastAsia="zh-CN" w:bidi="ar-SA"/>
    </w:rPr>
  </w:style>
  <w:style w:type="paragraph" w:styleId="125">
    <w:name w:val="Quote"/>
    <w:basedOn w:val="1"/>
    <w:next w:val="1"/>
    <w:link w:val="124"/>
    <w:qFormat/>
    <w:uiPriority w:val="0"/>
    <w:rPr>
      <w:rFonts w:ascii="Cambria" w:hAnsi="Cambria" w:eastAsia="宋体"/>
      <w:i/>
      <w:iCs/>
      <w:color w:val="5A5A5A"/>
    </w:rPr>
  </w:style>
  <w:style w:type="character" w:customStyle="1" w:styleId="126">
    <w:name w:val="标题 8 字符"/>
    <w:link w:val="9"/>
    <w:qFormat/>
    <w:uiPriority w:val="0"/>
    <w:rPr>
      <w:rFonts w:ascii="Cambria" w:hAnsi="Cambria" w:eastAsia="宋体"/>
      <w:b/>
      <w:bCs/>
      <w:i/>
      <w:iCs/>
      <w:color w:val="9BBB59"/>
      <w:kern w:val="2"/>
      <w:sz w:val="21"/>
      <w:lang w:val="en-US" w:eastAsia="zh-CN" w:bidi="ar-SA"/>
    </w:rPr>
  </w:style>
  <w:style w:type="character" w:customStyle="1" w:styleId="127">
    <w:name w:val="文档结构图 字符"/>
    <w:link w:val="19"/>
    <w:qFormat/>
    <w:uiPriority w:val="0"/>
    <w:rPr>
      <w:rFonts w:ascii="宋体" w:hAnsi="宋体" w:eastAsia="宋体"/>
      <w:kern w:val="2"/>
      <w:sz w:val="21"/>
      <w:szCs w:val="24"/>
      <w:lang w:val="en-US" w:eastAsia="zh-CN" w:bidi="ar-SA"/>
    </w:rPr>
  </w:style>
  <w:style w:type="character" w:customStyle="1" w:styleId="128">
    <w:name w:val="批注文字 字符"/>
    <w:link w:val="20"/>
    <w:qFormat/>
    <w:uiPriority w:val="0"/>
    <w:rPr>
      <w:rFonts w:ascii="宋体" w:hAnsi="宋体" w:eastAsia="宋体"/>
      <w:kern w:val="2"/>
      <w:sz w:val="21"/>
      <w:szCs w:val="24"/>
      <w:lang w:val="en-US" w:eastAsia="zh-CN" w:bidi="ar-SA"/>
    </w:rPr>
  </w:style>
  <w:style w:type="character" w:customStyle="1" w:styleId="129">
    <w:name w:val="个人撰写风格"/>
    <w:qFormat/>
    <w:uiPriority w:val="0"/>
    <w:rPr>
      <w:rFonts w:hint="default" w:ascii="Arial" w:hAnsi="Arial" w:eastAsia="宋体" w:cs="Arial"/>
      <w:color w:val="auto"/>
      <w:kern w:val="2"/>
      <w:sz w:val="20"/>
      <w:lang w:val="en-US" w:eastAsia="zh-CN" w:bidi="ar-SA"/>
    </w:rPr>
  </w:style>
  <w:style w:type="character" w:customStyle="1" w:styleId="130">
    <w:name w:val="font41"/>
    <w:qFormat/>
    <w:uiPriority w:val="0"/>
    <w:rPr>
      <w:rFonts w:hint="default" w:ascii="Times New Roman" w:hAnsi="Times New Roman" w:cs="Times New Roman"/>
      <w:color w:val="000000"/>
      <w:sz w:val="22"/>
      <w:szCs w:val="22"/>
      <w:u w:val="none"/>
    </w:rPr>
  </w:style>
  <w:style w:type="character" w:customStyle="1" w:styleId="131">
    <w:name w:val="纯文本 字符"/>
    <w:link w:val="29"/>
    <w:qFormat/>
    <w:uiPriority w:val="0"/>
    <w:rPr>
      <w:rFonts w:ascii="宋体" w:hAnsi="Courier New" w:eastAsia="宋体"/>
      <w:kern w:val="2"/>
      <w:sz w:val="24"/>
      <w:szCs w:val="24"/>
      <w:lang w:val="en-US" w:eastAsia="zh-CN" w:bidi="ar-SA"/>
    </w:rPr>
  </w:style>
  <w:style w:type="character" w:customStyle="1" w:styleId="132">
    <w:name w:val="style261"/>
    <w:qFormat/>
    <w:uiPriority w:val="0"/>
    <w:rPr>
      <w:rFonts w:eastAsia="宋体"/>
      <w:color w:val="FFFFFF"/>
      <w:kern w:val="2"/>
      <w:sz w:val="21"/>
      <w:lang w:val="en-US" w:eastAsia="zh-CN" w:bidi="ar-SA"/>
    </w:rPr>
  </w:style>
  <w:style w:type="character" w:customStyle="1" w:styleId="133">
    <w:name w:val="副标题 字符"/>
    <w:link w:val="42"/>
    <w:qFormat/>
    <w:uiPriority w:val="0"/>
    <w:rPr>
      <w:rFonts w:ascii="宋体" w:hAnsi="宋体" w:eastAsia="宋体"/>
      <w:i/>
      <w:iCs/>
      <w:kern w:val="2"/>
      <w:sz w:val="24"/>
      <w:szCs w:val="24"/>
      <w:lang w:val="en-US" w:eastAsia="zh-CN" w:bidi="ar-SA"/>
    </w:rPr>
  </w:style>
  <w:style w:type="character" w:customStyle="1" w:styleId="134">
    <w:name w:val="style1"/>
    <w:qFormat/>
    <w:uiPriority w:val="0"/>
    <w:rPr>
      <w:rFonts w:eastAsia="宋体"/>
      <w:kern w:val="2"/>
      <w:sz w:val="21"/>
      <w:lang w:val="en-US" w:eastAsia="zh-CN" w:bidi="ar-SA"/>
    </w:rPr>
  </w:style>
  <w:style w:type="character" w:customStyle="1" w:styleId="135">
    <w:name w:val="unnamed31"/>
    <w:qFormat/>
    <w:uiPriority w:val="0"/>
    <w:rPr>
      <w:rFonts w:hint="eastAsia" w:ascii="宋体" w:hAnsi="宋体" w:eastAsia="宋体"/>
      <w:color w:val="000000"/>
      <w:spacing w:val="299"/>
      <w:kern w:val="2"/>
      <w:sz w:val="18"/>
      <w:szCs w:val="18"/>
      <w:lang w:val="en-US" w:eastAsia="zh-CN" w:bidi="ar-SA"/>
    </w:rPr>
  </w:style>
  <w:style w:type="character" w:customStyle="1" w:styleId="136">
    <w:name w:val="正文文本 2 字符"/>
    <w:link w:val="49"/>
    <w:qFormat/>
    <w:uiPriority w:val="0"/>
    <w:rPr>
      <w:rFonts w:ascii="宋体" w:hAnsi="宋体" w:eastAsia="宋体"/>
      <w:color w:val="000000"/>
      <w:kern w:val="2"/>
      <w:sz w:val="24"/>
      <w:szCs w:val="24"/>
      <w:lang w:val="en-US" w:eastAsia="zh-CN" w:bidi="ar-SA"/>
    </w:rPr>
  </w:style>
  <w:style w:type="character" w:customStyle="1" w:styleId="137">
    <w:name w:val="不明显强调1"/>
    <w:qFormat/>
    <w:uiPriority w:val="0"/>
    <w:rPr>
      <w:i/>
      <w:iCs/>
      <w:color w:val="5A5A5A"/>
    </w:rPr>
  </w:style>
  <w:style w:type="paragraph" w:customStyle="1" w:styleId="138">
    <w:name w:val="xl31"/>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139">
    <w:name w:val="TOC 标题1"/>
    <w:basedOn w:val="2"/>
    <w:next w:val="1"/>
    <w:qFormat/>
    <w:uiPriority w:val="0"/>
    <w:pPr>
      <w:keepNext w:val="0"/>
      <w:keepLines w:val="0"/>
      <w:pBdr>
        <w:bottom w:val="single" w:color="365F91" w:sz="12" w:space="1"/>
      </w:pBdr>
      <w:spacing w:before="600" w:after="80" w:line="240" w:lineRule="auto"/>
      <w:outlineLvl w:val="9"/>
    </w:pPr>
    <w:rPr>
      <w:rFonts w:ascii="Cambria" w:hAnsi="Cambria"/>
      <w:color w:val="365F91"/>
      <w:kern w:val="2"/>
      <w:sz w:val="24"/>
      <w:szCs w:val="24"/>
    </w:rPr>
  </w:style>
  <w:style w:type="paragraph" w:customStyle="1" w:styleId="140">
    <w:name w:val="xl25"/>
    <w:basedOn w:val="1"/>
    <w:qFormat/>
    <w:uiPriority w:val="0"/>
    <w:pPr>
      <w:widowControl/>
      <w:spacing w:before="100" w:beforeAutospacing="1" w:after="100" w:afterAutospacing="1"/>
      <w:jc w:val="center"/>
    </w:pPr>
    <w:rPr>
      <w:rFonts w:ascii="楷体_GB2312" w:hAnsi="宋体" w:eastAsia="楷体_GB2312"/>
      <w:kern w:val="0"/>
      <w:sz w:val="24"/>
      <w:szCs w:val="20"/>
    </w:rPr>
  </w:style>
  <w:style w:type="paragraph" w:customStyle="1" w:styleId="141">
    <w:name w:val="ZW"/>
    <w:basedOn w:val="1"/>
    <w:qFormat/>
    <w:uiPriority w:val="0"/>
    <w:pPr>
      <w:widowControl/>
      <w:topLinePunct/>
      <w:spacing w:line="360" w:lineRule="auto"/>
      <w:ind w:firstLine="425" w:firstLineChars="200"/>
    </w:pPr>
    <w:rPr>
      <w:rFonts w:eastAsia="仿宋_GB2312"/>
      <w:spacing w:val="8"/>
      <w:sz w:val="24"/>
      <w:szCs w:val="20"/>
    </w:rPr>
  </w:style>
  <w:style w:type="paragraph" w:customStyle="1" w:styleId="142">
    <w:name w:val="纯文本1"/>
    <w:basedOn w:val="1"/>
    <w:qFormat/>
    <w:uiPriority w:val="0"/>
    <w:pPr>
      <w:adjustRightInd w:val="0"/>
      <w:textAlignment w:val="baseline"/>
    </w:pPr>
    <w:rPr>
      <w:rFonts w:ascii="宋体" w:hAnsi="Courier New" w:eastAsia="楷体_GB2312"/>
      <w:sz w:val="28"/>
      <w:szCs w:val="20"/>
    </w:rPr>
  </w:style>
  <w:style w:type="paragraph" w:customStyle="1" w:styleId="143">
    <w:name w:val="Char2"/>
    <w:basedOn w:val="19"/>
    <w:next w:val="1"/>
    <w:qFormat/>
    <w:uiPriority w:val="0"/>
  </w:style>
  <w:style w:type="paragraph" w:customStyle="1" w:styleId="144">
    <w:name w:val="msonormal 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145">
    <w:name w:val="1正文"/>
    <w:basedOn w:val="1"/>
    <w:qFormat/>
    <w:uiPriority w:val="0"/>
    <w:rPr>
      <w:rFonts w:ascii="宋体" w:hAnsi="宋体"/>
      <w:color w:val="000000"/>
      <w:sz w:val="15"/>
      <w:szCs w:val="14"/>
    </w:rPr>
  </w:style>
  <w:style w:type="paragraph" w:customStyle="1" w:styleId="146">
    <w:name w:val="默认段落字体 Para Char Char Char Char"/>
    <w:basedOn w:val="1"/>
    <w:qFormat/>
    <w:uiPriority w:val="0"/>
    <w:rPr>
      <w:rFonts w:ascii="Arial" w:hAnsi="Arial" w:cs="Arial"/>
      <w:szCs w:val="21"/>
    </w:rPr>
  </w:style>
  <w:style w:type="paragraph" w:customStyle="1" w:styleId="147">
    <w:name w:val="CR正文"/>
    <w:basedOn w:val="1"/>
    <w:qFormat/>
    <w:uiPriority w:val="0"/>
    <w:pPr>
      <w:ind w:right="210" w:firstLine="420"/>
    </w:pPr>
    <w:rPr>
      <w:sz w:val="24"/>
      <w:szCs w:val="21"/>
    </w:rPr>
  </w:style>
  <w:style w:type="paragraph" w:customStyle="1" w:styleId="148">
    <w:name w:val="标准正文"/>
    <w:basedOn w:val="1"/>
    <w:qFormat/>
    <w:uiPriority w:val="0"/>
    <w:pPr>
      <w:ind w:firstLine="200" w:firstLineChars="200"/>
    </w:pPr>
    <w:rPr>
      <w:sz w:val="24"/>
      <w:szCs w:val="21"/>
    </w:rPr>
  </w:style>
  <w:style w:type="paragraph" w:customStyle="1" w:styleId="149">
    <w:name w:val="font0"/>
    <w:basedOn w:val="1"/>
    <w:qFormat/>
    <w:uiPriority w:val="0"/>
    <w:pPr>
      <w:widowControl/>
      <w:spacing w:before="100" w:beforeAutospacing="1" w:after="100" w:afterAutospacing="1"/>
      <w:jc w:val="left"/>
    </w:pPr>
    <w:rPr>
      <w:rFonts w:ascii="宋体" w:hAnsi="宋体" w:cs="Arial Unicode MS"/>
      <w:kern w:val="0"/>
      <w:sz w:val="24"/>
    </w:rPr>
  </w:style>
  <w:style w:type="paragraph" w:customStyle="1" w:styleId="150">
    <w:name w:val="正文2"/>
    <w:basedOn w:val="1"/>
    <w:qFormat/>
    <w:uiPriority w:val="0"/>
    <w:pPr>
      <w:spacing w:before="156" w:line="360" w:lineRule="auto"/>
      <w:ind w:firstLine="510" w:firstLineChars="200"/>
    </w:pPr>
    <w:rPr>
      <w:sz w:val="24"/>
      <w:szCs w:val="20"/>
    </w:rPr>
  </w:style>
  <w:style w:type="paragraph" w:customStyle="1" w:styleId="151">
    <w:name w:val="样式1"/>
    <w:basedOn w:val="46"/>
    <w:qFormat/>
    <w:uiPriority w:val="0"/>
    <w:pPr>
      <w:spacing w:line="360" w:lineRule="auto"/>
      <w:jc w:val="center"/>
    </w:pPr>
    <w:rPr>
      <w:rFonts w:eastAsia="楷体_GB2312"/>
      <w:sz w:val="21"/>
      <w:szCs w:val="28"/>
    </w:rPr>
  </w:style>
  <w:style w:type="paragraph" w:customStyle="1" w:styleId="15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53">
    <w:name w:val="reader-word-layer reader-word-s20-7"/>
    <w:basedOn w:val="1"/>
    <w:qFormat/>
    <w:uiPriority w:val="0"/>
    <w:pPr>
      <w:widowControl/>
      <w:spacing w:before="100" w:beforeAutospacing="1" w:after="100" w:afterAutospacing="1"/>
      <w:jc w:val="left"/>
    </w:pPr>
    <w:rPr>
      <w:rFonts w:ascii="宋体" w:hAnsi="宋体" w:cs="宋体"/>
      <w:kern w:val="0"/>
      <w:sz w:val="24"/>
    </w:rPr>
  </w:style>
  <w:style w:type="paragraph" w:styleId="154">
    <w:name w:val="List Paragraph"/>
    <w:basedOn w:val="1"/>
    <w:qFormat/>
    <w:uiPriority w:val="99"/>
    <w:pPr>
      <w:ind w:left="720"/>
      <w:contextualSpacing/>
    </w:pPr>
  </w:style>
  <w:style w:type="paragraph" w:customStyle="1" w:styleId="155">
    <w:name w:val="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156">
    <w:name w:val="表格用"/>
    <w:basedOn w:val="1"/>
    <w:qFormat/>
    <w:uiPriority w:val="0"/>
    <w:pPr>
      <w:widowControl/>
      <w:spacing w:line="360" w:lineRule="auto"/>
    </w:pPr>
    <w:rPr>
      <w:rFonts w:ascii="宋体" w:hAnsi="宋体" w:eastAsia="宋体"/>
      <w:kern w:val="0"/>
    </w:rPr>
  </w:style>
  <w:style w:type="paragraph" w:customStyle="1" w:styleId="157">
    <w:name w:val="xl29"/>
    <w:basedOn w:val="1"/>
    <w:qFormat/>
    <w:uiPriority w:val="0"/>
    <w:pPr>
      <w:widowControl/>
      <w:pBdr>
        <w:top w:val="single" w:color="auto" w:sz="4" w:space="0"/>
        <w:bottom w:val="single" w:color="auto" w:sz="4" w:space="0"/>
      </w:pBdr>
      <w:spacing w:before="100" w:beforeAutospacing="1" w:after="100" w:afterAutospacing="1"/>
      <w:jc w:val="center"/>
    </w:pPr>
    <w:rPr>
      <w:rFonts w:eastAsia="Arial Unicode MS"/>
      <w:kern w:val="0"/>
      <w:sz w:val="24"/>
    </w:rPr>
  </w:style>
  <w:style w:type="paragraph" w:customStyle="1" w:styleId="158">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59">
    <w:name w:val="03"/>
    <w:basedOn w:val="1"/>
    <w:qFormat/>
    <w:uiPriority w:val="0"/>
    <w:pPr>
      <w:spacing w:line="500" w:lineRule="exact"/>
      <w:ind w:firstLine="567"/>
    </w:pPr>
    <w:rPr>
      <w:spacing w:val="20"/>
      <w:sz w:val="28"/>
      <w:szCs w:val="20"/>
    </w:rPr>
  </w:style>
  <w:style w:type="paragraph" w:customStyle="1" w:styleId="160">
    <w:name w:val="首缩"/>
    <w:basedOn w:val="1"/>
    <w:qFormat/>
    <w:uiPriority w:val="0"/>
    <w:pPr>
      <w:adjustRightInd w:val="0"/>
      <w:spacing w:line="312" w:lineRule="atLeast"/>
      <w:ind w:firstLine="454"/>
    </w:pPr>
    <w:rPr>
      <w:kern w:val="0"/>
      <w:szCs w:val="20"/>
    </w:rPr>
  </w:style>
  <w:style w:type="paragraph" w:customStyle="1" w:styleId="161">
    <w:name w:val="样式2"/>
    <w:basedOn w:val="47"/>
    <w:qFormat/>
    <w:uiPriority w:val="0"/>
  </w:style>
  <w:style w:type="paragraph" w:customStyle="1" w:styleId="162">
    <w:name w:val="内文正文"/>
    <w:basedOn w:val="1"/>
    <w:qFormat/>
    <w:uiPriority w:val="0"/>
    <w:pPr>
      <w:adjustRightInd w:val="0"/>
      <w:snapToGrid w:val="0"/>
      <w:spacing w:line="400" w:lineRule="atLeast"/>
      <w:ind w:firstLine="420" w:firstLineChars="200"/>
    </w:pPr>
    <w:rPr>
      <w:rFonts w:ascii="宋体"/>
    </w:rPr>
  </w:style>
  <w:style w:type="paragraph" w:customStyle="1" w:styleId="163">
    <w:name w:val="xl27"/>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64">
    <w:name w:val="Char"/>
    <w:basedOn w:val="1"/>
    <w:qFormat/>
    <w:uiPriority w:val="0"/>
    <w:rPr>
      <w:szCs w:val="20"/>
    </w:rPr>
  </w:style>
  <w:style w:type="paragraph" w:customStyle="1" w:styleId="165">
    <w:name w:val="列出段落1"/>
    <w:basedOn w:val="1"/>
    <w:qFormat/>
    <w:uiPriority w:val="0"/>
    <w:pPr>
      <w:ind w:firstLine="420" w:firstLineChars="200"/>
    </w:pPr>
    <w:rPr>
      <w:rFonts w:ascii="Times New Roman" w:hAnsi="Times New Roman" w:eastAsia="宋体"/>
      <w:szCs w:val="20"/>
    </w:rPr>
  </w:style>
  <w:style w:type="paragraph" w:customStyle="1" w:styleId="166">
    <w:name w:val="Char1"/>
    <w:basedOn w:val="1"/>
    <w:qFormat/>
    <w:uiPriority w:val="0"/>
    <w:rPr>
      <w:rFonts w:ascii="仿宋_GB2312" w:hAnsi="宋体" w:eastAsia="仿宋_GB2312" w:cs="宋体"/>
      <w:color w:val="000000"/>
      <w:sz w:val="24"/>
    </w:rPr>
  </w:style>
  <w:style w:type="paragraph" w:customStyle="1" w:styleId="167">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168">
    <w:name w:val="样式 标题 2 + 小四"/>
    <w:basedOn w:val="3"/>
    <w:qFormat/>
    <w:uiPriority w:val="0"/>
    <w:pPr>
      <w:tabs>
        <w:tab w:val="left" w:pos="420"/>
      </w:tabs>
      <w:spacing w:line="410" w:lineRule="auto"/>
      <w:ind w:left="420" w:hanging="420"/>
      <w:jc w:val="center"/>
    </w:pPr>
    <w:rPr>
      <w:rFonts w:eastAsia="宋体"/>
    </w:rPr>
  </w:style>
  <w:style w:type="paragraph" w:customStyle="1" w:styleId="169">
    <w:name w:val="标书正文格式"/>
    <w:qFormat/>
    <w:uiPriority w:val="0"/>
    <w:pPr>
      <w:spacing w:line="360" w:lineRule="auto"/>
      <w:ind w:firstLine="480" w:firstLineChars="200"/>
    </w:pPr>
    <w:rPr>
      <w:rFonts w:ascii="楷体_GB2312" w:hAnsi="Calibri" w:eastAsia="楷体_GB2312" w:cs="Times New Roman"/>
      <w:color w:val="000000"/>
      <w:kern w:val="2"/>
      <w:sz w:val="24"/>
      <w:szCs w:val="24"/>
      <w:lang w:val="en-US" w:eastAsia="zh-CN" w:bidi="ar-SA"/>
    </w:rPr>
  </w:style>
  <w:style w:type="paragraph" w:customStyle="1" w:styleId="170">
    <w:name w:val="Char1 Char Char Char"/>
    <w:basedOn w:val="1"/>
    <w:qFormat/>
    <w:uiPriority w:val="0"/>
    <w:pPr>
      <w:widowControl/>
      <w:snapToGrid w:val="0"/>
      <w:spacing w:before="120" w:after="160" w:line="360" w:lineRule="auto"/>
      <w:ind w:right="-360"/>
      <w:jc w:val="left"/>
    </w:pPr>
    <w:rPr>
      <w:rFonts w:ascii="仿宋_GB2312" w:hAnsi="Arial" w:eastAsia="仿宋_GB2312"/>
      <w:kern w:val="0"/>
      <w:sz w:val="24"/>
      <w:lang w:eastAsia="en-US"/>
    </w:rPr>
  </w:style>
  <w:style w:type="paragraph" w:customStyle="1" w:styleId="171">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2">
    <w:name w:val="无间隔1"/>
    <w:qFormat/>
    <w:uiPriority w:val="0"/>
    <w:pPr>
      <w:widowControl w:val="0"/>
      <w:jc w:val="both"/>
    </w:pPr>
    <w:rPr>
      <w:rFonts w:ascii="Times New Roman" w:hAnsi="Times New Roman" w:eastAsia="微软雅黑" w:cs="Calibri"/>
      <w:kern w:val="2"/>
      <w:sz w:val="21"/>
      <w:szCs w:val="22"/>
      <w:lang w:val="en-US" w:eastAsia="zh-CN" w:bidi="ar-SA"/>
    </w:rPr>
  </w:style>
  <w:style w:type="paragraph" w:customStyle="1" w:styleId="173">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74">
    <w:name w:val="12chinese"/>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75">
    <w:name w:val="默认段落字体 Para Char Char Char Char Char Char Char Char Char1 Char Char Char Char"/>
    <w:basedOn w:val="1"/>
    <w:qFormat/>
    <w:uiPriority w:val="0"/>
    <w:rPr>
      <w:rFonts w:ascii="Tahoma" w:hAnsi="Tahoma"/>
      <w:sz w:val="24"/>
      <w:szCs w:val="20"/>
    </w:rPr>
  </w:style>
  <w:style w:type="paragraph" w:customStyle="1" w:styleId="176">
    <w:name w:val="font6"/>
    <w:basedOn w:val="1"/>
    <w:qFormat/>
    <w:uiPriority w:val="0"/>
    <w:pPr>
      <w:widowControl/>
      <w:spacing w:before="100" w:beforeAutospacing="1" w:after="100" w:afterAutospacing="1"/>
      <w:jc w:val="left"/>
    </w:pPr>
    <w:rPr>
      <w:rFonts w:eastAsia="Arial Unicode MS"/>
      <w:kern w:val="0"/>
      <w:sz w:val="24"/>
    </w:rPr>
  </w:style>
  <w:style w:type="paragraph" w:customStyle="1" w:styleId="17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78">
    <w:name w:val="1"/>
    <w:basedOn w:val="1"/>
    <w:next w:val="29"/>
    <w:qFormat/>
    <w:uiPriority w:val="0"/>
    <w:rPr>
      <w:rFonts w:ascii="宋体" w:hAnsi="Courier New"/>
      <w:szCs w:val="20"/>
    </w:rPr>
  </w:style>
  <w:style w:type="paragraph" w:customStyle="1" w:styleId="179">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rPr>
  </w:style>
  <w:style w:type="paragraph" w:customStyle="1" w:styleId="180">
    <w:name w:val="style6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_Style 20"/>
    <w:basedOn w:val="1"/>
    <w:next w:val="22"/>
    <w:qFormat/>
    <w:uiPriority w:val="0"/>
    <w:pPr>
      <w:tabs>
        <w:tab w:val="left" w:pos="5250"/>
      </w:tabs>
    </w:pPr>
    <w:rPr>
      <w:sz w:val="28"/>
      <w:szCs w:val="20"/>
    </w:rPr>
  </w:style>
  <w:style w:type="paragraph" w:customStyle="1" w:styleId="182">
    <w:name w:val="Char Char2 Char Char Char Char"/>
    <w:basedOn w:val="2"/>
    <w:qFormat/>
    <w:uiPriority w:val="0"/>
    <w:pPr>
      <w:adjustRightInd w:val="0"/>
      <w:snapToGrid w:val="0"/>
      <w:spacing w:before="240" w:after="240" w:line="348" w:lineRule="auto"/>
    </w:pPr>
    <w:rPr>
      <w:rFonts w:ascii="Tahoma" w:hAnsi="Tahoma"/>
      <w:b w:val="0"/>
      <w:bCs w:val="0"/>
      <w:kern w:val="2"/>
      <w:sz w:val="24"/>
      <w:szCs w:val="20"/>
    </w:rPr>
  </w:style>
  <w:style w:type="paragraph" w:customStyle="1" w:styleId="183">
    <w:name w:val="font5"/>
    <w:basedOn w:val="1"/>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184">
    <w:name w:val="正文段"/>
    <w:basedOn w:val="1"/>
    <w:qFormat/>
    <w:uiPriority w:val="0"/>
    <w:pPr>
      <w:widowControl/>
      <w:snapToGrid w:val="0"/>
      <w:spacing w:afterLines="50"/>
      <w:ind w:firstLine="200" w:firstLineChars="200"/>
    </w:pPr>
    <w:rPr>
      <w:kern w:val="0"/>
      <w:sz w:val="24"/>
      <w:szCs w:val="20"/>
    </w:rPr>
  </w:style>
  <w:style w:type="paragraph" w:customStyle="1" w:styleId="185">
    <w:name w:val="样式 列表编号 + 段后: 0.5 行"/>
    <w:basedOn w:val="15"/>
    <w:qFormat/>
    <w:uiPriority w:val="0"/>
    <w:pPr>
      <w:numPr>
        <w:ilvl w:val="0"/>
        <w:numId w:val="0"/>
      </w:numPr>
      <w:tabs>
        <w:tab w:val="left" w:pos="360"/>
        <w:tab w:val="clear" w:pos="454"/>
        <w:tab w:val="clear" w:pos="720"/>
      </w:tabs>
      <w:ind w:left="360" w:hanging="360"/>
    </w:pPr>
  </w:style>
  <w:style w:type="paragraph" w:customStyle="1" w:styleId="18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8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8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89">
    <w:name w:val="Char Char Char Char"/>
    <w:basedOn w:val="1"/>
    <w:qFormat/>
    <w:uiPriority w:val="0"/>
    <w:pPr>
      <w:widowControl/>
      <w:spacing w:after="160" w:line="240" w:lineRule="exact"/>
      <w:jc w:val="left"/>
    </w:pPr>
  </w:style>
  <w:style w:type="paragraph" w:customStyle="1" w:styleId="190">
    <w:name w:val="WPSOffice手动目录 1"/>
    <w:qFormat/>
    <w:uiPriority w:val="0"/>
    <w:rPr>
      <w:rFonts w:ascii="Times New Roman" w:hAnsi="Times New Roman" w:eastAsia="宋体" w:cs="Times New Roman"/>
      <w:lang w:val="en-US" w:eastAsia="zh-CN" w:bidi="ar-SA"/>
    </w:rPr>
  </w:style>
  <w:style w:type="character" w:customStyle="1" w:styleId="191">
    <w:name w:val="NormalCharacter"/>
    <w:semiHidden/>
    <w:qFormat/>
    <w:uiPriority w:val="0"/>
  </w:style>
  <w:style w:type="character" w:customStyle="1" w:styleId="192">
    <w:name w:val="font61"/>
    <w:basedOn w:val="62"/>
    <w:qFormat/>
    <w:uiPriority w:val="0"/>
    <w:rPr>
      <w:rFonts w:hint="eastAsia" w:ascii="宋体" w:hAnsi="宋体" w:eastAsia="宋体" w:cs="宋体"/>
      <w:color w:val="FF0000"/>
      <w:sz w:val="20"/>
      <w:szCs w:val="20"/>
      <w:u w:val="none"/>
    </w:rPr>
  </w:style>
  <w:style w:type="character" w:customStyle="1" w:styleId="193">
    <w:name w:val="font51"/>
    <w:basedOn w:val="62"/>
    <w:qFormat/>
    <w:uiPriority w:val="0"/>
    <w:rPr>
      <w:rFonts w:hint="eastAsia" w:ascii="宋体" w:hAnsi="宋体" w:eastAsia="宋体" w:cs="宋体"/>
      <w:color w:val="000000"/>
      <w:sz w:val="20"/>
      <w:szCs w:val="20"/>
      <w:u w:val="none"/>
    </w:rPr>
  </w:style>
  <w:style w:type="paragraph" w:customStyle="1" w:styleId="194">
    <w:name w:val="Normal Indent1"/>
    <w:basedOn w:val="1"/>
    <w:qFormat/>
    <w:uiPriority w:val="0"/>
    <w:pPr>
      <w:ind w:firstLine="420" w:firstLineChars="200"/>
    </w:pPr>
    <w:rPr>
      <w:rFonts w:hint="eastAsia" w:ascii="Times New Roman" w:hAnsi="Times New Roman" w:eastAsia="宋体"/>
    </w:rPr>
  </w:style>
  <w:style w:type="paragraph" w:customStyle="1" w:styleId="195">
    <w:name w:val="正文_2"/>
    <w:next w:val="52"/>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6">
    <w:name w:val="10_0"/>
    <w:basedOn w:val="62"/>
    <w:qFormat/>
    <w:uiPriority w:val="0"/>
    <w:rPr>
      <w:rFonts w:hint="default" w:ascii="Times New Roman" w:hAnsi="Times New Roman" w:cs="Times New Roman"/>
    </w:rPr>
  </w:style>
  <w:style w:type="paragraph" w:customStyle="1" w:styleId="197">
    <w:name w:val="正文_3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8">
    <w:name w:val="p0"/>
    <w:qFormat/>
    <w:uiPriority w:val="0"/>
    <w:rPr>
      <w:rFonts w:ascii="Calibri" w:hAnsi="Calibri" w:eastAsia="宋体" w:cs="Times New Roman"/>
      <w:sz w:val="28"/>
      <w:szCs w:val="28"/>
      <w:lang w:val="en-US" w:eastAsia="zh-CN" w:bidi="ar-SA"/>
    </w:rPr>
  </w:style>
  <w:style w:type="character" w:customStyle="1" w:styleId="199">
    <w:name w:val="font161"/>
    <w:qFormat/>
    <w:uiPriority w:val="0"/>
    <w:rPr>
      <w:rFonts w:hint="default" w:ascii="Calibri" w:hAnsi="Calibri" w:cs="Calibri"/>
      <w:color w:val="000000"/>
      <w:sz w:val="20"/>
      <w:szCs w:val="20"/>
      <w:u w:val="none"/>
    </w:rPr>
  </w:style>
  <w:style w:type="paragraph" w:customStyle="1" w:styleId="200">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1">
    <w:name w:val="列表段落1"/>
    <w:basedOn w:val="1"/>
    <w:qFormat/>
    <w:uiPriority w:val="0"/>
    <w:pPr>
      <w:ind w:firstLine="420" w:firstLineChars="200"/>
    </w:pPr>
    <w:rPr>
      <w:szCs w:val="20"/>
    </w:rPr>
  </w:style>
  <w:style w:type="paragraph" w:customStyle="1" w:styleId="202">
    <w:name w:val="正文_0_0"/>
    <w:unhideWhenUsed/>
    <w:qFormat/>
    <w:uiPriority w:val="99"/>
    <w:pPr>
      <w:widowControl w:val="0"/>
      <w:jc w:val="both"/>
    </w:pPr>
    <w:rPr>
      <w:rFonts w:hint="eastAsia" w:ascii="Calibri" w:hAnsi="Calibri" w:eastAsia="宋体" w:cs="Arial"/>
      <w:kern w:val="2"/>
      <w:sz w:val="28"/>
      <w:szCs w:val="22"/>
      <w:lang w:val="en-US" w:eastAsia="zh-CN" w:bidi="ar-SA"/>
    </w:rPr>
  </w:style>
  <w:style w:type="character" w:customStyle="1" w:styleId="203">
    <w:name w:val="bookmark-item uuid-1588129097073 code-23007 addword single-line-text-input-box-cls readonly"/>
    <w:qFormat/>
    <w:uiPriority w:val="0"/>
    <w:rPr>
      <w:rFonts w:ascii="Times New Roman" w:hAnsi="Times New Roman" w:eastAsia="宋体" w:cs="Times New Roman"/>
      <w:sz w:val="21"/>
    </w:rPr>
  </w:style>
  <w:style w:type="paragraph" w:customStyle="1" w:styleId="204">
    <w:name w:val="Body text|1"/>
    <w:basedOn w:val="1"/>
    <w:qFormat/>
    <w:uiPriority w:val="0"/>
    <w:pPr>
      <w:spacing w:line="334" w:lineRule="auto"/>
      <w:ind w:firstLine="400"/>
    </w:pPr>
    <w:rPr>
      <w:rFonts w:ascii="宋体" w:hAnsi="宋体" w:eastAsia="宋体" w:cs="宋体"/>
      <w:sz w:val="22"/>
      <w:szCs w:val="22"/>
      <w:lang w:val="zh-TW" w:eastAsia="zh-TW" w:bidi="zh-TW"/>
    </w:rPr>
  </w:style>
  <w:style w:type="paragraph" w:customStyle="1" w:styleId="205">
    <w:name w:val="[Normal]"/>
    <w:qFormat/>
    <w:uiPriority w:val="0"/>
    <w:rPr>
      <w:rFonts w:ascii="宋体" w:hAnsi="宋体" w:eastAsia="宋体" w:cs="Times New Roman"/>
      <w:sz w:val="24"/>
      <w:lang w:val="en-US" w:eastAsia="en-US" w:bidi="ar-SA"/>
    </w:rPr>
  </w:style>
  <w:style w:type="paragraph" w:customStyle="1" w:styleId="206">
    <w:name w:val="签发人"/>
    <w:basedOn w:val="1"/>
    <w:qFormat/>
    <w:uiPriority w:val="0"/>
    <w:rPr>
      <w:rFonts w:eastAsia="楷体"/>
      <w:sz w:val="32"/>
    </w:rPr>
  </w:style>
  <w:style w:type="paragraph" w:customStyle="1" w:styleId="207">
    <w:name w:val="目录 44"/>
    <w:next w:val="1"/>
    <w:qFormat/>
    <w:uiPriority w:val="0"/>
    <w:pPr>
      <w:wordWrap w:val="0"/>
      <w:ind w:left="850"/>
      <w:jc w:val="both"/>
    </w:pPr>
    <w:rPr>
      <w:rFonts w:ascii="Times New Roman" w:hAnsi="Times New Roman" w:eastAsia="宋体" w:cs="Times New Roman"/>
      <w:sz w:val="21"/>
      <w:szCs w:val="22"/>
      <w:lang w:val="en-US" w:eastAsia="zh-CN" w:bidi="ar-SA"/>
    </w:rPr>
  </w:style>
  <w:style w:type="paragraph" w:customStyle="1" w:styleId="208">
    <w:name w:val="正文1"/>
    <w:qFormat/>
    <w:uiPriority w:val="0"/>
    <w:pPr>
      <w:widowControl w:val="0"/>
      <w:adjustRightInd w:val="0"/>
      <w:spacing w:line="318" w:lineRule="atLeast"/>
      <w:ind w:left="369" w:firstLine="369"/>
      <w:jc w:val="both"/>
      <w:textAlignment w:val="baseline"/>
    </w:pPr>
    <w:rPr>
      <w:rFonts w:ascii="宋体" w:hAnsi="Times New Roman" w:eastAsia="宋体" w:cs="Calibri"/>
      <w:kern w:val="2"/>
      <w:sz w:val="21"/>
      <w:lang w:val="en-US" w:eastAsia="zh-CN" w:bidi="ar-SA"/>
    </w:rPr>
  </w:style>
  <w:style w:type="paragraph" w:customStyle="1" w:styleId="209">
    <w:name w:val="标准文本"/>
    <w:basedOn w:val="1"/>
    <w:qFormat/>
    <w:uiPriority w:val="0"/>
    <w:pPr>
      <w:spacing w:line="360" w:lineRule="auto"/>
      <w:ind w:firstLine="480" w:firstLineChars="200"/>
    </w:pPr>
    <w:rPr>
      <w:rFonts w:ascii="Times New Roman" w:hAnsi="Times New Roman" w:cs="宋体"/>
      <w:sz w:val="24"/>
      <w:szCs w:val="20"/>
    </w:rPr>
  </w:style>
  <w:style w:type="paragraph" w:customStyle="1" w:styleId="210">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211">
    <w:name w:val="PlainText"/>
    <w:basedOn w:val="1"/>
    <w:qFormat/>
    <w:uiPriority w:val="0"/>
    <w:pPr>
      <w:textAlignment w:val="baseline"/>
    </w:pPr>
    <w:rPr>
      <w:rFonts w:ascii="宋体" w:hAnsi="Courier New" w:eastAsia="宋体"/>
      <w:szCs w:val="21"/>
    </w:rPr>
  </w:style>
  <w:style w:type="paragraph" w:customStyle="1" w:styleId="212">
    <w:name w:val="_Style 1"/>
    <w:basedOn w:val="1"/>
    <w:qFormat/>
    <w:uiPriority w:val="0"/>
    <w:pPr>
      <w:ind w:firstLine="420" w:firstLineChars="200"/>
    </w:pPr>
    <w:rPr>
      <w:rFonts w:ascii="Calibri" w:hAnsi="Calibri"/>
      <w:szCs w:val="22"/>
    </w:rPr>
  </w:style>
  <w:style w:type="paragraph" w:customStyle="1" w:styleId="213">
    <w:name w:val="_Style 3"/>
    <w:next w:val="1"/>
    <w:autoRedefine/>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4FC992-FF02-46DE-911F-829D0B491C8E}">
  <ds:schemaRefs/>
</ds:datastoreItem>
</file>

<file path=docProps/app.xml><?xml version="1.0" encoding="utf-8"?>
<Properties xmlns="http://schemas.openxmlformats.org/officeDocument/2006/extended-properties" xmlns:vt="http://schemas.openxmlformats.org/officeDocument/2006/docPropsVTypes">
  <Template>Normal.dotm</Template>
  <Company>ra</Company>
  <Pages>40</Pages>
  <Words>2480</Words>
  <Characters>3013</Characters>
  <Lines>267</Lines>
  <Paragraphs>75</Paragraphs>
  <TotalTime>12</TotalTime>
  <ScaleCrop>false</ScaleCrop>
  <LinksUpToDate>false</LinksUpToDate>
  <CharactersWithSpaces>3091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2022-11-28T06:40:00Z</dcterms:created>
  <dc:creator>Administrator</dc:creator>
  <cp:lastModifiedBy>o</cp:lastModifiedBy>
  <cp:lastPrinted>2024-07-25T04:54:00Z</cp:lastPrinted>
  <dcterms:modified xsi:type="dcterms:W3CDTF">2025-06-24T01:53:54Z</dcterms:modified>
  <dc:title>目    录</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24201E0AFD0447AC8E7D98FEAD5B5ED7_13</vt:lpwstr>
  </property>
  <property fmtid="{D5CDD505-2E9C-101B-9397-08002B2CF9AE}" pid="4" name="commondata">
    <vt:lpwstr>eyJoZGlkIjoiYzZhNDZkMmExMDExOGIwNTkxNmE2OTk0NDBmODc5MTcifQ==</vt:lpwstr>
  </property>
  <property fmtid="{D5CDD505-2E9C-101B-9397-08002B2CF9AE}" pid="5" name="KSOTemplateDocerSaveRecord">
    <vt:lpwstr>eyJoZGlkIjoiY2QyNmE1MzkxNzk5YTAyYzVkODRkMzYzYjU5MDllZmEiLCJ1c2VySWQiOiIyNTUxODU5NzQifQ==</vt:lpwstr>
  </property>
</Properties>
</file>